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B7EF2">
      <w:pPr>
        <w:pStyle w:val="216"/>
        <w:jc w:val="left"/>
        <w:rPr>
          <w:rFonts w:hint="eastAsia" w:ascii="宋体" w:hAnsi="宋体" w:eastAsia="宋体" w:cs="宋体"/>
          <w:b/>
          <w:bCs/>
          <w:color w:val="000000" w:themeColor="text1"/>
          <w:spacing w:val="80"/>
          <w:sz w:val="64"/>
          <w:highlight w:val="none"/>
          <w:lang w:val="en-US" w:eastAsia="zh-CN"/>
          <w14:textFill>
            <w14:solidFill>
              <w14:schemeClr w14:val="tx1"/>
            </w14:solidFill>
          </w14:textFill>
        </w:rPr>
      </w:pPr>
      <w:r>
        <w:rPr>
          <w:rFonts w:hint="eastAsia" w:ascii="宋体" w:hAnsi="宋体" w:eastAsia="宋体" w:cs="宋体"/>
          <w:b/>
          <w:bCs/>
          <w:color w:val="000000" w:themeColor="text1"/>
          <w:spacing w:val="80"/>
          <w:sz w:val="64"/>
          <w:highlight w:val="none"/>
          <w:lang w:val="en-US" w:eastAsia="zh-CN"/>
          <w14:textFill>
            <w14:solidFill>
              <w14:schemeClr w14:val="tx1"/>
            </w14:solidFill>
          </w14:textFill>
        </w:rPr>
        <w:t xml:space="preserve"> </w:t>
      </w:r>
    </w:p>
    <w:p w14:paraId="3B6E94CB">
      <w:pPr>
        <w:pStyle w:val="216"/>
        <w:jc w:val="center"/>
        <w:rPr>
          <w:rFonts w:hint="eastAsia" w:ascii="宋体" w:hAnsi="宋体" w:eastAsia="宋体" w:cs="宋体"/>
          <w:b/>
          <w:bCs/>
          <w:color w:val="000000" w:themeColor="text1"/>
          <w:spacing w:val="80"/>
          <w:sz w:val="60"/>
          <w:szCs w:val="60"/>
          <w:highlight w:val="none"/>
          <w14:textFill>
            <w14:solidFill>
              <w14:schemeClr w14:val="tx1"/>
            </w14:solidFill>
          </w14:textFill>
        </w:rPr>
      </w:pPr>
      <w:r>
        <w:rPr>
          <w:rFonts w:hint="eastAsia" w:ascii="宋体" w:hAnsi="宋体" w:eastAsia="宋体" w:cs="宋体"/>
          <w:b/>
          <w:bCs/>
          <w:color w:val="000000" w:themeColor="text1"/>
          <w:spacing w:val="80"/>
          <w:sz w:val="60"/>
          <w:szCs w:val="60"/>
          <w:highlight w:val="none"/>
          <w14:textFill>
            <w14:solidFill>
              <w14:schemeClr w14:val="tx1"/>
            </w14:solidFill>
          </w14:textFill>
        </w:rPr>
        <w:t>桂林市政府集中采购中心</w:t>
      </w:r>
    </w:p>
    <w:p w14:paraId="36C3D54C">
      <w:pPr>
        <w:pStyle w:val="216"/>
        <w:jc w:val="center"/>
        <w:rPr>
          <w:rFonts w:hint="eastAsia" w:ascii="宋体" w:hAnsi="宋体" w:eastAsia="宋体" w:cs="宋体"/>
          <w:b/>
          <w:bCs/>
          <w:color w:val="000000" w:themeColor="text1"/>
          <w:spacing w:val="80"/>
          <w:sz w:val="72"/>
          <w:highlight w:val="none"/>
          <w14:textFill>
            <w14:solidFill>
              <w14:schemeClr w14:val="tx1"/>
            </w14:solidFill>
          </w14:textFill>
        </w:rPr>
      </w:pPr>
    </w:p>
    <w:p w14:paraId="68BF22E1">
      <w:pPr>
        <w:pStyle w:val="216"/>
        <w:jc w:val="center"/>
        <w:rPr>
          <w:rFonts w:hint="eastAsia" w:ascii="宋体" w:hAnsi="宋体" w:eastAsia="宋体" w:cs="宋体"/>
          <w:b/>
          <w:bCs/>
          <w:color w:val="000000" w:themeColor="text1"/>
          <w:sz w:val="72"/>
          <w:highlight w:val="none"/>
          <w14:textFill>
            <w14:solidFill>
              <w14:schemeClr w14:val="tx1"/>
            </w14:solidFill>
          </w14:textFill>
        </w:rPr>
      </w:pPr>
    </w:p>
    <w:p w14:paraId="003CCDE2">
      <w:pPr>
        <w:pStyle w:val="216"/>
        <w:jc w:val="center"/>
        <w:rPr>
          <w:rFonts w:hint="eastAsia" w:ascii="宋体" w:hAnsi="宋体" w:eastAsia="宋体" w:cs="宋体"/>
          <w:color w:val="000000" w:themeColor="text1"/>
          <w:highlight w:val="none"/>
          <w14:textFill>
            <w14:solidFill>
              <w14:schemeClr w14:val="tx1"/>
            </w14:solidFill>
          </w14:textFill>
        </w:rPr>
      </w:pPr>
    </w:p>
    <w:p w14:paraId="7E8CEC8C">
      <w:pPr>
        <w:spacing w:line="1400" w:lineRule="exact"/>
        <w:jc w:val="center"/>
        <w:rPr>
          <w:rFonts w:hint="eastAsia" w:ascii="宋体" w:hAnsi="宋体" w:eastAsia="宋体" w:cs="宋体"/>
          <w:b/>
          <w:color w:val="000000" w:themeColor="text1"/>
          <w:spacing w:val="60"/>
          <w:sz w:val="112"/>
          <w:szCs w:val="112"/>
          <w:highlight w:val="none"/>
          <w14:textFill>
            <w14:solidFill>
              <w14:schemeClr w14:val="tx1"/>
            </w14:solidFill>
          </w14:textFill>
        </w:rPr>
      </w:pPr>
      <w:r>
        <w:rPr>
          <w:rFonts w:hint="eastAsia" w:ascii="宋体" w:hAnsi="宋体" w:eastAsia="宋体" w:cs="宋体"/>
          <w:b/>
          <w:color w:val="000000" w:themeColor="text1"/>
          <w:spacing w:val="60"/>
          <w:sz w:val="112"/>
          <w:szCs w:val="112"/>
          <w:highlight w:val="none"/>
          <w14:textFill>
            <w14:solidFill>
              <w14:schemeClr w14:val="tx1"/>
            </w14:solidFill>
          </w14:textFill>
        </w:rPr>
        <w:t>招标文件</w:t>
      </w:r>
    </w:p>
    <w:p w14:paraId="7A80F47D">
      <w:pPr>
        <w:pStyle w:val="216"/>
        <w:rPr>
          <w:rFonts w:hint="eastAsia" w:ascii="宋体" w:hAnsi="宋体" w:eastAsia="宋体" w:cs="宋体"/>
          <w:color w:val="000000" w:themeColor="text1"/>
          <w:highlight w:val="none"/>
          <w14:textFill>
            <w14:solidFill>
              <w14:schemeClr w14:val="tx1"/>
            </w14:solidFill>
          </w14:textFill>
        </w:rPr>
      </w:pPr>
    </w:p>
    <w:p w14:paraId="633B0BE0">
      <w:pPr>
        <w:pStyle w:val="216"/>
        <w:ind w:firstLine="3885"/>
        <w:rPr>
          <w:rFonts w:hint="eastAsia" w:ascii="宋体" w:hAnsi="宋体" w:eastAsia="宋体" w:cs="宋体"/>
          <w:color w:val="000000" w:themeColor="text1"/>
          <w:highlight w:val="none"/>
          <w14:textFill>
            <w14:solidFill>
              <w14:schemeClr w14:val="tx1"/>
            </w14:solidFill>
          </w14:textFill>
        </w:rPr>
      </w:pPr>
    </w:p>
    <w:p w14:paraId="57495ED1">
      <w:pPr>
        <w:pStyle w:val="216"/>
        <w:rPr>
          <w:rFonts w:hint="eastAsia" w:ascii="宋体" w:hAnsi="宋体" w:eastAsia="宋体" w:cs="宋体"/>
          <w:color w:val="000000" w:themeColor="text1"/>
          <w:highlight w:val="none"/>
          <w14:textFill>
            <w14:solidFill>
              <w14:schemeClr w14:val="tx1"/>
            </w14:solidFill>
          </w14:textFill>
        </w:rPr>
      </w:pPr>
    </w:p>
    <w:p w14:paraId="1CE88394">
      <w:pPr>
        <w:pStyle w:val="216"/>
        <w:rPr>
          <w:rFonts w:hint="eastAsia" w:ascii="宋体" w:hAnsi="宋体" w:eastAsia="宋体" w:cs="宋体"/>
          <w:color w:val="000000" w:themeColor="text1"/>
          <w:highlight w:val="none"/>
          <w14:textFill>
            <w14:solidFill>
              <w14:schemeClr w14:val="tx1"/>
            </w14:solidFill>
          </w14:textFill>
        </w:rPr>
      </w:pPr>
    </w:p>
    <w:p w14:paraId="29EBFDC5">
      <w:pPr>
        <w:pStyle w:val="216"/>
        <w:rPr>
          <w:rFonts w:hint="eastAsia" w:ascii="宋体" w:hAnsi="宋体" w:eastAsia="宋体" w:cs="宋体"/>
          <w:color w:val="000000" w:themeColor="text1"/>
          <w:highlight w:val="none"/>
          <w14:textFill>
            <w14:solidFill>
              <w14:schemeClr w14:val="tx1"/>
            </w14:solidFill>
          </w14:textFill>
        </w:rPr>
      </w:pPr>
    </w:p>
    <w:p w14:paraId="0F266551">
      <w:pPr>
        <w:jc w:val="center"/>
        <w:rPr>
          <w:rFonts w:hint="eastAsia" w:ascii="宋体" w:hAnsi="宋体" w:eastAsia="宋体" w:cs="宋体"/>
          <w:b/>
          <w:bCs/>
          <w:color w:val="000000" w:themeColor="text1"/>
          <w:spacing w:val="-36"/>
          <w:sz w:val="32"/>
          <w:highlight w:val="none"/>
          <w14:textFill>
            <w14:solidFill>
              <w14:schemeClr w14:val="tx1"/>
            </w14:solidFill>
          </w14:textFill>
        </w:rPr>
      </w:pPr>
      <w:r>
        <w:rPr>
          <w:rFonts w:hint="eastAsia" w:ascii="宋体" w:hAnsi="宋体" w:eastAsia="宋体" w:cs="宋体"/>
          <w:b/>
          <w:bCs/>
          <w:color w:val="000000" w:themeColor="text1"/>
          <w:spacing w:val="40"/>
          <w:sz w:val="32"/>
          <w:highlight w:val="none"/>
          <w14:textFill>
            <w14:solidFill>
              <w14:schemeClr w14:val="tx1"/>
            </w14:solidFill>
          </w14:textFill>
        </w:rPr>
        <w:t>项目名称：</w:t>
      </w:r>
      <w:r>
        <w:rPr>
          <w:rFonts w:hint="eastAsia" w:ascii="宋体" w:hAnsi="宋体" w:eastAsia="宋体" w:cs="宋体"/>
          <w:b/>
          <w:bCs/>
          <w:color w:val="000000" w:themeColor="text1"/>
          <w:spacing w:val="0"/>
          <w:sz w:val="32"/>
          <w:highlight w:val="none"/>
          <w:lang w:val="en-US" w:eastAsia="zh-CN"/>
          <w14:textFill>
            <w14:solidFill>
              <w14:schemeClr w14:val="tx1"/>
            </w14:solidFill>
          </w14:textFill>
        </w:rPr>
        <w:t>中国共产党桂林市委员会党校物业服务采购</w:t>
      </w:r>
    </w:p>
    <w:p w14:paraId="20B0DB18">
      <w:pPr>
        <w:tabs>
          <w:tab w:val="left" w:pos="4830"/>
        </w:tabs>
        <w:jc w:val="center"/>
        <w:rPr>
          <w:rFonts w:hint="eastAsia" w:ascii="宋体" w:hAnsi="宋体" w:eastAsia="宋体" w:cs="宋体"/>
          <w:b/>
          <w:bCs/>
          <w:color w:val="000000" w:themeColor="text1"/>
          <w:sz w:val="32"/>
          <w:highlight w:val="none"/>
          <w14:textFill>
            <w14:solidFill>
              <w14:schemeClr w14:val="tx1"/>
            </w14:solidFill>
          </w14:textFill>
        </w:rPr>
      </w:pPr>
      <w:r>
        <w:rPr>
          <w:rFonts w:hint="eastAsia" w:ascii="宋体" w:hAnsi="宋体" w:eastAsia="宋体" w:cs="宋体"/>
          <w:b/>
          <w:bCs/>
          <w:color w:val="000000" w:themeColor="text1"/>
          <w:spacing w:val="40"/>
          <w:sz w:val="32"/>
          <w:highlight w:val="none"/>
          <w14:textFill>
            <w14:solidFill>
              <w14:schemeClr w14:val="tx1"/>
            </w14:solidFill>
          </w14:textFill>
        </w:rPr>
        <w:t>项目编号：</w:t>
      </w:r>
      <w:r>
        <w:rPr>
          <w:rFonts w:hint="eastAsia" w:ascii="宋体" w:hAnsi="宋体" w:eastAsia="宋体" w:cs="宋体"/>
          <w:b/>
          <w:bCs/>
          <w:color w:val="000000" w:themeColor="text1"/>
          <w:spacing w:val="0"/>
          <w:sz w:val="32"/>
          <w:highlight w:val="none"/>
          <w:lang w:eastAsia="zh-CN"/>
          <w14:textFill>
            <w14:solidFill>
              <w14:schemeClr w14:val="tx1"/>
            </w14:solidFill>
          </w14:textFill>
        </w:rPr>
        <w:t>GLZC2026-G3-990258-GLSZ</w:t>
      </w:r>
    </w:p>
    <w:p w14:paraId="41FFCA6F">
      <w:pPr>
        <w:ind w:left="-2" w:firstLine="144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36"/>
          <w:highlight w:val="none"/>
          <w14:textFill>
            <w14:solidFill>
              <w14:schemeClr w14:val="tx1"/>
            </w14:solidFill>
          </w14:textFill>
        </w:rPr>
        <w:t xml:space="preserve">        </w:t>
      </w:r>
    </w:p>
    <w:p w14:paraId="2AC07108">
      <w:pPr>
        <w:ind w:left="-2" w:firstLine="1446"/>
        <w:rPr>
          <w:rFonts w:hint="eastAsia" w:ascii="宋体" w:hAnsi="宋体" w:eastAsia="宋体" w:cs="宋体"/>
          <w:color w:val="000000" w:themeColor="text1"/>
          <w:highlight w:val="none"/>
          <w14:textFill>
            <w14:solidFill>
              <w14:schemeClr w14:val="tx1"/>
            </w14:solidFill>
          </w14:textFill>
        </w:rPr>
      </w:pPr>
    </w:p>
    <w:p w14:paraId="6FD2E8FA">
      <w:pPr>
        <w:ind w:left="-2" w:firstLine="840"/>
        <w:rPr>
          <w:rFonts w:hint="eastAsia" w:ascii="宋体" w:hAnsi="宋体" w:eastAsia="宋体" w:cs="宋体"/>
          <w:color w:val="000000" w:themeColor="text1"/>
          <w:highlight w:val="none"/>
          <w14:textFill>
            <w14:solidFill>
              <w14:schemeClr w14:val="tx1"/>
            </w14:solidFill>
          </w14:textFill>
        </w:rPr>
      </w:pPr>
    </w:p>
    <w:p w14:paraId="0B2C1B92">
      <w:pPr>
        <w:ind w:left="-2" w:firstLine="63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ab/>
      </w:r>
    </w:p>
    <w:p w14:paraId="5F6D5F75">
      <w:pPr>
        <w:ind w:left="103" w:firstLine="1470"/>
        <w:jc w:val="center"/>
        <w:rPr>
          <w:rFonts w:hint="eastAsia" w:ascii="宋体" w:hAnsi="宋体" w:eastAsia="宋体" w:cs="宋体"/>
          <w:color w:val="000000" w:themeColor="text1"/>
          <w:highlight w:val="none"/>
          <w14:textFill>
            <w14:solidFill>
              <w14:schemeClr w14:val="tx1"/>
            </w14:solidFill>
          </w14:textFill>
        </w:rPr>
      </w:pPr>
    </w:p>
    <w:p w14:paraId="200CA0D8">
      <w:pPr>
        <w:ind w:left="103" w:firstLine="1470"/>
        <w:jc w:val="center"/>
        <w:rPr>
          <w:rFonts w:hint="eastAsia" w:ascii="宋体" w:hAnsi="宋体" w:eastAsia="宋体" w:cs="宋体"/>
          <w:b/>
          <w:bCs/>
          <w:color w:val="000000" w:themeColor="text1"/>
          <w:spacing w:val="40"/>
          <w:sz w:val="32"/>
          <w:szCs w:val="32"/>
          <w:highlight w:val="none"/>
          <w14:textFill>
            <w14:solidFill>
              <w14:schemeClr w14:val="tx1"/>
            </w14:solidFill>
          </w14:textFill>
        </w:rPr>
      </w:pPr>
      <w:r>
        <w:rPr>
          <w:rFonts w:hint="eastAsia" w:ascii="宋体" w:hAnsi="宋体" w:eastAsia="宋体" w:cs="宋体"/>
          <w:b/>
          <w:bCs/>
          <w:color w:val="000000" w:themeColor="text1"/>
          <w:spacing w:val="40"/>
          <w:sz w:val="32"/>
          <w:szCs w:val="32"/>
          <w:highlight w:val="none"/>
          <w14:textFill>
            <w14:solidFill>
              <w14:schemeClr w14:val="tx1"/>
            </w14:solidFill>
          </w14:textFill>
        </w:rPr>
        <w:t>采购代理机构：桂林市政府集中采购中心</w:t>
      </w:r>
    </w:p>
    <w:p w14:paraId="6FF262D5">
      <w:pPr>
        <w:jc w:val="center"/>
        <w:rPr>
          <w:rFonts w:hint="eastAsia" w:ascii="宋体" w:hAnsi="宋体" w:eastAsia="宋体" w:cs="宋体"/>
          <w:b/>
          <w:bCs/>
          <w:color w:val="000000" w:themeColor="text1"/>
          <w:sz w:val="32"/>
          <w:highlight w:val="none"/>
          <w:lang w:eastAsia="zh-CN"/>
          <w14:textFill>
            <w14:solidFill>
              <w14:schemeClr w14:val="tx1"/>
            </w14:solidFill>
          </w14:textFill>
        </w:rPr>
      </w:pPr>
      <w:r>
        <w:rPr>
          <w:rFonts w:hint="eastAsia" w:ascii="宋体" w:hAnsi="宋体" w:eastAsia="宋体" w:cs="宋体"/>
          <w:b/>
          <w:bCs/>
          <w:color w:val="000000" w:themeColor="text1"/>
          <w:sz w:val="32"/>
          <w:highlight w:val="none"/>
          <w:lang w:eastAsia="zh-CN"/>
          <w14:textFill>
            <w14:solidFill>
              <w14:schemeClr w14:val="tx1"/>
            </w14:solidFill>
          </w14:textFill>
        </w:rPr>
        <w:t>202</w:t>
      </w:r>
      <w:r>
        <w:rPr>
          <w:rFonts w:hint="eastAsia" w:ascii="宋体" w:hAnsi="宋体" w:cs="宋体"/>
          <w:b/>
          <w:bCs/>
          <w:color w:val="000000" w:themeColor="text1"/>
          <w:sz w:val="32"/>
          <w:highlight w:val="none"/>
          <w:lang w:val="en-US" w:eastAsia="zh-CN"/>
          <w14:textFill>
            <w14:solidFill>
              <w14:schemeClr w14:val="tx1"/>
            </w14:solidFill>
          </w14:textFill>
        </w:rPr>
        <w:t>6</w:t>
      </w:r>
      <w:r>
        <w:rPr>
          <w:rFonts w:hint="eastAsia" w:ascii="宋体" w:hAnsi="宋体" w:eastAsia="宋体" w:cs="宋体"/>
          <w:b/>
          <w:bCs/>
          <w:color w:val="000000" w:themeColor="text1"/>
          <w:sz w:val="32"/>
          <w:highlight w:val="none"/>
          <w:lang w:eastAsia="zh-CN"/>
          <w14:textFill>
            <w14:solidFill>
              <w14:schemeClr w14:val="tx1"/>
            </w14:solidFill>
          </w14:textFill>
        </w:rPr>
        <w:t>年</w:t>
      </w:r>
      <w:r>
        <w:rPr>
          <w:rFonts w:hint="eastAsia" w:ascii="宋体" w:hAnsi="宋体" w:cs="宋体"/>
          <w:b/>
          <w:bCs/>
          <w:color w:val="000000" w:themeColor="text1"/>
          <w:sz w:val="32"/>
          <w:highlight w:val="none"/>
          <w:lang w:val="en-US" w:eastAsia="zh-CN"/>
          <w14:textFill>
            <w14:solidFill>
              <w14:schemeClr w14:val="tx1"/>
            </w14:solidFill>
          </w14:textFill>
        </w:rPr>
        <w:t>7</w:t>
      </w:r>
      <w:r>
        <w:rPr>
          <w:rFonts w:hint="eastAsia" w:ascii="宋体" w:hAnsi="宋体" w:eastAsia="宋体" w:cs="宋体"/>
          <w:b/>
          <w:bCs/>
          <w:color w:val="000000" w:themeColor="text1"/>
          <w:sz w:val="32"/>
          <w:highlight w:val="none"/>
          <w:lang w:eastAsia="zh-CN"/>
          <w14:textFill>
            <w14:solidFill>
              <w14:schemeClr w14:val="tx1"/>
            </w14:solidFill>
          </w14:textFill>
        </w:rPr>
        <w:t>月</w:t>
      </w:r>
      <w:r>
        <w:rPr>
          <w:rFonts w:hint="eastAsia" w:ascii="宋体" w:hAnsi="宋体" w:cs="宋体"/>
          <w:b/>
          <w:bCs/>
          <w:color w:val="000000" w:themeColor="text1"/>
          <w:sz w:val="32"/>
          <w:highlight w:val="none"/>
          <w:lang w:val="en-US" w:eastAsia="zh-CN"/>
          <w14:textFill>
            <w14:solidFill>
              <w14:schemeClr w14:val="tx1"/>
            </w14:solidFill>
          </w14:textFill>
        </w:rPr>
        <w:t>15</w:t>
      </w:r>
      <w:r>
        <w:rPr>
          <w:rFonts w:hint="eastAsia" w:ascii="宋体" w:hAnsi="宋体" w:eastAsia="宋体" w:cs="宋体"/>
          <w:b/>
          <w:bCs/>
          <w:color w:val="000000" w:themeColor="text1"/>
          <w:sz w:val="32"/>
          <w:highlight w:val="none"/>
          <w:lang w:eastAsia="zh-CN"/>
          <w14:textFill>
            <w14:solidFill>
              <w14:schemeClr w14:val="tx1"/>
            </w14:solidFill>
          </w14:textFill>
        </w:rPr>
        <w:t>日</w:t>
      </w:r>
    </w:p>
    <w:p w14:paraId="5C89AA50">
      <w:pPr>
        <w:jc w:val="center"/>
        <w:rPr>
          <w:rFonts w:hint="eastAsia" w:ascii="宋体" w:hAnsi="宋体" w:eastAsia="宋体" w:cs="宋体"/>
          <w:bCs/>
          <w:color w:val="000000" w:themeColor="text1"/>
          <w:sz w:val="30"/>
          <w:szCs w:val="30"/>
          <w:highlight w:val="none"/>
          <w14:textFill>
            <w14:solidFill>
              <w14:schemeClr w14:val="tx1"/>
            </w14:solidFill>
          </w14:textFill>
        </w:rPr>
      </w:pPr>
    </w:p>
    <w:p w14:paraId="1598B722">
      <w:pPr>
        <w:pStyle w:val="329"/>
        <w:jc w:val="center"/>
        <w:rPr>
          <w:rFonts w:hint="eastAsia" w:ascii="宋体" w:hAnsi="宋体" w:eastAsia="宋体" w:cs="宋体"/>
          <w:color w:val="000000" w:themeColor="text1"/>
          <w:highlight w:val="none"/>
          <w:lang w:val="zh-CN"/>
          <w14:textFill>
            <w14:solidFill>
              <w14:schemeClr w14:val="tx1"/>
            </w14:solidFill>
          </w14:textFill>
        </w:rPr>
        <w:sectPr>
          <w:headerReference r:id="rId3" w:type="default"/>
          <w:footerReference r:id="rId4" w:type="default"/>
          <w:pgSz w:w="11906" w:h="16838"/>
          <w:pgMar w:top="1440" w:right="1080" w:bottom="1440" w:left="1080" w:header="851" w:footer="992" w:gutter="0"/>
          <w:cols w:space="1701" w:num="1"/>
        </w:sectPr>
      </w:pPr>
    </w:p>
    <w:p w14:paraId="1AA9130F">
      <w:pPr>
        <w:jc w:val="center"/>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目 录</w:t>
      </w:r>
    </w:p>
    <w:p w14:paraId="7A6BCE80">
      <w:pPr>
        <w:rPr>
          <w:rFonts w:hint="eastAsia" w:ascii="宋体" w:hAnsi="宋体" w:eastAsia="宋体" w:cs="宋体"/>
          <w:color w:val="000000" w:themeColor="text1"/>
          <w:szCs w:val="21"/>
          <w:highlight w:val="none"/>
          <w14:textFill>
            <w14:solidFill>
              <w14:schemeClr w14:val="tx1"/>
            </w14:solidFill>
          </w14:textFill>
        </w:rPr>
      </w:pPr>
    </w:p>
    <w:p w14:paraId="47F75C06">
      <w:pPr>
        <w:pStyle w:val="23"/>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color w:val="000000" w:themeColor="text1"/>
          <w:szCs w:val="21"/>
          <w:highlight w:val="none"/>
          <w14:textFill>
            <w14:solidFill>
              <w14:schemeClr w14:val="tx1"/>
            </w14:solidFill>
          </w14:textFill>
        </w:rPr>
        <w:instrText xml:space="preserve">TOC \o "1-3" \h \u </w:instrText>
      </w:r>
      <w:r>
        <w:rPr>
          <w:rFonts w:hint="eastAsia" w:ascii="宋体" w:hAnsi="宋体" w:eastAsia="宋体" w:cs="宋体"/>
          <w:color w:val="000000" w:themeColor="text1"/>
          <w:szCs w:val="21"/>
          <w:highlight w:val="none"/>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_Toc2950 </w:instrText>
      </w:r>
      <w:r>
        <w:rPr>
          <w:rFonts w:hint="eastAsia" w:ascii="宋体" w:hAnsi="宋体" w:eastAsia="宋体" w:cs="宋体"/>
          <w:szCs w:val="21"/>
          <w:highlight w:val="none"/>
        </w:rPr>
        <w:fldChar w:fldCharType="separate"/>
      </w:r>
      <w:r>
        <w:rPr>
          <w:rFonts w:hint="eastAsia" w:ascii="宋体" w:hAnsi="宋体" w:eastAsia="宋体" w:cs="宋体"/>
          <w:szCs w:val="32"/>
        </w:rPr>
        <w:t xml:space="preserve">第一章 </w:t>
      </w:r>
      <w:r>
        <w:rPr>
          <w:rFonts w:hint="eastAsia" w:ascii="宋体" w:hAnsi="宋体" w:eastAsia="宋体" w:cs="宋体"/>
          <w:szCs w:val="32"/>
          <w:highlight w:val="none"/>
        </w:rPr>
        <w:t>公开招标公告</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_Toc2950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30CCB193">
      <w:pPr>
        <w:pStyle w:val="23"/>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_Toc26858 </w:instrText>
      </w:r>
      <w:r>
        <w:rPr>
          <w:rFonts w:hint="eastAsia" w:ascii="宋体" w:hAnsi="宋体" w:eastAsia="宋体" w:cs="宋体"/>
          <w:szCs w:val="21"/>
          <w:highlight w:val="none"/>
        </w:rPr>
        <w:fldChar w:fldCharType="separate"/>
      </w:r>
      <w:r>
        <w:rPr>
          <w:rFonts w:hint="eastAsia" w:ascii="宋体" w:hAnsi="宋体" w:eastAsia="宋体" w:cs="宋体"/>
          <w:bCs/>
          <w:szCs w:val="32"/>
          <w:highlight w:val="none"/>
        </w:rPr>
        <w:t>第二章  投标人须知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_Toc26858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EE2D692">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_Toc12675 </w:instrText>
      </w:r>
      <w:r>
        <w:rPr>
          <w:rFonts w:hint="eastAsia" w:ascii="宋体" w:hAnsi="宋体" w:eastAsia="宋体" w:cs="宋体"/>
          <w:szCs w:val="21"/>
          <w:highlight w:val="none"/>
        </w:rPr>
        <w:fldChar w:fldCharType="separate"/>
      </w:r>
      <w:r>
        <w:rPr>
          <w:rFonts w:hint="eastAsia" w:ascii="宋体" w:hAnsi="宋体" w:eastAsia="宋体" w:cs="宋体"/>
          <w:highlight w:val="none"/>
        </w:rPr>
        <w:t>投标人须知前附表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_Toc12675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269AA208">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_Toc8412 </w:instrText>
      </w:r>
      <w:r>
        <w:rPr>
          <w:rFonts w:hint="eastAsia" w:ascii="宋体" w:hAnsi="宋体" w:eastAsia="宋体" w:cs="宋体"/>
          <w:szCs w:val="21"/>
          <w:highlight w:val="none"/>
        </w:rPr>
        <w:fldChar w:fldCharType="separate"/>
      </w:r>
      <w:r>
        <w:rPr>
          <w:rFonts w:hint="eastAsia" w:ascii="宋体" w:hAnsi="宋体" w:eastAsia="宋体" w:cs="宋体"/>
          <w:szCs w:val="28"/>
          <w:highlight w:val="none"/>
        </w:rPr>
        <w:t>一、总则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_Toc8412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2D6D17F">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_Toc29973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 项目名称及项目编号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_Toc29973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AA75754">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_Toc22668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 适用范围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_Toc22668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44A6815">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_Toc30963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3. 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_Toc30963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3A88832">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_Toc13767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4. 招标方式、评分办法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_Toc13767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547F761">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_Toc27104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5. 投标人资格</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_Toc27104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7A3DED6">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_Toc32715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6. 投标费用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_Toc32715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FF749A1">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_Toc4507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7. 联合体投标要求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_Toc4507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4E579D02">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_Toc25317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8. 转包与分包</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_Toc25317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54CDA92">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_Toc5765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9. 特别说明</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_Toc5765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7F97288">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_Toc4636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10. 质疑和投诉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_Toc4636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3F3C1F2B">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_Toc29992 </w:instrText>
      </w:r>
      <w:r>
        <w:rPr>
          <w:rFonts w:hint="eastAsia" w:ascii="宋体" w:hAnsi="宋体" w:eastAsia="宋体" w:cs="宋体"/>
          <w:szCs w:val="21"/>
          <w:highlight w:val="none"/>
        </w:rPr>
        <w:fldChar w:fldCharType="separate"/>
      </w:r>
      <w:r>
        <w:rPr>
          <w:rFonts w:hint="eastAsia" w:ascii="宋体" w:hAnsi="宋体" w:eastAsia="宋体" w:cs="宋体"/>
          <w:szCs w:val="28"/>
          <w:highlight w:val="none"/>
        </w:rPr>
        <w:t>二、招标文件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_Toc29992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95BA55A">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_Toc16123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11. 招标文件的构成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_Toc16123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0F6B75B">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_Toc27464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12. 招标文件的澄清与修改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_Toc27464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44627921">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_Toc24834 </w:instrText>
      </w:r>
      <w:r>
        <w:rPr>
          <w:rFonts w:hint="eastAsia" w:ascii="宋体" w:hAnsi="宋体" w:eastAsia="宋体" w:cs="宋体"/>
          <w:szCs w:val="21"/>
          <w:highlight w:val="none"/>
        </w:rPr>
        <w:fldChar w:fldCharType="separate"/>
      </w:r>
      <w:r>
        <w:rPr>
          <w:rFonts w:hint="eastAsia" w:ascii="宋体" w:hAnsi="宋体" w:eastAsia="宋体" w:cs="宋体"/>
          <w:szCs w:val="28"/>
          <w:highlight w:val="none"/>
        </w:rPr>
        <w:t>三、投标文件的编制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_Toc24834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EA3E981">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_Toc2083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13. 投标文件的组成及要求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_Toc2083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7B9F017">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_Toc20804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14. 投标文件的语言及计量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_Toc20804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2D41FBEA">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_Toc29705 </w:instrText>
      </w:r>
      <w:r>
        <w:rPr>
          <w:rFonts w:hint="eastAsia" w:ascii="宋体" w:hAnsi="宋体" w:eastAsia="宋体" w:cs="宋体"/>
          <w:szCs w:val="21"/>
          <w:highlight w:val="none"/>
        </w:rPr>
        <w:fldChar w:fldCharType="separate"/>
      </w:r>
      <w:r>
        <w:rPr>
          <w:rFonts w:hint="eastAsia" w:ascii="宋体" w:hAnsi="宋体" w:eastAsia="宋体" w:cs="宋体"/>
          <w:szCs w:val="21"/>
        </w:rPr>
        <w:t xml:space="preserve">15. </w:t>
      </w:r>
      <w:r>
        <w:rPr>
          <w:rFonts w:hint="eastAsia" w:ascii="宋体" w:hAnsi="宋体" w:eastAsia="宋体" w:cs="宋体"/>
          <w:szCs w:val="21"/>
          <w:highlight w:val="none"/>
        </w:rPr>
        <w:t>投标报价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_Toc29705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DFF2FE0">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_Toc9266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16. 投标有效期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_Toc9266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07C2713">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_Toc20861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17. 投标保证金</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_Toc20861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1455C528">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_Toc15029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18. 投标文件的制作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_Toc15029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BA325BF">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_Toc27763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19. 投标文件的补充、修改和撤回</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_Toc27763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BFA3D63">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_Toc3318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20. 投标文件的递交和解密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_Toc3318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10EB12FB">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_Toc20587 </w:instrText>
      </w:r>
      <w:r>
        <w:rPr>
          <w:rFonts w:hint="eastAsia" w:ascii="宋体" w:hAnsi="宋体" w:eastAsia="宋体" w:cs="宋体"/>
          <w:szCs w:val="21"/>
          <w:highlight w:val="none"/>
        </w:rPr>
        <w:fldChar w:fldCharType="separate"/>
      </w:r>
      <w:r>
        <w:rPr>
          <w:rFonts w:hint="eastAsia" w:ascii="宋体" w:hAnsi="宋体" w:eastAsia="宋体" w:cs="宋体"/>
          <w:szCs w:val="28"/>
          <w:highlight w:val="none"/>
        </w:rPr>
        <w:t>四、开标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_Toc20587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1A7797B7">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_Toc1157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21. 开标时间及地点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_Toc1157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740E80C8">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_Toc25719 </w:instrText>
      </w:r>
      <w:r>
        <w:rPr>
          <w:rFonts w:hint="eastAsia" w:ascii="宋体" w:hAnsi="宋体" w:eastAsia="宋体" w:cs="宋体"/>
          <w:szCs w:val="21"/>
          <w:highlight w:val="none"/>
        </w:rPr>
        <w:fldChar w:fldCharType="separate"/>
      </w:r>
      <w:r>
        <w:rPr>
          <w:rFonts w:hint="eastAsia" w:ascii="宋体" w:hAnsi="宋体" w:eastAsia="宋体" w:cs="宋体"/>
          <w:bCs/>
          <w:szCs w:val="21"/>
          <w:highlight w:val="none"/>
        </w:rPr>
        <w:t>22. 开标程序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_Toc25719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E6A4A15">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_Toc10447 </w:instrText>
      </w:r>
      <w:r>
        <w:rPr>
          <w:rFonts w:hint="eastAsia" w:ascii="宋体" w:hAnsi="宋体" w:eastAsia="宋体" w:cs="宋体"/>
          <w:szCs w:val="21"/>
          <w:highlight w:val="none"/>
        </w:rPr>
        <w:fldChar w:fldCharType="separate"/>
      </w:r>
      <w:r>
        <w:rPr>
          <w:rFonts w:hint="eastAsia" w:ascii="宋体" w:hAnsi="宋体" w:eastAsia="宋体" w:cs="宋体"/>
          <w:szCs w:val="28"/>
          <w:highlight w:val="none"/>
        </w:rPr>
        <w:t>五、资格性审查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_Toc10447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0F0F879">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_Toc25716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23. 资格性审查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_Toc25716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73317E0">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_Toc14317 </w:instrText>
      </w:r>
      <w:r>
        <w:rPr>
          <w:rFonts w:hint="eastAsia" w:ascii="宋体" w:hAnsi="宋体" w:eastAsia="宋体" w:cs="宋体"/>
          <w:szCs w:val="21"/>
          <w:highlight w:val="none"/>
        </w:rPr>
        <w:fldChar w:fldCharType="separate"/>
      </w:r>
      <w:r>
        <w:rPr>
          <w:rFonts w:hint="eastAsia" w:ascii="宋体" w:hAnsi="宋体" w:eastAsia="宋体" w:cs="宋体"/>
          <w:szCs w:val="28"/>
          <w:highlight w:val="none"/>
        </w:rPr>
        <w:t>六、评标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_Toc14317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D7E78C2">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_Toc2296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24. 评标委员会组成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_Toc2296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F96E2E0">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_Toc22366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25. 评标原则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_Toc22366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39792B3F">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_Toc31687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26. 评标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_Toc31687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2D0D777B">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_Toc9005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27. 推荐及确定中标候选供应商原则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_Toc9005 \h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1F298C61">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_Toc25800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28. 属于下列情况之一者，投标无效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_Toc25800 \h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18F17046">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_Toc22404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29. 投标人有下列情形之一的，视为串通投标，投标文件将被视为无效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_Toc22404 \h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0E10089">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_Toc31699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30. 属于下列情形之一的，应予废标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_Toc31699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260C48D4">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_Toc28623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31. 开标、评标过程的监控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_Toc28623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32D789F">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_Toc11732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32. 信用查询</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_Toc11732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E9BE260">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_Toc12233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33. 中标公告及中标通知书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_Toc12233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3671AE5D">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_Toc6162 </w:instrText>
      </w:r>
      <w:r>
        <w:rPr>
          <w:rFonts w:hint="eastAsia" w:ascii="宋体" w:hAnsi="宋体" w:eastAsia="宋体" w:cs="宋体"/>
          <w:szCs w:val="21"/>
          <w:highlight w:val="none"/>
        </w:rPr>
        <w:fldChar w:fldCharType="separate"/>
      </w:r>
      <w:r>
        <w:rPr>
          <w:rFonts w:hint="eastAsia" w:ascii="宋体" w:hAnsi="宋体" w:eastAsia="宋体" w:cs="宋体"/>
          <w:szCs w:val="28"/>
          <w:highlight w:val="none"/>
        </w:rPr>
        <w:t>七、履约保证金及签订合同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_Toc6162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5BAE64F">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_Toc28207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34. 履约保证金</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_Toc28207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DC09B58">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_Toc29339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35. 签订合同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_Toc29339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1D2BAAE1">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_Toc30202 </w:instrText>
      </w:r>
      <w:r>
        <w:rPr>
          <w:rFonts w:hint="eastAsia" w:ascii="宋体" w:hAnsi="宋体" w:eastAsia="宋体" w:cs="宋体"/>
          <w:szCs w:val="21"/>
          <w:highlight w:val="none"/>
        </w:rPr>
        <w:fldChar w:fldCharType="separate"/>
      </w:r>
      <w:r>
        <w:rPr>
          <w:rFonts w:hint="eastAsia" w:ascii="宋体" w:hAnsi="宋体" w:eastAsia="宋体" w:cs="宋体"/>
          <w:szCs w:val="28"/>
          <w:highlight w:val="none"/>
        </w:rPr>
        <w:t>八、其他事项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_Toc30202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7CDC999E">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_Toc2853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36. 招标代理服务费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_Toc2853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000ED878">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_Toc14907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 xml:space="preserve">37. </w:t>
      </w:r>
      <w:r>
        <w:rPr>
          <w:rFonts w:hint="eastAsia" w:ascii="宋体" w:hAnsi="宋体" w:eastAsia="宋体" w:cs="宋体"/>
          <w:szCs w:val="21"/>
          <w:highlight w:val="none"/>
          <w:lang w:eastAsia="zh-CN"/>
        </w:rPr>
        <w:t>编制依据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_Toc14907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3206B2BB">
      <w:pPr>
        <w:pStyle w:val="17"/>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_Toc15333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38. 监督管理机构</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_Toc15333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8D5A96B">
      <w:pPr>
        <w:pStyle w:val="23"/>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_Toc14870 </w:instrText>
      </w:r>
      <w:r>
        <w:rPr>
          <w:rFonts w:hint="eastAsia" w:ascii="宋体" w:hAnsi="宋体" w:eastAsia="宋体" w:cs="宋体"/>
          <w:szCs w:val="21"/>
          <w:highlight w:val="none"/>
        </w:rPr>
        <w:fldChar w:fldCharType="separate"/>
      </w:r>
      <w:r>
        <w:rPr>
          <w:rFonts w:hint="eastAsia" w:ascii="宋体" w:hAnsi="宋体" w:eastAsia="宋体" w:cs="宋体"/>
          <w:szCs w:val="32"/>
          <w:highlight w:val="none"/>
        </w:rPr>
        <w:t>第三章  采购需求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_Toc14870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78B93AC">
      <w:pPr>
        <w:pStyle w:val="23"/>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_Toc7544 </w:instrText>
      </w:r>
      <w:r>
        <w:rPr>
          <w:rFonts w:hint="eastAsia" w:ascii="宋体" w:hAnsi="宋体" w:eastAsia="宋体" w:cs="宋体"/>
          <w:szCs w:val="21"/>
          <w:highlight w:val="none"/>
        </w:rPr>
        <w:fldChar w:fldCharType="separate"/>
      </w:r>
      <w:r>
        <w:rPr>
          <w:rFonts w:hint="eastAsia" w:ascii="宋体" w:hAnsi="宋体" w:eastAsia="宋体" w:cs="宋体"/>
          <w:szCs w:val="32"/>
          <w:highlight w:val="none"/>
        </w:rPr>
        <w:t>第四章  评标办法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_Toc7544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4B953B28">
      <w:pPr>
        <w:pStyle w:val="23"/>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_Toc30385 </w:instrText>
      </w:r>
      <w:r>
        <w:rPr>
          <w:rFonts w:hint="eastAsia" w:ascii="宋体" w:hAnsi="宋体" w:eastAsia="宋体" w:cs="宋体"/>
          <w:szCs w:val="21"/>
          <w:highlight w:val="none"/>
        </w:rPr>
        <w:fldChar w:fldCharType="separate"/>
      </w:r>
      <w:r>
        <w:rPr>
          <w:rFonts w:hint="eastAsia" w:ascii="宋体" w:hAnsi="宋体" w:eastAsia="宋体" w:cs="宋体"/>
          <w:bCs/>
          <w:szCs w:val="32"/>
          <w:highlight w:val="none"/>
        </w:rPr>
        <w:t>第五章  采购合同（合同主要条款及格式）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_Toc30385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AE3AE12">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_Toc6252 </w:instrText>
      </w:r>
      <w:r>
        <w:rPr>
          <w:rFonts w:hint="eastAsia" w:ascii="宋体" w:hAnsi="宋体" w:eastAsia="宋体" w:cs="宋体"/>
          <w:szCs w:val="21"/>
          <w:highlight w:val="none"/>
        </w:rPr>
        <w:fldChar w:fldCharType="separate"/>
      </w:r>
      <w:r>
        <w:rPr>
          <w:rFonts w:hint="eastAsia" w:ascii="宋体" w:hAnsi="宋体" w:eastAsia="宋体" w:cs="宋体"/>
          <w:szCs w:val="21"/>
        </w:rPr>
        <w:t xml:space="preserve">第一条 </w:t>
      </w:r>
      <w:r>
        <w:rPr>
          <w:rFonts w:hint="eastAsia" w:ascii="宋体" w:hAnsi="宋体" w:eastAsia="宋体" w:cs="宋体"/>
          <w:szCs w:val="21"/>
          <w:lang w:val="en-US" w:eastAsia="zh-CN"/>
        </w:rPr>
        <w:t xml:space="preserve"> </w:t>
      </w:r>
      <w:r>
        <w:rPr>
          <w:rFonts w:hint="eastAsia" w:ascii="宋体" w:hAnsi="宋体" w:eastAsia="宋体" w:cs="宋体"/>
          <w:szCs w:val="21"/>
          <w:highlight w:val="none"/>
        </w:rPr>
        <w:t>合同标的及合同金额</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_Toc6252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D6A751E">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_Toc27194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第二条  服务保证</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_Toc27194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CFC7775">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_Toc21062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第三条  服务期限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_Toc21062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1037830B">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_Toc14959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第四条  交付</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_Toc14959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11703EA6">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_Toc14077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第五条  税费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_Toc14077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DCDF4ED">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_Toc8293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第七条  违约责任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_Toc8293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F19EF43">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_Toc3172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第八条  不可抗力事件处理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_Toc3172 \h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4D8AEDAC">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_Toc16239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第九条  合同争议解决</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_Toc16239 \h </w:instrText>
      </w:r>
      <w:r>
        <w:rPr>
          <w:rFonts w:hint="eastAsia" w:ascii="宋体" w:hAnsi="宋体" w:eastAsia="宋体" w:cs="宋体"/>
        </w:rPr>
        <w:fldChar w:fldCharType="separate"/>
      </w:r>
      <w:r>
        <w:rPr>
          <w:rFonts w:hint="eastAsia" w:ascii="宋体" w:hAnsi="宋体" w:eastAsia="宋体" w:cs="宋体"/>
        </w:rPr>
        <w:t>59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2472CE94">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_Toc12839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第十条  合同生效及其它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_Toc12839 \h </w:instrText>
      </w:r>
      <w:r>
        <w:rPr>
          <w:rFonts w:hint="eastAsia" w:ascii="宋体" w:hAnsi="宋体" w:eastAsia="宋体" w:cs="宋体"/>
        </w:rPr>
        <w:fldChar w:fldCharType="separate"/>
      </w:r>
      <w:r>
        <w:rPr>
          <w:rFonts w:hint="eastAsia" w:ascii="宋体" w:hAnsi="宋体" w:eastAsia="宋体" w:cs="宋体"/>
        </w:rPr>
        <w:t>59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55F9AF2D">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_Toc9123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第十一条  合同的变更、终止与转让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_Toc9123 \h </w:instrText>
      </w:r>
      <w:r>
        <w:rPr>
          <w:rFonts w:hint="eastAsia" w:ascii="宋体" w:hAnsi="宋体" w:eastAsia="宋体" w:cs="宋体"/>
        </w:rPr>
        <w:fldChar w:fldCharType="separate"/>
      </w:r>
      <w:r>
        <w:rPr>
          <w:rFonts w:hint="eastAsia" w:ascii="宋体" w:hAnsi="宋体" w:eastAsia="宋体" w:cs="宋体"/>
        </w:rPr>
        <w:t>59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7E8FB266">
      <w:pPr>
        <w:pStyle w:val="29"/>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_Toc27318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第十二条  签订本合同依据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_Toc27318 \h </w:instrText>
      </w:r>
      <w:r>
        <w:rPr>
          <w:rFonts w:hint="eastAsia" w:ascii="宋体" w:hAnsi="宋体" w:eastAsia="宋体" w:cs="宋体"/>
        </w:rPr>
        <w:fldChar w:fldCharType="separate"/>
      </w:r>
      <w:r>
        <w:rPr>
          <w:rFonts w:hint="eastAsia" w:ascii="宋体" w:hAnsi="宋体" w:eastAsia="宋体" w:cs="宋体"/>
        </w:rPr>
        <w:t>59</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4FFFA97">
      <w:pPr>
        <w:pStyle w:val="23"/>
        <w:tabs>
          <w:tab w:val="right" w:leader="dot" w:pos="9746"/>
        </w:tabs>
        <w:rPr>
          <w:rFonts w:hint="eastAsia" w:ascii="宋体" w:hAnsi="宋体" w:eastAsia="宋体" w:cs="宋体"/>
        </w:rPr>
      </w:pP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szCs w:val="21"/>
          <w:highlight w:val="none"/>
        </w:rPr>
        <w:instrText xml:space="preserve"> HYPERLINK \l _Toc6554 </w:instrText>
      </w:r>
      <w:r>
        <w:rPr>
          <w:rFonts w:hint="eastAsia" w:ascii="宋体" w:hAnsi="宋体" w:eastAsia="宋体" w:cs="宋体"/>
          <w:szCs w:val="21"/>
          <w:highlight w:val="none"/>
        </w:rPr>
        <w:fldChar w:fldCharType="separate"/>
      </w:r>
      <w:r>
        <w:rPr>
          <w:rFonts w:hint="eastAsia" w:ascii="宋体" w:hAnsi="宋体" w:eastAsia="宋体" w:cs="宋体"/>
          <w:bCs/>
          <w:szCs w:val="32"/>
          <w:highlight w:val="none"/>
        </w:rPr>
        <w:t>第六章  投标文件（格式）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_Toc6554 \h </w:instrText>
      </w:r>
      <w:r>
        <w:rPr>
          <w:rFonts w:hint="eastAsia" w:ascii="宋体" w:hAnsi="宋体" w:eastAsia="宋体" w:cs="宋体"/>
        </w:rPr>
        <w:fldChar w:fldCharType="separate"/>
      </w:r>
      <w:r>
        <w:rPr>
          <w:rFonts w:hint="eastAsia" w:ascii="宋体" w:hAnsi="宋体" w:eastAsia="宋体" w:cs="宋体"/>
        </w:rPr>
        <w:t>60</w:t>
      </w:r>
      <w:r>
        <w:rPr>
          <w:rFonts w:hint="eastAsia" w:ascii="宋体" w:hAnsi="宋体" w:eastAsia="宋体" w:cs="宋体"/>
        </w:rPr>
        <w:fldChar w:fldCharType="end"/>
      </w:r>
      <w:r>
        <w:rPr>
          <w:rFonts w:hint="eastAsia" w:ascii="宋体" w:hAnsi="宋体" w:eastAsia="宋体" w:cs="宋体"/>
          <w:color w:val="000000" w:themeColor="text1"/>
          <w:szCs w:val="21"/>
          <w:highlight w:val="none"/>
          <w14:textFill>
            <w14:solidFill>
              <w14:schemeClr w14:val="tx1"/>
            </w14:solidFill>
          </w14:textFill>
        </w:rPr>
        <w:fldChar w:fldCharType="end"/>
      </w:r>
    </w:p>
    <w:p w14:paraId="6923D6D9">
      <w:pPr>
        <w:jc w:val="center"/>
        <w:outlineLvl w:val="0"/>
        <w:rPr>
          <w:rFonts w:hint="eastAsia" w:ascii="宋体" w:hAnsi="宋体" w:eastAsia="宋体" w:cs="宋体"/>
          <w:color w:val="000000" w:themeColor="text1"/>
          <w:sz w:val="32"/>
          <w:szCs w:val="32"/>
          <w:highlight w:val="none"/>
          <w14:textFill>
            <w14:solidFill>
              <w14:schemeClr w14:val="tx1"/>
            </w14:solidFill>
          </w14:textFill>
        </w:rPr>
        <w:sectPr>
          <w:pgSz w:w="11906" w:h="16838"/>
          <w:pgMar w:top="1440" w:right="1080" w:bottom="1440" w:left="1080" w:header="851" w:footer="992" w:gutter="0"/>
          <w:pgNumType w:start="1"/>
          <w:cols w:space="1701" w:num="1"/>
        </w:sectPr>
      </w:pPr>
      <w:r>
        <w:rPr>
          <w:rFonts w:hint="eastAsia" w:ascii="宋体" w:hAnsi="宋体" w:eastAsia="宋体" w:cs="宋体"/>
          <w:color w:val="000000" w:themeColor="text1"/>
          <w:szCs w:val="21"/>
          <w:highlight w:val="none"/>
          <w14:textFill>
            <w14:solidFill>
              <w14:schemeClr w14:val="tx1"/>
            </w14:solidFill>
          </w14:textFill>
        </w:rPr>
        <w:fldChar w:fldCharType="end"/>
      </w:r>
    </w:p>
    <w:p w14:paraId="0DCED4DF">
      <w:pPr>
        <w:pStyle w:val="193"/>
        <w:numPr>
          <w:ilvl w:val="0"/>
          <w:numId w:val="1"/>
        </w:numPr>
        <w:tabs>
          <w:tab w:val="left" w:pos="0"/>
          <w:tab w:val="left" w:pos="3165"/>
          <w:tab w:val="center" w:pos="4153"/>
        </w:tabs>
        <w:spacing w:before="0" w:after="0" w:line="440" w:lineRule="exact"/>
        <w:jc w:val="center"/>
        <w:rPr>
          <w:rFonts w:hint="eastAsia" w:ascii="宋体" w:hAnsi="宋体" w:eastAsia="宋体" w:cs="宋体"/>
          <w:color w:val="000000" w:themeColor="text1"/>
          <w:sz w:val="32"/>
          <w:szCs w:val="32"/>
          <w:highlight w:val="none"/>
          <w14:textFill>
            <w14:solidFill>
              <w14:schemeClr w14:val="tx1"/>
            </w14:solidFill>
          </w14:textFill>
        </w:rPr>
      </w:pPr>
      <w:bookmarkStart w:id="0" w:name="_Toc28359001"/>
      <w:bookmarkStart w:id="1" w:name="_Toc35393789"/>
      <w:r>
        <w:rPr>
          <w:rFonts w:hint="eastAsia" w:ascii="宋体" w:hAnsi="宋体" w:eastAsia="宋体" w:cs="宋体"/>
          <w:color w:val="000000" w:themeColor="text1"/>
          <w:sz w:val="32"/>
          <w:szCs w:val="32"/>
          <w:highlight w:val="none"/>
          <w14:textFill>
            <w14:solidFill>
              <w14:schemeClr w14:val="tx1"/>
            </w14:solidFill>
          </w14:textFill>
        </w:rPr>
        <w:t xml:space="preserve">  </w:t>
      </w:r>
      <w:bookmarkStart w:id="2" w:name="_Toc8183"/>
      <w:bookmarkStart w:id="3" w:name="_Toc2950"/>
      <w:r>
        <w:rPr>
          <w:rFonts w:hint="eastAsia" w:ascii="宋体" w:hAnsi="宋体" w:eastAsia="宋体" w:cs="宋体"/>
          <w:color w:val="000000" w:themeColor="text1"/>
          <w:sz w:val="32"/>
          <w:szCs w:val="32"/>
          <w:highlight w:val="none"/>
          <w14:textFill>
            <w14:solidFill>
              <w14:schemeClr w14:val="tx1"/>
            </w14:solidFill>
          </w14:textFill>
        </w:rPr>
        <w:t>公开招标公告</w:t>
      </w:r>
      <w:bookmarkEnd w:id="0"/>
      <w:bookmarkEnd w:id="1"/>
      <w:bookmarkEnd w:id="2"/>
      <w:bookmarkEnd w:id="3"/>
    </w:p>
    <w:tbl>
      <w:tblPr>
        <w:tblStyle w:val="32"/>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46F3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658831FA">
            <w:p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项目概况</w:t>
            </w:r>
          </w:p>
          <w:p w14:paraId="7BC003EF">
            <w:p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桂林市政府集中采购中心受</w:t>
            </w:r>
            <w:r>
              <w:rPr>
                <w:rFonts w:hint="eastAsia" w:ascii="宋体" w:hAnsi="宋体" w:eastAsia="宋体" w:cs="宋体"/>
                <w:color w:val="000000" w:themeColor="text1"/>
                <w:sz w:val="24"/>
                <w:highlight w:val="none"/>
                <w:u w:val="single"/>
                <w:lang w:val="en-US" w:eastAsia="zh-CN"/>
                <w14:textFill>
                  <w14:solidFill>
                    <w14:schemeClr w14:val="tx1"/>
                  </w14:solidFill>
                </w14:textFill>
              </w:rPr>
              <w:t>中国共产党桂林市委员会党校</w:t>
            </w:r>
            <w:r>
              <w:rPr>
                <w:rFonts w:hint="eastAsia" w:ascii="宋体" w:hAnsi="宋体" w:eastAsia="宋体" w:cs="宋体"/>
                <w:color w:val="000000" w:themeColor="text1"/>
                <w:sz w:val="24"/>
                <w:highlight w:val="none"/>
                <w14:textFill>
                  <w14:solidFill>
                    <w14:schemeClr w14:val="tx1"/>
                  </w14:solidFill>
                </w14:textFill>
              </w:rPr>
              <w:t>委托，根据《中华人民共和国政府采购法》《中华人民共和国政府采购法实施条例》及《政府采购货物和服务招标投标管理办法》（财政部令第87号）等规定，现就</w:t>
            </w:r>
            <w:r>
              <w:rPr>
                <w:rFonts w:hint="eastAsia" w:ascii="宋体" w:hAnsi="宋体" w:eastAsia="宋体" w:cs="宋体"/>
                <w:color w:val="000000" w:themeColor="text1"/>
                <w:sz w:val="24"/>
                <w:highlight w:val="none"/>
                <w:u w:val="single"/>
                <w:lang w:val="en-US" w:eastAsia="zh-CN"/>
                <w14:textFill>
                  <w14:solidFill>
                    <w14:schemeClr w14:val="tx1"/>
                  </w14:solidFill>
                </w14:textFill>
              </w:rPr>
              <w:t>中国共产党桂林市委员会党校物业服务采购</w:t>
            </w:r>
            <w:r>
              <w:rPr>
                <w:rFonts w:hint="eastAsia" w:ascii="宋体" w:hAnsi="宋体" w:eastAsia="宋体" w:cs="宋体"/>
                <w:color w:val="000000" w:themeColor="text1"/>
                <w:sz w:val="24"/>
                <w:highlight w:val="none"/>
                <w14:textFill>
                  <w14:solidFill>
                    <w14:schemeClr w14:val="tx1"/>
                  </w14:solidFill>
                </w14:textFill>
              </w:rPr>
              <w:t>进行公开招标，欢迎符合条件的供应商前来投标，并于</w:t>
            </w:r>
            <w:r>
              <w:rPr>
                <w:rFonts w:hint="eastAsia" w:ascii="宋体" w:hAnsi="宋体" w:cs="宋体"/>
                <w:color w:val="000000" w:themeColor="text1"/>
                <w:sz w:val="24"/>
                <w:highlight w:val="none"/>
                <w:lang w:eastAsia="zh-CN"/>
                <w14:textFill>
                  <w14:solidFill>
                    <w14:schemeClr w14:val="tx1"/>
                  </w14:solidFill>
                </w14:textFill>
              </w:rPr>
              <w:t>2026年8月6日</w:t>
            </w:r>
            <w:r>
              <w:rPr>
                <w:rFonts w:hint="eastAsia" w:ascii="宋体" w:hAnsi="宋体" w:eastAsia="宋体" w:cs="宋体"/>
                <w:color w:val="000000" w:themeColor="text1"/>
                <w:sz w:val="24"/>
                <w:highlight w:val="none"/>
                <w:lang w:eastAsia="zh-CN"/>
                <w14:textFill>
                  <w14:solidFill>
                    <w14:schemeClr w14:val="tx1"/>
                  </w14:solidFill>
                </w14:textFill>
              </w:rPr>
              <w:t>上午</w:t>
            </w:r>
            <w:r>
              <w:rPr>
                <w:rFonts w:hint="eastAsia" w:ascii="宋体" w:hAnsi="宋体" w:eastAsia="宋体" w:cs="宋体"/>
                <w:color w:val="000000" w:themeColor="text1"/>
                <w:sz w:val="24"/>
                <w:highlight w:val="none"/>
                <w:lang w:val="en-US" w:eastAsia="zh-CN"/>
                <w14:textFill>
                  <w14:solidFill>
                    <w14:schemeClr w14:val="tx1"/>
                  </w14:solidFill>
                </w14:textFill>
              </w:rPr>
              <w:t>9</w:t>
            </w:r>
            <w:r>
              <w:rPr>
                <w:rFonts w:hint="eastAsia" w:ascii="宋体" w:hAnsi="宋体" w:eastAsia="宋体" w:cs="宋体"/>
                <w:color w:val="000000" w:themeColor="text1"/>
                <w:sz w:val="24"/>
                <w:highlight w:val="none"/>
                <w:lang w:eastAsia="zh-CN"/>
                <w14:textFill>
                  <w14:solidFill>
                    <w14:schemeClr w14:val="tx1"/>
                  </w14:solidFill>
                </w14:textFill>
              </w:rPr>
              <w:t>时</w:t>
            </w:r>
            <w:r>
              <w:rPr>
                <w:rFonts w:hint="eastAsia" w:ascii="宋体" w:hAnsi="宋体" w:eastAsia="宋体" w:cs="宋体"/>
                <w:color w:val="000000" w:themeColor="text1"/>
                <w:sz w:val="24"/>
                <w:highlight w:val="none"/>
                <w:lang w:val="en-US" w:eastAsia="zh-CN"/>
                <w14:textFill>
                  <w14:solidFill>
                    <w14:schemeClr w14:val="tx1"/>
                  </w14:solidFill>
                </w14:textFill>
              </w:rPr>
              <w:t>30</w:t>
            </w:r>
            <w:r>
              <w:rPr>
                <w:rFonts w:hint="eastAsia" w:ascii="宋体" w:hAnsi="宋体" w:eastAsia="宋体" w:cs="宋体"/>
                <w:color w:val="000000" w:themeColor="text1"/>
                <w:sz w:val="24"/>
                <w:highlight w:val="none"/>
                <w:lang w:eastAsia="zh-CN"/>
                <w14:textFill>
                  <w14:solidFill>
                    <w14:schemeClr w14:val="tx1"/>
                  </w14:solidFill>
                </w14:textFill>
              </w:rPr>
              <w:t>分</w:t>
            </w:r>
            <w:r>
              <w:rPr>
                <w:rFonts w:hint="eastAsia" w:ascii="宋体" w:hAnsi="宋体" w:eastAsia="宋体" w:cs="宋体"/>
                <w:color w:val="000000" w:themeColor="text1"/>
                <w:sz w:val="24"/>
                <w:highlight w:val="none"/>
                <w14:textFill>
                  <w14:solidFill>
                    <w14:schemeClr w14:val="tx1"/>
                  </w14:solidFill>
                </w14:textFill>
              </w:rPr>
              <w:t xml:space="preserve">前递交投标文件。现将本次公开招标的有关事项公告如下：  </w:t>
            </w:r>
          </w:p>
        </w:tc>
      </w:tr>
    </w:tbl>
    <w:p w14:paraId="28BB78B9">
      <w:pPr>
        <w:rPr>
          <w:rFonts w:hint="eastAsia" w:ascii="宋体" w:hAnsi="宋体" w:eastAsia="宋体" w:cs="宋体"/>
          <w:color w:val="000000" w:themeColor="text1"/>
          <w:sz w:val="24"/>
          <w:highlight w:val="none"/>
          <w14:textFill>
            <w14:solidFill>
              <w14:schemeClr w14:val="tx1"/>
            </w14:solidFill>
          </w14:textFill>
        </w:rPr>
      </w:pPr>
    </w:p>
    <w:p w14:paraId="4FC7B096">
      <w:pPr>
        <w:rPr>
          <w:rFonts w:hint="eastAsia" w:ascii="宋体" w:hAnsi="宋体" w:eastAsia="宋体" w:cs="宋体"/>
          <w:color w:val="000000" w:themeColor="text1"/>
          <w:sz w:val="24"/>
          <w:highlight w:val="none"/>
          <w14:textFill>
            <w14:solidFill>
              <w14:schemeClr w14:val="tx1"/>
            </w14:solidFill>
          </w14:textFill>
        </w:rPr>
      </w:pPr>
      <w:bookmarkStart w:id="4" w:name="_Toc35393790"/>
      <w:bookmarkStart w:id="5" w:name="_Toc28359079"/>
      <w:bookmarkStart w:id="6" w:name="_Toc35393621"/>
      <w:bookmarkStart w:id="7" w:name="_Toc28359002"/>
      <w:bookmarkStart w:id="8" w:name="_Hlk24379207"/>
      <w:r>
        <w:rPr>
          <w:rFonts w:hint="eastAsia" w:ascii="宋体" w:hAnsi="宋体" w:eastAsia="宋体" w:cs="宋体"/>
          <w:color w:val="000000" w:themeColor="text1"/>
          <w:sz w:val="24"/>
          <w:highlight w:val="none"/>
          <w14:textFill>
            <w14:solidFill>
              <w14:schemeClr w14:val="tx1"/>
            </w14:solidFill>
          </w14:textFill>
        </w:rPr>
        <w:t>一、项目基本情况</w:t>
      </w:r>
      <w:bookmarkEnd w:id="4"/>
      <w:bookmarkEnd w:id="5"/>
      <w:bookmarkEnd w:id="6"/>
      <w:bookmarkEnd w:id="7"/>
    </w:p>
    <w:p w14:paraId="4E84E863">
      <w:pPr>
        <w:spacing w:line="380" w:lineRule="exact"/>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项目编号：</w:t>
      </w:r>
      <w:r>
        <w:rPr>
          <w:rFonts w:hint="eastAsia" w:ascii="宋体" w:hAnsi="宋体" w:eastAsia="宋体" w:cs="宋体"/>
          <w:color w:val="000000" w:themeColor="text1"/>
          <w:sz w:val="24"/>
          <w:highlight w:val="none"/>
          <w:lang w:eastAsia="zh-CN"/>
          <w14:textFill>
            <w14:solidFill>
              <w14:schemeClr w14:val="tx1"/>
            </w14:solidFill>
          </w14:textFill>
        </w:rPr>
        <w:t>GLZC2026-G3-990258-GLSZ</w:t>
      </w:r>
    </w:p>
    <w:p w14:paraId="3DDD9370">
      <w:pPr>
        <w:spacing w:line="380" w:lineRule="exact"/>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项目名称：</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中国共产党桂林市委员会党校物业服务采购  </w:t>
      </w:r>
    </w:p>
    <w:bookmarkEnd w:id="8"/>
    <w:p w14:paraId="723EF561">
      <w:pPr>
        <w:spacing w:line="380" w:lineRule="exact"/>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预算金额：</w:t>
      </w:r>
      <w:r>
        <w:rPr>
          <w:rFonts w:hint="eastAsia" w:ascii="宋体" w:hAnsi="宋体" w:eastAsia="宋体" w:cs="宋体"/>
          <w:color w:val="000000" w:themeColor="text1"/>
          <w:sz w:val="24"/>
          <w:highlight w:val="none"/>
          <w:lang w:eastAsia="zh-CN"/>
          <w14:textFill>
            <w14:solidFill>
              <w14:schemeClr w14:val="tx1"/>
            </w14:solidFill>
          </w14:textFill>
        </w:rPr>
        <w:t>本项目</w:t>
      </w:r>
      <w:r>
        <w:rPr>
          <w:rFonts w:hint="eastAsia" w:ascii="宋体" w:hAnsi="宋体" w:eastAsia="宋体" w:cs="宋体"/>
          <w:color w:val="000000" w:themeColor="text1"/>
          <w:sz w:val="24"/>
          <w:highlight w:val="none"/>
          <w14:textFill>
            <w14:solidFill>
              <w14:schemeClr w14:val="tx1"/>
            </w14:solidFill>
          </w14:textFill>
        </w:rPr>
        <w:t>两年总</w:t>
      </w:r>
      <w:r>
        <w:rPr>
          <w:rFonts w:hint="eastAsia" w:ascii="宋体" w:hAnsi="宋体" w:eastAsia="宋体" w:cs="宋体"/>
          <w:color w:val="000000" w:themeColor="text1"/>
          <w:sz w:val="24"/>
          <w:highlight w:val="none"/>
          <w:lang w:eastAsia="zh-CN"/>
          <w14:textFill>
            <w14:solidFill>
              <w14:schemeClr w14:val="tx1"/>
            </w14:solidFill>
          </w14:textFill>
        </w:rPr>
        <w:t>预算金额为人民币伍佰柒拾万元整（¥5700000.00元）。</w:t>
      </w:r>
    </w:p>
    <w:p w14:paraId="69BE3A88">
      <w:p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采购需求：</w:t>
      </w:r>
    </w:p>
    <w:tbl>
      <w:tblPr>
        <w:tblStyle w:val="32"/>
        <w:tblpPr w:leftFromText="180" w:rightFromText="180" w:vertAnchor="text" w:horzAnchor="page" w:tblpX="1192" w:tblpY="172"/>
        <w:tblOverlap w:val="never"/>
        <w:tblW w:w="94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78"/>
        <w:gridCol w:w="872"/>
        <w:gridCol w:w="748"/>
        <w:gridCol w:w="3457"/>
      </w:tblGrid>
      <w:tr w14:paraId="7044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80" w:type="dxa"/>
            <w:tcBorders>
              <w:top w:val="single" w:color="auto" w:sz="4" w:space="0"/>
              <w:left w:val="single" w:color="auto" w:sz="4" w:space="0"/>
              <w:bottom w:val="single" w:color="auto" w:sz="4" w:space="0"/>
              <w:right w:val="single" w:color="auto" w:sz="4" w:space="0"/>
            </w:tcBorders>
            <w:noWrap w:val="0"/>
            <w:vAlign w:val="center"/>
          </w:tcPr>
          <w:p w14:paraId="49867B47">
            <w:pPr>
              <w:spacing w:line="3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项号</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4AD2EFCB">
            <w:pPr>
              <w:spacing w:line="3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服务名称</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799B985F">
            <w:pPr>
              <w:spacing w:line="3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数量</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30D053E">
            <w:pPr>
              <w:spacing w:line="3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5E13DC80">
            <w:pPr>
              <w:spacing w:line="380" w:lineRule="exact"/>
              <w:ind w:firstLine="7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项目要求及</w:t>
            </w:r>
            <w:r>
              <w:rPr>
                <w:rFonts w:hint="eastAsia" w:ascii="宋体" w:hAnsi="宋体" w:eastAsia="宋体" w:cs="宋体"/>
                <w:color w:val="000000" w:themeColor="text1"/>
                <w:sz w:val="24"/>
                <w:szCs w:val="24"/>
                <w:highlight w:val="none"/>
                <w:lang w:eastAsia="zh-CN"/>
                <w14:textFill>
                  <w14:solidFill>
                    <w14:schemeClr w14:val="tx1"/>
                  </w14:solidFill>
                </w14:textFill>
              </w:rPr>
              <w:t>服务</w:t>
            </w:r>
            <w:r>
              <w:rPr>
                <w:rFonts w:hint="eastAsia" w:ascii="宋体" w:hAnsi="宋体" w:eastAsia="宋体" w:cs="宋体"/>
                <w:color w:val="000000" w:themeColor="text1"/>
                <w:sz w:val="24"/>
                <w:szCs w:val="24"/>
                <w:highlight w:val="none"/>
                <w14:textFill>
                  <w14:solidFill>
                    <w14:schemeClr w14:val="tx1"/>
                  </w14:solidFill>
                </w14:textFill>
              </w:rPr>
              <w:t>需求</w:t>
            </w:r>
          </w:p>
        </w:tc>
      </w:tr>
      <w:tr w14:paraId="6DE8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880" w:type="dxa"/>
            <w:tcBorders>
              <w:top w:val="single" w:color="auto" w:sz="4" w:space="0"/>
              <w:left w:val="single" w:color="auto" w:sz="4" w:space="0"/>
              <w:bottom w:val="single" w:color="auto" w:sz="4" w:space="0"/>
              <w:right w:val="single" w:color="auto" w:sz="4" w:space="0"/>
            </w:tcBorders>
            <w:noWrap w:val="0"/>
            <w:vAlign w:val="center"/>
          </w:tcPr>
          <w:p w14:paraId="7217E4BA">
            <w:pPr>
              <w:spacing w:line="3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1B8E8199">
            <w:pPr>
              <w:spacing w:line="380" w:lineRule="exact"/>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中国共产党桂林市委员会党校物业服务采购</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2D93BD8">
            <w:pPr>
              <w:spacing w:line="3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highlight w:val="none"/>
                <w:lang w:val="en-US" w:eastAsia="zh-CN" w:bidi="ar"/>
                <w14:textFill>
                  <w14:solidFill>
                    <w14:schemeClr w14:val="tx1"/>
                  </w14:solidFill>
                </w14:textFill>
              </w:rPr>
              <w:t>1</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D1A8BD5">
            <w:pPr>
              <w:spacing w:line="380" w:lineRule="exact"/>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项</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2DD8FC00">
            <w:pPr>
              <w:spacing w:line="380" w:lineRule="exact"/>
              <w:ind w:firstLine="96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详见招标文件</w:t>
            </w:r>
          </w:p>
        </w:tc>
      </w:tr>
    </w:tbl>
    <w:p w14:paraId="25E333E9">
      <w:p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bookmarkStart w:id="9" w:name="_Toc28359003"/>
      <w:bookmarkStart w:id="10" w:name="_Toc35393791"/>
      <w:bookmarkStart w:id="11" w:name="_Toc35393622"/>
      <w:bookmarkStart w:id="12" w:name="_Toc28359080"/>
      <w:r>
        <w:rPr>
          <w:rFonts w:hint="eastAsia" w:ascii="宋体" w:hAnsi="宋体" w:eastAsia="宋体" w:cs="宋体"/>
          <w:color w:val="000000" w:themeColor="text1"/>
          <w:sz w:val="24"/>
          <w:highlight w:val="none"/>
          <w14:textFill>
            <w14:solidFill>
              <w14:schemeClr w14:val="tx1"/>
            </w14:solidFill>
          </w14:textFill>
        </w:rPr>
        <w:t>采购需求的详细内容，详见招标文件。</w:t>
      </w:r>
    </w:p>
    <w:p w14:paraId="3A36D5EA">
      <w:pPr>
        <w:spacing w:line="380" w:lineRule="exact"/>
        <w:ind w:firstLine="48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合同履行期限：自合同签订之日起至中标人承诺</w:t>
      </w:r>
      <w:r>
        <w:rPr>
          <w:rFonts w:hint="eastAsia" w:ascii="宋体" w:hAnsi="宋体" w:eastAsia="宋体" w:cs="宋体"/>
          <w:color w:val="000000" w:themeColor="text1"/>
          <w:sz w:val="24"/>
          <w:highlight w:val="none"/>
          <w:lang w:val="en-US" w:eastAsia="zh-CN"/>
          <w14:textFill>
            <w14:solidFill>
              <w14:schemeClr w14:val="tx1"/>
            </w14:solidFill>
          </w14:textFill>
        </w:rPr>
        <w:t>服务期</w:t>
      </w:r>
      <w:r>
        <w:rPr>
          <w:rFonts w:hint="eastAsia" w:ascii="宋体" w:hAnsi="宋体" w:eastAsia="宋体" w:cs="宋体"/>
          <w:color w:val="000000" w:themeColor="text1"/>
          <w:sz w:val="24"/>
          <w:highlight w:val="none"/>
          <w14:textFill>
            <w14:solidFill>
              <w14:schemeClr w14:val="tx1"/>
            </w14:solidFill>
          </w14:textFill>
        </w:rPr>
        <w:t>满。</w:t>
      </w:r>
    </w:p>
    <w:p w14:paraId="055D74B6">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二、申请人的资格要求：</w:t>
      </w:r>
      <w:bookmarkEnd w:id="9"/>
      <w:bookmarkEnd w:id="10"/>
      <w:bookmarkEnd w:id="11"/>
      <w:bookmarkEnd w:id="12"/>
    </w:p>
    <w:p w14:paraId="47FAF190">
      <w:p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1.满足《中华人民共和国政府采购法》第二十二条规定；</w:t>
      </w:r>
    </w:p>
    <w:p w14:paraId="3BA51F9A">
      <w:p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2.对在“信用中国”网站（www.creditchina.gov.cn）、中国政府采购网（www.ccgp.gov.cn）等渠道列入失信被执行人、重大税收违法失信主体</w:t>
      </w:r>
      <w:r>
        <w:rPr>
          <w:rFonts w:hint="eastAsia" w:ascii="宋体" w:hAnsi="宋体" w:eastAsia="宋体" w:cs="宋体"/>
          <w:color w:val="000000" w:themeColor="text1"/>
          <w:sz w:val="24"/>
          <w:highlight w:val="none"/>
          <w:lang w:eastAsia="zh-CN"/>
          <w14:textFill>
            <w14:solidFill>
              <w14:schemeClr w14:val="tx1"/>
            </w14:solidFill>
          </w14:textFill>
        </w:rPr>
        <w:t>名单</w:t>
      </w:r>
      <w:r>
        <w:rPr>
          <w:rFonts w:hint="eastAsia" w:ascii="宋体" w:hAnsi="宋体" w:eastAsia="宋体" w:cs="宋体"/>
          <w:color w:val="000000" w:themeColor="text1"/>
          <w:sz w:val="24"/>
          <w:highlight w:val="none"/>
          <w14:textFill>
            <w14:solidFill>
              <w14:schemeClr w14:val="tx1"/>
            </w14:solidFill>
          </w14:textFill>
        </w:rPr>
        <w:t>、政府采购严重违法失信行为记录名单及其他不符合《中华人民共和国政府采购法》第二十二条规定条件的供应商，不得参与政府采购活动。</w:t>
      </w:r>
    </w:p>
    <w:p w14:paraId="598DC5C4">
      <w:pPr>
        <w:spacing w:line="380" w:lineRule="exact"/>
        <w:ind w:firstLine="480"/>
        <w:rPr>
          <w:rFonts w:hint="eastAsia" w:ascii="宋体" w:hAnsi="宋体" w:eastAsia="宋体" w:cs="宋体"/>
          <w:color w:val="000000" w:themeColor="text1"/>
          <w:highlight w:val="none"/>
          <w14:textFill>
            <w14:solidFill>
              <w14:schemeClr w14:val="tx1"/>
            </w14:solidFill>
          </w14:textFill>
        </w:rPr>
      </w:pPr>
      <w:bookmarkStart w:id="13" w:name="_Toc28359004"/>
      <w:bookmarkStart w:id="14" w:name="_Toc28359081"/>
      <w:r>
        <w:rPr>
          <w:rFonts w:hint="eastAsia" w:ascii="宋体" w:hAnsi="宋体" w:eastAsia="宋体" w:cs="宋体"/>
          <w:color w:val="000000" w:themeColor="text1"/>
          <w:sz w:val="24"/>
          <w:highlight w:val="none"/>
          <w14:textFill>
            <w14:solidFill>
              <w14:schemeClr w14:val="tx1"/>
            </w14:solidFill>
          </w14:textFill>
        </w:rPr>
        <w:t>3.落实政府采购政策需满足的资格要求：</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本项目专门面向中小企业，所属行业为物业管理。</w:t>
      </w:r>
    </w:p>
    <w:p w14:paraId="08F8BD67">
      <w:pPr>
        <w:spacing w:line="380" w:lineRule="exact"/>
        <w:ind w:firstLine="480"/>
        <w:rPr>
          <w:rFonts w:hint="eastAsia" w:ascii="宋体" w:hAnsi="宋体" w:eastAsia="宋体" w:cs="宋体"/>
          <w:i/>
          <w:iCs/>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4.本项目的特定资格要求：无。</w:t>
      </w:r>
    </w:p>
    <w:p w14:paraId="7F9387F9">
      <w:pPr>
        <w:rPr>
          <w:rFonts w:hint="eastAsia" w:ascii="宋体" w:hAnsi="宋体" w:eastAsia="宋体" w:cs="宋体"/>
          <w:color w:val="000000" w:themeColor="text1"/>
          <w:sz w:val="24"/>
          <w:highlight w:val="none"/>
          <w14:textFill>
            <w14:solidFill>
              <w14:schemeClr w14:val="tx1"/>
            </w14:solidFill>
          </w14:textFill>
        </w:rPr>
      </w:pPr>
      <w:bookmarkStart w:id="15" w:name="_Toc35393792"/>
      <w:bookmarkStart w:id="16" w:name="_Toc35393623"/>
      <w:r>
        <w:rPr>
          <w:rFonts w:hint="eastAsia" w:ascii="宋体" w:hAnsi="宋体" w:eastAsia="宋体" w:cs="宋体"/>
          <w:color w:val="000000" w:themeColor="text1"/>
          <w:sz w:val="24"/>
          <w:highlight w:val="none"/>
          <w14:textFill>
            <w14:solidFill>
              <w14:schemeClr w14:val="tx1"/>
            </w14:solidFill>
          </w14:textFill>
        </w:rPr>
        <w:t>三、获取招标文件</w:t>
      </w:r>
      <w:bookmarkEnd w:id="13"/>
      <w:bookmarkEnd w:id="14"/>
      <w:bookmarkEnd w:id="15"/>
      <w:bookmarkEnd w:id="16"/>
    </w:p>
    <w:p w14:paraId="3C5BEB9F">
      <w:p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1.招标文件获取时间：</w:t>
      </w:r>
      <w:r>
        <w:rPr>
          <w:rFonts w:hint="eastAsia" w:ascii="宋体" w:hAnsi="宋体" w:eastAsia="宋体" w:cs="宋体"/>
          <w:color w:val="000000" w:themeColor="text1"/>
          <w:sz w:val="24"/>
          <w:highlight w:val="none"/>
          <w:lang w:eastAsia="zh-CN"/>
          <w14:textFill>
            <w14:solidFill>
              <w14:schemeClr w14:val="tx1"/>
            </w14:solidFill>
          </w14:textFill>
        </w:rPr>
        <w:t>202</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lang w:eastAsia="zh-CN"/>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lang w:eastAsia="zh-CN"/>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15</w:t>
      </w:r>
      <w:r>
        <w:rPr>
          <w:rFonts w:hint="eastAsia" w:ascii="宋体" w:hAnsi="宋体" w:eastAsia="宋体" w:cs="宋体"/>
          <w:color w:val="000000" w:themeColor="text1"/>
          <w:sz w:val="24"/>
          <w:highlight w:val="none"/>
          <w:lang w:eastAsia="zh-CN"/>
          <w14:textFill>
            <w14:solidFill>
              <w14:schemeClr w14:val="tx1"/>
            </w14:solidFill>
          </w14:textFill>
        </w:rPr>
        <w:t>日</w:t>
      </w:r>
      <w:r>
        <w:rPr>
          <w:rFonts w:hint="eastAsia" w:ascii="宋体" w:hAnsi="宋体" w:eastAsia="宋体" w:cs="宋体"/>
          <w:color w:val="000000" w:themeColor="text1"/>
          <w:sz w:val="24"/>
          <w:highlight w:val="none"/>
          <w14:textFill>
            <w14:solidFill>
              <w14:schemeClr w14:val="tx1"/>
            </w14:solidFill>
          </w14:textFill>
        </w:rPr>
        <w:t>至</w:t>
      </w:r>
      <w:r>
        <w:rPr>
          <w:rFonts w:hint="eastAsia" w:ascii="宋体" w:hAnsi="宋体" w:cs="宋体"/>
          <w:color w:val="000000" w:themeColor="text1"/>
          <w:sz w:val="24"/>
          <w:highlight w:val="none"/>
          <w:lang w:eastAsia="zh-CN"/>
          <w14:textFill>
            <w14:solidFill>
              <w14:schemeClr w14:val="tx1"/>
            </w14:solidFill>
          </w14:textFill>
        </w:rPr>
        <w:t>2026年8月6日</w:t>
      </w:r>
      <w:r>
        <w:rPr>
          <w:rFonts w:hint="eastAsia" w:ascii="宋体" w:hAnsi="宋体" w:eastAsia="宋体" w:cs="宋体"/>
          <w:color w:val="000000" w:themeColor="text1"/>
          <w:sz w:val="24"/>
          <w:highlight w:val="none"/>
          <w:lang w:val="en-US" w:eastAsia="zh-CN"/>
          <w14:textFill>
            <w14:solidFill>
              <w14:schemeClr w14:val="tx1"/>
            </w14:solidFill>
          </w14:textFill>
        </w:rPr>
        <w:t>9</w:t>
      </w:r>
      <w:r>
        <w:rPr>
          <w:rFonts w:hint="eastAsia" w:ascii="宋体" w:hAnsi="宋体" w:eastAsia="宋体" w:cs="宋体"/>
          <w:color w:val="000000" w:themeColor="text1"/>
          <w:sz w:val="24"/>
          <w:highlight w:val="none"/>
          <w14:textFill>
            <w14:solidFill>
              <w14:schemeClr w14:val="tx1"/>
            </w14:solidFill>
          </w14:textFill>
        </w:rPr>
        <w:t>时</w:t>
      </w:r>
      <w:r>
        <w:rPr>
          <w:rFonts w:hint="eastAsia" w:ascii="宋体" w:hAnsi="宋体" w:eastAsia="宋体" w:cs="宋体"/>
          <w:color w:val="000000" w:themeColor="text1"/>
          <w:sz w:val="24"/>
          <w:highlight w:val="none"/>
          <w:lang w:val="en-US" w:eastAsia="zh-CN"/>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分。</w:t>
      </w:r>
    </w:p>
    <w:p w14:paraId="0BBB188D">
      <w:pPr>
        <w:spacing w:line="380" w:lineRule="exact"/>
        <w:ind w:firstLine="48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2.地点及方式：潜在供应商请</w:t>
      </w:r>
      <w:r>
        <w:rPr>
          <w:rFonts w:hint="eastAsia" w:ascii="宋体" w:hAnsi="宋体" w:eastAsia="宋体" w:cs="宋体"/>
          <w:color w:val="000000" w:themeColor="text1"/>
          <w:sz w:val="24"/>
          <w:highlight w:val="none"/>
          <w:lang w:eastAsia="zh-CN"/>
          <w14:textFill>
            <w14:solidFill>
              <w14:schemeClr w14:val="tx1"/>
            </w14:solidFill>
          </w14:textFill>
        </w:rPr>
        <w:t>登录“广西政府采购云平台”获取该招标文件。</w:t>
      </w:r>
    </w:p>
    <w:p w14:paraId="280B01DF">
      <w:p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3.招标文件售价：本项目招标文件不收取费用。</w:t>
      </w:r>
    </w:p>
    <w:p w14:paraId="1E73B32D">
      <w:pPr>
        <w:rPr>
          <w:rFonts w:hint="eastAsia" w:ascii="宋体" w:hAnsi="宋体" w:eastAsia="宋体" w:cs="宋体"/>
          <w:color w:val="000000" w:themeColor="text1"/>
          <w:sz w:val="24"/>
          <w:highlight w:val="none"/>
          <w14:textFill>
            <w14:solidFill>
              <w14:schemeClr w14:val="tx1"/>
            </w14:solidFill>
          </w14:textFill>
        </w:rPr>
      </w:pPr>
      <w:bookmarkStart w:id="17" w:name="_Toc28359005"/>
      <w:bookmarkStart w:id="18" w:name="_Toc28359082"/>
      <w:bookmarkStart w:id="19" w:name="_Toc35393624"/>
      <w:bookmarkStart w:id="20" w:name="_Toc35393793"/>
      <w:r>
        <w:rPr>
          <w:rFonts w:hint="eastAsia" w:ascii="宋体" w:hAnsi="宋体" w:eastAsia="宋体" w:cs="宋体"/>
          <w:color w:val="000000" w:themeColor="text1"/>
          <w:sz w:val="24"/>
          <w:highlight w:val="none"/>
          <w14:textFill>
            <w14:solidFill>
              <w14:schemeClr w14:val="tx1"/>
            </w14:solidFill>
          </w14:textFill>
        </w:rPr>
        <w:t>四、提交投标文件</w:t>
      </w:r>
      <w:bookmarkEnd w:id="17"/>
      <w:bookmarkEnd w:id="18"/>
      <w:r>
        <w:rPr>
          <w:rFonts w:hint="eastAsia" w:ascii="宋体" w:hAnsi="宋体" w:eastAsia="宋体" w:cs="宋体"/>
          <w:color w:val="000000" w:themeColor="text1"/>
          <w:sz w:val="24"/>
          <w:highlight w:val="none"/>
          <w14:textFill>
            <w14:solidFill>
              <w14:schemeClr w14:val="tx1"/>
            </w14:solidFill>
          </w14:textFill>
        </w:rPr>
        <w:t>截止时间、开标时间和地点</w:t>
      </w:r>
      <w:bookmarkEnd w:id="19"/>
      <w:bookmarkEnd w:id="20"/>
    </w:p>
    <w:p w14:paraId="3AE06EBD">
      <w:pPr>
        <w:spacing w:line="380" w:lineRule="exact"/>
        <w:ind w:firstLine="48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截止时间：</w:t>
      </w:r>
      <w:r>
        <w:rPr>
          <w:rFonts w:hint="eastAsia" w:ascii="宋体" w:hAnsi="宋体" w:cs="宋体"/>
          <w:color w:val="000000" w:themeColor="text1"/>
          <w:sz w:val="24"/>
          <w:highlight w:val="none"/>
          <w:u w:val="single"/>
          <w:lang w:eastAsia="zh-CN"/>
          <w14:textFill>
            <w14:solidFill>
              <w14:schemeClr w14:val="tx1"/>
            </w14:solidFill>
          </w14:textFill>
        </w:rPr>
        <w:t>2026年8月6日</w:t>
      </w:r>
      <w:r>
        <w:rPr>
          <w:rFonts w:hint="eastAsia" w:ascii="宋体" w:hAnsi="宋体" w:eastAsia="宋体" w:cs="宋体"/>
          <w:color w:val="000000" w:themeColor="text1"/>
          <w:sz w:val="24"/>
          <w:highlight w:val="none"/>
          <w:u w:val="single"/>
          <w:lang w:val="en-US" w:eastAsia="zh-CN"/>
          <w14:textFill>
            <w14:solidFill>
              <w14:schemeClr w14:val="tx1"/>
            </w14:solidFill>
          </w14:textFill>
        </w:rPr>
        <w:t>9</w:t>
      </w:r>
      <w:r>
        <w:rPr>
          <w:rFonts w:hint="eastAsia" w:ascii="宋体" w:hAnsi="宋体" w:eastAsia="宋体" w:cs="宋体"/>
          <w:color w:val="000000" w:themeColor="text1"/>
          <w:sz w:val="24"/>
          <w:highlight w:val="none"/>
          <w:u w:val="single"/>
          <w14:textFill>
            <w14:solidFill>
              <w14:schemeClr w14:val="tx1"/>
            </w14:solidFill>
          </w14:textFill>
        </w:rPr>
        <w:t>时</w:t>
      </w:r>
      <w:r>
        <w:rPr>
          <w:rFonts w:hint="eastAsia" w:ascii="宋体" w:hAnsi="宋体" w:eastAsia="宋体" w:cs="宋体"/>
          <w:color w:val="000000" w:themeColor="text1"/>
          <w:sz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highlight w:val="none"/>
          <w:u w:val="single"/>
          <w14:textFill>
            <w14:solidFill>
              <w14:schemeClr w14:val="tx1"/>
            </w14:solidFill>
          </w14:textFill>
        </w:rPr>
        <w:t>分</w:t>
      </w:r>
      <w:r>
        <w:rPr>
          <w:rFonts w:hint="eastAsia" w:ascii="宋体" w:hAnsi="宋体" w:eastAsia="宋体" w:cs="宋体"/>
          <w:bCs/>
          <w:color w:val="000000" w:themeColor="text1"/>
          <w:sz w:val="24"/>
          <w:highlight w:val="none"/>
          <w14:textFill>
            <w14:solidFill>
              <w14:schemeClr w14:val="tx1"/>
            </w14:solidFill>
          </w14:textFill>
        </w:rPr>
        <w:t>（北京时间）。</w:t>
      </w:r>
    </w:p>
    <w:p w14:paraId="2C8B51D6">
      <w:pPr>
        <w:spacing w:line="380" w:lineRule="exact"/>
        <w:ind w:firstLine="4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点：通过</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实行在线投标。</w:t>
      </w:r>
    </w:p>
    <w:p w14:paraId="1C154A0B">
      <w:pPr>
        <w:spacing w:line="380" w:lineRule="exact"/>
        <w:ind w:firstLine="480"/>
        <w:rPr>
          <w:rFonts w:hint="eastAsia" w:ascii="宋体" w:hAnsi="宋体" w:eastAsia="宋体" w:cs="宋体"/>
          <w:bCs/>
          <w:color w:val="000000" w:themeColor="text1"/>
          <w:sz w:val="24"/>
          <w:highlight w:val="none"/>
          <w:u w:val="singl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开标时间：</w:t>
      </w:r>
      <w:r>
        <w:rPr>
          <w:rFonts w:hint="eastAsia" w:ascii="宋体" w:hAnsi="宋体" w:cs="宋体"/>
          <w:color w:val="000000" w:themeColor="text1"/>
          <w:sz w:val="24"/>
          <w:highlight w:val="none"/>
          <w:u w:val="single"/>
          <w:lang w:eastAsia="zh-CN"/>
          <w14:textFill>
            <w14:solidFill>
              <w14:schemeClr w14:val="tx1"/>
            </w14:solidFill>
          </w14:textFill>
        </w:rPr>
        <w:t>2026年8月6日</w:t>
      </w:r>
      <w:r>
        <w:rPr>
          <w:rFonts w:hint="eastAsia" w:ascii="宋体" w:hAnsi="宋体" w:eastAsia="宋体" w:cs="宋体"/>
          <w:color w:val="000000" w:themeColor="text1"/>
          <w:sz w:val="24"/>
          <w:highlight w:val="none"/>
          <w:u w:val="single"/>
          <w:lang w:val="en-US" w:eastAsia="zh-CN"/>
          <w14:textFill>
            <w14:solidFill>
              <w14:schemeClr w14:val="tx1"/>
            </w14:solidFill>
          </w14:textFill>
        </w:rPr>
        <w:t>9</w:t>
      </w:r>
      <w:r>
        <w:rPr>
          <w:rFonts w:hint="eastAsia" w:ascii="宋体" w:hAnsi="宋体" w:eastAsia="宋体" w:cs="宋体"/>
          <w:color w:val="000000" w:themeColor="text1"/>
          <w:sz w:val="24"/>
          <w:highlight w:val="none"/>
          <w:u w:val="single"/>
          <w14:textFill>
            <w14:solidFill>
              <w14:schemeClr w14:val="tx1"/>
            </w14:solidFill>
          </w14:textFill>
        </w:rPr>
        <w:t>时</w:t>
      </w:r>
      <w:r>
        <w:rPr>
          <w:rFonts w:hint="eastAsia" w:ascii="宋体" w:hAnsi="宋体" w:eastAsia="宋体" w:cs="宋体"/>
          <w:color w:val="000000" w:themeColor="text1"/>
          <w:sz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highlight w:val="none"/>
          <w:u w:val="single"/>
          <w14:textFill>
            <w14:solidFill>
              <w14:schemeClr w14:val="tx1"/>
            </w14:solidFill>
          </w14:textFill>
        </w:rPr>
        <w:t>分</w:t>
      </w:r>
      <w:r>
        <w:rPr>
          <w:rFonts w:hint="eastAsia" w:ascii="宋体" w:hAnsi="宋体" w:eastAsia="宋体" w:cs="宋体"/>
          <w:bCs/>
          <w:color w:val="000000" w:themeColor="text1"/>
          <w:sz w:val="24"/>
          <w:highlight w:val="none"/>
          <w14:textFill>
            <w14:solidFill>
              <w14:schemeClr w14:val="tx1"/>
            </w14:solidFill>
          </w14:textFill>
        </w:rPr>
        <w:t>（北京时间）</w:t>
      </w:r>
      <w:r>
        <w:rPr>
          <w:rFonts w:hint="eastAsia" w:ascii="宋体" w:hAnsi="宋体" w:eastAsia="宋体" w:cs="宋体"/>
          <w:color w:val="000000" w:themeColor="text1"/>
          <w:sz w:val="24"/>
          <w:highlight w:val="none"/>
          <w14:textFill>
            <w14:solidFill>
              <w14:schemeClr w14:val="tx1"/>
            </w14:solidFill>
          </w14:textFill>
        </w:rPr>
        <w:t>截标后。</w:t>
      </w:r>
    </w:p>
    <w:p w14:paraId="4492767C">
      <w:pPr>
        <w:spacing w:line="380" w:lineRule="exact"/>
        <w:ind w:firstLine="4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点：</w:t>
      </w:r>
      <w:r>
        <w:rPr>
          <w:rFonts w:hint="eastAsia" w:ascii="宋体" w:hAnsi="宋体" w:eastAsia="宋体" w:cs="宋体"/>
          <w:color w:val="000000" w:themeColor="text1"/>
          <w:sz w:val="24"/>
          <w:highlight w:val="none"/>
          <w:lang w:eastAsia="zh-CN"/>
          <w14:textFill>
            <w14:solidFill>
              <w14:schemeClr w14:val="tx1"/>
            </w14:solidFill>
          </w14:textFill>
        </w:rPr>
        <w:t>桂林市公共资源交易中心</w:t>
      </w:r>
      <w:r>
        <w:rPr>
          <w:rFonts w:hint="eastAsia" w:ascii="宋体" w:hAnsi="宋体" w:cs="宋体"/>
          <w:color w:val="000000" w:themeColor="text1"/>
          <w:sz w:val="24"/>
          <w:highlight w:val="none"/>
          <w:u w:val="single"/>
          <w:lang w:val="en-US" w:eastAsia="zh-CN"/>
          <w14:textFill>
            <w14:solidFill>
              <w14:schemeClr w14:val="tx1"/>
            </w14:solidFill>
          </w14:textFill>
        </w:rPr>
        <w:t>9号开标室（5号仓）</w:t>
      </w:r>
      <w:r>
        <w:rPr>
          <w:rFonts w:hint="eastAsia" w:ascii="宋体" w:hAnsi="宋体" w:eastAsia="宋体" w:cs="宋体"/>
          <w:color w:val="000000" w:themeColor="text1"/>
          <w:sz w:val="24"/>
          <w:highlight w:val="none"/>
          <w14:textFill>
            <w14:solidFill>
              <w14:schemeClr w14:val="tx1"/>
            </w14:solidFill>
          </w14:textFill>
        </w:rPr>
        <w:t>通过</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实行在线解密开启。</w:t>
      </w:r>
    </w:p>
    <w:p w14:paraId="089BB54F">
      <w:pPr>
        <w:rPr>
          <w:rFonts w:hint="eastAsia" w:ascii="宋体" w:hAnsi="宋体" w:eastAsia="宋体" w:cs="宋体"/>
          <w:color w:val="000000" w:themeColor="text1"/>
          <w:sz w:val="24"/>
          <w:highlight w:val="none"/>
          <w14:textFill>
            <w14:solidFill>
              <w14:schemeClr w14:val="tx1"/>
            </w14:solidFill>
          </w14:textFill>
        </w:rPr>
      </w:pPr>
      <w:bookmarkStart w:id="21" w:name="_Toc28359007"/>
      <w:bookmarkStart w:id="22" w:name="_Toc28359084"/>
      <w:bookmarkStart w:id="23" w:name="_Toc35393625"/>
      <w:bookmarkStart w:id="24" w:name="_Toc35393794"/>
      <w:r>
        <w:rPr>
          <w:rFonts w:hint="eastAsia" w:ascii="宋体" w:hAnsi="宋体" w:eastAsia="宋体" w:cs="宋体"/>
          <w:color w:val="000000" w:themeColor="text1"/>
          <w:sz w:val="24"/>
          <w:highlight w:val="none"/>
          <w14:textFill>
            <w14:solidFill>
              <w14:schemeClr w14:val="tx1"/>
            </w14:solidFill>
          </w14:textFill>
        </w:rPr>
        <w:t>五、公告期限</w:t>
      </w:r>
      <w:bookmarkEnd w:id="21"/>
      <w:bookmarkEnd w:id="22"/>
      <w:bookmarkEnd w:id="23"/>
      <w:bookmarkEnd w:id="24"/>
    </w:p>
    <w:p w14:paraId="5F3A4EE9">
      <w:p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自本公告发布之日起5个工作日。</w:t>
      </w:r>
    </w:p>
    <w:p w14:paraId="58D721D8">
      <w:pPr>
        <w:rPr>
          <w:rFonts w:hint="eastAsia" w:ascii="宋体" w:hAnsi="宋体" w:eastAsia="宋体" w:cs="宋体"/>
          <w:color w:val="000000" w:themeColor="text1"/>
          <w:sz w:val="24"/>
          <w:highlight w:val="none"/>
          <w14:textFill>
            <w14:solidFill>
              <w14:schemeClr w14:val="tx1"/>
            </w14:solidFill>
          </w14:textFill>
        </w:rPr>
      </w:pPr>
      <w:bookmarkStart w:id="25" w:name="_Toc35393626"/>
      <w:bookmarkStart w:id="26" w:name="_Toc35393795"/>
      <w:r>
        <w:rPr>
          <w:rFonts w:hint="eastAsia" w:ascii="宋体" w:hAnsi="宋体" w:eastAsia="宋体" w:cs="宋体"/>
          <w:color w:val="000000" w:themeColor="text1"/>
          <w:sz w:val="24"/>
          <w:highlight w:val="none"/>
          <w14:textFill>
            <w14:solidFill>
              <w14:schemeClr w14:val="tx1"/>
            </w14:solidFill>
          </w14:textFill>
        </w:rPr>
        <w:t>六、其他补充事宜</w:t>
      </w:r>
      <w:bookmarkEnd w:id="25"/>
      <w:bookmarkEnd w:id="26"/>
    </w:p>
    <w:p w14:paraId="0EB82A29">
      <w:pPr>
        <w:numPr>
          <w:ilvl w:val="0"/>
          <w:numId w:val="2"/>
        </w:numPr>
        <w:spacing w:line="380" w:lineRule="exact"/>
        <w:ind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本项目无需缴纳投标保证金。</w:t>
      </w:r>
    </w:p>
    <w:p w14:paraId="7FF1F1B5">
      <w:pPr>
        <w:numPr>
          <w:ilvl w:val="0"/>
          <w:numId w:val="2"/>
        </w:num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6E7913F5">
      <w:pPr>
        <w:numPr>
          <w:ilvl w:val="0"/>
          <w:numId w:val="2"/>
        </w:numPr>
        <w:spacing w:line="38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本项目信息发布媒体：</w:t>
      </w:r>
    </w:p>
    <w:p w14:paraId="32660C4C">
      <w:pPr>
        <w:spacing w:line="380" w:lineRule="exact"/>
        <w:ind w:firstLine="48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桂林市政府采购网（zfcg.czj.guilin.gov.cn）</w:t>
      </w:r>
    </w:p>
    <w:p w14:paraId="7AA55A36">
      <w:pPr>
        <w:spacing w:line="380" w:lineRule="exact"/>
        <w:ind w:firstLine="4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广西壮族自治区政府采购网（www.ccgp-guangxi.gov.cn）</w:t>
      </w:r>
    </w:p>
    <w:p w14:paraId="0931E3E6">
      <w:pPr>
        <w:pStyle w:val="212"/>
        <w:ind w:firstLine="48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中国政府采购网（www.ccgp.gov.cn）</w:t>
      </w:r>
    </w:p>
    <w:p w14:paraId="616BAFC6">
      <w:pPr>
        <w:pStyle w:val="254"/>
        <w:numPr>
          <w:ilvl w:val="0"/>
          <w:numId w:val="2"/>
        </w:numPr>
        <w:ind w:firstLine="4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投标文件解密时间：截标时间后</w:t>
      </w:r>
      <w:r>
        <w:rPr>
          <w:rFonts w:hint="eastAsia" w:ascii="宋体" w:hAnsi="宋体" w:eastAsia="宋体" w:cs="宋体"/>
          <w:color w:val="000000" w:themeColor="text1"/>
          <w:highlight w:val="none"/>
          <w:u w:val="single"/>
          <w14:textFill>
            <w14:solidFill>
              <w14:schemeClr w14:val="tx1"/>
            </w14:solidFill>
          </w14:textFill>
        </w:rPr>
        <w:t>30</w:t>
      </w:r>
      <w:r>
        <w:rPr>
          <w:rFonts w:hint="eastAsia" w:ascii="宋体" w:hAnsi="宋体" w:eastAsia="宋体" w:cs="宋体"/>
          <w:color w:val="000000" w:themeColor="text1"/>
          <w:highlight w:val="none"/>
          <w14:textFill>
            <w14:solidFill>
              <w14:schemeClr w14:val="tx1"/>
            </w14:solidFill>
          </w14:textFill>
        </w:rPr>
        <w:t>分钟内（</w:t>
      </w:r>
      <w:r>
        <w:rPr>
          <w:rFonts w:hint="eastAsia" w:ascii="宋体" w:hAnsi="宋体" w:eastAsia="宋体" w:cs="宋体"/>
          <w:color w:val="000000" w:themeColor="text1"/>
          <w:highlight w:val="none"/>
          <w:u w:val="single"/>
          <w:lang w:eastAsia="zh-CN"/>
          <w14:textFill>
            <w14:solidFill>
              <w14:schemeClr w14:val="tx1"/>
            </w14:solidFill>
          </w14:textFill>
        </w:rPr>
        <w:t>2026年8月6日</w:t>
      </w:r>
      <w:r>
        <w:rPr>
          <w:rFonts w:hint="eastAsia" w:ascii="宋体" w:hAnsi="宋体" w:eastAsia="宋体" w:cs="宋体"/>
          <w:color w:val="000000" w:themeColor="text1"/>
          <w:highlight w:val="none"/>
          <w:u w:val="single"/>
          <w14:textFill>
            <w14:solidFill>
              <w14:schemeClr w14:val="tx1"/>
            </w14:solidFill>
          </w14:textFill>
        </w:rPr>
        <w:t>上午</w:t>
      </w:r>
      <w:r>
        <w:rPr>
          <w:rFonts w:hint="eastAsia" w:ascii="宋体" w:hAnsi="宋体" w:eastAsia="宋体" w:cs="宋体"/>
          <w:color w:val="000000" w:themeColor="text1"/>
          <w:highlight w:val="none"/>
          <w:u w:val="single"/>
          <w:lang w:val="en-US" w:eastAsia="zh-CN"/>
          <w14:textFill>
            <w14:solidFill>
              <w14:schemeClr w14:val="tx1"/>
            </w14:solidFill>
          </w14:textFill>
        </w:rPr>
        <w:t>9</w:t>
      </w:r>
      <w:r>
        <w:rPr>
          <w:rFonts w:hint="eastAsia" w:ascii="宋体" w:hAnsi="宋体" w:eastAsia="宋体" w:cs="宋体"/>
          <w:color w:val="000000" w:themeColor="text1"/>
          <w:highlight w:val="none"/>
          <w:u w:val="single"/>
          <w14:textFill>
            <w14:solidFill>
              <w14:schemeClr w14:val="tx1"/>
            </w14:solidFill>
          </w14:textFill>
        </w:rPr>
        <w:t>时</w:t>
      </w:r>
      <w:r>
        <w:rPr>
          <w:rFonts w:hint="eastAsia" w:ascii="宋体" w:hAnsi="宋体" w:eastAsia="宋体" w:cs="宋体"/>
          <w:color w:val="000000" w:themeColor="text1"/>
          <w:highlight w:val="none"/>
          <w:u w:val="single"/>
          <w:lang w:val="en-US" w:eastAsia="zh-CN"/>
          <w14:textFill>
            <w14:solidFill>
              <w14:schemeClr w14:val="tx1"/>
            </w14:solidFill>
          </w14:textFill>
        </w:rPr>
        <w:t>30</w:t>
      </w:r>
      <w:r>
        <w:rPr>
          <w:rFonts w:hint="eastAsia" w:ascii="宋体" w:hAnsi="宋体" w:eastAsia="宋体" w:cs="宋体"/>
          <w:color w:val="000000" w:themeColor="text1"/>
          <w:highlight w:val="none"/>
          <w:u w:val="single"/>
          <w14:textFill>
            <w14:solidFill>
              <w14:schemeClr w14:val="tx1"/>
            </w14:solidFill>
          </w14:textFill>
        </w:rPr>
        <w:t>分至</w:t>
      </w:r>
      <w:r>
        <w:rPr>
          <w:rFonts w:hint="eastAsia" w:ascii="宋体" w:hAnsi="宋体" w:eastAsia="宋体" w:cs="宋体"/>
          <w:color w:val="000000" w:themeColor="text1"/>
          <w:highlight w:val="none"/>
          <w:u w:val="single"/>
          <w:lang w:val="en-US" w:eastAsia="zh-CN"/>
          <w14:textFill>
            <w14:solidFill>
              <w14:schemeClr w14:val="tx1"/>
            </w14:solidFill>
          </w14:textFill>
        </w:rPr>
        <w:t>10</w:t>
      </w:r>
      <w:r>
        <w:rPr>
          <w:rFonts w:hint="eastAsia" w:ascii="宋体" w:hAnsi="宋体" w:eastAsia="宋体" w:cs="宋体"/>
          <w:color w:val="000000" w:themeColor="text1"/>
          <w:highlight w:val="none"/>
          <w:u w:val="single"/>
          <w14:textFill>
            <w14:solidFill>
              <w14:schemeClr w14:val="tx1"/>
            </w14:solidFill>
          </w14:textFill>
        </w:rPr>
        <w:t>时</w:t>
      </w:r>
      <w:r>
        <w:rPr>
          <w:rFonts w:hint="eastAsia" w:ascii="宋体" w:hAnsi="宋体" w:eastAsia="宋体" w:cs="宋体"/>
          <w:color w:val="000000" w:themeColor="text1"/>
          <w:highlight w:val="none"/>
          <w:u w:val="single"/>
          <w:lang w:val="en-US" w:eastAsia="zh-CN"/>
          <w14:textFill>
            <w14:solidFill>
              <w14:schemeClr w14:val="tx1"/>
            </w14:solidFill>
          </w14:textFill>
        </w:rPr>
        <w:t>00</w:t>
      </w:r>
      <w:r>
        <w:rPr>
          <w:rFonts w:hint="eastAsia" w:ascii="宋体" w:hAnsi="宋体" w:eastAsia="宋体" w:cs="宋体"/>
          <w:color w:val="000000" w:themeColor="text1"/>
          <w:highlight w:val="none"/>
          <w:u w:val="singl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)投标人可以登录</w:t>
      </w:r>
      <w:r>
        <w:rPr>
          <w:rFonts w:hint="eastAsia" w:ascii="宋体" w:hAnsi="宋体" w:eastAsia="宋体" w:cs="宋体"/>
          <w:color w:val="000000" w:themeColor="text1"/>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，用“项目采购-开标评标”功能进行解密投标文件。</w:t>
      </w:r>
    </w:p>
    <w:p w14:paraId="177E3B30">
      <w:pPr>
        <w:pStyle w:val="254"/>
        <w:numPr>
          <w:ilvl w:val="0"/>
          <w:numId w:val="0"/>
        </w:numPr>
        <w:ind w:firstLine="482"/>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084A172D">
      <w:pPr>
        <w:pStyle w:val="25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七、在线投标（电子投标）说明</w:t>
      </w:r>
    </w:p>
    <w:p w14:paraId="64A7A21B">
      <w:pPr>
        <w:spacing w:line="34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1.本项目通过</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实行在线投标响应（电子投标），投标人需要先安装“</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电子交易客户端”，并按照本招标文件和</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的要求，通过“</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电子交易客户端”编制并加密投标文件。投标人未按规定编制并加密的投标文件，</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将予以拒收。</w:t>
      </w:r>
    </w:p>
    <w:p w14:paraId="63507ECF">
      <w:pPr>
        <w:pStyle w:val="254"/>
        <w:ind w:firstLine="4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电子交易客户端”请自行前往广西政府采购网下载并安装；电子投标具体操作流程参考《政府采购项目电子交易管理操作指南-供应商》；在使用</w:t>
      </w:r>
      <w:r>
        <w:rPr>
          <w:rFonts w:hint="eastAsia" w:ascii="宋体" w:hAnsi="宋体" w:eastAsia="宋体" w:cs="宋体"/>
          <w:color w:val="000000" w:themeColor="text1"/>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投标客户端时，建议使用WIN7及以上操作系统,通过</w:t>
      </w:r>
      <w:r>
        <w:rPr>
          <w:rFonts w:hint="eastAsia" w:ascii="宋体" w:hAnsi="宋体" w:eastAsia="宋体" w:cs="宋体"/>
          <w:color w:val="000000" w:themeColor="text1"/>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参与在线投标时如遇平台技术问题详询</w:t>
      </w:r>
      <w:r>
        <w:rPr>
          <w:rFonts w:hint="eastAsia" w:ascii="宋体" w:hAnsi="宋体" w:eastAsia="宋体" w:cs="宋体"/>
          <w:color w:val="000000" w:themeColor="text1"/>
          <w:highlight w:val="none"/>
          <w:lang w:eastAsia="zh-CN"/>
          <w14:textFill>
            <w14:solidFill>
              <w14:schemeClr w14:val="tx1"/>
            </w14:solidFill>
          </w14:textFill>
        </w:rPr>
        <w:t>95763</w:t>
      </w:r>
      <w:r>
        <w:rPr>
          <w:rFonts w:hint="eastAsia" w:ascii="宋体" w:hAnsi="宋体" w:eastAsia="宋体" w:cs="宋体"/>
          <w:color w:val="000000" w:themeColor="text1"/>
          <w:highlight w:val="none"/>
          <w14:textFill>
            <w14:solidFill>
              <w14:schemeClr w14:val="tx1"/>
            </w14:solidFill>
          </w14:textFill>
        </w:rPr>
        <w:t>。</w:t>
      </w:r>
    </w:p>
    <w:p w14:paraId="33002874">
      <w:pPr>
        <w:spacing w:line="34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2.为确保网上操作合法、有效和安全，投标人应当在投标截止时间前完成在</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的身份认证，确保在电子投标过程中能够对相关数据电子文件进行加密和使用电子签章。使用“</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电子交易客户端”需要提前申领CA数字证书，申领流程请自行前往</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网站进行查阅；</w:t>
      </w:r>
      <w:r>
        <w:rPr>
          <w:rFonts w:hint="eastAsia" w:ascii="宋体" w:hAnsi="宋体" w:eastAsia="宋体" w:cs="宋体"/>
          <w:b/>
          <w:bCs/>
          <w:color w:val="000000" w:themeColor="text1"/>
          <w:sz w:val="24"/>
          <w:highlight w:val="none"/>
          <w14:textFill>
            <w14:solidFill>
              <w14:schemeClr w14:val="tx1"/>
            </w14:solidFill>
          </w14:textFill>
        </w:rPr>
        <w:t>（完成CA数字证书办理预计一周左右，建议供应商获取投标文件后立即办理）</w:t>
      </w:r>
    </w:p>
    <w:p w14:paraId="06D1F574">
      <w:pPr>
        <w:spacing w:line="34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3.投标人应当在投标截止时间前，将生成的“投标文件”上传递交至</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。投标文件递交截止时间前可以撤回电子投标文件。补充或者修改电子投标文件的，应当先行撤回原文件，补充、修改后重新传输递交，投标文件递交截止时间前未完成传输的，视为撤回投标文件。</w:t>
      </w:r>
    </w:p>
    <w:p w14:paraId="6D3833A2">
      <w:pPr>
        <w:pStyle w:val="254"/>
        <w:ind w:firstLine="4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4.本采购项目为</w:t>
      </w:r>
      <w:r>
        <w:rPr>
          <w:rFonts w:hint="eastAsia" w:ascii="宋体" w:hAnsi="宋体" w:eastAsia="宋体" w:cs="宋体"/>
          <w:color w:val="000000" w:themeColor="text1"/>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全流程电子化操作，参与投标的供应商需自备计算机和网络设备（设备需可视频通话和读取</w:t>
      </w:r>
      <w:r>
        <w:rPr>
          <w:rFonts w:hint="eastAsia" w:ascii="宋体" w:hAnsi="宋体" w:eastAsia="宋体" w:cs="宋体"/>
          <w:color w:val="000000" w:themeColor="text1"/>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CA数字证书），确保投标过程顺利进行；因供应商自身设备或网络原因造成的一切后果，由供应商自行承担。</w:t>
      </w:r>
    </w:p>
    <w:p w14:paraId="359CCB9E">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八、对本次招标提出询问，请按以下方式联系。</w:t>
      </w:r>
    </w:p>
    <w:p w14:paraId="2017BE32">
      <w:pPr>
        <w:widowControl/>
        <w:spacing w:line="380" w:lineRule="exact"/>
        <w:ind w:left="0" w:firstLine="42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1.采购人信息</w:t>
      </w:r>
    </w:p>
    <w:p w14:paraId="5575FE4C">
      <w:pPr>
        <w:spacing w:line="380" w:lineRule="exact"/>
        <w:ind w:left="0" w:firstLine="42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名 称：</w:t>
      </w:r>
      <w:r>
        <w:rPr>
          <w:rFonts w:hint="eastAsia" w:ascii="宋体" w:hAnsi="宋体" w:eastAsia="宋体" w:cs="宋体"/>
          <w:color w:val="000000" w:themeColor="text1"/>
          <w:sz w:val="24"/>
          <w:highlight w:val="none"/>
          <w:u w:val="single"/>
          <w:lang w:val="en-US" w:eastAsia="zh-CN"/>
          <w14:textFill>
            <w14:solidFill>
              <w14:schemeClr w14:val="tx1"/>
            </w14:solidFill>
          </w14:textFill>
        </w:rPr>
        <w:t>中国共产党桂林市委员会党校</w:t>
      </w:r>
    </w:p>
    <w:p w14:paraId="0BB339CF">
      <w:pPr>
        <w:spacing w:line="380" w:lineRule="exact"/>
        <w:ind w:left="0" w:leftChars="0" w:firstLine="420" w:firstLineChars="175"/>
        <w:jc w:val="left"/>
        <w:rPr>
          <w:rFonts w:hint="eastAsia" w:ascii="宋体" w:hAnsi="宋体" w:eastAsia="宋体" w:cs="宋体"/>
          <w:color w:val="000000" w:themeColor="text1"/>
          <w:sz w:val="24"/>
          <w:highlight w:val="none"/>
          <w:u w:val="single"/>
          <w:lang w:val="en-US" w:eastAsia="zh-CN"/>
          <w14:textFill>
            <w14:solidFill>
              <w14:schemeClr w14:val="tx1"/>
            </w14:solidFill>
          </w14:textFill>
        </w:rPr>
      </w:pPr>
      <w:bookmarkStart w:id="27" w:name="_Toc28359009"/>
      <w:bookmarkStart w:id="28" w:name="_Toc28359086"/>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u w:val="single"/>
          <w:lang w:eastAsia="zh-CN"/>
          <w14:textFill>
            <w14:solidFill>
              <w14:schemeClr w14:val="tx1"/>
            </w14:solidFill>
          </w14:textFill>
        </w:rPr>
        <w:t>桂林市象山区万福路25号</w:t>
      </w:r>
    </w:p>
    <w:p w14:paraId="0436174A">
      <w:pPr>
        <w:spacing w:line="380" w:lineRule="exact"/>
        <w:ind w:left="0" w:leftChars="0" w:firstLine="420" w:firstLineChars="175"/>
        <w:jc w:val="left"/>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联系方式：</w:t>
      </w:r>
      <w:r>
        <w:rPr>
          <w:rFonts w:hint="eastAsia" w:ascii="宋体" w:hAnsi="宋体" w:eastAsia="宋体" w:cs="宋体"/>
          <w:color w:val="000000" w:themeColor="text1"/>
          <w:sz w:val="24"/>
          <w:highlight w:val="none"/>
          <w:u w:val="single"/>
          <w14:textFill>
            <w14:solidFill>
              <w14:schemeClr w14:val="tx1"/>
            </w14:solidFill>
          </w14:textFill>
        </w:rPr>
        <w:t>粟赪13517531888</w:t>
      </w:r>
    </w:p>
    <w:p w14:paraId="77D85342">
      <w:pPr>
        <w:spacing w:line="380" w:lineRule="exact"/>
        <w:ind w:left="0" w:firstLine="42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2.采购代理机构信息</w:t>
      </w:r>
      <w:bookmarkEnd w:id="27"/>
      <w:bookmarkEnd w:id="28"/>
    </w:p>
    <w:p w14:paraId="410EEA13">
      <w:pPr>
        <w:spacing w:line="380" w:lineRule="exact"/>
        <w:ind w:left="0" w:firstLine="42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名  称：</w:t>
      </w:r>
      <w:r>
        <w:rPr>
          <w:rFonts w:hint="eastAsia" w:ascii="宋体" w:hAnsi="宋体" w:eastAsia="宋体" w:cs="宋体"/>
          <w:color w:val="000000" w:themeColor="text1"/>
          <w:sz w:val="24"/>
          <w:highlight w:val="none"/>
          <w:u w:val="single"/>
          <w14:textFill>
            <w14:solidFill>
              <w14:schemeClr w14:val="tx1"/>
            </w14:solidFill>
          </w14:textFill>
        </w:rPr>
        <w:t xml:space="preserve"> 桂林市政府集中采购中心　</w:t>
      </w:r>
    </w:p>
    <w:p w14:paraId="524C6B0B">
      <w:pPr>
        <w:spacing w:line="380" w:lineRule="exact"/>
        <w:ind w:left="0"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u w:val="single"/>
          <w14:textFill>
            <w14:solidFill>
              <w14:schemeClr w14:val="tx1"/>
            </w14:solidFill>
          </w14:textFill>
        </w:rPr>
        <w:t xml:space="preserve"> 桂林市临桂区西城中路69号创业大厦西辅楼5楼</w:t>
      </w:r>
    </w:p>
    <w:p w14:paraId="2BF3EC90">
      <w:pPr>
        <w:spacing w:line="380" w:lineRule="exact"/>
        <w:ind w:left="0"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联系方式：</w:t>
      </w:r>
      <w:bookmarkStart w:id="29" w:name="_Toc28359087"/>
      <w:bookmarkStart w:id="30" w:name="_Toc28359010"/>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0773-56251</w:t>
      </w:r>
      <w:r>
        <w:rPr>
          <w:rFonts w:hint="eastAsia" w:ascii="宋体" w:hAnsi="宋体" w:cs="宋体"/>
          <w:color w:val="000000" w:themeColor="text1"/>
          <w:sz w:val="24"/>
          <w:highlight w:val="none"/>
          <w:u w:val="single"/>
          <w:lang w:val="en-US" w:eastAsia="zh-CN"/>
          <w14:textFill>
            <w14:solidFill>
              <w14:schemeClr w14:val="tx1"/>
            </w14:solidFill>
          </w14:textFill>
        </w:rPr>
        <w:t>66</w:t>
      </w:r>
      <w:r>
        <w:rPr>
          <w:rFonts w:hint="eastAsia" w:ascii="宋体" w:hAnsi="宋体" w:eastAsia="宋体" w:cs="宋体"/>
          <w:color w:val="000000" w:themeColor="text1"/>
          <w:sz w:val="24"/>
          <w:highlight w:val="none"/>
          <w:u w:val="single"/>
          <w14:textFill>
            <w14:solidFill>
              <w14:schemeClr w14:val="tx1"/>
            </w14:solidFill>
          </w14:textFill>
        </w:rPr>
        <w:t>　</w:t>
      </w:r>
    </w:p>
    <w:p w14:paraId="4B041879">
      <w:pPr>
        <w:spacing w:line="380" w:lineRule="exact"/>
        <w:ind w:left="0" w:firstLine="42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3.项目联系方式</w:t>
      </w:r>
      <w:bookmarkEnd w:id="29"/>
      <w:bookmarkEnd w:id="30"/>
    </w:p>
    <w:p w14:paraId="5359F03C">
      <w:pPr>
        <w:pStyle w:val="18"/>
        <w:spacing w:line="380" w:lineRule="exact"/>
        <w:ind w:left="0" w:leftChars="0" w:firstLine="420" w:firstLineChars="175"/>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项目联系人：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黄工</w:t>
      </w:r>
    </w:p>
    <w:p w14:paraId="24CC79E1">
      <w:pPr>
        <w:spacing w:line="380" w:lineRule="exact"/>
        <w:ind w:left="0" w:leftChars="0" w:firstLine="420" w:firstLineChars="175"/>
        <w:rPr>
          <w:rFonts w:hint="eastAsia"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　话：</w:t>
      </w:r>
      <w:r>
        <w:rPr>
          <w:rFonts w:hint="eastAsia" w:ascii="宋体" w:hAnsi="宋体" w:eastAsia="宋体" w:cs="宋体"/>
          <w:color w:val="000000" w:themeColor="text1"/>
          <w:sz w:val="24"/>
          <w:highlight w:val="none"/>
          <w:u w:val="single"/>
          <w:lang w:val="en-US" w:eastAsia="zh-CN"/>
          <w14:textFill>
            <w14:solidFill>
              <w14:schemeClr w14:val="tx1"/>
            </w14:solidFill>
          </w14:textFill>
        </w:rPr>
        <w:t>0773-5625166</w:t>
      </w:r>
    </w:p>
    <w:p w14:paraId="4EF2A124">
      <w:pPr>
        <w:spacing w:line="380" w:lineRule="exact"/>
        <w:ind w:left="0"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4.政府采购监督管理机构</w:t>
      </w:r>
    </w:p>
    <w:p w14:paraId="38890937">
      <w:pPr>
        <w:spacing w:line="380" w:lineRule="exact"/>
        <w:ind w:left="0" w:firstLine="42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名 称：</w:t>
      </w:r>
      <w:r>
        <w:rPr>
          <w:rFonts w:hint="eastAsia" w:ascii="宋体" w:hAnsi="宋体" w:eastAsia="宋体" w:cs="宋体"/>
          <w:color w:val="000000" w:themeColor="text1"/>
          <w:sz w:val="24"/>
          <w:highlight w:val="none"/>
          <w:u w:val="single"/>
          <w:lang w:val="en-US" w:eastAsia="zh-CN"/>
          <w14:textFill>
            <w14:solidFill>
              <w14:schemeClr w14:val="tx1"/>
            </w14:solidFill>
          </w14:textFill>
        </w:rPr>
        <w:t>桂林市财政局</w:t>
      </w:r>
    </w:p>
    <w:p w14:paraId="61D9495B">
      <w:pPr>
        <w:spacing w:line="380" w:lineRule="exact"/>
        <w:ind w:left="0" w:firstLine="42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联系方式：</w:t>
      </w:r>
      <w:r>
        <w:rPr>
          <w:rFonts w:hint="eastAsia" w:ascii="宋体" w:hAnsi="宋体" w:eastAsia="宋体" w:cs="宋体"/>
          <w:color w:val="000000" w:themeColor="text1"/>
          <w:sz w:val="24"/>
          <w:highlight w:val="none"/>
          <w:u w:val="single"/>
          <w:lang w:val="en-US" w:eastAsia="zh-CN"/>
          <w14:textFill>
            <w14:solidFill>
              <w14:schemeClr w14:val="tx1"/>
            </w14:solidFill>
          </w14:textFill>
        </w:rPr>
        <w:t>0773-2862142</w:t>
      </w:r>
    </w:p>
    <w:p w14:paraId="07E58094">
      <w:pPr>
        <w:spacing w:line="380" w:lineRule="exact"/>
        <w:ind w:firstLine="720"/>
        <w:rPr>
          <w:rFonts w:hint="eastAsia" w:ascii="宋体" w:hAnsi="宋体" w:eastAsia="宋体" w:cs="宋体"/>
          <w:color w:val="000000" w:themeColor="text1"/>
          <w:sz w:val="24"/>
          <w:highlight w:val="none"/>
          <w:lang w:val="en-US" w:eastAsia="zh-CN"/>
          <w14:textFill>
            <w14:solidFill>
              <w14:schemeClr w14:val="tx1"/>
            </w14:solidFill>
          </w14:textFill>
        </w:rPr>
      </w:pPr>
    </w:p>
    <w:p w14:paraId="0C93DC6C">
      <w:pPr>
        <w:jc w:val="center"/>
        <w:outlineLvl w:val="0"/>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br w:type="page" w:clear="all"/>
      </w:r>
      <w:bookmarkStart w:id="31" w:name="_Toc26858"/>
      <w:bookmarkStart w:id="32" w:name="_Toc23983"/>
      <w:bookmarkStart w:id="33" w:name="_Toc12553"/>
      <w:r>
        <w:rPr>
          <w:rFonts w:hint="eastAsia" w:ascii="宋体" w:hAnsi="宋体" w:eastAsia="宋体" w:cs="宋体"/>
          <w:b/>
          <w:bCs/>
          <w:color w:val="000000" w:themeColor="text1"/>
          <w:sz w:val="32"/>
          <w:szCs w:val="32"/>
          <w:highlight w:val="none"/>
          <w14:textFill>
            <w14:solidFill>
              <w14:schemeClr w14:val="tx1"/>
            </w14:solidFill>
          </w14:textFill>
        </w:rPr>
        <w:t>第二章  投标人须知</w:t>
      </w:r>
      <w:bookmarkEnd w:id="31"/>
      <w:bookmarkEnd w:id="32"/>
      <w:bookmarkEnd w:id="33"/>
    </w:p>
    <w:p w14:paraId="3183D07A">
      <w:pPr>
        <w:tabs>
          <w:tab w:val="left" w:pos="1065"/>
          <w:tab w:val="center" w:pos="4411"/>
        </w:tabs>
        <w:spacing w:line="440" w:lineRule="exact"/>
        <w:jc w:val="center"/>
        <w:outlineLvl w:val="1"/>
        <w:rPr>
          <w:rFonts w:hint="eastAsia" w:ascii="宋体" w:hAnsi="宋体" w:eastAsia="宋体" w:cs="宋体"/>
          <w:b/>
          <w:color w:val="000000" w:themeColor="text1"/>
          <w:sz w:val="24"/>
          <w:highlight w:val="none"/>
          <w14:textFill>
            <w14:solidFill>
              <w14:schemeClr w14:val="tx1"/>
            </w14:solidFill>
          </w14:textFill>
        </w:rPr>
      </w:pPr>
      <w:bookmarkStart w:id="34" w:name="_Toc14222"/>
      <w:bookmarkStart w:id="35" w:name="_Toc14750"/>
      <w:bookmarkStart w:id="36" w:name="_Toc12675"/>
      <w:bookmarkStart w:id="37" w:name="_Toc495841753"/>
      <w:r>
        <w:rPr>
          <w:rFonts w:hint="eastAsia" w:ascii="宋体" w:hAnsi="宋体" w:eastAsia="宋体" w:cs="宋体"/>
          <w:b/>
          <w:color w:val="000000" w:themeColor="text1"/>
          <w:sz w:val="24"/>
          <w:highlight w:val="none"/>
          <w14:textFill>
            <w14:solidFill>
              <w14:schemeClr w14:val="tx1"/>
            </w14:solidFill>
          </w14:textFill>
        </w:rPr>
        <w:t>投标人须知前附表</w:t>
      </w:r>
      <w:bookmarkEnd w:id="34"/>
      <w:bookmarkEnd w:id="35"/>
      <w:bookmarkEnd w:id="36"/>
      <w:bookmarkEnd w:id="37"/>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1A95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276E9AB">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E890901">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39F6E89">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1D0525C">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内容、要求</w:t>
            </w:r>
          </w:p>
        </w:tc>
      </w:tr>
      <w:tr w14:paraId="2904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6B400FA">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2482E81">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9236CD7">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37BB287">
            <w:pPr>
              <w:spacing w:line="3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中国共产党桂林市委员会党校物业服务采购  </w:t>
            </w:r>
            <w:r>
              <w:rPr>
                <w:rFonts w:hint="eastAsia" w:ascii="宋体" w:hAnsi="宋体" w:eastAsia="宋体" w:cs="宋体"/>
                <w:color w:val="000000" w:themeColor="text1"/>
                <w:highlight w:val="none"/>
                <w14:textFill>
                  <w14:solidFill>
                    <w14:schemeClr w14:val="tx1"/>
                  </w14:solidFill>
                </w14:textFill>
              </w:rPr>
              <w:t xml:space="preserve">   </w:t>
            </w:r>
          </w:p>
          <w:p w14:paraId="2E0251E4">
            <w:pPr>
              <w:spacing w:line="3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项目编号：</w:t>
            </w:r>
            <w:r>
              <w:rPr>
                <w:rFonts w:hint="eastAsia" w:ascii="宋体" w:hAnsi="宋体" w:eastAsia="宋体" w:cs="宋体"/>
                <w:color w:val="000000" w:themeColor="text1"/>
                <w:highlight w:val="none"/>
                <w:lang w:eastAsia="zh-CN"/>
                <w14:textFill>
                  <w14:solidFill>
                    <w14:schemeClr w14:val="tx1"/>
                  </w14:solidFill>
                </w14:textFill>
              </w:rPr>
              <w:t>GLZC2026-G3-990258-GLSZ</w:t>
            </w:r>
          </w:p>
        </w:tc>
      </w:tr>
      <w:tr w14:paraId="3BF5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E875B5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9BDE51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652ACE7">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D82BC36">
            <w:pPr>
              <w:spacing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5.1符合《中华人民共和国政府采购法》第二十二条和《政府采购法实施条例》第十八条规定，并且在国内注册或登记、具备合法资格，提供本次采购货物或服务的供应商。</w:t>
            </w:r>
          </w:p>
          <w:p w14:paraId="24BC8AF2">
            <w:pPr>
              <w:spacing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 本项目不接受联合体投标。</w:t>
            </w:r>
          </w:p>
          <w:p w14:paraId="2BDC1C96">
            <w:pPr>
              <w:spacing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5.3对在“信用中国”网站（www.creditchina.gov.cn）、中国政府采购网（www.ccgp.gov.cn）等渠道列入失信被执行人、</w:t>
            </w:r>
            <w:r>
              <w:rPr>
                <w:rFonts w:hint="eastAsia" w:ascii="宋体" w:hAnsi="宋体" w:eastAsia="宋体" w:cs="宋体"/>
                <w:color w:val="000000" w:themeColor="text1"/>
                <w:highlight w:val="none"/>
                <w:lang w:eastAsia="zh-CN"/>
                <w14:textFill>
                  <w14:solidFill>
                    <w14:schemeClr w14:val="tx1"/>
                  </w14:solidFill>
                </w14:textFill>
              </w:rPr>
              <w:t>重大税收违法失信主体名单</w:t>
            </w:r>
            <w:r>
              <w:rPr>
                <w:rFonts w:hint="eastAsia" w:ascii="宋体" w:hAnsi="宋体" w:eastAsia="宋体" w:cs="宋体"/>
                <w:color w:val="000000" w:themeColor="text1"/>
                <w:highlight w:val="none"/>
                <w14:textFill>
                  <w14:solidFill>
                    <w14:schemeClr w14:val="tx1"/>
                  </w14:solidFill>
                </w14:textFill>
              </w:rPr>
              <w:t>、政府采购严重违法失信行为记录名单及其他不符合《中华人民共和国政府采购法》第二十二条规定条件的供应商，不得参与政府采购活动。</w:t>
            </w:r>
          </w:p>
          <w:p w14:paraId="2E0B81C0">
            <w:pPr>
              <w:pStyle w:val="254"/>
              <w:rPr>
                <w:rFonts w:hint="eastAsia" w:ascii="宋体" w:hAnsi="宋体" w:eastAsia="宋体" w:cs="宋体"/>
                <w:b/>
                <w:bCs/>
                <w:color w:val="000000" w:themeColor="text1"/>
                <w:sz w:val="21"/>
                <w:highlight w:val="none"/>
                <w14:textFill>
                  <w14:solidFill>
                    <w14:schemeClr w14:val="tx1"/>
                  </w14:solidFill>
                </w14:textFill>
              </w:rPr>
            </w:pPr>
            <w:r>
              <w:rPr>
                <w:rFonts w:hint="eastAsia" w:ascii="宋体" w:hAnsi="宋体" w:eastAsia="宋体" w:cs="宋体"/>
                <w:b/>
                <w:bCs/>
                <w:color w:val="000000" w:themeColor="text1"/>
                <w:sz w:val="21"/>
                <w:highlight w:val="none"/>
                <w14:textFill>
                  <w14:solidFill>
                    <w14:schemeClr w14:val="tx1"/>
                  </w14:solidFill>
                </w14:textFill>
              </w:rPr>
              <w:t>5.4 落实政府采购政策需满足的资格要求：</w:t>
            </w:r>
            <w:r>
              <w:rPr>
                <w:rFonts w:hint="eastAsia" w:ascii="宋体" w:hAnsi="宋体" w:eastAsia="宋体" w:cs="宋体"/>
                <w:b/>
                <w:bCs/>
                <w:color w:val="000000" w:themeColor="text1"/>
                <w:sz w:val="21"/>
                <w:highlight w:val="none"/>
                <w:lang w:val="en-US" w:eastAsia="zh-CN"/>
                <w14:textFill>
                  <w14:solidFill>
                    <w14:schemeClr w14:val="tx1"/>
                  </w14:solidFill>
                </w14:textFill>
              </w:rPr>
              <w:t>本项目专门面向中小企业，所属行业为物业管理。</w:t>
            </w:r>
          </w:p>
          <w:p w14:paraId="43B7A290">
            <w:pPr>
              <w:pStyle w:val="25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1"/>
                <w:highlight w:val="none"/>
                <w14:textFill>
                  <w14:solidFill>
                    <w14:schemeClr w14:val="tx1"/>
                  </w14:solidFill>
                </w14:textFill>
              </w:rPr>
              <w:t>5.5 本项目的特定资格要求：无。</w:t>
            </w:r>
          </w:p>
        </w:tc>
      </w:tr>
      <w:tr w14:paraId="4D7D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1431A3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017FC4F">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92D1681">
            <w:pPr>
              <w:spacing w:line="400" w:lineRule="exact"/>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E4A0575">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不论投标结果如何，投标人均应自行承担所有与投标有关的全部费用。</w:t>
            </w:r>
          </w:p>
        </w:tc>
      </w:tr>
      <w:tr w14:paraId="38D4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527E3BF">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8BF65BD">
            <w:pPr>
              <w:spacing w:line="360" w:lineRule="exact"/>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position w:val="-2"/>
                <w:szCs w:val="21"/>
                <w:highlight w:val="none"/>
                <w14:textFill>
                  <w14:solidFill>
                    <w14:schemeClr w14:val="tx1"/>
                  </w14:solidFill>
                </w14:textFill>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B88DD95">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6E978CB">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15.1投标报价应按招标文件中第六章“投标文件（格式）”填写，本项目采购预算金额：</w:t>
            </w:r>
            <w:r>
              <w:rPr>
                <w:rFonts w:hint="eastAsia" w:ascii="宋体" w:hAnsi="宋体" w:eastAsia="宋体" w:cs="宋体"/>
                <w:color w:val="000000" w:themeColor="text1"/>
                <w:szCs w:val="21"/>
                <w:highlight w:val="none"/>
                <w:u w:val="single"/>
                <w:lang w:eastAsia="zh-CN"/>
                <w14:textFill>
                  <w14:solidFill>
                    <w14:schemeClr w14:val="tx1"/>
                  </w14:solidFill>
                </w14:textFill>
              </w:rPr>
              <w:t>本项目</w:t>
            </w:r>
            <w:r>
              <w:rPr>
                <w:rFonts w:hint="eastAsia" w:ascii="宋体" w:hAnsi="宋体" w:eastAsia="宋体" w:cs="宋体"/>
                <w:color w:val="000000" w:themeColor="text1"/>
                <w:szCs w:val="21"/>
                <w:highlight w:val="none"/>
                <w:u w:val="single"/>
                <w:lang w:val="en-US" w:eastAsia="zh-CN"/>
                <w14:textFill>
                  <w14:solidFill>
                    <w14:schemeClr w14:val="tx1"/>
                  </w14:solidFill>
                </w14:textFill>
              </w:rPr>
              <w:t>两年总</w:t>
            </w:r>
            <w:r>
              <w:rPr>
                <w:rFonts w:hint="eastAsia" w:ascii="宋体" w:hAnsi="宋体" w:eastAsia="宋体" w:cs="宋体"/>
                <w:color w:val="000000" w:themeColor="text1"/>
                <w:szCs w:val="21"/>
                <w:highlight w:val="none"/>
                <w:u w:val="single"/>
                <w:lang w:eastAsia="zh-CN"/>
                <w14:textFill>
                  <w14:solidFill>
                    <w14:schemeClr w14:val="tx1"/>
                  </w14:solidFill>
                </w14:textFill>
              </w:rPr>
              <w:t>预算金额为人民币伍佰柒拾万元整（¥5700000.00元）。</w:t>
            </w:r>
            <w:r>
              <w:rPr>
                <w:rFonts w:hint="eastAsia" w:ascii="宋体" w:hAnsi="宋体" w:eastAsia="宋体" w:cs="宋体"/>
                <w:color w:val="000000" w:themeColor="text1"/>
                <w:szCs w:val="21"/>
                <w:highlight w:val="none"/>
                <w14:textFill>
                  <w14:solidFill>
                    <w14:schemeClr w14:val="tx1"/>
                  </w14:solidFill>
                </w14:textFill>
              </w:rPr>
              <w:t>投标报价超过采购预算金额的，投标文件按无效处理。</w:t>
            </w:r>
          </w:p>
          <w:p w14:paraId="58B41DC4">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15.2投标人必须就“</w:t>
            </w:r>
            <w:r>
              <w:rPr>
                <w:rFonts w:hint="eastAsia" w:ascii="宋体" w:hAnsi="宋体" w:eastAsia="宋体" w:cs="宋体"/>
                <w:color w:val="000000" w:themeColor="text1"/>
                <w:szCs w:val="21"/>
                <w:highlight w:val="none"/>
                <w:lang w:eastAsia="zh-CN"/>
                <w14:textFill>
                  <w14:solidFill>
                    <w14:schemeClr w14:val="tx1"/>
                  </w14:solidFill>
                </w14:textFill>
              </w:rPr>
              <w:t>采购需求</w:t>
            </w:r>
            <w:r>
              <w:rPr>
                <w:rFonts w:hint="eastAsia" w:ascii="宋体" w:hAnsi="宋体" w:eastAsia="宋体" w:cs="宋体"/>
                <w:color w:val="000000" w:themeColor="text1"/>
                <w:szCs w:val="21"/>
                <w:highlight w:val="none"/>
                <w14:textFill>
                  <w14:solidFill>
                    <w14:schemeClr w14:val="tx1"/>
                  </w14:solidFill>
                </w14:textFill>
              </w:rPr>
              <w:t>”中所投分标内容作完整唯一报价，否则，其投标将被拒绝；投标文件只允许有一个报价，有选择的或有条件的报价将不予接受。</w:t>
            </w:r>
          </w:p>
        </w:tc>
      </w:tr>
      <w:tr w14:paraId="37F7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E14B124">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A0821D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68EA314">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1D4A734">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投标截止时间之日起90天。</w:t>
            </w:r>
          </w:p>
        </w:tc>
      </w:tr>
      <w:tr w14:paraId="13AE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D902D07">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42C11D6">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06DD79C">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32BF36D6">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本项目无需缴纳投标保证金</w:t>
            </w:r>
            <w:r>
              <w:rPr>
                <w:rFonts w:hint="eastAsia" w:ascii="宋体" w:hAnsi="宋体" w:eastAsia="宋体" w:cs="宋体"/>
                <w:color w:val="000000" w:themeColor="text1"/>
                <w:szCs w:val="21"/>
                <w:highlight w:val="none"/>
                <w14:textFill>
                  <w14:solidFill>
                    <w14:schemeClr w14:val="tx1"/>
                  </w14:solidFill>
                </w14:textFill>
              </w:rPr>
              <w:t>。</w:t>
            </w:r>
          </w:p>
        </w:tc>
      </w:tr>
      <w:tr w14:paraId="7F17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EB47FD6">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443D6D3">
            <w:pPr>
              <w:spacing w:line="400" w:lineRule="exact"/>
              <w:jc w:val="center"/>
              <w:rPr>
                <w:rFonts w:hint="eastAsia" w:ascii="宋体" w:hAnsi="宋体" w:eastAsia="宋体" w:cs="宋体"/>
                <w:color w:val="000000" w:themeColor="text1"/>
                <w:position w:val="1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9A5FF15">
            <w:pPr>
              <w:spacing w:line="400" w:lineRule="exact"/>
              <w:jc w:val="center"/>
              <w:rPr>
                <w:rFonts w:hint="eastAsia" w:ascii="宋体" w:hAnsi="宋体" w:eastAsia="宋体" w:cs="宋体"/>
                <w:color w:val="000000" w:themeColor="text1"/>
                <w:position w:val="1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25791A8">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 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7CB69BD0">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18.2 供应商法人（负责人）或授权代表持有</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个人CA签章的，应在投标文件中涉及到签字的位置使用个人CA签章，没有办理</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个人CA签章的可在投标文件中涉及到签字的位置手写签字</w:t>
            </w:r>
            <w:r>
              <w:rPr>
                <w:rFonts w:hint="eastAsia" w:ascii="宋体" w:hAnsi="宋体" w:eastAsia="宋体" w:cs="宋体"/>
                <w:color w:val="000000" w:themeColor="text1"/>
                <w:szCs w:val="21"/>
                <w:highlight w:val="none"/>
                <w:lang w:eastAsia="zh-CN"/>
                <w14:textFill>
                  <w14:solidFill>
                    <w14:schemeClr w14:val="tx1"/>
                  </w14:solidFill>
                </w14:textFill>
              </w:rPr>
              <w:t>或盖章</w:t>
            </w:r>
            <w:r>
              <w:rPr>
                <w:rFonts w:hint="eastAsia" w:ascii="宋体" w:hAnsi="宋体" w:eastAsia="宋体" w:cs="宋体"/>
                <w:color w:val="000000" w:themeColor="text1"/>
                <w:szCs w:val="21"/>
                <w:highlight w:val="none"/>
                <w14:textFill>
                  <w14:solidFill>
                    <w14:schemeClr w14:val="tx1"/>
                  </w14:solidFill>
                </w14:textFill>
              </w:rPr>
              <w:t xml:space="preserve">后扫描或者拍照做成 PDF 的格式上传即可。 </w:t>
            </w:r>
          </w:p>
          <w:p w14:paraId="1AAEBD52">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18.3 投标文件不得涂改，若有修改错漏处，须法定代表人（负责人）或授权委托人签字（或个人CA签章）。投标文件因字迹潦草或表达不清所引起的后果由供应商负责。</w:t>
            </w:r>
          </w:p>
          <w:p w14:paraId="25236ED6">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18.4评审前准备 </w:t>
            </w:r>
          </w:p>
          <w:p w14:paraId="06853299">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18.4.1本项目实行网上评审，采用电子投标文件；若供应商参与投标，自行承担投标一切费用。 </w:t>
            </w:r>
          </w:p>
          <w:p w14:paraId="1596216D">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18.4.2各供应商在截标前应确保成为</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 xml:space="preserve">正式注册入库供应商，并完成 CA 数字证书申领。因未注册入库、未办理CA数字证书等原因造成无法投标或投标失败等后果由供应商自行承担。 </w:t>
            </w:r>
          </w:p>
          <w:p w14:paraId="1D5A2FD6">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18.4.3供应商将</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电子交易客户端下载、安装完成后，可通过账号密码或 CA 登录客户端进行投标文件制作。客户端请至网站下载专区查看，如有问题可拨打</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 xml:space="preserve">客户服务热线 </w:t>
            </w:r>
            <w:r>
              <w:rPr>
                <w:rFonts w:hint="eastAsia" w:ascii="宋体" w:hAnsi="宋体" w:eastAsia="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进行咨询。</w:t>
            </w:r>
          </w:p>
        </w:tc>
      </w:tr>
      <w:tr w14:paraId="7391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noWrap w:val="0"/>
            <w:vAlign w:val="center"/>
          </w:tcPr>
          <w:p w14:paraId="0CF5AFB2">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D5D2DE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C5C2D36">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A75096A">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19.1 投标文件递交截止时间前可以撤回电子投标文件。补充或者修改电子投标文件的，应当先行撤回原文件，补充、修改后重新传输递交，投标文件递交截止时间前未完成传输的，视为撤回投标文件。</w:t>
            </w:r>
          </w:p>
        </w:tc>
      </w:tr>
      <w:tr w14:paraId="27B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2F27919">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EF520C1">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19A9829">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38F9173">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20.1投标文件递交截止时间：于</w:t>
            </w:r>
            <w:r>
              <w:rPr>
                <w:rFonts w:hint="eastAsia" w:ascii="宋体" w:hAnsi="宋体" w:cs="宋体"/>
                <w:color w:val="000000" w:themeColor="text1"/>
                <w:szCs w:val="21"/>
                <w:highlight w:val="none"/>
                <w:u w:val="single"/>
                <w:lang w:eastAsia="zh-CN"/>
                <w14:textFill>
                  <w14:solidFill>
                    <w14:schemeClr w14:val="tx1"/>
                  </w14:solidFill>
                </w14:textFill>
              </w:rPr>
              <w:t>2026年8月6日</w:t>
            </w:r>
            <w:r>
              <w:rPr>
                <w:rFonts w:hint="eastAsia" w:ascii="宋体" w:hAnsi="宋体" w:eastAsia="宋体" w:cs="宋体"/>
                <w:color w:val="000000" w:themeColor="text1"/>
                <w:szCs w:val="21"/>
                <w:highlight w:val="none"/>
                <w:u w:val="single"/>
                <w14:textFill>
                  <w14:solidFill>
                    <w14:schemeClr w14:val="tx1"/>
                  </w14:solidFill>
                </w14:textFill>
              </w:rPr>
              <w:t>上午</w:t>
            </w:r>
            <w:r>
              <w:rPr>
                <w:rFonts w:hint="eastAsia" w:ascii="宋体" w:hAnsi="宋体" w:eastAsia="宋体" w:cs="宋体"/>
                <w:color w:val="000000" w:themeColor="text1"/>
                <w:szCs w:val="21"/>
                <w:highlight w:val="none"/>
                <w:u w:val="single"/>
                <w:lang w:val="en-US" w:eastAsia="zh-CN"/>
                <w14:textFill>
                  <w14:solidFill>
                    <w14:schemeClr w14:val="tx1"/>
                  </w14:solidFill>
                </w14:textFill>
              </w:rPr>
              <w:t>9</w:t>
            </w:r>
            <w:r>
              <w:rPr>
                <w:rFonts w:hint="eastAsia" w:ascii="宋体" w:hAnsi="宋体" w:eastAsia="宋体" w:cs="宋体"/>
                <w:color w:val="000000" w:themeColor="text1"/>
                <w:szCs w:val="21"/>
                <w:highlight w:val="none"/>
                <w:u w:val="single"/>
                <w14:textFill>
                  <w14:solidFill>
                    <w14:schemeClr w14:val="tx1"/>
                  </w14:solidFill>
                </w14:textFill>
              </w:rPr>
              <w:t>时</w:t>
            </w:r>
            <w:r>
              <w:rPr>
                <w:rFonts w:hint="eastAsia" w:ascii="宋体" w:hAnsi="宋体" w:eastAsia="宋体" w:cs="宋体"/>
                <w:color w:val="000000" w:themeColor="text1"/>
                <w:szCs w:val="21"/>
                <w:highlight w:val="none"/>
                <w:u w:val="single"/>
                <w:lang w:val="en-US" w:eastAsia="zh-CN"/>
                <w14:textFill>
                  <w14:solidFill>
                    <w14:schemeClr w14:val="tx1"/>
                  </w14:solidFill>
                </w14:textFill>
              </w:rPr>
              <w:t>30</w:t>
            </w:r>
            <w:r>
              <w:rPr>
                <w:rFonts w:hint="eastAsia" w:ascii="宋体" w:hAnsi="宋体" w:eastAsia="宋体" w:cs="宋体"/>
                <w:color w:val="000000" w:themeColor="text1"/>
                <w:szCs w:val="21"/>
                <w:highlight w:val="none"/>
                <w:u w:val="single"/>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之前将电子投标文件上传到</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。应按照本项目招标文件和</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的要求编制、加密传输投标文件。供应商在使用系统进行投标的过程中遇到涉及平台使用的任何问题，可致电</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技术支持热线咨询，联系方式：</w:t>
            </w:r>
            <w:r>
              <w:rPr>
                <w:rFonts w:hint="eastAsia" w:ascii="宋体" w:hAnsi="宋体" w:eastAsia="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w:t>
            </w:r>
          </w:p>
        </w:tc>
      </w:tr>
      <w:tr w14:paraId="6EC6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7D694A6">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721834C">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F258E03">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F5ECC79">
            <w:pPr>
              <w:spacing w:line="36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w:t>
            </w:r>
            <w:r>
              <w:rPr>
                <w:rFonts w:hint="eastAsia" w:ascii="宋体" w:hAnsi="宋体" w:eastAsia="宋体" w:cs="宋体"/>
                <w:color w:val="000000" w:themeColor="text1"/>
                <w:highlight w:val="none"/>
                <w14:textFill>
                  <w14:solidFill>
                    <w14:schemeClr w14:val="tx1"/>
                  </w14:solidFill>
                </w14:textFill>
              </w:rPr>
              <w:t>投标文件解密时间：截标时间后</w:t>
            </w:r>
            <w:r>
              <w:rPr>
                <w:rFonts w:hint="eastAsia" w:ascii="宋体" w:hAnsi="宋体" w:eastAsia="宋体" w:cs="宋体"/>
                <w:color w:val="000000" w:themeColor="text1"/>
                <w:highlight w:val="none"/>
                <w:u w:val="single"/>
                <w14:textFill>
                  <w14:solidFill>
                    <w14:schemeClr w14:val="tx1"/>
                  </w14:solidFill>
                </w14:textFill>
              </w:rPr>
              <w:t>30</w:t>
            </w:r>
            <w:r>
              <w:rPr>
                <w:rFonts w:hint="eastAsia" w:ascii="宋体" w:hAnsi="宋体" w:eastAsia="宋体" w:cs="宋体"/>
                <w:color w:val="000000" w:themeColor="text1"/>
                <w:highlight w:val="none"/>
                <w14:textFill>
                  <w14:solidFill>
                    <w14:schemeClr w14:val="tx1"/>
                  </w14:solidFill>
                </w14:textFill>
              </w:rPr>
              <w:t>分钟内（</w:t>
            </w:r>
            <w:r>
              <w:rPr>
                <w:rFonts w:hint="eastAsia" w:ascii="宋体" w:hAnsi="宋体" w:cs="宋体"/>
                <w:color w:val="000000" w:themeColor="text1"/>
                <w:highlight w:val="none"/>
                <w:u w:val="single"/>
                <w:lang w:eastAsia="zh-CN"/>
                <w14:textFill>
                  <w14:solidFill>
                    <w14:schemeClr w14:val="tx1"/>
                  </w14:solidFill>
                </w14:textFill>
              </w:rPr>
              <w:t>2026年8月6日</w:t>
            </w:r>
            <w:r>
              <w:rPr>
                <w:rFonts w:hint="eastAsia" w:ascii="宋体" w:hAnsi="宋体" w:eastAsia="宋体" w:cs="宋体"/>
                <w:color w:val="000000" w:themeColor="text1"/>
                <w:highlight w:val="none"/>
                <w:u w:val="single"/>
                <w14:textFill>
                  <w14:solidFill>
                    <w14:schemeClr w14:val="tx1"/>
                  </w14:solidFill>
                </w14:textFill>
              </w:rPr>
              <w:t>上午</w:t>
            </w:r>
            <w:r>
              <w:rPr>
                <w:rFonts w:hint="eastAsia" w:ascii="宋体" w:hAnsi="宋体" w:eastAsia="宋体" w:cs="宋体"/>
                <w:color w:val="000000" w:themeColor="text1"/>
                <w:highlight w:val="none"/>
                <w:u w:val="single"/>
                <w:lang w:val="en-US" w:eastAsia="zh-CN"/>
                <w14:textFill>
                  <w14:solidFill>
                    <w14:schemeClr w14:val="tx1"/>
                  </w14:solidFill>
                </w14:textFill>
              </w:rPr>
              <w:t>9</w:t>
            </w:r>
            <w:r>
              <w:rPr>
                <w:rFonts w:hint="eastAsia" w:ascii="宋体" w:hAnsi="宋体" w:eastAsia="宋体" w:cs="宋体"/>
                <w:color w:val="000000" w:themeColor="text1"/>
                <w:highlight w:val="none"/>
                <w:u w:val="single"/>
                <w14:textFill>
                  <w14:solidFill>
                    <w14:schemeClr w14:val="tx1"/>
                  </w14:solidFill>
                </w14:textFill>
              </w:rPr>
              <w:t>时</w:t>
            </w:r>
            <w:r>
              <w:rPr>
                <w:rFonts w:hint="eastAsia" w:ascii="宋体" w:hAnsi="宋体" w:eastAsia="宋体" w:cs="宋体"/>
                <w:color w:val="000000" w:themeColor="text1"/>
                <w:highlight w:val="none"/>
                <w:u w:val="single"/>
                <w:lang w:val="en-US" w:eastAsia="zh-CN"/>
                <w14:textFill>
                  <w14:solidFill>
                    <w14:schemeClr w14:val="tx1"/>
                  </w14:solidFill>
                </w14:textFill>
              </w:rPr>
              <w:t>30</w:t>
            </w:r>
            <w:r>
              <w:rPr>
                <w:rFonts w:hint="eastAsia" w:ascii="宋体" w:hAnsi="宋体" w:eastAsia="宋体" w:cs="宋体"/>
                <w:color w:val="000000" w:themeColor="text1"/>
                <w:highlight w:val="none"/>
                <w:u w:val="single"/>
                <w14:textFill>
                  <w14:solidFill>
                    <w14:schemeClr w14:val="tx1"/>
                  </w14:solidFill>
                </w14:textFill>
              </w:rPr>
              <w:t>分至</w:t>
            </w:r>
            <w:r>
              <w:rPr>
                <w:rFonts w:hint="eastAsia" w:ascii="宋体" w:hAnsi="宋体" w:eastAsia="宋体" w:cs="宋体"/>
                <w:color w:val="000000" w:themeColor="text1"/>
                <w:highlight w:val="none"/>
                <w:u w:val="single"/>
                <w:lang w:val="en-US" w:eastAsia="zh-CN"/>
                <w14:textFill>
                  <w14:solidFill>
                    <w14:schemeClr w14:val="tx1"/>
                  </w14:solidFill>
                </w14:textFill>
              </w:rPr>
              <w:t>10</w:t>
            </w:r>
            <w:r>
              <w:rPr>
                <w:rFonts w:hint="eastAsia" w:ascii="宋体" w:hAnsi="宋体" w:eastAsia="宋体" w:cs="宋体"/>
                <w:color w:val="000000" w:themeColor="text1"/>
                <w:highlight w:val="none"/>
                <w:u w:val="single"/>
                <w14:textFill>
                  <w14:solidFill>
                    <w14:schemeClr w14:val="tx1"/>
                  </w14:solidFill>
                </w14:textFill>
              </w:rPr>
              <w:t>时</w:t>
            </w:r>
            <w:r>
              <w:rPr>
                <w:rFonts w:hint="eastAsia" w:ascii="宋体" w:hAnsi="宋体" w:eastAsia="宋体" w:cs="宋体"/>
                <w:color w:val="000000" w:themeColor="text1"/>
                <w:highlight w:val="none"/>
                <w:u w:val="single"/>
                <w:lang w:val="en-US" w:eastAsia="zh-CN"/>
                <w14:textFill>
                  <w14:solidFill>
                    <w14:schemeClr w14:val="tx1"/>
                  </w14:solidFill>
                </w14:textFill>
              </w:rPr>
              <w:t>00</w:t>
            </w:r>
            <w:r>
              <w:rPr>
                <w:rFonts w:hint="eastAsia" w:ascii="宋体" w:hAnsi="宋体" w:eastAsia="宋体" w:cs="宋体"/>
                <w:color w:val="000000" w:themeColor="text1"/>
                <w:highlight w:val="none"/>
                <w:u w:val="singl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)投标人可以登录</w:t>
            </w:r>
            <w:r>
              <w:rPr>
                <w:rFonts w:hint="eastAsia" w:ascii="宋体" w:hAnsi="宋体" w:eastAsia="宋体" w:cs="宋体"/>
                <w:color w:val="000000" w:themeColor="text1"/>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，用“项目采购-开标评标”功能进行解密投标文件。</w:t>
            </w:r>
          </w:p>
          <w:p w14:paraId="6B84F12F">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tc>
      </w:tr>
      <w:tr w14:paraId="2CBB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D50FE4C">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509AE0B">
            <w:pPr>
              <w:spacing w:line="360" w:lineRule="exact"/>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C231902">
            <w:pPr>
              <w:spacing w:line="360" w:lineRule="exact"/>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4E4C7EE4">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开标时间：</w:t>
            </w:r>
            <w:r>
              <w:rPr>
                <w:rFonts w:hint="eastAsia" w:ascii="宋体" w:hAnsi="宋体" w:cs="宋体"/>
                <w:color w:val="000000" w:themeColor="text1"/>
                <w:szCs w:val="21"/>
                <w:highlight w:val="none"/>
                <w:lang w:eastAsia="zh-CN"/>
                <w14:textFill>
                  <w14:solidFill>
                    <w14:schemeClr w14:val="tx1"/>
                  </w14:solidFill>
                </w14:textFill>
              </w:rPr>
              <w:t>2026年8月6日</w:t>
            </w:r>
            <w:r>
              <w:rPr>
                <w:rFonts w:hint="eastAsia" w:ascii="宋体" w:hAnsi="宋体" w:eastAsia="宋体" w:cs="宋体"/>
                <w:color w:val="000000" w:themeColor="text1"/>
                <w:szCs w:val="21"/>
                <w:highlight w:val="none"/>
                <w:lang w:val="en-US" w:eastAsia="zh-CN"/>
                <w14:textFill>
                  <w14:solidFill>
                    <w14:schemeClr w14:val="tx1"/>
                  </w14:solidFill>
                </w14:textFill>
              </w:rPr>
              <w:t>9时30</w:t>
            </w:r>
            <w:r>
              <w:rPr>
                <w:rFonts w:hint="eastAsia" w:ascii="宋体" w:hAnsi="宋体" w:eastAsia="宋体" w:cs="宋体"/>
                <w:color w:val="000000" w:themeColor="text1"/>
                <w:szCs w:val="21"/>
                <w:highlight w:val="none"/>
                <w14:textFill>
                  <w14:solidFill>
                    <w14:schemeClr w14:val="tx1"/>
                  </w14:solidFill>
                </w14:textFill>
              </w:rPr>
              <w:t>分（北京时间）截标后。地点：</w:t>
            </w:r>
            <w:r>
              <w:rPr>
                <w:rFonts w:hint="eastAsia" w:ascii="宋体" w:hAnsi="宋体" w:eastAsia="宋体" w:cs="宋体"/>
                <w:color w:val="000000" w:themeColor="text1"/>
                <w:sz w:val="21"/>
                <w:szCs w:val="21"/>
                <w:highlight w:val="none"/>
                <w:lang w:eastAsia="zh-CN"/>
                <w14:textFill>
                  <w14:solidFill>
                    <w14:schemeClr w14:val="tx1"/>
                  </w14:solidFill>
                </w14:textFill>
              </w:rPr>
              <w:t>桂林市公共资源交易中心</w:t>
            </w:r>
            <w:r>
              <w:rPr>
                <w:rFonts w:hint="eastAsia" w:ascii="宋体" w:hAnsi="宋体" w:cs="宋体"/>
                <w:color w:val="000000" w:themeColor="text1"/>
                <w:sz w:val="21"/>
                <w:szCs w:val="21"/>
                <w:highlight w:val="none"/>
                <w:u w:val="single"/>
                <w:lang w:val="en-US" w:eastAsia="zh-CN"/>
                <w14:textFill>
                  <w14:solidFill>
                    <w14:schemeClr w14:val="tx1"/>
                  </w14:solidFill>
                </w14:textFill>
              </w:rPr>
              <w:t>9号开标室（5号仓）</w:t>
            </w:r>
            <w:r>
              <w:rPr>
                <w:rFonts w:hint="eastAsia" w:ascii="宋体" w:hAnsi="宋体" w:eastAsia="宋体" w:cs="宋体"/>
                <w:color w:val="000000" w:themeColor="text1"/>
                <w:sz w:val="21"/>
                <w:szCs w:val="21"/>
                <w:highlight w:val="none"/>
                <w14:textFill>
                  <w14:solidFill>
                    <w14:schemeClr w14:val="tx1"/>
                  </w14:solidFill>
                </w14:textFill>
              </w:rPr>
              <w:t>通过</w:t>
            </w:r>
            <w:r>
              <w:rPr>
                <w:rFonts w:hint="eastAsia" w:ascii="宋体" w:hAnsi="宋体" w:eastAsia="宋体" w:cs="宋体"/>
                <w:color w:val="000000" w:themeColor="text1"/>
                <w:sz w:val="2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1"/>
                <w:szCs w:val="21"/>
                <w:highlight w:val="none"/>
                <w14:textFill>
                  <w14:solidFill>
                    <w14:schemeClr w14:val="tx1"/>
                  </w14:solidFill>
                </w14:textFill>
              </w:rPr>
              <w:t>实行在线解密开启。</w:t>
            </w:r>
          </w:p>
        </w:tc>
      </w:tr>
      <w:tr w14:paraId="5B4B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B6AFAE1">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86424A8">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7C7570A">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8E06400">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评标委员会由采购人代表和有关方面的专家组成，成员人数共</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人，其中采购人代表</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szCs w:val="21"/>
                <w:highlight w:val="none"/>
                <w:lang w:val="en-US" w:eastAsia="zh-CN"/>
                <w14:textFill>
                  <w14:solidFill>
                    <w14:schemeClr w14:val="tx1"/>
                  </w14:solidFill>
                </w14:textFill>
              </w:rPr>
              <w:t>评审</w:t>
            </w:r>
            <w:r>
              <w:rPr>
                <w:rFonts w:hint="eastAsia" w:ascii="宋体" w:hAnsi="宋体" w:eastAsia="宋体" w:cs="宋体"/>
                <w:color w:val="000000" w:themeColor="text1"/>
                <w:szCs w:val="21"/>
                <w:highlight w:val="none"/>
                <w14:textFill>
                  <w14:solidFill>
                    <w14:schemeClr w14:val="tx1"/>
                  </w14:solidFill>
                </w14:textFill>
              </w:rPr>
              <w:t>专家</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人。</w:t>
            </w:r>
          </w:p>
        </w:tc>
      </w:tr>
      <w:tr w14:paraId="3E23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ADBFB91">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4020B66">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B1EB06C">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C238F9B">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综合评分法，具体评标内容及标准详见第四章。</w:t>
            </w:r>
          </w:p>
        </w:tc>
      </w:tr>
      <w:tr w14:paraId="1AF5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93B3C51">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3D08C5A">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D53D7EF">
            <w:pPr>
              <w:tabs>
                <w:tab w:val="left" w:pos="1140"/>
              </w:tabs>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8BDFCF3">
            <w:pPr>
              <w:spacing w:line="3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根据《关于做好政府采购有关信用主体标识码登记及在政府采购活动中查询使用信用记录有关问题的通知》（桂财采〔2016〕37号），由采购代理机构对第一中标候选供应商进行信用查询：</w:t>
            </w:r>
          </w:p>
          <w:p w14:paraId="0489378C">
            <w:pPr>
              <w:spacing w:line="3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⑴查询渠道：“信用中国”网站(www.creditchina.gov.cn)、中国政府采购网(www.ccgp.gov.cn)等；</w:t>
            </w:r>
          </w:p>
          <w:p w14:paraId="0367B026">
            <w:pPr>
              <w:spacing w:line="3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⑵查询时间：中标通知书发出前；</w:t>
            </w:r>
          </w:p>
          <w:p w14:paraId="0D7FE042">
            <w:pPr>
              <w:spacing w:line="3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⑶信用信息查询记录和证据留存方式：在查询网站中直接打印查询记录，打印材料作为采购活动资料保存；</w:t>
            </w:r>
          </w:p>
          <w:p w14:paraId="1BFC347A">
            <w:pPr>
              <w:spacing w:line="3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⑷信用信息使用规则：对在“信用中国”网站(www.creditchina.gov.cn)、中国政府采购网(www.ccgp.gov.cn)等渠道列入失信被执行人、</w:t>
            </w:r>
            <w:r>
              <w:rPr>
                <w:rFonts w:hint="eastAsia" w:ascii="宋体" w:hAnsi="宋体" w:eastAsia="宋体" w:cs="宋体"/>
                <w:color w:val="000000" w:themeColor="text1"/>
                <w:szCs w:val="21"/>
                <w:highlight w:val="none"/>
                <w:lang w:eastAsia="zh-CN"/>
                <w14:textFill>
                  <w14:solidFill>
                    <w14:schemeClr w14:val="tx1"/>
                  </w14:solidFill>
                </w14:textFill>
              </w:rPr>
              <w:t>重大税收违法失信主体名单</w:t>
            </w:r>
            <w:r>
              <w:rPr>
                <w:rFonts w:hint="eastAsia" w:ascii="宋体" w:hAnsi="宋体" w:eastAsia="宋体" w:cs="宋体"/>
                <w:color w:val="000000" w:themeColor="text1"/>
                <w:szCs w:val="21"/>
                <w:highlight w:val="none"/>
                <w14:textFill>
                  <w14:solidFill>
                    <w14:schemeClr w14:val="tx1"/>
                  </w14:solidFill>
                </w14:textFill>
              </w:rPr>
              <w:t>、政府采购严重违法失信行为记录名单及其他不符合《中华人民共和国政府采购法》第二十二条规定条件的供应商，取消其中标候选供应商资格。</w:t>
            </w:r>
          </w:p>
          <w:p w14:paraId="69220C6E">
            <w:pPr>
              <w:spacing w:line="3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1F8B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3ABBC4A">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3372E85">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6918AF2">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BD7F70C">
            <w:pPr>
              <w:tabs>
                <w:tab w:val="left" w:pos="455"/>
              </w:tabs>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33.1采购代理机构于评标结束后两个工作日内将评标报告送交采购人，采购人应当自收到评标报告五个工作日内在评标报告推荐的中标候选供应商中按顺序确定</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；采购代理机构在</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确定之日起两个工作日内在指定媒体上公告中标结果，中标公告期限为一个工作日。</w:t>
            </w:r>
          </w:p>
          <w:p w14:paraId="10D721C8">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33.2</w:t>
            </w:r>
            <w:r>
              <w:rPr>
                <w:rFonts w:hint="eastAsia" w:ascii="宋体" w:hAnsi="宋体" w:eastAsia="宋体" w:cs="宋体"/>
                <w:color w:val="000000" w:themeColor="text1"/>
                <w:szCs w:val="21"/>
                <w:highlight w:val="none"/>
                <w:lang w:eastAsia="zh-CN"/>
                <w14:textFill>
                  <w14:solidFill>
                    <w14:schemeClr w14:val="tx1"/>
                  </w14:solidFill>
                </w14:textFill>
              </w:rPr>
              <w:t>中标公告发布的同时，采购代理机构在线向中标供应商发出电子中标通知书</w:t>
            </w:r>
            <w:r>
              <w:rPr>
                <w:rFonts w:hint="eastAsia" w:ascii="宋体" w:hAnsi="宋体" w:eastAsia="宋体" w:cs="宋体"/>
                <w:color w:val="000000" w:themeColor="text1"/>
                <w:szCs w:val="21"/>
                <w:highlight w:val="none"/>
                <w14:textFill>
                  <w14:solidFill>
                    <w14:schemeClr w14:val="tx1"/>
                  </w14:solidFill>
                </w14:textFill>
              </w:rPr>
              <w:t>。</w:t>
            </w:r>
          </w:p>
        </w:tc>
      </w:tr>
      <w:tr w14:paraId="4F4F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7D581D8">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E0B816E">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41BD5FD">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BDA67E2">
            <w:pPr>
              <w:pStyle w:val="216"/>
              <w:spacing w:line="360" w:lineRule="exac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本项目无需缴纳履约保证金</w:t>
            </w:r>
            <w:r>
              <w:rPr>
                <w:rFonts w:hint="eastAsia" w:ascii="宋体" w:hAnsi="宋体" w:eastAsia="宋体" w:cs="宋体"/>
                <w:color w:val="000000" w:themeColor="text1"/>
                <w:szCs w:val="21"/>
                <w:highlight w:val="none"/>
                <w:lang w:eastAsia="zh-CN"/>
                <w14:textFill>
                  <w14:solidFill>
                    <w14:schemeClr w14:val="tx1"/>
                  </w14:solidFill>
                </w14:textFill>
              </w:rPr>
              <w:t>。</w:t>
            </w:r>
          </w:p>
        </w:tc>
      </w:tr>
      <w:tr w14:paraId="1552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00696E0">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CB538DE">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1A19D53">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9FDC807">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中标通知书发出之日起八个工作日内</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中标人收到中标通知书后，应按规定与采购人在“广西政府采购云平台”上在线签订电子合同。</w:t>
            </w:r>
          </w:p>
        </w:tc>
      </w:tr>
      <w:tr w14:paraId="5209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39302E6">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F39CE4D">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2ECAE7F">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CC17F37">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政府采购合同双方自签订之日起</w:t>
            </w:r>
            <w:r>
              <w:rPr>
                <w:rFonts w:hint="eastAsia" w:ascii="宋体" w:hAnsi="宋体" w:eastAsia="宋体" w:cs="宋体"/>
                <w:color w:val="000000" w:themeColor="text1"/>
                <w:szCs w:val="21"/>
                <w:highlight w:val="none"/>
                <w:lang w:eastAsia="zh-CN"/>
                <w14:textFill>
                  <w14:solidFill>
                    <w14:schemeClr w14:val="tx1"/>
                  </w14:solidFill>
                </w14:textFill>
              </w:rPr>
              <w:t>将自动存档于“广西政府采购云平台”上</w:t>
            </w:r>
            <w:r>
              <w:rPr>
                <w:rFonts w:hint="eastAsia" w:ascii="宋体" w:hAnsi="宋体" w:eastAsia="宋体" w:cs="宋体"/>
                <w:color w:val="000000" w:themeColor="text1"/>
                <w:szCs w:val="21"/>
                <w:highlight w:val="none"/>
                <w14:textFill>
                  <w14:solidFill>
                    <w14:schemeClr w14:val="tx1"/>
                  </w14:solidFill>
                </w14:textFill>
              </w:rPr>
              <w:t>，采购人于合同签订之日起七个工作日内将一份合同原件送本级财政部门备案。</w:t>
            </w:r>
          </w:p>
        </w:tc>
      </w:tr>
      <w:tr w14:paraId="7CDC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F46FAC9">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2D36735">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57E67FE">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A5B02D0">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本项目免收代理服务费。</w:t>
            </w:r>
          </w:p>
        </w:tc>
      </w:tr>
      <w:tr w14:paraId="1866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49D6B38">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A8D2A30">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461FED0">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7D8A27A">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本招标文件是根据《中华人民共和国政府采购法》《中华人民共和国政府采购法实施条例》及《政府采购货物和服务招标投标管理办法》（财政部令第87号）等相关规定编制。</w:t>
            </w:r>
          </w:p>
        </w:tc>
      </w:tr>
      <w:tr w14:paraId="0794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B5E4F5F">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F8639FE">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A4971C4">
            <w:pPr>
              <w:spacing w:line="3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6E7294F">
            <w:pPr>
              <w:spacing w:line="36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桂林市财政局</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电话：</w:t>
            </w:r>
            <w:r>
              <w:rPr>
                <w:rFonts w:hint="eastAsia" w:ascii="宋体" w:hAnsi="宋体" w:eastAsia="宋体" w:cs="宋体"/>
                <w:color w:val="000000" w:themeColor="text1"/>
                <w:szCs w:val="21"/>
                <w:highlight w:val="none"/>
                <w:lang w:val="en-US" w:eastAsia="zh-CN"/>
                <w14:textFill>
                  <w14:solidFill>
                    <w14:schemeClr w14:val="tx1"/>
                  </w14:solidFill>
                </w14:textFill>
              </w:rPr>
              <w:t>0773-2862142</w:t>
            </w:r>
          </w:p>
        </w:tc>
      </w:tr>
    </w:tbl>
    <w:p w14:paraId="63522B15">
      <w:pPr>
        <w:spacing w:line="360" w:lineRule="auto"/>
        <w:jc w:val="center"/>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38" w:name="_Toc495841754"/>
      <w:bookmarkStart w:id="39" w:name="_Toc3679"/>
      <w:r>
        <w:rPr>
          <w:rFonts w:hint="eastAsia" w:ascii="宋体" w:hAnsi="宋体" w:eastAsia="宋体" w:cs="宋体"/>
          <w:b/>
          <w:color w:val="000000" w:themeColor="text1"/>
          <w:sz w:val="28"/>
          <w:szCs w:val="28"/>
          <w:highlight w:val="none"/>
          <w14:textFill>
            <w14:solidFill>
              <w14:schemeClr w14:val="tx1"/>
            </w14:solidFill>
          </w14:textFill>
        </w:rPr>
        <w:br w:type="page" w:clear="all"/>
      </w:r>
      <w:bookmarkStart w:id="40" w:name="_Toc8412"/>
      <w:bookmarkStart w:id="41" w:name="_Toc7996"/>
      <w:r>
        <w:rPr>
          <w:rFonts w:hint="eastAsia" w:ascii="宋体" w:hAnsi="宋体" w:eastAsia="宋体" w:cs="宋体"/>
          <w:b/>
          <w:color w:val="000000" w:themeColor="text1"/>
          <w:sz w:val="28"/>
          <w:szCs w:val="28"/>
          <w:highlight w:val="none"/>
          <w14:textFill>
            <w14:solidFill>
              <w14:schemeClr w14:val="tx1"/>
            </w14:solidFill>
          </w14:textFill>
        </w:rPr>
        <w:t>一、总则</w:t>
      </w:r>
      <w:bookmarkEnd w:id="38"/>
      <w:bookmarkEnd w:id="39"/>
      <w:bookmarkEnd w:id="40"/>
      <w:bookmarkEnd w:id="41"/>
    </w:p>
    <w:p w14:paraId="783CEDD2">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42" w:name="_Toc29973"/>
      <w:bookmarkStart w:id="43" w:name="_Toc23807"/>
      <w:bookmarkStart w:id="44" w:name="_Toc6156"/>
      <w:r>
        <w:rPr>
          <w:rFonts w:hint="eastAsia" w:ascii="宋体" w:hAnsi="宋体" w:eastAsia="宋体" w:cs="宋体"/>
          <w:b/>
          <w:color w:val="000000" w:themeColor="text1"/>
          <w:szCs w:val="21"/>
          <w:highlight w:val="none"/>
          <w14:textFill>
            <w14:solidFill>
              <w14:schemeClr w14:val="tx1"/>
            </w14:solidFill>
          </w14:textFill>
        </w:rPr>
        <w:t>1. 项目名称及项目编号</w:t>
      </w:r>
      <w:bookmarkEnd w:id="42"/>
      <w:bookmarkEnd w:id="43"/>
      <w:bookmarkEnd w:id="44"/>
    </w:p>
    <w:p w14:paraId="2D640862">
      <w:pPr>
        <w:spacing w:line="340" w:lineRule="exact"/>
        <w:ind w:firstLine="420"/>
        <w:rPr>
          <w:rFonts w:hint="eastAsia" w:ascii="宋体" w:hAnsi="宋体" w:eastAsia="宋体" w:cs="宋体"/>
          <w:color w:val="000000" w:themeColor="text1"/>
          <w:szCs w:val="21"/>
          <w:highlight w:val="none"/>
          <w14:textFill>
            <w14:solidFill>
              <w14:schemeClr w14:val="tx1"/>
            </w14:solidFill>
          </w14:textFill>
        </w:rPr>
      </w:pPr>
      <w:bookmarkStart w:id="45" w:name="_Toc340"/>
      <w:bookmarkStart w:id="46" w:name="_Toc11983"/>
      <w:r>
        <w:rPr>
          <w:rFonts w:hint="eastAsia" w:ascii="宋体" w:hAnsi="宋体" w:eastAsia="宋体" w:cs="宋体"/>
          <w:color w:val="000000" w:themeColor="text1"/>
          <w:szCs w:val="21"/>
          <w:highlight w:val="none"/>
          <w14:textFill>
            <w14:solidFill>
              <w14:schemeClr w14:val="tx1"/>
            </w14:solidFill>
          </w14:textFill>
        </w:rPr>
        <w:t>项目名称：</w:t>
      </w:r>
      <w:r>
        <w:rPr>
          <w:rFonts w:hint="eastAsia" w:ascii="宋体" w:hAnsi="宋体" w:eastAsia="宋体" w:cs="宋体"/>
          <w:color w:val="000000" w:themeColor="text1"/>
          <w:highlight w:val="none"/>
          <w:lang w:val="en-US" w:eastAsia="zh-CN"/>
          <w14:textFill>
            <w14:solidFill>
              <w14:schemeClr w14:val="tx1"/>
            </w14:solidFill>
          </w14:textFill>
        </w:rPr>
        <w:t xml:space="preserve">中国共产党桂林市委员会党校物业服务采购  </w:t>
      </w:r>
    </w:p>
    <w:p w14:paraId="29F5A8EB">
      <w:pPr>
        <w:spacing w:line="400" w:lineRule="exact"/>
        <w:ind w:firstLine="411"/>
        <w:rPr>
          <w:rFonts w:hint="eastAsia" w:ascii="宋体" w:hAnsi="宋体" w:eastAsia="宋体" w:cs="宋体"/>
          <w:color w:val="000000" w:themeColor="text1"/>
          <w:szCs w:val="21"/>
          <w:highlight w:val="none"/>
          <w:lang w:eastAsia="zh-CN"/>
          <w14:textFill>
            <w14:solidFill>
              <w14:schemeClr w14:val="tx1"/>
            </w14:solidFill>
          </w14:textFill>
        </w:rPr>
      </w:pPr>
      <w:bookmarkStart w:id="47" w:name="_Toc32432"/>
      <w:bookmarkStart w:id="48" w:name="_Toc4756"/>
      <w:bookmarkStart w:id="49" w:name="_Toc8531"/>
      <w:r>
        <w:rPr>
          <w:rFonts w:hint="eastAsia" w:ascii="宋体" w:hAnsi="宋体" w:eastAsia="宋体" w:cs="宋体"/>
          <w:color w:val="000000" w:themeColor="text1"/>
          <w:szCs w:val="21"/>
          <w:highlight w:val="none"/>
          <w14:textFill>
            <w14:solidFill>
              <w14:schemeClr w14:val="tx1"/>
            </w14:solidFill>
          </w14:textFill>
        </w:rPr>
        <w:t>项目编号：</w:t>
      </w:r>
      <w:bookmarkEnd w:id="45"/>
      <w:bookmarkEnd w:id="46"/>
      <w:bookmarkEnd w:id="47"/>
      <w:r>
        <w:rPr>
          <w:rFonts w:hint="eastAsia" w:ascii="宋体" w:hAnsi="宋体" w:eastAsia="宋体" w:cs="宋体"/>
          <w:color w:val="000000" w:themeColor="text1"/>
          <w:highlight w:val="none"/>
          <w:lang w:eastAsia="zh-CN"/>
          <w14:textFill>
            <w14:solidFill>
              <w14:schemeClr w14:val="tx1"/>
            </w14:solidFill>
          </w14:textFill>
        </w:rPr>
        <w:t>GLZC2026-G3-990258-GLSZ</w:t>
      </w:r>
    </w:p>
    <w:p w14:paraId="1978AB67">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50" w:name="_Toc22668"/>
      <w:r>
        <w:rPr>
          <w:rFonts w:hint="eastAsia" w:ascii="宋体" w:hAnsi="宋体" w:eastAsia="宋体" w:cs="宋体"/>
          <w:b/>
          <w:color w:val="000000" w:themeColor="text1"/>
          <w:szCs w:val="21"/>
          <w:highlight w:val="none"/>
          <w14:textFill>
            <w14:solidFill>
              <w14:schemeClr w14:val="tx1"/>
            </w14:solidFill>
          </w14:textFill>
        </w:rPr>
        <w:t>2. 适用范围</w:t>
      </w:r>
      <w:bookmarkEnd w:id="48"/>
      <w:bookmarkEnd w:id="49"/>
      <w:bookmarkEnd w:id="50"/>
    </w:p>
    <w:p w14:paraId="131551B3">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本招标文件适用本招标采购项目的招标、投标、评标、合同履约、验收、付款等行为（法律、法规另有规定的，从其规定）。</w:t>
      </w:r>
    </w:p>
    <w:p w14:paraId="0A7E0F47">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51" w:name="_Toc11360"/>
      <w:bookmarkStart w:id="52" w:name="_Toc30963"/>
      <w:bookmarkStart w:id="53" w:name="_Toc1895"/>
      <w:r>
        <w:rPr>
          <w:rFonts w:hint="eastAsia" w:ascii="宋体" w:hAnsi="宋体" w:eastAsia="宋体" w:cs="宋体"/>
          <w:b/>
          <w:color w:val="000000" w:themeColor="text1"/>
          <w:szCs w:val="21"/>
          <w:highlight w:val="none"/>
          <w14:textFill>
            <w14:solidFill>
              <w14:schemeClr w14:val="tx1"/>
            </w14:solidFill>
          </w14:textFill>
        </w:rPr>
        <w:t>3. 定义</w:t>
      </w:r>
      <w:bookmarkEnd w:id="51"/>
      <w:bookmarkEnd w:id="52"/>
      <w:bookmarkEnd w:id="53"/>
    </w:p>
    <w:p w14:paraId="624FA967">
      <w:pPr>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3.1“投标人”系指响应招标、参加投标竞争的法人、其他组织或者自然人。</w:t>
      </w:r>
    </w:p>
    <w:p w14:paraId="6C64B2C2">
      <w:pPr>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3.2“货物”系指按招标文件规定，投标人须向采购人提供的一切设备、保险、税金、备品备件、工具、手册及其它有关技术资料和材料。</w:t>
      </w:r>
    </w:p>
    <w:p w14:paraId="307AB5BE">
      <w:pPr>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3.3“服务”系指按招标文件规定，投标人须承担的安装、调试、技术协助、校准、培训、技术指导以及其他类似的义务。</w:t>
      </w:r>
    </w:p>
    <w:p w14:paraId="461F79E1">
      <w:pPr>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3.4“项目”系指投标人按招标文件规定向采购人提供的货物和服务。</w:t>
      </w:r>
    </w:p>
    <w:p w14:paraId="2738B3F2">
      <w:pPr>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3.5“书面形式”包括信函、传真、电报等。</w:t>
      </w:r>
    </w:p>
    <w:p w14:paraId="23B0E952">
      <w:pPr>
        <w:spacing w:line="400" w:lineRule="exact"/>
        <w:ind w:firstLine="435"/>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3.6实质性要求：</w:t>
      </w:r>
      <w:r>
        <w:rPr>
          <w:rFonts w:hint="eastAsia" w:ascii="宋体" w:hAnsi="宋体" w:eastAsia="宋体" w:cs="宋体"/>
          <w:b/>
          <w:bCs/>
          <w:color w:val="000000" w:themeColor="text1"/>
          <w:szCs w:val="21"/>
          <w:highlight w:val="none"/>
          <w14:textFill>
            <w14:solidFill>
              <w14:schemeClr w14:val="tx1"/>
            </w14:solidFill>
          </w14:textFill>
        </w:rPr>
        <w:t>采购需求”中除现场考察相关要求外</w:t>
      </w:r>
      <w:r>
        <w:rPr>
          <w:rFonts w:hint="eastAsia" w:ascii="宋体" w:hAnsi="宋体" w:eastAsia="宋体" w:cs="宋体"/>
          <w:b/>
          <w:bCs/>
          <w:color w:val="000000" w:themeColor="text1"/>
          <w:szCs w:val="21"/>
          <w:highlight w:val="none"/>
          <w:lang w:eastAsia="zh-CN"/>
          <w14:textFill>
            <w14:solidFill>
              <w14:schemeClr w14:val="tx1"/>
            </w14:solidFill>
          </w14:textFill>
        </w:rPr>
        <w:t>，其他</w:t>
      </w:r>
      <w:r>
        <w:rPr>
          <w:rFonts w:hint="eastAsia" w:ascii="宋体" w:hAnsi="宋体" w:eastAsia="宋体" w:cs="宋体"/>
          <w:b/>
          <w:bCs/>
          <w:color w:val="000000" w:themeColor="text1"/>
          <w:szCs w:val="21"/>
          <w:highlight w:val="none"/>
          <w14:textFill>
            <w14:solidFill>
              <w14:schemeClr w14:val="tx1"/>
            </w14:solidFill>
          </w14:textFill>
        </w:rPr>
        <w:t>均为实质性要求，不允许负偏离，否则视为</w:t>
      </w:r>
      <w:r>
        <w:rPr>
          <w:rFonts w:hint="eastAsia" w:ascii="宋体" w:hAnsi="宋体" w:eastAsia="宋体" w:cs="宋体"/>
          <w:b/>
          <w:bCs/>
          <w:color w:val="000000" w:themeColor="text1"/>
          <w:szCs w:val="21"/>
          <w:highlight w:val="none"/>
          <w:lang w:eastAsia="zh-CN"/>
          <w14:textFill>
            <w14:solidFill>
              <w14:schemeClr w14:val="tx1"/>
            </w14:solidFill>
          </w14:textFill>
        </w:rPr>
        <w:t>投标无效。</w:t>
      </w:r>
    </w:p>
    <w:p w14:paraId="6D99E5F1">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54" w:name="_Toc28906"/>
      <w:bookmarkStart w:id="55" w:name="_Toc13767"/>
      <w:bookmarkStart w:id="56" w:name="_Toc24020"/>
      <w:r>
        <w:rPr>
          <w:rFonts w:hint="eastAsia" w:ascii="宋体" w:hAnsi="宋体" w:eastAsia="宋体" w:cs="宋体"/>
          <w:b/>
          <w:color w:val="000000" w:themeColor="text1"/>
          <w:szCs w:val="21"/>
          <w:highlight w:val="none"/>
          <w14:textFill>
            <w14:solidFill>
              <w14:schemeClr w14:val="tx1"/>
            </w14:solidFill>
          </w14:textFill>
        </w:rPr>
        <w:t>4. 招标方式、评分办法</w:t>
      </w:r>
      <w:bookmarkEnd w:id="54"/>
      <w:bookmarkEnd w:id="55"/>
      <w:bookmarkEnd w:id="56"/>
    </w:p>
    <w:p w14:paraId="7588A1BF">
      <w:pPr>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公开招标、综合评分法</w:t>
      </w:r>
    </w:p>
    <w:p w14:paraId="694EEA02">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57" w:name="_Toc15345"/>
      <w:bookmarkStart w:id="58" w:name="_Toc27104"/>
      <w:bookmarkStart w:id="59" w:name="_Toc598"/>
      <w:r>
        <w:rPr>
          <w:rFonts w:hint="eastAsia" w:ascii="宋体" w:hAnsi="宋体" w:eastAsia="宋体" w:cs="宋体"/>
          <w:b/>
          <w:color w:val="000000" w:themeColor="text1"/>
          <w:szCs w:val="21"/>
          <w:highlight w:val="none"/>
          <w14:textFill>
            <w14:solidFill>
              <w14:schemeClr w14:val="tx1"/>
            </w14:solidFill>
          </w14:textFill>
        </w:rPr>
        <w:t>5. 投标人资格</w:t>
      </w:r>
      <w:bookmarkEnd w:id="57"/>
      <w:bookmarkEnd w:id="58"/>
      <w:bookmarkEnd w:id="59"/>
    </w:p>
    <w:p w14:paraId="45564551">
      <w:pPr>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5.1符合《中华人民共和国政府采购法》第二十二条和《政府采购法实施条例》第十八条规定，并且在国内注册或登记、具备合法资格，提供本次采购货物或服务的供应商。</w:t>
      </w:r>
    </w:p>
    <w:p w14:paraId="4C87A6FF">
      <w:pPr>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 本项目不接受联合体投标。</w:t>
      </w:r>
    </w:p>
    <w:p w14:paraId="10FEE2A4">
      <w:pPr>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5.3对在“信用中国”网站（www.creditchina.gov.cn）、中国政府采购网（www.ccgp.gov.cn）等渠道列入失信被执行人、</w:t>
      </w:r>
      <w:r>
        <w:rPr>
          <w:rFonts w:hint="eastAsia" w:ascii="宋体" w:hAnsi="宋体" w:eastAsia="宋体" w:cs="宋体"/>
          <w:color w:val="000000" w:themeColor="text1"/>
          <w:szCs w:val="21"/>
          <w:highlight w:val="none"/>
          <w:lang w:eastAsia="zh-CN"/>
          <w14:textFill>
            <w14:solidFill>
              <w14:schemeClr w14:val="tx1"/>
            </w14:solidFill>
          </w14:textFill>
        </w:rPr>
        <w:t>重大税收违法失信主体名单</w:t>
      </w:r>
      <w:r>
        <w:rPr>
          <w:rFonts w:hint="eastAsia" w:ascii="宋体" w:hAnsi="宋体" w:eastAsia="宋体" w:cs="宋体"/>
          <w:color w:val="000000" w:themeColor="text1"/>
          <w:szCs w:val="21"/>
          <w:highlight w:val="none"/>
          <w14:textFill>
            <w14:solidFill>
              <w14:schemeClr w14:val="tx1"/>
            </w14:solidFill>
          </w14:textFill>
        </w:rPr>
        <w:t>、政府采购严重违法失信行为记录名单及其他不符合《中华人民共和国政府采购法》第二十二条规定条件的供应商，不得参与政府采购活动。</w:t>
      </w:r>
    </w:p>
    <w:p w14:paraId="04A9B33D">
      <w:pPr>
        <w:spacing w:line="400" w:lineRule="exact"/>
        <w:ind w:firstLine="435"/>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5.4 落实政府采购政策需满足的资格要求：</w:t>
      </w:r>
      <w:r>
        <w:rPr>
          <w:rFonts w:hint="eastAsia" w:ascii="宋体" w:hAnsi="宋体" w:eastAsia="宋体" w:cs="宋体"/>
          <w:b/>
          <w:bCs/>
          <w:color w:val="000000" w:themeColor="text1"/>
          <w:szCs w:val="21"/>
          <w:highlight w:val="none"/>
          <w:lang w:val="en-US" w:eastAsia="zh-CN"/>
          <w14:textFill>
            <w14:solidFill>
              <w14:schemeClr w14:val="tx1"/>
            </w14:solidFill>
          </w14:textFill>
        </w:rPr>
        <w:t>本项目专门面向中小企业，所属行业为物业管理。</w:t>
      </w:r>
    </w:p>
    <w:p w14:paraId="1B14C257">
      <w:pPr>
        <w:spacing w:line="400" w:lineRule="exact"/>
        <w:ind w:firstLine="43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5.5本项目的特定资格要求：</w:t>
      </w:r>
      <w:r>
        <w:rPr>
          <w:rFonts w:hint="eastAsia" w:ascii="宋体" w:hAnsi="宋体" w:eastAsia="宋体" w:cs="宋体"/>
          <w:b/>
          <w:bCs/>
          <w:color w:val="000000" w:themeColor="text1"/>
          <w:highlight w:val="none"/>
          <w14:textFill>
            <w14:solidFill>
              <w14:schemeClr w14:val="tx1"/>
            </w14:solidFill>
          </w14:textFill>
        </w:rPr>
        <w:t>无。</w:t>
      </w:r>
    </w:p>
    <w:p w14:paraId="0ED33ECF">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60" w:name="_Toc32715"/>
      <w:bookmarkStart w:id="61" w:name="_Toc24742"/>
      <w:bookmarkStart w:id="62" w:name="_Toc14174"/>
      <w:r>
        <w:rPr>
          <w:rFonts w:hint="eastAsia" w:ascii="宋体" w:hAnsi="宋体" w:eastAsia="宋体" w:cs="宋体"/>
          <w:b/>
          <w:color w:val="000000" w:themeColor="text1"/>
          <w:szCs w:val="21"/>
          <w:highlight w:val="none"/>
          <w14:textFill>
            <w14:solidFill>
              <w14:schemeClr w14:val="tx1"/>
            </w14:solidFill>
          </w14:textFill>
        </w:rPr>
        <w:t>6. 投标费用</w:t>
      </w:r>
      <w:bookmarkEnd w:id="60"/>
      <w:bookmarkEnd w:id="61"/>
      <w:bookmarkEnd w:id="62"/>
    </w:p>
    <w:p w14:paraId="2C51BB28">
      <w:pPr>
        <w:spacing w:line="400" w:lineRule="exact"/>
        <w:ind w:firstLine="435"/>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不论投标结果如何，投标人均应自行承担所有与投标有关的全部费用。</w:t>
      </w:r>
    </w:p>
    <w:p w14:paraId="19694D78">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63" w:name="_Toc4507"/>
      <w:bookmarkStart w:id="64" w:name="_Toc22702"/>
      <w:bookmarkStart w:id="65" w:name="_Toc31803"/>
      <w:r>
        <w:rPr>
          <w:rFonts w:hint="eastAsia" w:ascii="宋体" w:hAnsi="宋体" w:eastAsia="宋体" w:cs="宋体"/>
          <w:b/>
          <w:color w:val="000000" w:themeColor="text1"/>
          <w:szCs w:val="21"/>
          <w:highlight w:val="none"/>
          <w14:textFill>
            <w14:solidFill>
              <w14:schemeClr w14:val="tx1"/>
            </w14:solidFill>
          </w14:textFill>
        </w:rPr>
        <w:t>7. 联合体投标要求</w:t>
      </w:r>
      <w:bookmarkEnd w:id="63"/>
      <w:bookmarkEnd w:id="64"/>
      <w:bookmarkEnd w:id="65"/>
    </w:p>
    <w:p w14:paraId="03E90B28">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本项目不接受联合体投标。</w:t>
      </w:r>
    </w:p>
    <w:p w14:paraId="298060BB">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66" w:name="_Toc25317"/>
      <w:bookmarkStart w:id="67" w:name="_Toc24292"/>
      <w:bookmarkStart w:id="68" w:name="_Toc6046"/>
      <w:r>
        <w:rPr>
          <w:rFonts w:hint="eastAsia" w:ascii="宋体" w:hAnsi="宋体" w:eastAsia="宋体" w:cs="宋体"/>
          <w:b/>
          <w:color w:val="000000" w:themeColor="text1"/>
          <w:szCs w:val="21"/>
          <w:highlight w:val="none"/>
          <w14:textFill>
            <w14:solidFill>
              <w14:schemeClr w14:val="tx1"/>
            </w14:solidFill>
          </w14:textFill>
        </w:rPr>
        <w:t>8. 转包与分包</w:t>
      </w:r>
      <w:bookmarkEnd w:id="66"/>
      <w:bookmarkEnd w:id="67"/>
      <w:bookmarkEnd w:id="68"/>
    </w:p>
    <w:p w14:paraId="22D65BB9">
      <w:pPr>
        <w:tabs>
          <w:tab w:val="left" w:pos="163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8.1本项目不允许转包。</w:t>
      </w:r>
    </w:p>
    <w:p w14:paraId="7A9DEEDE">
      <w:pPr>
        <w:tabs>
          <w:tab w:val="left" w:pos="1635"/>
        </w:tabs>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8.2经采购人同意，中标供应商可以依法采取分包方式履行合同。</w:t>
      </w:r>
    </w:p>
    <w:p w14:paraId="3D680315">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69" w:name="_Toc24350"/>
      <w:bookmarkStart w:id="70" w:name="_Toc1504"/>
      <w:bookmarkStart w:id="71" w:name="_Toc5765"/>
      <w:r>
        <w:rPr>
          <w:rFonts w:hint="eastAsia" w:ascii="宋体" w:hAnsi="宋体" w:eastAsia="宋体" w:cs="宋体"/>
          <w:b/>
          <w:color w:val="000000" w:themeColor="text1"/>
          <w:szCs w:val="21"/>
          <w:highlight w:val="none"/>
          <w14:textFill>
            <w14:solidFill>
              <w14:schemeClr w14:val="tx1"/>
            </w14:solidFill>
          </w14:textFill>
        </w:rPr>
        <w:t>9. 特别说明</w:t>
      </w:r>
      <w:bookmarkEnd w:id="69"/>
      <w:bookmarkEnd w:id="70"/>
      <w:bookmarkEnd w:id="71"/>
    </w:p>
    <w:p w14:paraId="6E042DCC">
      <w:pPr>
        <w:tabs>
          <w:tab w:val="left" w:pos="163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9.1提供相同品牌产品且通过资格审查、符合性审查的不同投标人参加同一合同项下投标的，按一家投标人计算，评审后得分最高的同品牌投标人获得</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推荐资格；评审得分相同的，评标价最低的同品牌投标人获得</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推荐资格；评标价也相同的，由评标委员会以抽签方式确定中标候选供应商。其他同品牌投标人不作为中标候选供应商。</w:t>
      </w:r>
    </w:p>
    <w:p w14:paraId="6E76E966">
      <w:pPr>
        <w:tabs>
          <w:tab w:val="left" w:pos="1635"/>
        </w:tabs>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多家投标人提供的核心产品品牌相同的，按前款规定处理。</w:t>
      </w:r>
    </w:p>
    <w:p w14:paraId="19A2C0A1">
      <w:pPr>
        <w:tabs>
          <w:tab w:val="left" w:pos="1635"/>
        </w:tabs>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9.2关联供应商不得参加同一合同项下政府采购活动，否则投标文件将被视为无效：</w:t>
      </w:r>
    </w:p>
    <w:p w14:paraId="1BE6DB4B">
      <w:pPr>
        <w:tabs>
          <w:tab w:val="left" w:pos="163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（1）单位负责人为同一人或者存在直接控股、管理关系的不同供应商，不得参加同一合同项下的政府采购活动。</w:t>
      </w:r>
    </w:p>
    <w:p w14:paraId="7AF818AB">
      <w:pPr>
        <w:tabs>
          <w:tab w:val="left" w:pos="1635"/>
        </w:tabs>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（2）为本采购项目提供整体设计、规范编制或者项目管理、监理、检测等服务的供应商，不得再参加本次采购活动。</w:t>
      </w:r>
    </w:p>
    <w:p w14:paraId="4520DD9A">
      <w:pPr>
        <w:tabs>
          <w:tab w:val="left" w:pos="1635"/>
        </w:tabs>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9.3投标人应仔细阅读招标文件的所有内容，按照招标文件的要求提交投标文件，并对所提供的全部资料的真实性承担法律责任。</w:t>
      </w:r>
    </w:p>
    <w:p w14:paraId="2A926AAE">
      <w:pPr>
        <w:tabs>
          <w:tab w:val="left" w:pos="1635"/>
        </w:tabs>
        <w:spacing w:line="400" w:lineRule="exact"/>
        <w:ind w:firstLine="435"/>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9.4投标人在投标活动中提供任何虚假材料，其投标无效，并报监管部门查处；中标后发现的，</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须依照《中华人民共和国消费者权益保护法》赔偿采购人，且民事赔偿并不免除违法投标人的行政与刑事责任。</w:t>
      </w:r>
    </w:p>
    <w:p w14:paraId="4A7F541B">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72" w:name="_Toc4636"/>
      <w:bookmarkStart w:id="73" w:name="_Toc29184"/>
      <w:bookmarkStart w:id="74" w:name="_Toc6489"/>
      <w:r>
        <w:rPr>
          <w:rFonts w:hint="eastAsia" w:ascii="宋体" w:hAnsi="宋体" w:eastAsia="宋体" w:cs="宋体"/>
          <w:b/>
          <w:color w:val="000000" w:themeColor="text1"/>
          <w:szCs w:val="21"/>
          <w:highlight w:val="none"/>
          <w14:textFill>
            <w14:solidFill>
              <w14:schemeClr w14:val="tx1"/>
            </w14:solidFill>
          </w14:textFill>
        </w:rPr>
        <w:t>10. 质疑和投诉</w:t>
      </w:r>
      <w:bookmarkEnd w:id="72"/>
      <w:bookmarkEnd w:id="73"/>
      <w:bookmarkEnd w:id="74"/>
    </w:p>
    <w:p w14:paraId="2A1743A1">
      <w:pPr>
        <w:tabs>
          <w:tab w:val="left" w:pos="1635"/>
        </w:tabs>
        <w:spacing w:line="400" w:lineRule="exact"/>
        <w:ind w:firstLine="435"/>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3047A417">
      <w:pPr>
        <w:tabs>
          <w:tab w:val="left" w:pos="1635"/>
        </w:tabs>
        <w:spacing w:line="400" w:lineRule="exact"/>
        <w:ind w:firstLine="435"/>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接收质疑函方式：以书面形式（原件）提交。</w:t>
      </w:r>
    </w:p>
    <w:p w14:paraId="1DE24287">
      <w:pPr>
        <w:tabs>
          <w:tab w:val="left" w:pos="1635"/>
        </w:tabs>
        <w:spacing w:line="400" w:lineRule="exact"/>
        <w:ind w:firstLine="435"/>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质疑联系人：桂林市政府集中采购中心，联系电话：0773-5625162</w:t>
      </w:r>
    </w:p>
    <w:p w14:paraId="4176258C">
      <w:pPr>
        <w:tabs>
          <w:tab w:val="left" w:pos="1635"/>
        </w:tabs>
        <w:spacing w:line="400" w:lineRule="exact"/>
        <w:ind w:firstLine="435"/>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通讯地址：桂林市临桂区西城中路69号创业大厦西辅楼5楼574室</w:t>
      </w:r>
    </w:p>
    <w:p w14:paraId="74592825">
      <w:pPr>
        <w:tabs>
          <w:tab w:val="left" w:pos="1635"/>
        </w:tabs>
        <w:spacing w:line="400" w:lineRule="exact"/>
        <w:ind w:firstLine="435"/>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0927DB49">
      <w:pPr>
        <w:tabs>
          <w:tab w:val="left" w:pos="1635"/>
        </w:tabs>
        <w:spacing w:line="400" w:lineRule="exact"/>
        <w:ind w:firstLine="435"/>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10.3供应商对采购人或采购代理机构的答复不满意，或者采购人或采购代理机构未在规定的时间内作出答复的，可以在答复期满后十五个工作日内向本级财政部门投诉。</w:t>
      </w:r>
    </w:p>
    <w:p w14:paraId="0337EE9D">
      <w:pPr>
        <w:tabs>
          <w:tab w:val="left" w:pos="1635"/>
        </w:tabs>
        <w:spacing w:line="400" w:lineRule="exact"/>
        <w:ind w:firstLine="435"/>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10.4质疑、投诉应当采用书面形式，质疑书、投诉书实行实名制，均应明确阐述招标文件、招标过程或中标结果中使自己合法权益受到损害的实质性内容，并提供必要的证明材料。</w:t>
      </w:r>
    </w:p>
    <w:p w14:paraId="1F78487A">
      <w:pPr>
        <w:tabs>
          <w:tab w:val="left" w:pos="1635"/>
        </w:tabs>
        <w:spacing w:line="400" w:lineRule="exact"/>
        <w:ind w:firstLine="435"/>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10.5供应商在法定质疑期内应当一次性提出针对同一采购程序环节的质疑。</w:t>
      </w:r>
    </w:p>
    <w:p w14:paraId="5A08E813">
      <w:pPr>
        <w:tabs>
          <w:tab w:val="left" w:pos="1635"/>
        </w:tabs>
        <w:spacing w:line="400" w:lineRule="exact"/>
        <w:ind w:firstLine="435"/>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10.6 不在法定质疑期内提出的质疑函可以拒收。不符合要求的质疑函在法定质疑期内及时补充完整，否则作质疑不成立处理</w:t>
      </w:r>
      <w:r>
        <w:rPr>
          <w:rFonts w:hint="eastAsia" w:ascii="宋体" w:hAnsi="宋体" w:eastAsia="宋体" w:cs="宋体"/>
          <w:color w:val="000000" w:themeColor="text1"/>
          <w:szCs w:val="21"/>
          <w:highlight w:val="none"/>
          <w14:textFill>
            <w14:solidFill>
              <w14:schemeClr w14:val="tx1"/>
            </w14:solidFill>
          </w14:textFill>
        </w:rPr>
        <w:t>。</w:t>
      </w:r>
    </w:p>
    <w:p w14:paraId="3B9D5470">
      <w:pPr>
        <w:tabs>
          <w:tab w:val="left" w:pos="2190"/>
        </w:tabs>
        <w:spacing w:line="400" w:lineRule="exact"/>
        <w:ind w:firstLine="435"/>
        <w:rPr>
          <w:rFonts w:hint="eastAsia" w:ascii="宋体" w:hAnsi="宋体" w:eastAsia="宋体" w:cs="宋体"/>
          <w:b/>
          <w:color w:val="000000" w:themeColor="text1"/>
          <w:sz w:val="28"/>
          <w:szCs w:val="28"/>
          <w:highlight w:val="none"/>
          <w14:textFill>
            <w14:solidFill>
              <w14:schemeClr w14:val="tx1"/>
            </w14:solidFill>
          </w14:textFill>
        </w:rPr>
      </w:pPr>
    </w:p>
    <w:p w14:paraId="6142253B">
      <w:pPr>
        <w:spacing w:line="360" w:lineRule="auto"/>
        <w:jc w:val="center"/>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75" w:name="_Toc495841755"/>
      <w:bookmarkStart w:id="76" w:name="_Toc6682"/>
      <w:bookmarkStart w:id="77" w:name="_Toc26849"/>
      <w:bookmarkStart w:id="78" w:name="_Toc29992"/>
      <w:r>
        <w:rPr>
          <w:rFonts w:hint="eastAsia" w:ascii="宋体" w:hAnsi="宋体" w:eastAsia="宋体" w:cs="宋体"/>
          <w:b/>
          <w:color w:val="000000" w:themeColor="text1"/>
          <w:sz w:val="28"/>
          <w:szCs w:val="28"/>
          <w:highlight w:val="none"/>
          <w14:textFill>
            <w14:solidFill>
              <w14:schemeClr w14:val="tx1"/>
            </w14:solidFill>
          </w14:textFill>
        </w:rPr>
        <w:t>二、招标文件</w:t>
      </w:r>
      <w:bookmarkEnd w:id="75"/>
      <w:bookmarkEnd w:id="76"/>
      <w:bookmarkEnd w:id="77"/>
      <w:bookmarkEnd w:id="78"/>
    </w:p>
    <w:p w14:paraId="3380DCC8">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79" w:name="_Toc27965"/>
      <w:bookmarkStart w:id="80" w:name="_Toc16123"/>
      <w:bookmarkStart w:id="81" w:name="_Toc3397"/>
      <w:r>
        <w:rPr>
          <w:rFonts w:hint="eastAsia" w:ascii="宋体" w:hAnsi="宋体" w:eastAsia="宋体" w:cs="宋体"/>
          <w:b/>
          <w:color w:val="000000" w:themeColor="text1"/>
          <w:szCs w:val="21"/>
          <w:highlight w:val="none"/>
          <w14:textFill>
            <w14:solidFill>
              <w14:schemeClr w14:val="tx1"/>
            </w14:solidFill>
          </w14:textFill>
        </w:rPr>
        <w:t>11. 招标文件的构成</w:t>
      </w:r>
      <w:bookmarkEnd w:id="79"/>
      <w:bookmarkEnd w:id="80"/>
      <w:bookmarkEnd w:id="81"/>
    </w:p>
    <w:p w14:paraId="338FF11B">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（1）招标公告；</w:t>
      </w:r>
    </w:p>
    <w:p w14:paraId="01B8368C">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（2）投标人须知；</w:t>
      </w:r>
    </w:p>
    <w:p w14:paraId="68431C2E">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eastAsia="zh-CN"/>
          <w14:textFill>
            <w14:solidFill>
              <w14:schemeClr w14:val="tx1"/>
            </w14:solidFill>
          </w14:textFill>
        </w:rPr>
        <w:t>采购需求</w:t>
      </w:r>
      <w:r>
        <w:rPr>
          <w:rFonts w:hint="eastAsia" w:ascii="宋体" w:hAnsi="宋体" w:eastAsia="宋体" w:cs="宋体"/>
          <w:color w:val="000000" w:themeColor="text1"/>
          <w:szCs w:val="21"/>
          <w:highlight w:val="none"/>
          <w14:textFill>
            <w14:solidFill>
              <w14:schemeClr w14:val="tx1"/>
            </w14:solidFill>
          </w14:textFill>
        </w:rPr>
        <w:t>；</w:t>
      </w:r>
    </w:p>
    <w:p w14:paraId="7B11F48E">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（4）评标办法；</w:t>
      </w:r>
    </w:p>
    <w:p w14:paraId="566FEDBF">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（5）采购合同（合同主要条款及格式）；</w:t>
      </w:r>
    </w:p>
    <w:p w14:paraId="38C1DF46">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（6）投标文件（格式）。</w:t>
      </w:r>
    </w:p>
    <w:p w14:paraId="28AD97C2">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82" w:name="_Toc2160"/>
      <w:bookmarkStart w:id="83" w:name="_Toc27464"/>
      <w:bookmarkStart w:id="84" w:name="_Toc24191"/>
      <w:r>
        <w:rPr>
          <w:rFonts w:hint="eastAsia" w:ascii="宋体" w:hAnsi="宋体" w:eastAsia="宋体" w:cs="宋体"/>
          <w:b/>
          <w:color w:val="000000" w:themeColor="text1"/>
          <w:szCs w:val="21"/>
          <w:highlight w:val="none"/>
          <w14:textFill>
            <w14:solidFill>
              <w14:schemeClr w14:val="tx1"/>
            </w14:solidFill>
          </w14:textFill>
        </w:rPr>
        <w:t>12. 招标文件的澄清与修改</w:t>
      </w:r>
      <w:bookmarkEnd w:id="82"/>
      <w:bookmarkEnd w:id="83"/>
      <w:bookmarkEnd w:id="84"/>
    </w:p>
    <w:p w14:paraId="0D76B802">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12.1投标人应认真阅读招标文件，发现其中有误或有不合理要求的，投标人必须在招标公告期限届满之日起七个工作日内以书面形式要求采购代理机构澄清。</w:t>
      </w:r>
    </w:p>
    <w:p w14:paraId="531078F2">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2CE30087">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12.3</w:t>
      </w:r>
      <w:r>
        <w:rPr>
          <w:rFonts w:hint="eastAsia" w:ascii="宋体" w:hAnsi="宋体" w:eastAsia="宋体" w:cs="宋体"/>
          <w:b/>
          <w:color w:val="000000" w:themeColor="text1"/>
          <w:szCs w:val="21"/>
          <w:highlight w:val="none"/>
          <w14:textFill>
            <w14:solidFill>
              <w14:schemeClr w14:val="tx1"/>
            </w14:solidFill>
          </w14:textFill>
        </w:rPr>
        <w:t>投标人下载招标文件后应实时关注相关网站了解澄清、修改等与项目有关的内容，如因投标人未及时登录相关网站了解澄清、修改等与项目有关的内容，从而导致投标无效的，由投标人自行承担责任。</w:t>
      </w:r>
    </w:p>
    <w:p w14:paraId="5C639334">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12.4必要的澄清、修改的内容为招标文件的组成部分。当澄清、修改通知就同一内容的表述不一致时，以最后发出的书面文件为准。</w:t>
      </w:r>
    </w:p>
    <w:p w14:paraId="4C05ACA0">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12.5招标文件的澄清、修改都应该通过采购代理机构以法定形式发布，采购人非通过本机构，不得擅自澄清、修改招标文件。</w:t>
      </w:r>
    </w:p>
    <w:p w14:paraId="2B6F9719">
      <w:pPr>
        <w:tabs>
          <w:tab w:val="left" w:pos="2190"/>
        </w:tabs>
        <w:spacing w:line="400" w:lineRule="exact"/>
        <w:ind w:firstLine="435"/>
        <w:rPr>
          <w:rFonts w:hint="eastAsia" w:ascii="宋体" w:hAnsi="宋体" w:eastAsia="宋体" w:cs="宋体"/>
          <w:color w:val="000000" w:themeColor="text1"/>
          <w:szCs w:val="21"/>
          <w:highlight w:val="none"/>
          <w14:textFill>
            <w14:solidFill>
              <w14:schemeClr w14:val="tx1"/>
            </w14:solidFill>
          </w14:textFill>
        </w:rPr>
      </w:pPr>
    </w:p>
    <w:p w14:paraId="3E05B8D7">
      <w:pPr>
        <w:spacing w:line="360" w:lineRule="auto"/>
        <w:jc w:val="center"/>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85" w:name="_Toc495841756"/>
      <w:bookmarkStart w:id="86" w:name="_Toc24834"/>
      <w:bookmarkStart w:id="87" w:name="_Toc21553"/>
      <w:bookmarkStart w:id="88" w:name="_Toc7631"/>
      <w:r>
        <w:rPr>
          <w:rFonts w:hint="eastAsia" w:ascii="宋体" w:hAnsi="宋体" w:eastAsia="宋体" w:cs="宋体"/>
          <w:b/>
          <w:color w:val="000000" w:themeColor="text1"/>
          <w:sz w:val="28"/>
          <w:szCs w:val="28"/>
          <w:highlight w:val="none"/>
          <w14:textFill>
            <w14:solidFill>
              <w14:schemeClr w14:val="tx1"/>
            </w14:solidFill>
          </w14:textFill>
        </w:rPr>
        <w:t>三、投标文件的编制</w:t>
      </w:r>
      <w:bookmarkEnd w:id="85"/>
      <w:bookmarkEnd w:id="86"/>
      <w:bookmarkEnd w:id="87"/>
      <w:bookmarkEnd w:id="88"/>
    </w:p>
    <w:p w14:paraId="71A79C51">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89" w:name="_Toc18258"/>
      <w:bookmarkStart w:id="90" w:name="_Toc2083"/>
      <w:bookmarkStart w:id="91" w:name="_Toc15443"/>
      <w:r>
        <w:rPr>
          <w:rFonts w:hint="eastAsia" w:ascii="宋体" w:hAnsi="宋体" w:eastAsia="宋体" w:cs="宋体"/>
          <w:b/>
          <w:color w:val="000000" w:themeColor="text1"/>
          <w:szCs w:val="21"/>
          <w:highlight w:val="none"/>
          <w14:textFill>
            <w14:solidFill>
              <w14:schemeClr w14:val="tx1"/>
            </w14:solidFill>
          </w14:textFill>
        </w:rPr>
        <w:t>13. 投标文件的组成及要求</w:t>
      </w:r>
      <w:bookmarkEnd w:id="89"/>
      <w:bookmarkEnd w:id="90"/>
      <w:bookmarkEnd w:id="91"/>
    </w:p>
    <w:p w14:paraId="5F3AE953">
      <w:pPr>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13.1 本项目实行电子投标，供应商应准备电子投标文件：</w:t>
      </w:r>
    </w:p>
    <w:p w14:paraId="3311CE8A">
      <w:pPr>
        <w:spacing w:line="360" w:lineRule="auto"/>
        <w:ind w:firstLine="42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13.1.1 电子投标文件按</w:t>
      </w:r>
      <w:r>
        <w:rPr>
          <w:rFonts w:hint="eastAsia" w:ascii="宋体" w:hAnsi="宋体" w:eastAsia="宋体" w:cs="宋体"/>
          <w:b/>
          <w:bCs/>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b/>
          <w:bCs/>
          <w:color w:val="000000" w:themeColor="text1"/>
          <w:szCs w:val="21"/>
          <w:highlight w:val="none"/>
          <w14:textFill>
            <w14:solidFill>
              <w14:schemeClr w14:val="tx1"/>
            </w14:solidFill>
          </w14:textFill>
        </w:rPr>
        <w:t>要求及本招标文件要求制作、加密并递交。具体操作流程可参考《政府采购项目电子交易管理操作指南-供应商》，指南可在 “</w:t>
      </w:r>
      <w:r>
        <w:rPr>
          <w:rFonts w:hint="eastAsia" w:ascii="宋体" w:hAnsi="宋体" w:eastAsia="宋体" w:cs="宋体"/>
          <w:b/>
          <w:bCs/>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b/>
          <w:bCs/>
          <w:color w:val="000000" w:themeColor="text1"/>
          <w:szCs w:val="21"/>
          <w:highlight w:val="none"/>
          <w14:textFill>
            <w14:solidFill>
              <w14:schemeClr w14:val="tx1"/>
            </w14:solidFill>
          </w14:textFill>
        </w:rPr>
        <w:t xml:space="preserve">”下载。 </w:t>
      </w:r>
    </w:p>
    <w:p w14:paraId="11D37D65">
      <w:pPr>
        <w:tabs>
          <w:tab w:val="left" w:pos="2190"/>
        </w:tabs>
        <w:spacing w:line="400" w:lineRule="exact"/>
        <w:ind w:firstLine="435"/>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13.2</w:t>
      </w:r>
      <w:r>
        <w:rPr>
          <w:rFonts w:hint="eastAsia" w:ascii="宋体" w:hAnsi="宋体" w:eastAsia="宋体" w:cs="宋体"/>
          <w:b/>
          <w:color w:val="000000" w:themeColor="text1"/>
          <w:szCs w:val="21"/>
          <w:highlight w:val="none"/>
          <w14:textFill>
            <w14:solidFill>
              <w14:schemeClr w14:val="tx1"/>
            </w14:solidFill>
          </w14:textFill>
        </w:rPr>
        <w:t>投标文件组成【格式见第六章“投标文件（格式）”】</w:t>
      </w:r>
    </w:p>
    <w:p w14:paraId="5250A66B">
      <w:pPr>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13.2.1资格性响应证明材料：</w:t>
      </w:r>
    </w:p>
    <w:p w14:paraId="3BAFC19D">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（1）投标人相应的法定代表人、负责人、自然人身份证正反面</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bCs/>
          <w:color w:val="000000" w:themeColor="text1"/>
          <w:szCs w:val="21"/>
          <w:highlight w:val="none"/>
          <w14:textFill>
            <w14:solidFill>
              <w14:schemeClr w14:val="tx1"/>
            </w14:solidFill>
          </w14:textFill>
        </w:rPr>
        <w:t>（必须提供）</w:t>
      </w:r>
      <w:r>
        <w:rPr>
          <w:rFonts w:hint="eastAsia" w:ascii="宋体" w:hAnsi="宋体" w:eastAsia="宋体" w:cs="宋体"/>
          <w:color w:val="000000" w:themeColor="text1"/>
          <w:szCs w:val="21"/>
          <w:highlight w:val="none"/>
          <w14:textFill>
            <w14:solidFill>
              <w14:schemeClr w14:val="tx1"/>
            </w14:solidFill>
          </w14:textFill>
        </w:rPr>
        <w:t>；</w:t>
      </w:r>
    </w:p>
    <w:p w14:paraId="1A47F7EE">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（2）投标人的授权委托书原件、委托代理人身份证正反面</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以及由县级以上（含县级）社会养老保险经办机构出具的投标人为委托代理人交纳的开标截止时间前</w:t>
      </w:r>
      <w:r>
        <w:rPr>
          <w:rFonts w:hint="eastAsia" w:ascii="宋体" w:hAnsi="宋体" w:eastAsia="宋体" w:cs="宋体"/>
          <w:color w:val="000000" w:themeColor="text1"/>
          <w:szCs w:val="21"/>
          <w:highlight w:val="none"/>
          <w:lang w:eastAsia="zh-CN"/>
          <w14:textFill>
            <w14:solidFill>
              <w14:schemeClr w14:val="tx1"/>
            </w14:solidFill>
          </w14:textFill>
        </w:rPr>
        <w:t>三个月内任意一个月</w:t>
      </w:r>
      <w:r>
        <w:rPr>
          <w:rFonts w:hint="eastAsia" w:ascii="宋体" w:hAnsi="宋体" w:eastAsia="宋体" w:cs="宋体"/>
          <w:color w:val="000000" w:themeColor="text1"/>
          <w:szCs w:val="21"/>
          <w:highlight w:val="none"/>
          <w:lang w:val="en-US"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证明</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，除投标人为以下</w:t>
      </w:r>
      <w:r>
        <w:rPr>
          <w:rFonts w:hint="eastAsia" w:ascii="宋体" w:hAnsi="宋体" w:eastAsia="宋体" w:cs="宋体"/>
          <w:color w:val="000000" w:themeColor="text1"/>
          <w:szCs w:val="21"/>
          <w:highlight w:val="none"/>
          <w:lang w:val="en-US" w:eastAsia="zh-CN"/>
          <w14:textFill>
            <w14:solidFill>
              <w14:schemeClr w14:val="tx1"/>
            </w14:solidFill>
          </w14:textFill>
        </w:rPr>
        <w:t>四</w:t>
      </w:r>
      <w:r>
        <w:rPr>
          <w:rFonts w:hint="eastAsia" w:ascii="宋体" w:hAnsi="宋体" w:eastAsia="宋体" w:cs="宋体"/>
          <w:color w:val="000000" w:themeColor="text1"/>
          <w:szCs w:val="21"/>
          <w:highlight w:val="none"/>
          <w14:textFill>
            <w14:solidFill>
              <w14:schemeClr w14:val="tx1"/>
            </w14:solidFill>
          </w14:textFill>
        </w:rPr>
        <w:t>种情形的：</w:t>
      </w:r>
    </w:p>
    <w:p w14:paraId="35FD1C08">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①如投标人为截标时间前60日以内成立的公司，可以提供投标人与委托代理人签订的劳动合同</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代替</w:t>
      </w:r>
      <w:r>
        <w:rPr>
          <w:rFonts w:hint="eastAsia" w:ascii="宋体" w:hAnsi="宋体" w:eastAsia="宋体" w:cs="宋体"/>
          <w:color w:val="000000" w:themeColor="text1"/>
          <w:szCs w:val="21"/>
          <w:highlight w:val="none"/>
          <w:lang w:val="en-US"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证明</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w:t>
      </w:r>
    </w:p>
    <w:p w14:paraId="6BEAD512">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②如投标人为事业单位，可以提供事业单位机构编制管理证</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或事业单位机构为其发放工资的工资条</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代替</w:t>
      </w:r>
      <w:r>
        <w:rPr>
          <w:rFonts w:hint="eastAsia" w:ascii="宋体" w:hAnsi="宋体" w:eastAsia="宋体" w:cs="宋体"/>
          <w:color w:val="000000" w:themeColor="text1"/>
          <w:szCs w:val="21"/>
          <w:highlight w:val="none"/>
          <w:lang w:val="en-US"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证明</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w:t>
      </w:r>
    </w:p>
    <w:p w14:paraId="1E66577F">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③如委托代理人为免缴纳</w:t>
      </w:r>
      <w:r>
        <w:rPr>
          <w:rFonts w:hint="eastAsia" w:ascii="宋体" w:hAnsi="宋体" w:eastAsia="宋体" w:cs="宋体"/>
          <w:color w:val="000000" w:themeColor="text1"/>
          <w:szCs w:val="21"/>
          <w:highlight w:val="none"/>
          <w:lang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人员，提供免缴纳</w:t>
      </w:r>
      <w:r>
        <w:rPr>
          <w:rFonts w:hint="eastAsia" w:ascii="宋体" w:hAnsi="宋体" w:eastAsia="宋体" w:cs="宋体"/>
          <w:color w:val="000000" w:themeColor="text1"/>
          <w:szCs w:val="21"/>
          <w:highlight w:val="none"/>
          <w:lang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的证明材料</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及投标人与委托代理人签订的劳动合同</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代替</w:t>
      </w:r>
      <w:r>
        <w:rPr>
          <w:rFonts w:hint="eastAsia" w:ascii="宋体" w:hAnsi="宋体" w:eastAsia="宋体" w:cs="宋体"/>
          <w:color w:val="000000" w:themeColor="text1"/>
          <w:szCs w:val="21"/>
          <w:highlight w:val="none"/>
          <w:lang w:val="en-US"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证明</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w:t>
      </w:r>
    </w:p>
    <w:p w14:paraId="01F1F069">
      <w:pPr>
        <w:pStyle w:val="212"/>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5788BA6F">
      <w:pPr>
        <w:spacing w:line="400" w:lineRule="exact"/>
        <w:ind w:firstLine="413"/>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【属自然人的应提供由县级以上（含县级）社会养老保险经办机构出具的自然人本人及委托代理人所交纳的开标截止时间前</w:t>
      </w:r>
      <w:r>
        <w:rPr>
          <w:rFonts w:hint="eastAsia" w:ascii="宋体" w:hAnsi="宋体" w:eastAsia="宋体" w:cs="宋体"/>
          <w:b/>
          <w:bCs/>
          <w:color w:val="000000" w:themeColor="text1"/>
          <w:szCs w:val="21"/>
          <w:highlight w:val="none"/>
          <w:lang w:eastAsia="zh-CN"/>
          <w14:textFill>
            <w14:solidFill>
              <w14:schemeClr w14:val="tx1"/>
            </w14:solidFill>
          </w14:textFill>
        </w:rPr>
        <w:t>三个月内任意一个月</w:t>
      </w:r>
      <w:r>
        <w:rPr>
          <w:rFonts w:hint="eastAsia" w:ascii="宋体" w:hAnsi="宋体" w:eastAsia="宋体" w:cs="宋体"/>
          <w:b/>
          <w:bCs/>
          <w:color w:val="000000" w:themeColor="text1"/>
          <w:szCs w:val="21"/>
          <w:highlight w:val="none"/>
          <w:lang w:val="en-US" w:eastAsia="zh-CN"/>
          <w14:textFill>
            <w14:solidFill>
              <w14:schemeClr w14:val="tx1"/>
            </w14:solidFill>
          </w14:textFill>
        </w:rPr>
        <w:t>养老保险</w:t>
      </w:r>
      <w:r>
        <w:rPr>
          <w:rFonts w:hint="eastAsia" w:ascii="宋体" w:hAnsi="宋体" w:eastAsia="宋体" w:cs="宋体"/>
          <w:b/>
          <w:bCs/>
          <w:color w:val="000000" w:themeColor="text1"/>
          <w:szCs w:val="21"/>
          <w:highlight w:val="none"/>
          <w14:textFill>
            <w14:solidFill>
              <w14:schemeClr w14:val="tx1"/>
            </w14:solidFill>
          </w14:textFill>
        </w:rPr>
        <w:t>证明</w:t>
      </w:r>
      <w:r>
        <w:rPr>
          <w:rFonts w:hint="eastAsia" w:ascii="宋体" w:hAnsi="宋体" w:eastAsia="宋体" w:cs="宋体"/>
          <w:b/>
          <w:bCs/>
          <w:color w:val="000000" w:themeColor="text1"/>
          <w:szCs w:val="21"/>
          <w:highlight w:val="none"/>
          <w:lang w:eastAsia="zh-CN"/>
          <w14:textFill>
            <w14:solidFill>
              <w14:schemeClr w14:val="tx1"/>
            </w14:solidFill>
          </w14:textFill>
        </w:rPr>
        <w:t>扫描件。</w:t>
      </w:r>
      <w:r>
        <w:rPr>
          <w:rFonts w:hint="eastAsia" w:ascii="宋体" w:hAnsi="宋体" w:eastAsia="宋体" w:cs="宋体"/>
          <w:b/>
          <w:bCs/>
          <w:color w:val="000000" w:themeColor="text1"/>
          <w:szCs w:val="21"/>
          <w:highlight w:val="none"/>
          <w:lang w:val="en-US" w:eastAsia="zh-CN"/>
          <w14:textFill>
            <w14:solidFill>
              <w14:schemeClr w14:val="tx1"/>
            </w14:solidFill>
          </w14:textFill>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（委托代理时必须提供；</w:t>
      </w:r>
      <w:r>
        <w:rPr>
          <w:rFonts w:hint="eastAsia" w:ascii="宋体" w:hAnsi="宋体" w:eastAsia="宋体" w:cs="宋体"/>
          <w:b/>
          <w:bCs/>
          <w:color w:val="000000" w:themeColor="text1"/>
          <w:szCs w:val="21"/>
          <w:highlight w:val="none"/>
          <w14:textFill>
            <w14:solidFill>
              <w14:schemeClr w14:val="tx1"/>
            </w14:solidFill>
          </w14:textFill>
        </w:rPr>
        <w:t>如为联合体的，授权委托书原件须由牵头人出具</w:t>
      </w:r>
      <w:r>
        <w:rPr>
          <w:rFonts w:hint="eastAsia" w:ascii="宋体" w:hAnsi="宋体" w:eastAsia="宋体" w:cs="宋体"/>
          <w:b/>
          <w:color w:val="000000" w:themeColor="text1"/>
          <w:szCs w:val="21"/>
          <w:highlight w:val="none"/>
          <w14:textFill>
            <w14:solidFill>
              <w14:schemeClr w14:val="tx1"/>
            </w14:solidFill>
          </w14:textFill>
        </w:rPr>
        <w:t>）；</w:t>
      </w:r>
    </w:p>
    <w:p w14:paraId="5F7B8CEB">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（3）投标人的法人或者其他组织营业执照等证明文件</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color w:val="000000" w:themeColor="text1"/>
          <w:szCs w:val="21"/>
          <w:highlight w:val="none"/>
          <w14:textFill>
            <w14:solidFill>
              <w14:schemeClr w14:val="tx1"/>
            </w14:solidFill>
          </w14:textFill>
        </w:rPr>
        <w:t>（必须提供，自然人除外）</w:t>
      </w:r>
      <w:r>
        <w:rPr>
          <w:rFonts w:hint="eastAsia" w:ascii="宋体" w:hAnsi="宋体" w:eastAsia="宋体" w:cs="宋体"/>
          <w:color w:val="000000" w:themeColor="text1"/>
          <w:szCs w:val="21"/>
          <w:highlight w:val="none"/>
          <w14:textFill>
            <w14:solidFill>
              <w14:schemeClr w14:val="tx1"/>
            </w14:solidFill>
          </w14:textFill>
        </w:rPr>
        <w:t>；</w:t>
      </w:r>
    </w:p>
    <w:p w14:paraId="44D34E0D">
      <w:pPr>
        <w:tabs>
          <w:tab w:val="left" w:pos="1305"/>
        </w:tabs>
        <w:spacing w:line="400" w:lineRule="exact"/>
        <w:ind w:firstLine="422"/>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b/>
          <w:color w:val="000000" w:themeColor="text1"/>
          <w:szCs w:val="21"/>
          <w:highlight w:val="none"/>
          <w:u w:val="single"/>
          <w14:textFill>
            <w14:solidFill>
              <w14:schemeClr w14:val="tx1"/>
            </w14:solidFill>
          </w14:textFill>
        </w:rPr>
        <w:t>注：供应商为企业（包括合伙企业），应提供</w:t>
      </w:r>
      <w:r>
        <w:rPr>
          <w:rFonts w:hint="eastAsia" w:ascii="宋体" w:hAnsi="宋体" w:eastAsia="宋体" w:cs="宋体"/>
          <w:b/>
          <w:color w:val="000000" w:themeColor="text1"/>
          <w:szCs w:val="21"/>
          <w:highlight w:val="none"/>
          <w:u w:val="single"/>
          <w:lang w:eastAsia="zh-CN"/>
          <w14:textFill>
            <w14:solidFill>
              <w14:schemeClr w14:val="tx1"/>
            </w14:solidFill>
          </w14:textFill>
        </w:rPr>
        <w:t>市场监管部门（登记机关）</w:t>
      </w:r>
      <w:r>
        <w:rPr>
          <w:rFonts w:hint="eastAsia" w:ascii="宋体" w:hAnsi="宋体" w:eastAsia="宋体" w:cs="宋体"/>
          <w:b/>
          <w:color w:val="000000" w:themeColor="text1"/>
          <w:szCs w:val="21"/>
          <w:highlight w:val="none"/>
          <w:u w:val="single"/>
          <w14:textFill>
            <w14:solidFill>
              <w14:schemeClr w14:val="tx1"/>
            </w14:solidFill>
          </w14:textFill>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eastAsia="宋体" w:cs="宋体"/>
          <w:b/>
          <w:color w:val="000000" w:themeColor="text1"/>
          <w:szCs w:val="21"/>
          <w:highlight w:val="none"/>
          <w:u w:val="single"/>
          <w:lang w:eastAsia="zh-CN"/>
          <w14:textFill>
            <w14:solidFill>
              <w14:schemeClr w14:val="tx1"/>
            </w14:solidFill>
          </w14:textFill>
        </w:rPr>
        <w:t>扫描件</w:t>
      </w:r>
      <w:r>
        <w:rPr>
          <w:rFonts w:hint="eastAsia" w:ascii="宋体" w:hAnsi="宋体" w:eastAsia="宋体" w:cs="宋体"/>
          <w:b/>
          <w:color w:val="000000" w:themeColor="text1"/>
          <w:szCs w:val="21"/>
          <w:highlight w:val="none"/>
          <w:u w:val="single"/>
          <w14:textFill>
            <w14:solidFill>
              <w14:schemeClr w14:val="tx1"/>
            </w14:solidFill>
          </w14:textFill>
        </w:rPr>
        <w:t>）</w:t>
      </w:r>
    </w:p>
    <w:p w14:paraId="1CB19FD3">
      <w:pPr>
        <w:numPr>
          <w:ilvl w:val="0"/>
          <w:numId w:val="0"/>
        </w:numPr>
        <w:spacing w:line="400" w:lineRule="exact"/>
        <w:ind w:left="9"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财务状况报告</w:t>
      </w:r>
      <w:r>
        <w:rPr>
          <w:rFonts w:hint="eastAsia" w:ascii="宋体" w:hAnsi="宋体" w:eastAsia="宋体" w:cs="宋体"/>
          <w:b/>
          <w:bCs/>
          <w:color w:val="000000" w:themeColor="text1"/>
          <w:szCs w:val="21"/>
          <w:highlight w:val="none"/>
          <w:lang w:eastAsia="zh-CN"/>
          <w14:textFill>
            <w14:solidFill>
              <w14:schemeClr w14:val="tx1"/>
            </w14:solidFill>
          </w14:textFill>
        </w:rPr>
        <w:t>（格式自拟，必须提供）</w:t>
      </w:r>
      <w:r>
        <w:rPr>
          <w:rFonts w:hint="eastAsia" w:ascii="宋体" w:hAnsi="宋体" w:eastAsia="宋体" w:cs="宋体"/>
          <w:b/>
          <w:bCs/>
          <w:color w:val="000000" w:themeColor="text1"/>
          <w:szCs w:val="21"/>
          <w:highlight w:val="none"/>
          <w14:textFill>
            <w14:solidFill>
              <w14:schemeClr w14:val="tx1"/>
            </w14:solidFill>
          </w14:textFill>
        </w:rPr>
        <w:t>；</w:t>
      </w:r>
    </w:p>
    <w:p w14:paraId="76A4FF19">
      <w:pPr>
        <w:numPr>
          <w:ilvl w:val="0"/>
          <w:numId w:val="0"/>
        </w:numPr>
        <w:spacing w:line="400" w:lineRule="exact"/>
        <w:ind w:left="9"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szCs w:val="21"/>
          <w:highlight w:val="none"/>
          <w:lang w:eastAsia="zh-CN"/>
          <w14:textFill>
            <w14:solidFill>
              <w14:schemeClr w14:val="tx1"/>
            </w14:solidFill>
          </w14:textFill>
        </w:rPr>
        <w:t>投标人参加政府采购活动前3年内在经营活动中没有重大违法记录及有关信用信息的书面声明或专项信用报告</w:t>
      </w:r>
      <w:r>
        <w:rPr>
          <w:rFonts w:hint="eastAsia" w:ascii="宋体" w:hAnsi="宋体" w:eastAsia="宋体" w:cs="宋体"/>
          <w:b/>
          <w:color w:val="000000" w:themeColor="text1"/>
          <w:szCs w:val="21"/>
          <w:highlight w:val="none"/>
          <w14:textFill>
            <w14:solidFill>
              <w14:schemeClr w14:val="tx1"/>
            </w14:solidFill>
          </w14:textFill>
        </w:rPr>
        <w:t>（必须提供）</w:t>
      </w:r>
      <w:r>
        <w:rPr>
          <w:rFonts w:hint="eastAsia" w:ascii="宋体" w:hAnsi="宋体" w:eastAsia="宋体" w:cs="宋体"/>
          <w:color w:val="000000" w:themeColor="text1"/>
          <w:szCs w:val="21"/>
          <w:highlight w:val="none"/>
          <w14:textFill>
            <w14:solidFill>
              <w14:schemeClr w14:val="tx1"/>
            </w14:solidFill>
          </w14:textFill>
        </w:rPr>
        <w:t>；</w:t>
      </w:r>
    </w:p>
    <w:p w14:paraId="19203772">
      <w:pPr>
        <w:numPr>
          <w:ilvl w:val="0"/>
          <w:numId w:val="0"/>
        </w:numPr>
        <w:spacing w:line="400" w:lineRule="exact"/>
        <w:ind w:left="9" w:firstLine="411"/>
        <w:rPr>
          <w:rFonts w:hint="eastAsia" w:ascii="宋体" w:hAnsi="宋体" w:eastAsia="宋体" w:cs="宋体"/>
          <w:b/>
          <w:bCs/>
          <w:color w:val="000000" w:themeColor="text1"/>
          <w:szCs w:val="21"/>
          <w:highlight w:val="none"/>
          <w:u w:val="single"/>
          <w:lang w:eastAsia="zh-CN"/>
          <w14:textFill>
            <w14:solidFill>
              <w14:schemeClr w14:val="tx1"/>
            </w14:solidFill>
          </w14:textFill>
        </w:rPr>
      </w:pPr>
      <w:r>
        <w:rPr>
          <w:rFonts w:hint="eastAsia" w:ascii="宋体" w:hAnsi="宋体" w:eastAsia="宋体" w:cs="宋体"/>
          <w:b/>
          <w:bCs/>
          <w:color w:val="000000" w:themeColor="text1"/>
          <w:szCs w:val="21"/>
          <w:highlight w:val="none"/>
          <w:u w:val="single"/>
          <w14:textFill>
            <w14:solidFill>
              <w14:schemeClr w14:val="tx1"/>
            </w14:solidFill>
          </w14:textFill>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eastAsia="宋体" w:cs="宋体"/>
          <w:b/>
          <w:bCs/>
          <w:color w:val="000000" w:themeColor="text1"/>
          <w:szCs w:val="21"/>
          <w:highlight w:val="none"/>
          <w:u w:val="single"/>
          <w:lang w:eastAsia="zh-CN"/>
          <w14:textFill>
            <w14:solidFill>
              <w14:schemeClr w14:val="tx1"/>
            </w14:solidFill>
          </w14:textFill>
        </w:rPr>
        <w:t>；</w:t>
      </w:r>
    </w:p>
    <w:p w14:paraId="1F99B9F0">
      <w:pPr>
        <w:numPr>
          <w:ilvl w:val="0"/>
          <w:numId w:val="0"/>
        </w:numPr>
        <w:spacing w:line="400" w:lineRule="exact"/>
        <w:ind w:left="9" w:firstLine="4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投标人近半年内任意一个月或任一季度依法缴纳税收的证明材料【增值税发票(税收完税证明)或企业所得税完税证明或税务部门出具的免税证明</w:t>
      </w:r>
      <w:r>
        <w:rPr>
          <w:rFonts w:hint="eastAsia" w:ascii="宋体" w:hAnsi="宋体" w:eastAsia="宋体" w:cs="宋体"/>
          <w:color w:val="000000" w:themeColor="text1"/>
          <w:szCs w:val="21"/>
          <w:highlight w:val="none"/>
          <w:lang w:eastAsia="zh-CN"/>
          <w14:textFill>
            <w14:solidFill>
              <w14:schemeClr w14:val="tx1"/>
            </w14:solidFill>
          </w14:textFill>
        </w:rPr>
        <w:t>或税务部门出具的无欠税证明</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bCs/>
          <w:color w:val="000000" w:themeColor="text1"/>
          <w:szCs w:val="21"/>
          <w:highlight w:val="none"/>
          <w14:textFill>
            <w14:solidFill>
              <w14:schemeClr w14:val="tx1"/>
            </w14:solidFill>
          </w14:textFill>
        </w:rPr>
        <w:t>（必须提供）</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679247E">
      <w:pPr>
        <w:numPr>
          <w:ilvl w:val="0"/>
          <w:numId w:val="0"/>
        </w:numPr>
        <w:spacing w:line="400" w:lineRule="exact"/>
        <w:ind w:left="9" w:firstLine="411"/>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（7）</w:t>
      </w:r>
      <w:r>
        <w:rPr>
          <w:rFonts w:hint="eastAsia" w:ascii="宋体" w:hAnsi="宋体" w:eastAsia="宋体" w:cs="宋体"/>
          <w:color w:val="000000" w:themeColor="text1"/>
          <w:szCs w:val="21"/>
          <w:highlight w:val="none"/>
          <w:lang w:val="en-US" w:eastAsia="zh-CN"/>
          <w14:textFill>
            <w14:solidFill>
              <w14:schemeClr w14:val="tx1"/>
            </w14:solidFill>
          </w14:textFill>
        </w:rPr>
        <w:t>《中小企业声明函》（见附件）</w:t>
      </w:r>
      <w:r>
        <w:rPr>
          <w:rFonts w:hint="eastAsia" w:ascii="宋体" w:hAnsi="宋体" w:eastAsia="宋体" w:cs="宋体"/>
          <w:b/>
          <w:bCs/>
          <w:color w:val="000000" w:themeColor="text1"/>
          <w:szCs w:val="21"/>
          <w:highlight w:val="none"/>
          <w:lang w:val="en-US" w:eastAsia="zh-CN"/>
          <w14:textFill>
            <w14:solidFill>
              <w14:schemeClr w14:val="tx1"/>
            </w14:solidFill>
          </w14:textFill>
        </w:rPr>
        <w:t>（除监狱企业及残疾人福利性单位外，必须提供）；</w:t>
      </w:r>
    </w:p>
    <w:p w14:paraId="180857BB">
      <w:pPr>
        <w:numPr>
          <w:ilvl w:val="0"/>
          <w:numId w:val="0"/>
        </w:numPr>
        <w:spacing w:line="400" w:lineRule="exact"/>
        <w:ind w:left="9" w:firstLine="411"/>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（8）</w:t>
      </w:r>
      <w:r>
        <w:rPr>
          <w:rFonts w:hint="eastAsia" w:ascii="宋体" w:hAnsi="宋体" w:eastAsia="宋体" w:cs="宋体"/>
          <w:color w:val="000000" w:themeColor="text1"/>
          <w:szCs w:val="21"/>
          <w:highlight w:val="none"/>
          <w:lang w:val="en-US" w:eastAsia="zh-CN"/>
          <w14:textFill>
            <w14:solidFill>
              <w14:schemeClr w14:val="tx1"/>
            </w14:solidFill>
          </w14:textFill>
        </w:rPr>
        <w:t>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000000" w:themeColor="text1"/>
          <w:szCs w:val="21"/>
          <w:highlight w:val="none"/>
          <w:lang w:val="en-US" w:eastAsia="zh-CN"/>
          <w14:textFill>
            <w14:solidFill>
              <w14:schemeClr w14:val="tx1"/>
            </w14:solidFill>
          </w14:textFill>
        </w:rPr>
        <w:t>（如供应商属于监狱企业的，则必须提供）；</w:t>
      </w:r>
    </w:p>
    <w:p w14:paraId="13BE4BAF">
      <w:pPr>
        <w:numPr>
          <w:ilvl w:val="0"/>
          <w:numId w:val="0"/>
        </w:numPr>
        <w:spacing w:line="400" w:lineRule="exact"/>
        <w:ind w:left="9"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（9）</w:t>
      </w:r>
      <w:r>
        <w:rPr>
          <w:rFonts w:hint="eastAsia" w:ascii="宋体" w:hAnsi="宋体" w:eastAsia="宋体" w:cs="宋体"/>
          <w:color w:val="000000" w:themeColor="text1"/>
          <w:szCs w:val="21"/>
          <w:highlight w:val="none"/>
          <w:lang w:val="en-US" w:eastAsia="zh-CN"/>
          <w14:textFill>
            <w14:solidFill>
              <w14:schemeClr w14:val="tx1"/>
            </w14:solidFill>
          </w14:textFill>
        </w:rPr>
        <w:t>符合条件的残疾人福利性单位在参加政府采购活动时，应当提供《残疾人福利性单位声明函》（见附件），并对声明的真实性负责；</w:t>
      </w:r>
      <w:r>
        <w:rPr>
          <w:rFonts w:hint="eastAsia" w:ascii="宋体" w:hAnsi="宋体" w:eastAsia="宋体" w:cs="宋体"/>
          <w:b/>
          <w:bCs/>
          <w:color w:val="000000" w:themeColor="text1"/>
          <w:szCs w:val="21"/>
          <w:highlight w:val="none"/>
          <w:lang w:val="en-US" w:eastAsia="zh-CN"/>
          <w14:textFill>
            <w14:solidFill>
              <w14:schemeClr w14:val="tx1"/>
            </w14:solidFill>
          </w14:textFill>
        </w:rPr>
        <w:t>（如供应商属于残疾人福利性单位的，则必须提供）。</w:t>
      </w:r>
    </w:p>
    <w:p w14:paraId="63BD0ACB">
      <w:pPr>
        <w:tabs>
          <w:tab w:val="left" w:pos="1305"/>
        </w:tabs>
        <w:spacing w:line="360" w:lineRule="auto"/>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13.2.2</w:t>
      </w:r>
      <w:r>
        <w:rPr>
          <w:rFonts w:hint="eastAsia" w:ascii="宋体" w:hAnsi="宋体" w:eastAsia="宋体" w:cs="宋体"/>
          <w:b/>
          <w:color w:val="000000" w:themeColor="text1"/>
          <w:szCs w:val="21"/>
          <w:highlight w:val="none"/>
          <w14:textFill>
            <w14:solidFill>
              <w14:schemeClr w14:val="tx1"/>
            </w14:solidFill>
          </w14:textFill>
        </w:rPr>
        <w:t>商务、技术性响应及其他证明材料：</w:t>
      </w:r>
    </w:p>
    <w:p w14:paraId="239D7153">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投标报价表</w:t>
      </w:r>
      <w:r>
        <w:rPr>
          <w:rFonts w:hint="eastAsia" w:ascii="宋体" w:hAnsi="宋体" w:eastAsia="宋体" w:cs="宋体"/>
          <w:color w:val="000000" w:themeColor="text1"/>
          <w:szCs w:val="21"/>
          <w:highlight w:val="none"/>
          <w14:textFill>
            <w14:solidFill>
              <w14:schemeClr w14:val="tx1"/>
            </w14:solidFill>
          </w14:textFill>
        </w:rPr>
        <w:t>（格式见附件）</w:t>
      </w:r>
      <w:r>
        <w:rPr>
          <w:rFonts w:hint="eastAsia" w:ascii="宋体" w:hAnsi="宋体" w:eastAsia="宋体" w:cs="宋体"/>
          <w:b/>
          <w:bCs/>
          <w:color w:val="000000" w:themeColor="text1"/>
          <w:szCs w:val="21"/>
          <w:highlight w:val="none"/>
          <w14:textFill>
            <w14:solidFill>
              <w14:schemeClr w14:val="tx1"/>
            </w14:solidFill>
          </w14:textFill>
        </w:rPr>
        <w:t>（必须提供）</w:t>
      </w:r>
      <w:r>
        <w:rPr>
          <w:rFonts w:hint="eastAsia" w:ascii="宋体" w:hAnsi="宋体" w:eastAsia="宋体" w:cs="宋体"/>
          <w:b/>
          <w:bCs/>
          <w:color w:val="000000" w:themeColor="text1"/>
          <w:szCs w:val="21"/>
          <w:highlight w:val="none"/>
          <w:lang w:eastAsia="zh-CN"/>
          <w14:textFill>
            <w14:solidFill>
              <w14:schemeClr w14:val="tx1"/>
            </w14:solidFill>
          </w14:textFill>
        </w:rPr>
        <w:t>；</w:t>
      </w:r>
    </w:p>
    <w:p w14:paraId="0A0EE7B2">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szCs w:val="21"/>
          <w:highlight w:val="none"/>
          <w:lang w:eastAsia="zh-CN"/>
          <w14:textFill>
            <w14:solidFill>
              <w14:schemeClr w14:val="tx1"/>
            </w14:solidFill>
          </w14:textFill>
        </w:rPr>
        <w:t>服务响应表</w:t>
      </w:r>
      <w:r>
        <w:rPr>
          <w:rFonts w:hint="eastAsia" w:ascii="宋体" w:hAnsi="宋体" w:eastAsia="宋体" w:cs="宋体"/>
          <w:bCs/>
          <w:color w:val="000000" w:themeColor="text1"/>
          <w:szCs w:val="21"/>
          <w:highlight w:val="none"/>
          <w14:textFill>
            <w14:solidFill>
              <w14:schemeClr w14:val="tx1"/>
            </w14:solidFill>
          </w14:textFill>
        </w:rPr>
        <w:t>（格式见附件）</w:t>
      </w:r>
      <w:r>
        <w:rPr>
          <w:rFonts w:hint="eastAsia" w:ascii="宋体" w:hAnsi="宋体" w:eastAsia="宋体" w:cs="宋体"/>
          <w:b/>
          <w:color w:val="000000" w:themeColor="text1"/>
          <w:szCs w:val="21"/>
          <w:highlight w:val="none"/>
          <w14:textFill>
            <w14:solidFill>
              <w14:schemeClr w14:val="tx1"/>
            </w14:solidFill>
          </w14:textFill>
        </w:rPr>
        <w:t>（必须提供）</w:t>
      </w:r>
      <w:r>
        <w:rPr>
          <w:rFonts w:hint="eastAsia" w:ascii="宋体" w:hAnsi="宋体" w:eastAsia="宋体" w:cs="宋体"/>
          <w:color w:val="000000" w:themeColor="text1"/>
          <w:szCs w:val="21"/>
          <w:highlight w:val="none"/>
          <w14:textFill>
            <w14:solidFill>
              <w14:schemeClr w14:val="tx1"/>
            </w14:solidFill>
          </w14:textFill>
        </w:rPr>
        <w:t>；</w:t>
      </w:r>
    </w:p>
    <w:p w14:paraId="3BBDD92D">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商务响应表</w:t>
      </w:r>
      <w:r>
        <w:rPr>
          <w:rFonts w:hint="eastAsia" w:ascii="宋体" w:hAnsi="宋体" w:eastAsia="宋体" w:cs="宋体"/>
          <w:bCs/>
          <w:color w:val="000000" w:themeColor="text1"/>
          <w:szCs w:val="21"/>
          <w:highlight w:val="none"/>
          <w14:textFill>
            <w14:solidFill>
              <w14:schemeClr w14:val="tx1"/>
            </w14:solidFill>
          </w14:textFill>
        </w:rPr>
        <w:t>（格式见附件）</w:t>
      </w:r>
      <w:r>
        <w:rPr>
          <w:rFonts w:hint="eastAsia" w:ascii="宋体" w:hAnsi="宋体" w:eastAsia="宋体" w:cs="宋体"/>
          <w:b/>
          <w:color w:val="000000" w:themeColor="text1"/>
          <w:szCs w:val="21"/>
          <w:highlight w:val="none"/>
          <w14:textFill>
            <w14:solidFill>
              <w14:schemeClr w14:val="tx1"/>
            </w14:solidFill>
          </w14:textFill>
        </w:rPr>
        <w:t>（必须提供）</w:t>
      </w:r>
      <w:r>
        <w:rPr>
          <w:rFonts w:hint="eastAsia" w:ascii="宋体" w:hAnsi="宋体" w:eastAsia="宋体" w:cs="宋体"/>
          <w:bCs/>
          <w:color w:val="000000" w:themeColor="text1"/>
          <w:szCs w:val="21"/>
          <w:highlight w:val="none"/>
          <w14:textFill>
            <w14:solidFill>
              <w14:schemeClr w14:val="tx1"/>
            </w14:solidFill>
          </w14:textFill>
        </w:rPr>
        <w:t>；</w:t>
      </w:r>
    </w:p>
    <w:p w14:paraId="3E500E1E">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“采购需求”需提供的有效证明文件</w:t>
      </w:r>
      <w:r>
        <w:rPr>
          <w:rFonts w:hint="eastAsia" w:ascii="宋体" w:hAnsi="宋体" w:eastAsia="宋体" w:cs="宋体"/>
          <w:b/>
          <w:color w:val="000000" w:themeColor="text1"/>
          <w:szCs w:val="21"/>
          <w:highlight w:val="none"/>
          <w14:textFill>
            <w14:solidFill>
              <w14:schemeClr w14:val="tx1"/>
            </w14:solidFill>
          </w14:textFill>
        </w:rPr>
        <w:t>（按其要求提供）</w:t>
      </w:r>
      <w:r>
        <w:rPr>
          <w:rFonts w:hint="eastAsia" w:ascii="宋体" w:hAnsi="宋体" w:eastAsia="宋体" w:cs="宋体"/>
          <w:color w:val="000000" w:themeColor="text1"/>
          <w:szCs w:val="21"/>
          <w:highlight w:val="none"/>
          <w14:textFill>
            <w14:solidFill>
              <w14:schemeClr w14:val="tx1"/>
            </w14:solidFill>
          </w14:textFill>
        </w:rPr>
        <w:t>；</w:t>
      </w:r>
    </w:p>
    <w:p w14:paraId="424B4347">
      <w:pPr>
        <w:numPr>
          <w:ilvl w:val="0"/>
          <w:numId w:val="0"/>
        </w:numPr>
        <w:tabs>
          <w:tab w:val="left" w:pos="1305"/>
        </w:tabs>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1"/>
          <w:szCs w:val="24"/>
          <w:highlight w:val="none"/>
          <w:lang w:val="en-US" w:eastAsia="zh-CN" w:bidi="ar-SA"/>
          <w14:textFill>
            <w14:solidFill>
              <w14:schemeClr w14:val="tx1"/>
            </w14:solidFill>
          </w14:textFill>
        </w:rPr>
        <w:t>（5）</w:t>
      </w:r>
      <w:r>
        <w:rPr>
          <w:rFonts w:hint="eastAsia" w:ascii="宋体" w:hAnsi="宋体" w:eastAsia="宋体" w:cs="宋体"/>
          <w:color w:val="000000" w:themeColor="text1"/>
          <w:szCs w:val="21"/>
          <w:highlight w:val="none"/>
          <w:lang w:eastAsia="zh-CN"/>
          <w14:textFill>
            <w14:solidFill>
              <w14:schemeClr w14:val="tx1"/>
            </w14:solidFill>
          </w14:textFill>
        </w:rPr>
        <w:t>服务承诺书（由供应商根据本项目采购需求、特点及供应商自身的处理能力自行编写）</w:t>
      </w:r>
      <w:r>
        <w:rPr>
          <w:rFonts w:hint="eastAsia" w:ascii="宋体" w:hAnsi="宋体" w:eastAsia="宋体" w:cs="宋体"/>
          <w:bCs/>
          <w:color w:val="000000" w:themeColor="text1"/>
          <w:szCs w:val="21"/>
          <w:highlight w:val="none"/>
          <w14:textFill>
            <w14:solidFill>
              <w14:schemeClr w14:val="tx1"/>
            </w14:solidFill>
          </w14:textFill>
        </w:rPr>
        <w:t>（格式见附件）</w:t>
      </w:r>
      <w:r>
        <w:rPr>
          <w:rFonts w:hint="eastAsia" w:ascii="宋体" w:hAnsi="宋体" w:eastAsia="宋体" w:cs="宋体"/>
          <w:b/>
          <w:color w:val="000000" w:themeColor="text1"/>
          <w:szCs w:val="21"/>
          <w:highlight w:val="none"/>
          <w14:textFill>
            <w14:solidFill>
              <w14:schemeClr w14:val="tx1"/>
            </w14:solidFill>
          </w14:textFill>
        </w:rPr>
        <w:t>（必须提供）</w:t>
      </w:r>
      <w:r>
        <w:rPr>
          <w:rFonts w:hint="eastAsia" w:ascii="宋体" w:hAnsi="宋体" w:eastAsia="宋体" w:cs="宋体"/>
          <w:color w:val="000000" w:themeColor="text1"/>
          <w:szCs w:val="21"/>
          <w:highlight w:val="none"/>
          <w14:textFill>
            <w14:solidFill>
              <w14:schemeClr w14:val="tx1"/>
            </w14:solidFill>
          </w14:textFill>
        </w:rPr>
        <w:t>；</w:t>
      </w:r>
    </w:p>
    <w:p w14:paraId="43752442">
      <w:pPr>
        <w:tabs>
          <w:tab w:val="left" w:pos="1305"/>
        </w:tabs>
        <w:spacing w:line="400" w:lineRule="exact"/>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针对本项目的服务方案</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必须提供</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eastAsia="zh-CN"/>
          <w14:textFill>
            <w14:solidFill>
              <w14:schemeClr w14:val="tx1"/>
            </w14:solidFill>
          </w14:textFill>
        </w:rPr>
        <w:t>；</w:t>
      </w:r>
    </w:p>
    <w:p w14:paraId="7630C514">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lang w:eastAsia="zh-CN"/>
          <w14:textFill>
            <w14:solidFill>
              <w14:schemeClr w14:val="tx1"/>
            </w14:solidFill>
          </w14:textFill>
        </w:rPr>
        <w:t>）投标人</w:t>
      </w:r>
      <w:r>
        <w:rPr>
          <w:rFonts w:hint="eastAsia" w:ascii="宋体" w:hAnsi="宋体" w:eastAsia="宋体" w:cs="宋体"/>
          <w:color w:val="000000" w:themeColor="text1"/>
          <w:szCs w:val="21"/>
          <w:highlight w:val="none"/>
          <w14:textFill>
            <w14:solidFill>
              <w14:schemeClr w14:val="tx1"/>
            </w14:solidFill>
          </w14:textFill>
        </w:rPr>
        <w:t>自</w:t>
      </w:r>
      <w:r>
        <w:rPr>
          <w:rFonts w:hint="eastAsia" w:ascii="宋体" w:hAnsi="宋体" w:eastAsia="宋体" w:cs="宋体"/>
          <w:color w:val="000000" w:themeColor="text1"/>
          <w:szCs w:val="21"/>
          <w:highlight w:val="none"/>
          <w:lang w:val="en-US" w:eastAsia="zh-CN"/>
          <w14:textFill>
            <w14:solidFill>
              <w14:schemeClr w14:val="tx1"/>
            </w14:solidFill>
          </w14:textFill>
        </w:rPr>
        <w:t>2023年1月1日以来</w:t>
      </w:r>
      <w:r>
        <w:rPr>
          <w:rFonts w:hint="eastAsia" w:ascii="宋体" w:hAnsi="宋体" w:eastAsia="宋体" w:cs="宋体"/>
          <w:color w:val="000000" w:themeColor="text1"/>
          <w:highlight w:val="none"/>
          <w:lang w:eastAsia="zh-CN"/>
          <w14:textFill>
            <w14:solidFill>
              <w14:schemeClr w14:val="tx1"/>
            </w14:solidFill>
          </w14:textFill>
        </w:rPr>
        <w:t>同类业绩</w:t>
      </w:r>
      <w:r>
        <w:rPr>
          <w:rFonts w:hint="eastAsia" w:ascii="宋体" w:hAnsi="宋体" w:eastAsia="宋体" w:cs="宋体"/>
          <w:color w:val="000000" w:themeColor="text1"/>
          <w:highlight w:val="none"/>
          <w14:textFill>
            <w14:solidFill>
              <w14:schemeClr w14:val="tx1"/>
            </w14:solidFill>
          </w14:textFill>
        </w:rPr>
        <w:t>的相关证明材料</w:t>
      </w:r>
      <w:r>
        <w:rPr>
          <w:rFonts w:hint="eastAsia" w:ascii="宋体" w:hAnsi="宋体" w:eastAsia="宋体" w:cs="宋体"/>
          <w:color w:val="000000" w:themeColor="text1"/>
          <w:szCs w:val="21"/>
          <w:highlight w:val="none"/>
          <w14:textFill>
            <w14:solidFill>
              <w14:schemeClr w14:val="tx1"/>
            </w14:solidFill>
          </w14:textFill>
        </w:rPr>
        <w:t>（以中标、成交通知书或签订的采购合同</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为准，并能清晰反映所</w:t>
      </w:r>
      <w:r>
        <w:rPr>
          <w:rFonts w:hint="eastAsia" w:ascii="宋体" w:hAnsi="宋体" w:eastAsia="宋体" w:cs="宋体"/>
          <w:color w:val="000000" w:themeColor="text1"/>
          <w:szCs w:val="21"/>
          <w:highlight w:val="none"/>
          <w:lang w:val="en-US" w:eastAsia="zh-CN"/>
          <w14:textFill>
            <w14:solidFill>
              <w14:schemeClr w14:val="tx1"/>
            </w14:solidFill>
          </w14:textFill>
        </w:rPr>
        <w:t>提供</w:t>
      </w:r>
      <w:r>
        <w:rPr>
          <w:rFonts w:hint="eastAsia" w:ascii="宋体" w:hAnsi="宋体" w:eastAsia="宋体" w:cs="宋体"/>
          <w:color w:val="000000" w:themeColor="text1"/>
          <w:szCs w:val="21"/>
          <w:highlight w:val="none"/>
          <w14:textFill>
            <w14:solidFill>
              <w14:schemeClr w14:val="tx1"/>
            </w14:solidFill>
          </w14:textFill>
        </w:rPr>
        <w:t>的</w:t>
      </w:r>
      <w:r>
        <w:rPr>
          <w:rFonts w:hint="eastAsia" w:ascii="宋体" w:hAnsi="宋体" w:eastAsia="宋体" w:cs="宋体"/>
          <w:color w:val="000000" w:themeColor="text1"/>
          <w:szCs w:val="21"/>
          <w:highlight w:val="none"/>
          <w:lang w:val="en-US" w:eastAsia="zh-CN"/>
          <w14:textFill>
            <w14:solidFill>
              <w14:schemeClr w14:val="tx1"/>
            </w14:solidFill>
          </w14:textFill>
        </w:rPr>
        <w:t>服务类型</w:t>
      </w:r>
      <w:r>
        <w:rPr>
          <w:rFonts w:hint="eastAsia" w:ascii="宋体" w:hAnsi="宋体" w:eastAsia="宋体" w:cs="宋体"/>
          <w:color w:val="000000" w:themeColor="text1"/>
          <w:szCs w:val="21"/>
          <w:highlight w:val="none"/>
          <w14:textFill>
            <w14:solidFill>
              <w14:schemeClr w14:val="tx1"/>
            </w14:solidFill>
          </w14:textFill>
        </w:rPr>
        <w:t>、种类、金额</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b/>
          <w:color w:val="000000" w:themeColor="text1"/>
          <w:highlight w:val="none"/>
          <w14:textFill>
            <w14:solidFill>
              <w14:schemeClr w14:val="tx1"/>
            </w14:solidFill>
          </w14:textFill>
        </w:rPr>
        <w:t>（如有，请提供）</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p>
    <w:p w14:paraId="6CDC5B7D">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）项目</w:t>
      </w:r>
      <w:r>
        <w:rPr>
          <w:rFonts w:hint="eastAsia" w:ascii="宋体" w:hAnsi="宋体" w:eastAsia="宋体" w:cs="宋体"/>
          <w:color w:val="000000" w:themeColor="text1"/>
          <w:szCs w:val="21"/>
          <w:highlight w:val="none"/>
          <w:lang w:eastAsia="zh-CN"/>
          <w14:textFill>
            <w14:solidFill>
              <w14:schemeClr w14:val="tx1"/>
            </w14:solidFill>
          </w14:textFill>
        </w:rPr>
        <w:t>实施</w:t>
      </w:r>
      <w:r>
        <w:rPr>
          <w:rFonts w:hint="eastAsia" w:ascii="宋体" w:hAnsi="宋体" w:eastAsia="宋体" w:cs="宋体"/>
          <w:color w:val="000000" w:themeColor="text1"/>
          <w:szCs w:val="21"/>
          <w:highlight w:val="none"/>
          <w14:textFill>
            <w14:solidFill>
              <w14:schemeClr w14:val="tx1"/>
            </w14:solidFill>
          </w14:textFill>
        </w:rPr>
        <w:t>人员一览表</w:t>
      </w:r>
      <w:r>
        <w:rPr>
          <w:rFonts w:hint="eastAsia" w:ascii="宋体" w:hAnsi="宋体" w:eastAsia="宋体" w:cs="宋体"/>
          <w:b/>
          <w:color w:val="000000" w:themeColor="text1"/>
          <w:highlight w:val="none"/>
          <w14:textFill>
            <w14:solidFill>
              <w14:schemeClr w14:val="tx1"/>
            </w14:solidFill>
          </w14:textFill>
        </w:rPr>
        <w:t>（如有，请提供）</w:t>
      </w:r>
      <w:r>
        <w:rPr>
          <w:rFonts w:hint="eastAsia" w:ascii="宋体" w:hAnsi="宋体" w:eastAsia="宋体" w:cs="宋体"/>
          <w:b/>
          <w:bCs/>
          <w:color w:val="000000" w:themeColor="text1"/>
          <w:szCs w:val="21"/>
          <w:highlight w:val="none"/>
          <w14:textFill>
            <w14:solidFill>
              <w14:schemeClr w14:val="tx1"/>
            </w14:solidFill>
          </w14:textFill>
        </w:rPr>
        <w:t>；</w:t>
      </w:r>
    </w:p>
    <w:p w14:paraId="2A033A15">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投标人相关获奖证书、认证证书等</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color w:val="000000" w:themeColor="text1"/>
          <w:szCs w:val="21"/>
          <w:highlight w:val="none"/>
          <w14:textFill>
            <w14:solidFill>
              <w14:schemeClr w14:val="tx1"/>
            </w14:solidFill>
          </w14:textFill>
        </w:rPr>
        <w:t>（如有，请提供）</w:t>
      </w:r>
      <w:r>
        <w:rPr>
          <w:rFonts w:hint="eastAsia" w:ascii="宋体" w:hAnsi="宋体" w:eastAsia="宋体" w:cs="宋体"/>
          <w:color w:val="000000" w:themeColor="text1"/>
          <w:szCs w:val="21"/>
          <w:highlight w:val="none"/>
          <w14:textFill>
            <w14:solidFill>
              <w14:schemeClr w14:val="tx1"/>
            </w14:solidFill>
          </w14:textFill>
        </w:rPr>
        <w:t>；</w:t>
      </w:r>
    </w:p>
    <w:p w14:paraId="21DB67BC">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4"/>
          <w:highlight w:val="none"/>
          <w:lang w:val="en-US" w:eastAsia="zh-CN" w:bidi="ar-SA"/>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投标人可结合本项目的评标办法视自身情况自行提交相关证明材料</w:t>
      </w:r>
      <w:r>
        <w:rPr>
          <w:rFonts w:hint="eastAsia" w:ascii="宋体" w:hAnsi="宋体" w:eastAsia="宋体" w:cs="宋体"/>
          <w:b/>
          <w:color w:val="000000" w:themeColor="text1"/>
          <w:szCs w:val="21"/>
          <w:highlight w:val="none"/>
          <w14:textFill>
            <w14:solidFill>
              <w14:schemeClr w14:val="tx1"/>
            </w14:solidFill>
          </w14:textFill>
        </w:rPr>
        <w:t>（如有，请提供）</w:t>
      </w:r>
      <w:r>
        <w:rPr>
          <w:rFonts w:hint="eastAsia" w:ascii="宋体" w:hAnsi="宋体" w:eastAsia="宋体" w:cs="宋体"/>
          <w:color w:val="000000" w:themeColor="text1"/>
          <w:szCs w:val="21"/>
          <w:highlight w:val="none"/>
          <w14:textFill>
            <w14:solidFill>
              <w14:schemeClr w14:val="tx1"/>
            </w14:solidFill>
          </w14:textFill>
        </w:rPr>
        <w:t>。</w:t>
      </w:r>
    </w:p>
    <w:p w14:paraId="3F11EB8C">
      <w:pPr>
        <w:spacing w:line="400" w:lineRule="exact"/>
        <w:ind w:firstLine="420"/>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投标人提供的以上相关证明材料属于“必须提供”的文件应加盖投标人公章（CA签章）/自然人签字或加盖个人CA签章，否则投标无效。</w:t>
      </w:r>
    </w:p>
    <w:p w14:paraId="72574728">
      <w:pPr>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13.3</w:t>
      </w:r>
      <w:r>
        <w:rPr>
          <w:rFonts w:hint="eastAsia" w:ascii="宋体" w:hAnsi="宋体" w:eastAsia="宋体" w:cs="宋体"/>
          <w:color w:val="000000" w:themeColor="text1"/>
          <w:highlight w:val="none"/>
          <w14:textFill>
            <w14:solidFill>
              <w14:schemeClr w14:val="tx1"/>
            </w14:solidFill>
          </w14:textFill>
        </w:rPr>
        <w:t>投标人应按招标文件第六章“投标文件（格式）”编制投标文件。</w:t>
      </w:r>
    </w:p>
    <w:p w14:paraId="409B0D16">
      <w:pPr>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13.4投标文件应当对招标文件提出的要求和条件作出明确响应。</w:t>
      </w:r>
    </w:p>
    <w:p w14:paraId="4DE8B6DC">
      <w:pPr>
        <w:spacing w:line="400" w:lineRule="exact"/>
        <w:ind w:firstLine="420"/>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特别说明：</w:t>
      </w:r>
    </w:p>
    <w:p w14:paraId="03BF6226">
      <w:pPr>
        <w:tabs>
          <w:tab w:val="left" w:pos="1305"/>
        </w:tabs>
        <w:spacing w:line="400" w:lineRule="exact"/>
        <w:ind w:firstLine="422"/>
        <w:rPr>
          <w:rFonts w:hint="eastAsia" w:ascii="宋体" w:hAnsi="宋体" w:eastAsia="宋体" w:cs="宋体"/>
          <w:b/>
          <w:bCs/>
          <w:color w:val="000000" w:themeColor="text1"/>
          <w:szCs w:val="21"/>
          <w:highlight w:val="none"/>
          <w14:textFill>
            <w14:solidFill>
              <w14:schemeClr w14:val="tx1"/>
            </w14:solidFill>
          </w14:textFill>
        </w:rPr>
      </w:pPr>
      <w:bookmarkStart w:id="92" w:name="_Toc11037"/>
      <w:r>
        <w:rPr>
          <w:rFonts w:hint="eastAsia" w:ascii="宋体" w:hAnsi="宋体" w:eastAsia="宋体" w:cs="宋体"/>
          <w:b/>
          <w:bCs/>
          <w:color w:val="000000" w:themeColor="text1"/>
          <w:szCs w:val="21"/>
          <w:highlight w:val="none"/>
          <w14:textFill>
            <w14:solidFill>
              <w14:schemeClr w14:val="tx1"/>
            </w14:solidFill>
          </w14:textFill>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03F8E0D4">
      <w:pPr>
        <w:spacing w:line="400" w:lineRule="exact"/>
        <w:ind w:firstLine="413"/>
        <w:rPr>
          <w:rFonts w:hint="eastAsia" w:ascii="宋体" w:hAnsi="宋体" w:eastAsia="宋体" w:cs="宋体"/>
          <w:b/>
          <w:bCs/>
          <w:color w:val="000000" w:themeColor="text1"/>
          <w:szCs w:val="21"/>
          <w:highlight w:val="none"/>
          <w14:textFill>
            <w14:solidFill>
              <w14:schemeClr w14:val="tx1"/>
            </w14:solidFill>
          </w14:textFill>
        </w:rPr>
      </w:pPr>
      <w:bookmarkStart w:id="93" w:name="_Toc2599"/>
      <w:r>
        <w:rPr>
          <w:rFonts w:hint="eastAsia" w:ascii="宋体" w:hAnsi="宋体" w:eastAsia="宋体" w:cs="宋体"/>
          <w:b/>
          <w:bCs/>
          <w:color w:val="000000" w:themeColor="text1"/>
          <w:szCs w:val="21"/>
          <w:highlight w:val="none"/>
          <w14:textFill>
            <w14:solidFill>
              <w14:schemeClr w14:val="tx1"/>
            </w14:solidFill>
          </w14:textFill>
        </w:rPr>
        <w:t>（2）招标文件要求法定代表人（负责人）或委托代理人签字的部分必须签字然后扫描或者拍照做成 pdf 格式上传（或加盖个人CA签章），无签字的视为投标无效。</w:t>
      </w:r>
      <w:bookmarkEnd w:id="92"/>
    </w:p>
    <w:p w14:paraId="50F03C20">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94" w:name="_Toc8048"/>
      <w:bookmarkStart w:id="95" w:name="_Toc20804"/>
      <w:r>
        <w:rPr>
          <w:rFonts w:hint="eastAsia" w:ascii="宋体" w:hAnsi="宋体" w:eastAsia="宋体" w:cs="宋体"/>
          <w:b/>
          <w:color w:val="000000" w:themeColor="text1"/>
          <w:szCs w:val="21"/>
          <w:highlight w:val="none"/>
          <w14:textFill>
            <w14:solidFill>
              <w14:schemeClr w14:val="tx1"/>
            </w14:solidFill>
          </w14:textFill>
        </w:rPr>
        <w:t>14. 投标文件的语言及计量</w:t>
      </w:r>
      <w:bookmarkEnd w:id="93"/>
      <w:bookmarkEnd w:id="94"/>
      <w:bookmarkEnd w:id="95"/>
    </w:p>
    <w:p w14:paraId="45AB547E">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42B0AE3E">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14.2投标计量单位，招标文件已有明确规定的，使用招标文件规定的计量单位；招标文件没有规定的，应采用中华人民共和国法定计量单位（货币单位：元人民币），否则视同未响应。</w:t>
      </w:r>
    </w:p>
    <w:p w14:paraId="1CF17212">
      <w:pPr>
        <w:numPr>
          <w:ilvl w:val="0"/>
          <w:numId w:val="3"/>
        </w:num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96" w:name="_Toc29705"/>
      <w:bookmarkStart w:id="97" w:name="_Toc9350"/>
      <w:bookmarkStart w:id="98" w:name="_Toc8372"/>
      <w:r>
        <w:rPr>
          <w:rFonts w:hint="eastAsia" w:ascii="宋体" w:hAnsi="宋体" w:eastAsia="宋体" w:cs="宋体"/>
          <w:b/>
          <w:color w:val="000000" w:themeColor="text1"/>
          <w:szCs w:val="21"/>
          <w:highlight w:val="none"/>
          <w14:textFill>
            <w14:solidFill>
              <w14:schemeClr w14:val="tx1"/>
            </w14:solidFill>
          </w14:textFill>
        </w:rPr>
        <w:t>投标报价</w:t>
      </w:r>
      <w:bookmarkEnd w:id="96"/>
      <w:bookmarkEnd w:id="97"/>
      <w:bookmarkEnd w:id="98"/>
    </w:p>
    <w:p w14:paraId="4892098D">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15.1投标报价应按招标文件中第六章“投标文件（格式）”填写，本项目采购预算金额：</w:t>
      </w:r>
      <w:r>
        <w:rPr>
          <w:rFonts w:hint="eastAsia" w:ascii="宋体" w:hAnsi="宋体" w:eastAsia="宋体" w:cs="宋体"/>
          <w:b/>
          <w:bCs/>
          <w:color w:val="000000" w:themeColor="text1"/>
          <w:szCs w:val="21"/>
          <w:highlight w:val="none"/>
          <w:u w:val="single"/>
          <w:lang w:eastAsia="zh-CN"/>
          <w14:textFill>
            <w14:solidFill>
              <w14:schemeClr w14:val="tx1"/>
            </w14:solidFill>
          </w14:textFill>
        </w:rPr>
        <w:t>本项目</w:t>
      </w:r>
      <w:r>
        <w:rPr>
          <w:rFonts w:hint="eastAsia" w:ascii="宋体" w:hAnsi="宋体" w:eastAsia="宋体" w:cs="宋体"/>
          <w:b/>
          <w:bCs/>
          <w:color w:val="000000" w:themeColor="text1"/>
          <w:szCs w:val="21"/>
          <w:highlight w:val="none"/>
          <w:u w:val="single"/>
          <w:lang w:val="en-US" w:eastAsia="zh-CN"/>
          <w14:textFill>
            <w14:solidFill>
              <w14:schemeClr w14:val="tx1"/>
            </w14:solidFill>
          </w14:textFill>
        </w:rPr>
        <w:t>两年总</w:t>
      </w:r>
      <w:r>
        <w:rPr>
          <w:rFonts w:hint="eastAsia" w:ascii="宋体" w:hAnsi="宋体" w:eastAsia="宋体" w:cs="宋体"/>
          <w:b/>
          <w:bCs/>
          <w:color w:val="000000" w:themeColor="text1"/>
          <w:szCs w:val="21"/>
          <w:highlight w:val="none"/>
          <w:u w:val="single"/>
          <w:lang w:eastAsia="zh-CN"/>
          <w14:textFill>
            <w14:solidFill>
              <w14:schemeClr w14:val="tx1"/>
            </w14:solidFill>
          </w14:textFill>
        </w:rPr>
        <w:t>预算金额为人民币伍佰柒拾万元整（¥5700000.00元）</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投标报价超过采购预算金额的，投标文件按无效处理。</w:t>
      </w:r>
    </w:p>
    <w:p w14:paraId="5B869D98">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15.2投标人必须就“</w:t>
      </w:r>
      <w:r>
        <w:rPr>
          <w:rFonts w:hint="eastAsia" w:ascii="宋体" w:hAnsi="宋体" w:eastAsia="宋体" w:cs="宋体"/>
          <w:color w:val="000000" w:themeColor="text1"/>
          <w:szCs w:val="21"/>
          <w:highlight w:val="none"/>
          <w:lang w:eastAsia="zh-CN"/>
          <w14:textFill>
            <w14:solidFill>
              <w14:schemeClr w14:val="tx1"/>
            </w14:solidFill>
          </w14:textFill>
        </w:rPr>
        <w:t>采购需求</w:t>
      </w:r>
      <w:r>
        <w:rPr>
          <w:rFonts w:hint="eastAsia" w:ascii="宋体" w:hAnsi="宋体" w:eastAsia="宋体" w:cs="宋体"/>
          <w:color w:val="000000" w:themeColor="text1"/>
          <w:szCs w:val="21"/>
          <w:highlight w:val="none"/>
          <w14:textFill>
            <w14:solidFill>
              <w14:schemeClr w14:val="tx1"/>
            </w14:solidFill>
          </w14:textFill>
        </w:rPr>
        <w:t>”中所投分标内容作完整唯一报价，否则，其投标将被拒绝；投标文件只允许有一个报价，有选择的或有条件的报价将不予接受。</w:t>
      </w:r>
    </w:p>
    <w:p w14:paraId="3A97CF88">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15.3投标报价应包括本次招标采购范围内</w:t>
      </w:r>
      <w:r>
        <w:rPr>
          <w:rFonts w:hint="eastAsia" w:ascii="宋体" w:hAnsi="宋体" w:eastAsia="宋体" w:cs="宋体"/>
          <w:color w:val="000000" w:themeColor="text1"/>
          <w:highlight w:val="none"/>
          <w14:textFill>
            <w14:solidFill>
              <w14:schemeClr w14:val="tx1"/>
            </w14:solidFill>
          </w14:textFill>
        </w:rPr>
        <w:t>所需服务的人员工资及社保、服装、工具、管理、培训、加班费、节假日奖金、税费及其他成本等所有费用</w:t>
      </w:r>
      <w:r>
        <w:rPr>
          <w:rFonts w:hint="eastAsia" w:ascii="宋体" w:hAnsi="宋体" w:eastAsia="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综合考虑在报价中。</w:t>
      </w:r>
    </w:p>
    <w:p w14:paraId="321C7AB1">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99" w:name="_Toc22333"/>
      <w:bookmarkStart w:id="100" w:name="_Toc18209"/>
      <w:bookmarkStart w:id="101" w:name="_Toc9266"/>
      <w:r>
        <w:rPr>
          <w:rFonts w:hint="eastAsia" w:ascii="宋体" w:hAnsi="宋体" w:eastAsia="宋体" w:cs="宋体"/>
          <w:b/>
          <w:color w:val="000000" w:themeColor="text1"/>
          <w:szCs w:val="21"/>
          <w:highlight w:val="none"/>
          <w14:textFill>
            <w14:solidFill>
              <w14:schemeClr w14:val="tx1"/>
            </w14:solidFill>
          </w14:textFill>
        </w:rPr>
        <w:t>16. 投标有效期</w:t>
      </w:r>
      <w:bookmarkEnd w:id="99"/>
      <w:bookmarkEnd w:id="100"/>
      <w:bookmarkEnd w:id="101"/>
    </w:p>
    <w:p w14:paraId="0C68790F">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16.1投标有效期：</w:t>
      </w:r>
      <w:r>
        <w:rPr>
          <w:rFonts w:hint="eastAsia" w:ascii="宋体" w:hAnsi="宋体" w:eastAsia="宋体" w:cs="宋体"/>
          <w:color w:val="000000" w:themeColor="text1"/>
          <w:highlight w:val="none"/>
          <w14:textFill>
            <w14:solidFill>
              <w14:schemeClr w14:val="tx1"/>
            </w14:solidFill>
          </w14:textFill>
        </w:rPr>
        <w:t>投标截止时间之日起90天</w:t>
      </w:r>
      <w:r>
        <w:rPr>
          <w:rFonts w:hint="eastAsia" w:ascii="宋体" w:hAnsi="宋体" w:eastAsia="宋体" w:cs="宋体"/>
          <w:color w:val="000000" w:themeColor="text1"/>
          <w:sz w:val="22"/>
          <w:szCs w:val="22"/>
          <w:highlight w:val="none"/>
          <w14:textFill>
            <w14:solidFill>
              <w14:schemeClr w14:val="tx1"/>
            </w14:solidFill>
          </w14:textFill>
        </w:rPr>
        <w:t>。</w:t>
      </w:r>
    </w:p>
    <w:p w14:paraId="51B8823F">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16.2出现特殊情况下，需要延长投标有效期的，采购代理机构以书面形式通知投标人延长投标有效期。投标人同意延长的，原投标文件继续有效。投标人拒绝延长的，其投标无效。</w:t>
      </w:r>
    </w:p>
    <w:p w14:paraId="3A2349AE">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02" w:name="_Toc31528"/>
      <w:bookmarkStart w:id="103" w:name="_Toc20861"/>
      <w:bookmarkStart w:id="104" w:name="_Toc5668"/>
      <w:r>
        <w:rPr>
          <w:rFonts w:hint="eastAsia" w:ascii="宋体" w:hAnsi="宋体" w:eastAsia="宋体" w:cs="宋体"/>
          <w:b/>
          <w:color w:val="000000" w:themeColor="text1"/>
          <w:szCs w:val="21"/>
          <w:highlight w:val="none"/>
          <w14:textFill>
            <w14:solidFill>
              <w14:schemeClr w14:val="tx1"/>
            </w14:solidFill>
          </w14:textFill>
        </w:rPr>
        <w:t>17. 投标保证金</w:t>
      </w:r>
      <w:bookmarkEnd w:id="102"/>
      <w:bookmarkEnd w:id="103"/>
      <w:bookmarkEnd w:id="104"/>
    </w:p>
    <w:p w14:paraId="2DAF449C">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本项目无需缴纳投标保证金。</w:t>
      </w:r>
    </w:p>
    <w:p w14:paraId="05652CB1">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05" w:name="_Toc6809"/>
      <w:bookmarkStart w:id="106" w:name="_Toc17461"/>
      <w:bookmarkStart w:id="107" w:name="_Toc30873"/>
      <w:bookmarkStart w:id="108" w:name="_Toc15029"/>
      <w:bookmarkStart w:id="109" w:name="_Toc14142"/>
      <w:bookmarkStart w:id="110" w:name="_Toc24490"/>
      <w:r>
        <w:rPr>
          <w:rFonts w:hint="eastAsia" w:ascii="宋体" w:hAnsi="宋体" w:eastAsia="宋体" w:cs="宋体"/>
          <w:b/>
          <w:color w:val="000000" w:themeColor="text1"/>
          <w:szCs w:val="21"/>
          <w:highlight w:val="none"/>
          <w14:textFill>
            <w14:solidFill>
              <w14:schemeClr w14:val="tx1"/>
            </w14:solidFill>
          </w14:textFill>
        </w:rPr>
        <w:t>18. 投标文件的</w:t>
      </w:r>
      <w:bookmarkEnd w:id="105"/>
      <w:bookmarkEnd w:id="106"/>
      <w:bookmarkEnd w:id="107"/>
      <w:r>
        <w:rPr>
          <w:rFonts w:hint="eastAsia" w:ascii="宋体" w:hAnsi="宋体" w:eastAsia="宋体" w:cs="宋体"/>
          <w:b/>
          <w:color w:val="000000" w:themeColor="text1"/>
          <w:szCs w:val="21"/>
          <w:highlight w:val="none"/>
          <w14:textFill>
            <w14:solidFill>
              <w14:schemeClr w14:val="tx1"/>
            </w14:solidFill>
          </w14:textFill>
        </w:rPr>
        <w:t>制作</w:t>
      </w:r>
      <w:bookmarkEnd w:id="108"/>
      <w:bookmarkEnd w:id="109"/>
    </w:p>
    <w:p w14:paraId="6EFEEF5F">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 电子投标文件中须加盖供应商公章部分均采用CA签章，并根据“政府采购项目电子交易管理操作指南-供应商”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2C75D101">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18.2 供应商法人（负责人）或授权代表持有</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个人CA签章的，应在投标文件中涉及到签字的位置使用个人CA签章，没有办理</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个人CA签章的可在投标文件中涉及到签字的位置手写签字</w:t>
      </w:r>
      <w:r>
        <w:rPr>
          <w:rFonts w:hint="eastAsia" w:ascii="宋体" w:hAnsi="宋体" w:eastAsia="宋体" w:cs="宋体"/>
          <w:color w:val="000000" w:themeColor="text1"/>
          <w:szCs w:val="21"/>
          <w:highlight w:val="none"/>
          <w:lang w:eastAsia="zh-CN"/>
          <w14:textFill>
            <w14:solidFill>
              <w14:schemeClr w14:val="tx1"/>
            </w14:solidFill>
          </w14:textFill>
        </w:rPr>
        <w:t>或盖章</w:t>
      </w:r>
      <w:r>
        <w:rPr>
          <w:rFonts w:hint="eastAsia" w:ascii="宋体" w:hAnsi="宋体" w:eastAsia="宋体" w:cs="宋体"/>
          <w:color w:val="000000" w:themeColor="text1"/>
          <w:szCs w:val="21"/>
          <w:highlight w:val="none"/>
          <w14:textFill>
            <w14:solidFill>
              <w14:schemeClr w14:val="tx1"/>
            </w14:solidFill>
          </w14:textFill>
        </w:rPr>
        <w:t xml:space="preserve">后扫描或者拍照做成PDF的格式上传即可。 </w:t>
      </w:r>
    </w:p>
    <w:p w14:paraId="4DF1378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18.3 投标文件不得涂改，若有修改错漏处，须法定代表人（负责人）或授权委托人签字（或个人CA签章）。投标文件因字迹潦草或表达不清所引起的后果由供应商负责。</w:t>
      </w:r>
    </w:p>
    <w:p w14:paraId="4AA83E54">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18.4评审前准备 </w:t>
      </w:r>
    </w:p>
    <w:p w14:paraId="483E4855">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18.4.1本项目实行网上评审，采用电子投标文件；若供应商参与投标，自行承担投标一切费用。 </w:t>
      </w:r>
    </w:p>
    <w:p w14:paraId="5E2F452C">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18.4.2各供应商在截标前应确保成为</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 xml:space="preserve">正式注册入库供应商，并完成CA数字证书申领。因未注册入库、未办理 CA 数字证书等原因造成无法投标或投标失败等后果由供应商自行承担。 </w:t>
      </w:r>
    </w:p>
    <w:p w14:paraId="4042A89D">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18.4.3供应商将</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电子交易客户端下载、安装完成后，可通过账号密码或CA登录客户端进行投标文件制作。客户端请至网站下载专区查看，如有问题可拨打</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客户服务热线</w:t>
      </w:r>
      <w:r>
        <w:rPr>
          <w:rFonts w:hint="eastAsia" w:ascii="宋体" w:hAnsi="宋体" w:eastAsia="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进行咨询。</w:t>
      </w:r>
    </w:p>
    <w:bookmarkEnd w:id="110"/>
    <w:p w14:paraId="003DBF8B">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11" w:name="_Toc12348"/>
      <w:bookmarkStart w:id="112" w:name="_Toc15098"/>
      <w:bookmarkStart w:id="113" w:name="_Toc14188"/>
      <w:bookmarkStart w:id="114" w:name="_Toc27763"/>
      <w:bookmarkStart w:id="115" w:name="_Toc31572"/>
      <w:r>
        <w:rPr>
          <w:rFonts w:hint="eastAsia" w:ascii="宋体" w:hAnsi="宋体" w:eastAsia="宋体" w:cs="宋体"/>
          <w:b/>
          <w:color w:val="000000" w:themeColor="text1"/>
          <w:szCs w:val="21"/>
          <w:highlight w:val="none"/>
          <w14:textFill>
            <w14:solidFill>
              <w14:schemeClr w14:val="tx1"/>
            </w14:solidFill>
          </w14:textFill>
        </w:rPr>
        <w:t>19. 投标文件的补充、修改和撤回</w:t>
      </w:r>
      <w:bookmarkEnd w:id="111"/>
      <w:bookmarkEnd w:id="112"/>
      <w:bookmarkEnd w:id="113"/>
      <w:bookmarkEnd w:id="114"/>
    </w:p>
    <w:p w14:paraId="2529F065">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19.1 投标文件递交截止时间前可以撤回电子投标文件。补充或者修改电子投标文件的，应当先行撤回原文件，补充、修改后重新传输递交，投标文件递交截止时间前未完成传输的，视为撤回投标文件。</w:t>
      </w:r>
    </w:p>
    <w:p w14:paraId="524D1291">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19.2 在投标文件递交截止时间后的投标文件有效期内，供应商不得撤回其投标文件。</w:t>
      </w:r>
    </w:p>
    <w:bookmarkEnd w:id="115"/>
    <w:p w14:paraId="24CB3000">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16" w:name="_Toc13713"/>
      <w:bookmarkStart w:id="117" w:name="_Toc16777"/>
      <w:bookmarkStart w:id="118" w:name="_Toc8898"/>
      <w:bookmarkStart w:id="119" w:name="_Toc3318"/>
      <w:r>
        <w:rPr>
          <w:rFonts w:hint="eastAsia" w:ascii="宋体" w:hAnsi="宋体" w:eastAsia="宋体" w:cs="宋体"/>
          <w:b/>
          <w:color w:val="000000" w:themeColor="text1"/>
          <w:szCs w:val="21"/>
          <w:highlight w:val="none"/>
          <w14:textFill>
            <w14:solidFill>
              <w14:schemeClr w14:val="tx1"/>
            </w14:solidFill>
          </w14:textFill>
        </w:rPr>
        <w:t>20. 投标文件的递交</w:t>
      </w:r>
      <w:bookmarkEnd w:id="116"/>
      <w:r>
        <w:rPr>
          <w:rFonts w:hint="eastAsia" w:ascii="宋体" w:hAnsi="宋体" w:eastAsia="宋体" w:cs="宋体"/>
          <w:b/>
          <w:color w:val="000000" w:themeColor="text1"/>
          <w:szCs w:val="21"/>
          <w:highlight w:val="none"/>
          <w14:textFill>
            <w14:solidFill>
              <w14:schemeClr w14:val="tx1"/>
            </w14:solidFill>
          </w14:textFill>
        </w:rPr>
        <w:t>和解密</w:t>
      </w:r>
      <w:bookmarkEnd w:id="117"/>
      <w:bookmarkEnd w:id="118"/>
      <w:bookmarkEnd w:id="119"/>
    </w:p>
    <w:p w14:paraId="46489A67">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20.1投标文件递交截止时间：于</w:t>
      </w:r>
      <w:r>
        <w:rPr>
          <w:rFonts w:hint="eastAsia" w:ascii="宋体" w:hAnsi="宋体" w:cs="宋体"/>
          <w:color w:val="000000" w:themeColor="text1"/>
          <w:szCs w:val="21"/>
          <w:highlight w:val="none"/>
          <w:u w:val="single"/>
          <w:lang w:eastAsia="zh-CN"/>
          <w14:textFill>
            <w14:solidFill>
              <w14:schemeClr w14:val="tx1"/>
            </w14:solidFill>
          </w14:textFill>
        </w:rPr>
        <w:t>2026年8月6日</w:t>
      </w:r>
      <w:r>
        <w:rPr>
          <w:rFonts w:hint="eastAsia" w:ascii="宋体" w:hAnsi="宋体" w:eastAsia="宋体" w:cs="宋体"/>
          <w:color w:val="000000" w:themeColor="text1"/>
          <w:szCs w:val="21"/>
          <w:highlight w:val="none"/>
          <w:u w:val="single"/>
          <w14:textFill>
            <w14:solidFill>
              <w14:schemeClr w14:val="tx1"/>
            </w14:solidFill>
          </w14:textFill>
        </w:rPr>
        <w:t>上午</w:t>
      </w:r>
      <w:r>
        <w:rPr>
          <w:rFonts w:hint="eastAsia" w:ascii="宋体" w:hAnsi="宋体" w:eastAsia="宋体" w:cs="宋体"/>
          <w:color w:val="000000" w:themeColor="text1"/>
          <w:szCs w:val="21"/>
          <w:highlight w:val="none"/>
          <w:u w:val="single"/>
          <w:lang w:val="en-US" w:eastAsia="zh-CN"/>
          <w14:textFill>
            <w14:solidFill>
              <w14:schemeClr w14:val="tx1"/>
            </w14:solidFill>
          </w14:textFill>
        </w:rPr>
        <w:t>9</w:t>
      </w:r>
      <w:r>
        <w:rPr>
          <w:rFonts w:hint="eastAsia" w:ascii="宋体" w:hAnsi="宋体" w:eastAsia="宋体" w:cs="宋体"/>
          <w:color w:val="000000" w:themeColor="text1"/>
          <w:szCs w:val="21"/>
          <w:highlight w:val="none"/>
          <w:u w:val="single"/>
          <w14:textFill>
            <w14:solidFill>
              <w14:schemeClr w14:val="tx1"/>
            </w14:solidFill>
          </w14:textFill>
        </w:rPr>
        <w:t>时</w:t>
      </w:r>
      <w:r>
        <w:rPr>
          <w:rFonts w:hint="eastAsia" w:ascii="宋体" w:hAnsi="宋体" w:eastAsia="宋体" w:cs="宋体"/>
          <w:color w:val="000000" w:themeColor="text1"/>
          <w:szCs w:val="21"/>
          <w:highlight w:val="none"/>
          <w:u w:val="single"/>
          <w:lang w:val="en-US" w:eastAsia="zh-CN"/>
          <w14:textFill>
            <w14:solidFill>
              <w14:schemeClr w14:val="tx1"/>
            </w14:solidFill>
          </w14:textFill>
        </w:rPr>
        <w:t>30</w:t>
      </w:r>
      <w:r>
        <w:rPr>
          <w:rFonts w:hint="eastAsia" w:ascii="宋体" w:hAnsi="宋体" w:eastAsia="宋体" w:cs="宋体"/>
          <w:color w:val="000000" w:themeColor="text1"/>
          <w:szCs w:val="21"/>
          <w:highlight w:val="none"/>
          <w:u w:val="single"/>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之前将电子投标文件上传到</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。应按照本项目招标文件和</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的要求编制、加密传输投标文件。供应商在使用系统进行投标的过程中遇到涉及平台使用的任何问题，可致电</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技术支持热线咨询，联系方式：</w:t>
      </w:r>
      <w:r>
        <w:rPr>
          <w:rFonts w:hint="eastAsia" w:ascii="宋体" w:hAnsi="宋体" w:eastAsia="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w:t>
      </w:r>
    </w:p>
    <w:p w14:paraId="098A14DF">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20.2投标文件解密时间：截标时间后</w:t>
      </w:r>
      <w:r>
        <w:rPr>
          <w:rFonts w:hint="eastAsia" w:ascii="宋体" w:hAnsi="宋体" w:eastAsia="宋体" w:cs="宋体"/>
          <w:color w:val="000000" w:themeColor="text1"/>
          <w:szCs w:val="21"/>
          <w:highlight w:val="none"/>
          <w:u w:val="single"/>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分钟内（</w:t>
      </w:r>
      <w:r>
        <w:rPr>
          <w:rFonts w:hint="eastAsia" w:ascii="宋体" w:hAnsi="宋体" w:cs="宋体"/>
          <w:color w:val="000000" w:themeColor="text1"/>
          <w:szCs w:val="21"/>
          <w:highlight w:val="none"/>
          <w:u w:val="single"/>
          <w:lang w:eastAsia="zh-CN"/>
          <w14:textFill>
            <w14:solidFill>
              <w14:schemeClr w14:val="tx1"/>
            </w14:solidFill>
          </w14:textFill>
        </w:rPr>
        <w:t>2026年8月6日</w:t>
      </w:r>
      <w:r>
        <w:rPr>
          <w:rFonts w:hint="eastAsia" w:ascii="宋体" w:hAnsi="宋体" w:eastAsia="宋体" w:cs="宋体"/>
          <w:color w:val="000000" w:themeColor="text1"/>
          <w:szCs w:val="21"/>
          <w:highlight w:val="none"/>
          <w:u w:val="single"/>
          <w14:textFill>
            <w14:solidFill>
              <w14:schemeClr w14:val="tx1"/>
            </w14:solidFill>
          </w14:textFill>
        </w:rPr>
        <w:t>上午</w:t>
      </w:r>
      <w:r>
        <w:rPr>
          <w:rFonts w:hint="eastAsia" w:ascii="宋体" w:hAnsi="宋体" w:eastAsia="宋体" w:cs="宋体"/>
          <w:color w:val="000000" w:themeColor="text1"/>
          <w:szCs w:val="21"/>
          <w:highlight w:val="none"/>
          <w:u w:val="single"/>
          <w:lang w:val="en-US" w:eastAsia="zh-CN"/>
          <w14:textFill>
            <w14:solidFill>
              <w14:schemeClr w14:val="tx1"/>
            </w14:solidFill>
          </w14:textFill>
        </w:rPr>
        <w:t>9</w:t>
      </w:r>
      <w:r>
        <w:rPr>
          <w:rFonts w:hint="eastAsia" w:ascii="宋体" w:hAnsi="宋体" w:eastAsia="宋体" w:cs="宋体"/>
          <w:color w:val="000000" w:themeColor="text1"/>
          <w:szCs w:val="21"/>
          <w:highlight w:val="none"/>
          <w:u w:val="single"/>
          <w14:textFill>
            <w14:solidFill>
              <w14:schemeClr w14:val="tx1"/>
            </w14:solidFill>
          </w14:textFill>
        </w:rPr>
        <w:t>时</w:t>
      </w:r>
      <w:r>
        <w:rPr>
          <w:rFonts w:hint="eastAsia" w:ascii="宋体" w:hAnsi="宋体" w:eastAsia="宋体" w:cs="宋体"/>
          <w:color w:val="000000" w:themeColor="text1"/>
          <w:szCs w:val="21"/>
          <w:highlight w:val="none"/>
          <w:u w:val="single"/>
          <w:lang w:val="en-US" w:eastAsia="zh-CN"/>
          <w14:textFill>
            <w14:solidFill>
              <w14:schemeClr w14:val="tx1"/>
            </w14:solidFill>
          </w14:textFill>
        </w:rPr>
        <w:t>30</w:t>
      </w:r>
      <w:r>
        <w:rPr>
          <w:rFonts w:hint="eastAsia" w:ascii="宋体" w:hAnsi="宋体" w:eastAsia="宋体" w:cs="宋体"/>
          <w:color w:val="000000" w:themeColor="text1"/>
          <w:szCs w:val="21"/>
          <w:highlight w:val="none"/>
          <w:u w:val="single"/>
          <w14:textFill>
            <w14:solidFill>
              <w14:schemeClr w14:val="tx1"/>
            </w14:solidFill>
          </w14:textFill>
        </w:rPr>
        <w:t>分至</w:t>
      </w:r>
      <w:r>
        <w:rPr>
          <w:rFonts w:hint="eastAsia" w:ascii="宋体" w:hAnsi="宋体" w:eastAsia="宋体" w:cs="宋体"/>
          <w:color w:val="000000" w:themeColor="text1"/>
          <w:szCs w:val="21"/>
          <w:highlight w:val="none"/>
          <w:u w:val="single"/>
          <w:lang w:val="en-US" w:eastAsia="zh-CN"/>
          <w14:textFill>
            <w14:solidFill>
              <w14:schemeClr w14:val="tx1"/>
            </w14:solidFill>
          </w14:textFill>
        </w:rPr>
        <w:t>10</w:t>
      </w:r>
      <w:r>
        <w:rPr>
          <w:rFonts w:hint="eastAsia" w:ascii="宋体" w:hAnsi="宋体" w:eastAsia="宋体" w:cs="宋体"/>
          <w:color w:val="000000" w:themeColor="text1"/>
          <w:szCs w:val="21"/>
          <w:highlight w:val="none"/>
          <w:u w:val="single"/>
          <w14:textFill>
            <w14:solidFill>
              <w14:schemeClr w14:val="tx1"/>
            </w14:solidFill>
          </w14:textFill>
        </w:rPr>
        <w:t>时</w:t>
      </w:r>
      <w:r>
        <w:rPr>
          <w:rFonts w:hint="eastAsia" w:ascii="宋体" w:hAnsi="宋体" w:eastAsia="宋体" w:cs="宋体"/>
          <w:color w:val="000000" w:themeColor="text1"/>
          <w:szCs w:val="21"/>
          <w:highlight w:val="none"/>
          <w:u w:val="single"/>
          <w:lang w:val="en-US" w:eastAsia="zh-CN"/>
          <w14:textFill>
            <w14:solidFill>
              <w14:schemeClr w14:val="tx1"/>
            </w14:solidFill>
          </w14:textFill>
        </w:rPr>
        <w:t>00</w:t>
      </w:r>
      <w:r>
        <w:rPr>
          <w:rFonts w:hint="eastAsia" w:ascii="宋体" w:hAnsi="宋体" w:eastAsia="宋体" w:cs="宋体"/>
          <w:color w:val="000000" w:themeColor="text1"/>
          <w:szCs w:val="21"/>
          <w:highlight w:val="none"/>
          <w:u w:val="single"/>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)投标人可以登录</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，用“项目采购-开标评标”功能进行解密投标文件。</w:t>
      </w:r>
    </w:p>
    <w:p w14:paraId="0F9A3D7A">
      <w:pPr>
        <w:spacing w:line="360" w:lineRule="auto"/>
        <w:ind w:firstLine="422"/>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0D5F8CC9">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20.3 除招标文件另有规定外，供应商所递交的投标文件不予退还。</w:t>
      </w:r>
    </w:p>
    <w:p w14:paraId="6B3470EC">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20.4 电子投标文件的相关说明</w:t>
      </w:r>
    </w:p>
    <w:p w14:paraId="7DB05474">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（1）供应商进行电子投标应安装客户端软件，并按照采购文件和</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的要求编制并加密投标文件。供应商未按规定加密的投标文件，</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 xml:space="preserve">将拒收。 </w:t>
      </w:r>
    </w:p>
    <w:p w14:paraId="06CBB8CA">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（2）如有特殊情况，采购代理机构延长截止时间和开标时间，采购代理机构和供应商的权利和义务将受到新的截止时间和开标时间的约束。</w:t>
      </w:r>
    </w:p>
    <w:p w14:paraId="2B6A3411">
      <w:pPr>
        <w:pStyle w:val="254"/>
        <w:rPr>
          <w:rFonts w:hint="eastAsia" w:ascii="宋体" w:hAnsi="宋体" w:eastAsia="宋体" w:cs="宋体"/>
          <w:color w:val="000000" w:themeColor="text1"/>
          <w:highlight w:val="none"/>
          <w14:textFill>
            <w14:solidFill>
              <w14:schemeClr w14:val="tx1"/>
            </w14:solidFill>
          </w14:textFill>
        </w:rPr>
      </w:pPr>
    </w:p>
    <w:p w14:paraId="082A59DD">
      <w:pPr>
        <w:spacing w:line="360" w:lineRule="auto"/>
        <w:jc w:val="center"/>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120" w:name="_Toc16788"/>
      <w:bookmarkStart w:id="121" w:name="_Toc307"/>
      <w:bookmarkStart w:id="122" w:name="_Toc495841757"/>
      <w:bookmarkStart w:id="123" w:name="_Toc20587"/>
      <w:r>
        <w:rPr>
          <w:rFonts w:hint="eastAsia" w:ascii="宋体" w:hAnsi="宋体" w:eastAsia="宋体" w:cs="宋体"/>
          <w:b/>
          <w:color w:val="000000" w:themeColor="text1"/>
          <w:sz w:val="28"/>
          <w:szCs w:val="28"/>
          <w:highlight w:val="none"/>
          <w14:textFill>
            <w14:solidFill>
              <w14:schemeClr w14:val="tx1"/>
            </w14:solidFill>
          </w14:textFill>
        </w:rPr>
        <w:t>四、开标</w:t>
      </w:r>
      <w:bookmarkEnd w:id="120"/>
      <w:bookmarkEnd w:id="121"/>
      <w:bookmarkEnd w:id="122"/>
      <w:bookmarkEnd w:id="123"/>
    </w:p>
    <w:p w14:paraId="31616AE1">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24" w:name="_Toc1157"/>
      <w:bookmarkStart w:id="125" w:name="_Toc19384"/>
      <w:bookmarkStart w:id="126" w:name="_Toc5456"/>
      <w:bookmarkStart w:id="127" w:name="_Toc17073"/>
      <w:bookmarkStart w:id="128" w:name="_Toc25198"/>
      <w:bookmarkStart w:id="129" w:name="_Toc13013"/>
      <w:bookmarkStart w:id="130" w:name="_Toc495841758"/>
      <w:r>
        <w:rPr>
          <w:rFonts w:hint="eastAsia" w:ascii="宋体" w:hAnsi="宋体" w:eastAsia="宋体" w:cs="宋体"/>
          <w:b/>
          <w:color w:val="000000" w:themeColor="text1"/>
          <w:szCs w:val="21"/>
          <w:highlight w:val="none"/>
          <w14:textFill>
            <w14:solidFill>
              <w14:schemeClr w14:val="tx1"/>
            </w14:solidFill>
          </w14:textFill>
        </w:rPr>
        <w:t>21. 开标时间及地点</w:t>
      </w:r>
      <w:bookmarkEnd w:id="124"/>
      <w:bookmarkEnd w:id="125"/>
      <w:bookmarkEnd w:id="126"/>
      <w:bookmarkEnd w:id="127"/>
      <w:bookmarkEnd w:id="128"/>
    </w:p>
    <w:p w14:paraId="604AEA50">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21.1开标时间及地点：</w:t>
      </w:r>
    </w:p>
    <w:p w14:paraId="73B38642">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开标时间：</w:t>
      </w:r>
      <w:r>
        <w:rPr>
          <w:rFonts w:hint="eastAsia" w:ascii="宋体" w:hAnsi="宋体" w:cs="宋体"/>
          <w:color w:val="000000" w:themeColor="text1"/>
          <w:szCs w:val="21"/>
          <w:highlight w:val="none"/>
          <w:lang w:eastAsia="zh-CN"/>
          <w14:textFill>
            <w14:solidFill>
              <w14:schemeClr w14:val="tx1"/>
            </w14:solidFill>
          </w14:textFill>
        </w:rPr>
        <w:t>2026年8月6日</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时</w:t>
      </w:r>
      <w:r>
        <w:rPr>
          <w:rFonts w:hint="eastAsia" w:ascii="宋体" w:hAnsi="宋体" w:eastAsia="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分（北京时间）截标后。</w:t>
      </w:r>
    </w:p>
    <w:p w14:paraId="23FD667B">
      <w:pPr>
        <w:spacing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点：</w:t>
      </w:r>
      <w:r>
        <w:rPr>
          <w:rFonts w:hint="eastAsia" w:ascii="宋体" w:hAnsi="宋体" w:eastAsia="宋体" w:cs="宋体"/>
          <w:color w:val="000000" w:themeColor="text1"/>
          <w:sz w:val="21"/>
          <w:szCs w:val="21"/>
          <w:highlight w:val="none"/>
          <w:lang w:eastAsia="zh-CN"/>
          <w14:textFill>
            <w14:solidFill>
              <w14:schemeClr w14:val="tx1"/>
            </w14:solidFill>
          </w14:textFill>
        </w:rPr>
        <w:t>桂林市公共资源交易中心</w:t>
      </w:r>
      <w:r>
        <w:rPr>
          <w:rFonts w:hint="eastAsia" w:ascii="宋体" w:hAnsi="宋体" w:cs="宋体"/>
          <w:color w:val="000000" w:themeColor="text1"/>
          <w:sz w:val="21"/>
          <w:szCs w:val="21"/>
          <w:highlight w:val="none"/>
          <w:u w:val="single"/>
          <w:lang w:val="en-US" w:eastAsia="zh-CN"/>
          <w14:textFill>
            <w14:solidFill>
              <w14:schemeClr w14:val="tx1"/>
            </w14:solidFill>
          </w14:textFill>
        </w:rPr>
        <w:t>9号开标室（5号仓）</w:t>
      </w:r>
      <w:r>
        <w:rPr>
          <w:rFonts w:hint="eastAsia" w:ascii="宋体" w:hAnsi="宋体" w:eastAsia="宋体" w:cs="宋体"/>
          <w:color w:val="000000" w:themeColor="text1"/>
          <w:sz w:val="21"/>
          <w:szCs w:val="21"/>
          <w:highlight w:val="none"/>
          <w14:textFill>
            <w14:solidFill>
              <w14:schemeClr w14:val="tx1"/>
            </w14:solidFill>
          </w14:textFill>
        </w:rPr>
        <w:t>通过</w:t>
      </w:r>
      <w:r>
        <w:rPr>
          <w:rFonts w:hint="eastAsia" w:ascii="宋体" w:hAnsi="宋体" w:eastAsia="宋体" w:cs="宋体"/>
          <w:color w:val="000000" w:themeColor="text1"/>
          <w:sz w:val="2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1"/>
          <w:szCs w:val="21"/>
          <w:highlight w:val="none"/>
          <w14:textFill>
            <w14:solidFill>
              <w14:schemeClr w14:val="tx1"/>
            </w14:solidFill>
          </w14:textFill>
        </w:rPr>
        <w:t>实行在线解密开启。</w:t>
      </w:r>
    </w:p>
    <w:p w14:paraId="7D900C26">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21.2投标人不足3家的，不得开标，采购人或者采购代理机构应当重新组织采购。</w:t>
      </w:r>
    </w:p>
    <w:p w14:paraId="03D77F24">
      <w:pPr>
        <w:spacing w:line="400" w:lineRule="exact"/>
        <w:ind w:firstLine="413"/>
        <w:outlineLvl w:val="2"/>
        <w:rPr>
          <w:rFonts w:hint="eastAsia" w:ascii="宋体" w:hAnsi="宋体" w:eastAsia="宋体" w:cs="宋体"/>
          <w:b/>
          <w:bCs/>
          <w:color w:val="000000" w:themeColor="text1"/>
          <w:szCs w:val="21"/>
          <w:highlight w:val="none"/>
          <w14:textFill>
            <w14:solidFill>
              <w14:schemeClr w14:val="tx1"/>
            </w14:solidFill>
          </w14:textFill>
        </w:rPr>
      </w:pPr>
      <w:bookmarkStart w:id="131" w:name="_Toc8462"/>
      <w:bookmarkStart w:id="132" w:name="_Toc25719"/>
      <w:bookmarkStart w:id="133" w:name="_Toc15515"/>
      <w:bookmarkStart w:id="134" w:name="_Toc11217"/>
      <w:bookmarkStart w:id="135" w:name="_Toc20854"/>
      <w:r>
        <w:rPr>
          <w:rFonts w:hint="eastAsia" w:ascii="宋体" w:hAnsi="宋体" w:eastAsia="宋体" w:cs="宋体"/>
          <w:b/>
          <w:bCs/>
          <w:color w:val="000000" w:themeColor="text1"/>
          <w:szCs w:val="21"/>
          <w:highlight w:val="none"/>
          <w14:textFill>
            <w14:solidFill>
              <w14:schemeClr w14:val="tx1"/>
            </w14:solidFill>
          </w14:textFill>
        </w:rPr>
        <w:t>22. 开标程序</w:t>
      </w:r>
      <w:bookmarkEnd w:id="129"/>
      <w:bookmarkEnd w:id="130"/>
      <w:bookmarkEnd w:id="131"/>
      <w:bookmarkEnd w:id="132"/>
      <w:bookmarkEnd w:id="133"/>
    </w:p>
    <w:p w14:paraId="57886423">
      <w:pPr>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22.1开标准备</w:t>
      </w:r>
    </w:p>
    <w:p w14:paraId="75AB770A">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22.1.1.开标的准备工作由本中心负责落实；</w:t>
      </w:r>
    </w:p>
    <w:p w14:paraId="04856C33">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22.1.2.本中心将按照招标文件规定的时间通过</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56454B54">
      <w:pPr>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22.2开标程序</w:t>
      </w:r>
    </w:p>
    <w:p w14:paraId="31332547">
      <w:pPr>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22.2.1.向各投标供应商发出电子加密投标文件【开始解密】通知，由供应商按招标文件规定的时间内自行进行投标文件解密。投标供应商</w:t>
      </w:r>
      <w:r>
        <w:rPr>
          <w:rFonts w:hint="eastAsia" w:ascii="宋体" w:hAnsi="宋体" w:eastAsia="宋体" w:cs="宋体"/>
          <w:b/>
          <w:bCs/>
          <w:color w:val="000000" w:themeColor="text1"/>
          <w:szCs w:val="21"/>
          <w:highlight w:val="none"/>
          <w:lang w:eastAsia="zh-CN"/>
          <w14:textFill>
            <w14:solidFill>
              <w14:schemeClr w14:val="tx1"/>
            </w14:solidFill>
          </w14:textFill>
        </w:rPr>
        <w:t>未</w:t>
      </w:r>
      <w:r>
        <w:rPr>
          <w:rFonts w:hint="eastAsia" w:ascii="宋体" w:hAnsi="宋体" w:eastAsia="宋体" w:cs="宋体"/>
          <w:b/>
          <w:bCs/>
          <w:color w:val="000000" w:themeColor="text1"/>
          <w:szCs w:val="21"/>
          <w:highlight w:val="none"/>
          <w14:textFill>
            <w14:solidFill>
              <w14:schemeClr w14:val="tx1"/>
            </w14:solidFill>
          </w14:textFill>
        </w:rPr>
        <w:t>在规定的时间内</w:t>
      </w:r>
      <w:r>
        <w:rPr>
          <w:rFonts w:hint="eastAsia" w:ascii="宋体" w:hAnsi="宋体" w:eastAsia="宋体" w:cs="宋体"/>
          <w:b/>
          <w:bCs/>
          <w:color w:val="000000" w:themeColor="text1"/>
          <w:szCs w:val="21"/>
          <w:highlight w:val="none"/>
          <w:lang w:eastAsia="zh-CN"/>
          <w14:textFill>
            <w14:solidFill>
              <w14:schemeClr w14:val="tx1"/>
            </w14:solidFill>
          </w14:textFill>
        </w:rPr>
        <w:t>完成</w:t>
      </w:r>
      <w:r>
        <w:rPr>
          <w:rFonts w:hint="eastAsia" w:ascii="宋体" w:hAnsi="宋体" w:eastAsia="宋体" w:cs="宋体"/>
          <w:b/>
          <w:bCs/>
          <w:color w:val="000000" w:themeColor="text1"/>
          <w:szCs w:val="21"/>
          <w:highlight w:val="none"/>
          <w14:textFill>
            <w14:solidFill>
              <w14:schemeClr w14:val="tx1"/>
            </w14:solidFill>
          </w14:textFill>
        </w:rPr>
        <w:t>在线解密视为投标人放弃投标</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在线解密时间为 30 分钟。</w:t>
      </w:r>
    </w:p>
    <w:p w14:paraId="6782A3FB">
      <w:pPr>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22.2.2.投标文件解密结束后，开标活动组织人员在线开启投标文件。</w:t>
      </w:r>
    </w:p>
    <w:p w14:paraId="159CAAFA">
      <w:pPr>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22.2.3.开启投标人报价文件，</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广西政府采购云平台</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在线向投标人公开</w:t>
      </w:r>
      <w:r>
        <w:rPr>
          <w:rFonts w:hint="eastAsia" w:ascii="宋体" w:hAnsi="宋体" w:eastAsia="宋体" w:cs="宋体"/>
          <w:b/>
          <w:bCs/>
          <w:color w:val="000000" w:themeColor="text1"/>
          <w:szCs w:val="21"/>
          <w:highlight w:val="none"/>
          <w14:textFill>
            <w14:solidFill>
              <w14:schemeClr w14:val="tx1"/>
            </w14:solidFill>
          </w14:textFill>
        </w:rPr>
        <w:t>开标（报价）一览表有关内容，投标人代表如果认为</w:t>
      </w:r>
      <w:r>
        <w:rPr>
          <w:rFonts w:hint="eastAsia" w:ascii="宋体" w:hAnsi="宋体" w:eastAsia="宋体" w:cs="宋体"/>
          <w:b/>
          <w:bCs/>
          <w:color w:val="000000" w:themeColor="text1"/>
          <w:szCs w:val="21"/>
          <w:highlight w:val="none"/>
          <w:lang w:val="en-US" w:eastAsia="zh-CN"/>
          <w14:textFill>
            <w14:solidFill>
              <w14:schemeClr w14:val="tx1"/>
            </w14:solidFill>
          </w14:textFill>
        </w:rPr>
        <w:t>开标信息</w:t>
      </w:r>
      <w:r>
        <w:rPr>
          <w:rFonts w:hint="eastAsia" w:ascii="宋体" w:hAnsi="宋体" w:eastAsia="宋体" w:cs="宋体"/>
          <w:b/>
          <w:bCs/>
          <w:color w:val="000000" w:themeColor="text1"/>
          <w:szCs w:val="21"/>
          <w:highlight w:val="none"/>
          <w14:textFill>
            <w14:solidFill>
              <w14:schemeClr w14:val="tx1"/>
            </w14:solidFill>
          </w14:textFill>
        </w:rPr>
        <w:t>有误，可以当场</w:t>
      </w:r>
      <w:r>
        <w:rPr>
          <w:rFonts w:hint="eastAsia" w:ascii="宋体" w:hAnsi="宋体" w:eastAsia="宋体" w:cs="宋体"/>
          <w:b/>
          <w:bCs/>
          <w:color w:val="000000" w:themeColor="text1"/>
          <w:szCs w:val="21"/>
          <w:highlight w:val="none"/>
          <w:lang w:val="en-US" w:eastAsia="zh-CN"/>
          <w14:textFill>
            <w14:solidFill>
              <w14:schemeClr w14:val="tx1"/>
            </w14:solidFill>
          </w14:textFill>
        </w:rPr>
        <w:t>或在线</w:t>
      </w:r>
      <w:r>
        <w:rPr>
          <w:rFonts w:hint="eastAsia" w:ascii="宋体" w:hAnsi="宋体" w:eastAsia="宋体" w:cs="宋体"/>
          <w:b/>
          <w:bCs/>
          <w:color w:val="000000" w:themeColor="text1"/>
          <w:szCs w:val="21"/>
          <w:highlight w:val="none"/>
          <w14:textFill>
            <w14:solidFill>
              <w14:schemeClr w14:val="tx1"/>
            </w14:solidFill>
          </w14:textFill>
        </w:rPr>
        <w:t>提出异议。</w:t>
      </w:r>
    </w:p>
    <w:p w14:paraId="4F135EFD">
      <w:pPr>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开标结束后，如发现开标结果与报价文件不一致者，由评标委员会根据报价文件内容进行修正。</w:t>
      </w:r>
    </w:p>
    <w:p w14:paraId="54947D93">
      <w:pPr>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特别说明：如遇“</w:t>
      </w:r>
      <w:r>
        <w:rPr>
          <w:rFonts w:hint="eastAsia" w:ascii="宋体" w:hAnsi="宋体" w:eastAsia="宋体" w:cs="宋体"/>
          <w:b/>
          <w:bCs/>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b/>
          <w:bCs/>
          <w:color w:val="000000" w:themeColor="text1"/>
          <w:szCs w:val="21"/>
          <w:highlight w:val="none"/>
          <w14:textFill>
            <w14:solidFill>
              <w14:schemeClr w14:val="tx1"/>
            </w14:solidFill>
          </w14:textFill>
        </w:rPr>
        <w:t>”电子化开标或评审程序调整的，按调整后程序执行。</w:t>
      </w:r>
    </w:p>
    <w:p w14:paraId="64A3FD58">
      <w:pPr>
        <w:pStyle w:val="254"/>
        <w:rPr>
          <w:rFonts w:hint="eastAsia" w:ascii="宋体" w:hAnsi="宋体" w:eastAsia="宋体" w:cs="宋体"/>
          <w:color w:val="000000" w:themeColor="text1"/>
          <w:highlight w:val="none"/>
          <w14:textFill>
            <w14:solidFill>
              <w14:schemeClr w14:val="tx1"/>
            </w14:solidFill>
          </w14:textFill>
        </w:rPr>
      </w:pPr>
    </w:p>
    <w:p w14:paraId="7B4390A0">
      <w:pPr>
        <w:spacing w:line="360" w:lineRule="auto"/>
        <w:jc w:val="center"/>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136" w:name="_Toc24351"/>
      <w:bookmarkStart w:id="137" w:name="_Toc10447"/>
      <w:r>
        <w:rPr>
          <w:rFonts w:hint="eastAsia" w:ascii="宋体" w:hAnsi="宋体" w:eastAsia="宋体" w:cs="宋体"/>
          <w:b/>
          <w:color w:val="000000" w:themeColor="text1"/>
          <w:sz w:val="28"/>
          <w:szCs w:val="28"/>
          <w:highlight w:val="none"/>
          <w14:textFill>
            <w14:solidFill>
              <w14:schemeClr w14:val="tx1"/>
            </w14:solidFill>
          </w14:textFill>
        </w:rPr>
        <w:t>五、资格性审查</w:t>
      </w:r>
      <w:bookmarkEnd w:id="134"/>
      <w:bookmarkEnd w:id="135"/>
      <w:bookmarkEnd w:id="136"/>
      <w:bookmarkEnd w:id="137"/>
    </w:p>
    <w:p w14:paraId="199B88C2">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38" w:name="_Toc13578"/>
      <w:bookmarkStart w:id="139" w:name="_Toc30532"/>
      <w:bookmarkStart w:id="140" w:name="_Toc25716"/>
      <w:r>
        <w:rPr>
          <w:rFonts w:hint="eastAsia" w:ascii="宋体" w:hAnsi="宋体" w:eastAsia="宋体" w:cs="宋体"/>
          <w:b/>
          <w:color w:val="000000" w:themeColor="text1"/>
          <w:szCs w:val="21"/>
          <w:highlight w:val="none"/>
          <w14:textFill>
            <w14:solidFill>
              <w14:schemeClr w14:val="tx1"/>
            </w14:solidFill>
          </w14:textFill>
        </w:rPr>
        <w:t>23. 资格性审查</w:t>
      </w:r>
      <w:bookmarkEnd w:id="138"/>
      <w:bookmarkEnd w:id="139"/>
      <w:bookmarkEnd w:id="140"/>
    </w:p>
    <w:p w14:paraId="6A2C701F">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23.1公开招标采购项目开标结束后，采购人应当依法对投标人的资格进行审查。合格投标人不足3家的，不得评标。</w:t>
      </w:r>
    </w:p>
    <w:p w14:paraId="5A010E74">
      <w:pPr>
        <w:spacing w:line="400" w:lineRule="exact"/>
        <w:ind w:firstLine="42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23.2</w:t>
      </w:r>
      <w:r>
        <w:rPr>
          <w:rFonts w:hint="eastAsia" w:ascii="宋体" w:hAnsi="宋体" w:eastAsia="宋体" w:cs="宋体"/>
          <w:b/>
          <w:bCs/>
          <w:color w:val="000000" w:themeColor="text1"/>
          <w:szCs w:val="21"/>
          <w:highlight w:val="none"/>
          <w14:textFill>
            <w14:solidFill>
              <w14:schemeClr w14:val="tx1"/>
            </w14:solidFill>
          </w14:textFill>
        </w:rPr>
        <w:t>采购人或者采购代理机构</w:t>
      </w:r>
      <w:r>
        <w:rPr>
          <w:rFonts w:hint="eastAsia" w:ascii="宋体" w:hAnsi="宋体" w:eastAsia="宋体" w:cs="宋体"/>
          <w:b/>
          <w:color w:val="000000" w:themeColor="text1"/>
          <w:szCs w:val="21"/>
          <w:highlight w:val="none"/>
          <w14:textFill>
            <w14:solidFill>
              <w14:schemeClr w14:val="tx1"/>
            </w14:solidFill>
          </w14:textFill>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22866671">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查询渠道：《国家企业信用信息公示系统》（网址：www.gsxt.gov.cn/index.html）</w:t>
      </w:r>
    </w:p>
    <w:p w14:paraId="10E24F2E">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审查流程：</w:t>
      </w:r>
    </w:p>
    <w:p w14:paraId="203EE81C">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（1）进入《国家企业信用信息公示系统》（网址：www.gsxt.gov.cn/index.html），输入企业名称，进入企业信息主页面；</w:t>
      </w:r>
    </w:p>
    <w:p w14:paraId="405604A9">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（2）查看主页“股东及出资信息”栏，或年报中的“股东及出资信息”栏信息；</w:t>
      </w:r>
    </w:p>
    <w:p w14:paraId="03FE5E20">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（3）将各投标人的股东及出资信息进行比对，得出审查结论；</w:t>
      </w:r>
    </w:p>
    <w:p w14:paraId="0671B1F8">
      <w:pPr>
        <w:spacing w:line="400" w:lineRule="exact"/>
        <w:ind w:firstLine="420"/>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（4）将相关资料作为评审资料打印存档。</w:t>
      </w:r>
      <w:bookmarkStart w:id="141" w:name="_Toc495841759"/>
      <w:bookmarkStart w:id="142" w:name="_Toc3415"/>
    </w:p>
    <w:p w14:paraId="35B83B10">
      <w:pPr>
        <w:spacing w:line="360" w:lineRule="auto"/>
        <w:jc w:val="center"/>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143" w:name="_Toc14317"/>
      <w:bookmarkStart w:id="144" w:name="_Toc5417"/>
      <w:r>
        <w:rPr>
          <w:rFonts w:hint="eastAsia" w:ascii="宋体" w:hAnsi="宋体" w:eastAsia="宋体" w:cs="宋体"/>
          <w:b/>
          <w:color w:val="000000" w:themeColor="text1"/>
          <w:sz w:val="28"/>
          <w:szCs w:val="28"/>
          <w:highlight w:val="none"/>
          <w14:textFill>
            <w14:solidFill>
              <w14:schemeClr w14:val="tx1"/>
            </w14:solidFill>
          </w14:textFill>
        </w:rPr>
        <w:t>六、评标</w:t>
      </w:r>
      <w:bookmarkEnd w:id="141"/>
      <w:bookmarkEnd w:id="142"/>
      <w:bookmarkEnd w:id="143"/>
      <w:bookmarkEnd w:id="144"/>
    </w:p>
    <w:p w14:paraId="73DD0961">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45" w:name="_Toc19311"/>
      <w:bookmarkStart w:id="146" w:name="_Toc14749"/>
      <w:bookmarkStart w:id="147" w:name="_Toc2296"/>
      <w:r>
        <w:rPr>
          <w:rFonts w:hint="eastAsia" w:ascii="宋体" w:hAnsi="宋体" w:eastAsia="宋体" w:cs="宋体"/>
          <w:b/>
          <w:color w:val="000000" w:themeColor="text1"/>
          <w:szCs w:val="21"/>
          <w:highlight w:val="none"/>
          <w14:textFill>
            <w14:solidFill>
              <w14:schemeClr w14:val="tx1"/>
            </w14:solidFill>
          </w14:textFill>
        </w:rPr>
        <w:t>24. 评标委员会组成</w:t>
      </w:r>
      <w:bookmarkEnd w:id="145"/>
      <w:bookmarkEnd w:id="146"/>
      <w:bookmarkEnd w:id="147"/>
    </w:p>
    <w:p w14:paraId="5A390AFD">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bookmarkStart w:id="148" w:name="_Toc24437"/>
      <w:bookmarkStart w:id="149" w:name="_Toc28655"/>
      <w:r>
        <w:rPr>
          <w:rFonts w:hint="eastAsia" w:ascii="宋体" w:hAnsi="宋体" w:eastAsia="宋体" w:cs="宋体"/>
          <w:color w:val="000000" w:themeColor="text1"/>
          <w:szCs w:val="21"/>
          <w:highlight w:val="none"/>
          <w14:textFill>
            <w14:solidFill>
              <w14:schemeClr w14:val="tx1"/>
            </w14:solidFill>
          </w14:textFill>
        </w:rPr>
        <w:t>评标委员会由采购人代表和有关方面的专家组成，成员人数共</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人，其中采购人代表</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szCs w:val="21"/>
          <w:highlight w:val="none"/>
          <w:lang w:val="en-US" w:eastAsia="zh-CN"/>
          <w14:textFill>
            <w14:solidFill>
              <w14:schemeClr w14:val="tx1"/>
            </w14:solidFill>
          </w14:textFill>
        </w:rPr>
        <w:t>评审</w:t>
      </w:r>
      <w:r>
        <w:rPr>
          <w:rFonts w:hint="eastAsia" w:ascii="宋体" w:hAnsi="宋体" w:eastAsia="宋体" w:cs="宋体"/>
          <w:color w:val="000000" w:themeColor="text1"/>
          <w:szCs w:val="21"/>
          <w:highlight w:val="none"/>
          <w14:textFill>
            <w14:solidFill>
              <w14:schemeClr w14:val="tx1"/>
            </w14:solidFill>
          </w14:textFill>
        </w:rPr>
        <w:t>专家</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人。</w:t>
      </w:r>
    </w:p>
    <w:p w14:paraId="3011BCEC">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50" w:name="_Toc22366"/>
      <w:r>
        <w:rPr>
          <w:rFonts w:hint="eastAsia" w:ascii="宋体" w:hAnsi="宋体" w:eastAsia="宋体" w:cs="宋体"/>
          <w:b/>
          <w:color w:val="000000" w:themeColor="text1"/>
          <w:szCs w:val="21"/>
          <w:highlight w:val="none"/>
          <w14:textFill>
            <w14:solidFill>
              <w14:schemeClr w14:val="tx1"/>
            </w14:solidFill>
          </w14:textFill>
        </w:rPr>
        <w:t>25. 评标</w:t>
      </w:r>
      <w:bookmarkEnd w:id="148"/>
      <w:r>
        <w:rPr>
          <w:rFonts w:hint="eastAsia" w:ascii="宋体" w:hAnsi="宋体" w:eastAsia="宋体" w:cs="宋体"/>
          <w:b/>
          <w:color w:val="000000" w:themeColor="text1"/>
          <w:szCs w:val="21"/>
          <w:highlight w:val="none"/>
          <w14:textFill>
            <w14:solidFill>
              <w14:schemeClr w14:val="tx1"/>
            </w14:solidFill>
          </w14:textFill>
        </w:rPr>
        <w:t>原则</w:t>
      </w:r>
      <w:bookmarkEnd w:id="149"/>
      <w:bookmarkEnd w:id="150"/>
    </w:p>
    <w:p w14:paraId="2A6408E4">
      <w:pPr>
        <w:tabs>
          <w:tab w:val="left" w:pos="1140"/>
        </w:tabs>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25.1评标办法：综合评分法，具体评标内容及标准详见第四章。</w:t>
      </w:r>
    </w:p>
    <w:p w14:paraId="43978E06">
      <w:pPr>
        <w:tabs>
          <w:tab w:val="left" w:pos="1140"/>
        </w:tabs>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25.2评标委员会应按招标文件进行评标，不得擅自更改评标办法。</w:t>
      </w:r>
    </w:p>
    <w:p w14:paraId="5BDB9DCC">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51" w:name="_Toc20321"/>
      <w:bookmarkStart w:id="152" w:name="_Toc1764"/>
      <w:bookmarkStart w:id="153" w:name="_Toc31687"/>
      <w:r>
        <w:rPr>
          <w:rFonts w:hint="eastAsia" w:ascii="宋体" w:hAnsi="宋体" w:eastAsia="宋体" w:cs="宋体"/>
          <w:b/>
          <w:color w:val="000000" w:themeColor="text1"/>
          <w:szCs w:val="21"/>
          <w:highlight w:val="none"/>
          <w14:textFill>
            <w14:solidFill>
              <w14:schemeClr w14:val="tx1"/>
            </w14:solidFill>
          </w14:textFill>
        </w:rPr>
        <w:t>26. 评标</w:t>
      </w:r>
      <w:bookmarkEnd w:id="151"/>
      <w:bookmarkEnd w:id="152"/>
      <w:bookmarkEnd w:id="153"/>
    </w:p>
    <w:p w14:paraId="7E0B6BDE">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7CB8338C">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；向采购人、采购代理机构或者有关部门报告评标中发现的违法行为。</w:t>
      </w:r>
    </w:p>
    <w:p w14:paraId="63642B9A">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26.3在评标过程中，评标委员会任何人不得对某个投标人发表任何倾向性意见，不得向其他专家评委明示或者暗示自己的评审意见。</w:t>
      </w:r>
    </w:p>
    <w:p w14:paraId="3F72BA30">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26.4评标委员会应当对符合资格的投标人的投标文件进行符合性审查，以确定其是否满足招标文件的实质性要求。</w:t>
      </w:r>
    </w:p>
    <w:p w14:paraId="79BA04C1">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26.5对于投标文件中含义不明确、同类问题表述不一致、有明显文字和计算错误或属于投标人疏忽、笔误所造成差错的内容，评标委员会应当以书面形式要求投标人作出必要的澄清、说明或者补正。</w:t>
      </w:r>
    </w:p>
    <w:p w14:paraId="7F96E9CC">
      <w:pPr>
        <w:tabs>
          <w:tab w:val="left" w:pos="1140"/>
        </w:tabs>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1837C34A">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26.6评标委员会应当按照招标文件中规定的评标方法和标准，对符合性审查合格的投标文件进行商务和技术评估，综合比较与评价。</w:t>
      </w:r>
    </w:p>
    <w:p w14:paraId="08C5D37B">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26.7投标文件报价出现前后不一致的，除招标文件另有规定外，按照下列规定修正：</w:t>
      </w:r>
    </w:p>
    <w:p w14:paraId="15B83A3C">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（1）投标文件中投标报价表内容与投标文件中相应内容不一致的，以投标报价表为准；</w:t>
      </w:r>
    </w:p>
    <w:p w14:paraId="44B88D22">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（2）大写金额和小写金额不一致的，以大写金额为准；</w:t>
      </w:r>
    </w:p>
    <w:p w14:paraId="7A71BBAE">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6BC6BEC1">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（4）总价金额与按单价汇总金额不一致的，以单价金额计算结果为准。</w:t>
      </w:r>
    </w:p>
    <w:p w14:paraId="52EA878C">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同时出现两种以上不一致的，按照前款规定的顺序修正。修正后的报价（不得超出投标文件的范围或者改变投标文件的实质性内容）经投标人确认后产生约束力，投标人不确认的，其投标无效。</w:t>
      </w:r>
    </w:p>
    <w:p w14:paraId="1C7BAA18">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80"/>
        <w:jc w:val="both"/>
        <w:rPr>
          <w:rFonts w:hint="eastAsia" w:ascii="宋体" w:hAnsi="宋体" w:eastAsia="宋体" w:cs="宋体"/>
          <w:b/>
          <w:bCs w:val="0"/>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26.8</w:t>
      </w:r>
      <w:r>
        <w:rPr>
          <w:rFonts w:hint="eastAsia" w:ascii="宋体" w:hAnsi="宋体" w:eastAsia="宋体" w:cs="宋体"/>
          <w:b/>
          <w:color w:val="000000" w:themeColor="text1"/>
          <w:sz w:val="21"/>
          <w:szCs w:val="21"/>
          <w:highlight w:val="none"/>
          <w:shd w:val="clear" w:color="auto" w:fill="FFFFFF"/>
          <w14:textFill>
            <w14:solidFill>
              <w14:schemeClr w14:val="tx1"/>
            </w14:solidFill>
          </w14:textFill>
        </w:rPr>
        <w:t>根据</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关于推动解决政府采购异常低价问题的通知</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财库〔2026〕2号</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shd w:val="clear" w:color="auto" w:fill="FFFFFF"/>
          <w:lang w:eastAsia="zh-CN"/>
          <w14:textFill>
            <w14:solidFill>
              <w14:schemeClr w14:val="tx1"/>
            </w14:solidFill>
          </w14:textFill>
        </w:rPr>
        <w:t>规定</w:t>
      </w:r>
      <w:r>
        <w:rPr>
          <w:rFonts w:hint="eastAsia" w:ascii="宋体" w:hAnsi="宋体" w:eastAsia="宋体" w:cs="宋体"/>
          <w:b/>
          <w:bCs w:val="0"/>
          <w:color w:val="000000" w:themeColor="text1"/>
          <w:sz w:val="21"/>
          <w:szCs w:val="21"/>
          <w:highlight w:val="none"/>
          <w14:textFill>
            <w14:solidFill>
              <w14:schemeClr w14:val="tx1"/>
            </w14:solidFill>
          </w14:textFill>
        </w:rPr>
        <w:t>，</w:t>
      </w:r>
      <w:r>
        <w:rPr>
          <w:rFonts w:hint="eastAsia" w:ascii="宋体" w:hAnsi="宋体" w:eastAsia="宋体" w:cs="宋体"/>
          <w:b/>
          <w:bCs w:val="0"/>
          <w:i w:val="0"/>
          <w:iCs w:val="0"/>
          <w:caps w:val="0"/>
          <w:color w:val="000000" w:themeColor="text1"/>
          <w:spacing w:val="0"/>
          <w:sz w:val="21"/>
          <w:szCs w:val="21"/>
          <w:highlight w:val="none"/>
          <w:shd w:val="clear" w:color="auto" w:fill="FFFFFF"/>
          <w14:textFill>
            <w14:solidFill>
              <w14:schemeClr w14:val="tx1"/>
            </w14:solidFill>
          </w14:textFill>
        </w:rPr>
        <w:t>政府采购评审中出现下列情形之一的，评审委员会应当启动异常低价投标（响应）审查程序： </w:t>
      </w:r>
    </w:p>
    <w:p w14:paraId="3262C71C">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投标（响应）报价低于全部通过符合性审查供应商投标（响应）报价平均值50%的，即投标（响应）报价&lt;全部通过符合性审查供应商投标（响应）报价平均值×50%； </w:t>
      </w:r>
    </w:p>
    <w:p w14:paraId="298B2C93">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投标（响应）报价低于通过符合性审查的次低报价供应商投标（响应）报价50%的，即投标（响应）报价&lt;通过符合性审查的次低报价供应商投标（响应）报价×50%； </w:t>
      </w:r>
    </w:p>
    <w:p w14:paraId="5C02C610">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投标（响应）报价低于采购项目最高限价45%的，即投标（响应）报价&lt;采购项目最高限价×45%； </w:t>
      </w:r>
    </w:p>
    <w:p w14:paraId="05E8F2D4">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4</w:t>
      </w: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评审委员会基于专业判断，认为供应商报价过低，有可能影响产品质量或者不能诚信履约的其他情形。 </w:t>
      </w:r>
    </w:p>
    <w:p w14:paraId="66F232F0">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评审委员会启动异常低价投标（响应）审查后，属于前述第1项至第4项情形的，应当要求相关供应商</w:t>
      </w:r>
      <w:r>
        <w:rPr>
          <w:rFonts w:hint="eastAsia" w:ascii="宋体" w:hAnsi="宋体" w:eastAsia="宋体" w:cs="宋体"/>
          <w:color w:val="000000" w:themeColor="text1"/>
          <w:szCs w:val="21"/>
          <w:highlight w:val="none"/>
          <w14:textFill>
            <w14:solidFill>
              <w14:schemeClr w14:val="tx1"/>
            </w14:solidFill>
          </w14:textFill>
        </w:rPr>
        <w:t>在评审委员会要求的时间内</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ascii="宋体" w:hAnsi="宋体" w:eastAsia="宋体" w:cs="宋体"/>
          <w:color w:val="000000" w:themeColor="text1"/>
          <w:szCs w:val="21"/>
          <w:highlight w:val="none"/>
          <w14:textFill>
            <w14:solidFill>
              <w14:schemeClr w14:val="tx1"/>
            </w14:solidFill>
          </w14:textFill>
        </w:rPr>
        <w:t> 异常低价投标（响应）审查的启动原因、审查意见和审查结果应当在评审报告中记录</w:t>
      </w:r>
      <w:r>
        <w:rPr>
          <w:rFonts w:hint="eastAsia" w:ascii="宋体" w:hAnsi="宋体" w:eastAsia="宋体" w:cs="宋体"/>
          <w:color w:val="000000" w:themeColor="text1"/>
          <w:szCs w:val="21"/>
          <w:highlight w:val="none"/>
          <w:lang w:eastAsia="zh-CN"/>
          <w14:textFill>
            <w14:solidFill>
              <w14:schemeClr w14:val="tx1"/>
            </w14:solidFill>
          </w14:textFill>
        </w:rPr>
        <w:t>。</w:t>
      </w:r>
    </w:p>
    <w:p w14:paraId="14FA0869">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26.9评标委员会成员对需要共同认定的事项存在争议的，应当按照少数服从多数的原则作出结论。持不同意见的评标委员会成员应当在评标报告上签署不同意见及理由，否则视为同意评标报告。</w:t>
      </w:r>
    </w:p>
    <w:p w14:paraId="49DE352C">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26.10评标结果汇总完成后，除下列情形外，任何人不得修改评标结果：</w:t>
      </w:r>
    </w:p>
    <w:p w14:paraId="5B530031">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（一）分值汇总计算错误的；</w:t>
      </w:r>
    </w:p>
    <w:p w14:paraId="5B0A12B2">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（二）分项评分超出评分标准范围的；</w:t>
      </w:r>
    </w:p>
    <w:p w14:paraId="54185333">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（三）评标委员会成员对客观评审因素评分不一致的；</w:t>
      </w:r>
    </w:p>
    <w:p w14:paraId="521C951C">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（四）经评标委员会认定评分畸高、畸低的。</w:t>
      </w:r>
    </w:p>
    <w:p w14:paraId="69098810">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D6C052D">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投标人对本条第一款情形提出质疑的，采购人或者采购代理机构可以组织原评标委员会进行重新评审，重新评审改变评标结果的，应当书面报告本级财政部门。</w:t>
      </w:r>
    </w:p>
    <w:p w14:paraId="6644EE45">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26.11采购代理机构发现评标委员会有明显的违规倾向或歧视现象，或不按评标办法进行，或其他不正常行为的，应当及时制止。如制止无效，应及时向本级财政部门报告。</w:t>
      </w:r>
    </w:p>
    <w:p w14:paraId="1295D85C">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54" w:name="_Toc9005"/>
      <w:bookmarkStart w:id="155" w:name="_Toc30450"/>
      <w:bookmarkStart w:id="156" w:name="_Toc25944"/>
      <w:r>
        <w:rPr>
          <w:rFonts w:hint="eastAsia" w:ascii="宋体" w:hAnsi="宋体" w:eastAsia="宋体" w:cs="宋体"/>
          <w:b/>
          <w:color w:val="000000" w:themeColor="text1"/>
          <w:szCs w:val="21"/>
          <w:highlight w:val="none"/>
          <w14:textFill>
            <w14:solidFill>
              <w14:schemeClr w14:val="tx1"/>
            </w14:solidFill>
          </w14:textFill>
        </w:rPr>
        <w:t>27. 推荐及确定中标候选供应商原则</w:t>
      </w:r>
      <w:bookmarkEnd w:id="154"/>
      <w:bookmarkEnd w:id="155"/>
      <w:bookmarkEnd w:id="156"/>
    </w:p>
    <w:p w14:paraId="285BBFA7">
      <w:pPr>
        <w:tabs>
          <w:tab w:val="left" w:pos="4214"/>
        </w:tabs>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（1）评标委员会根据综合得分由高到低排列次序，若得分相同时，按评标价由低到高顺序排列；得分相同且评标价也相同的由评标委员会按照抽签的方式决定排次次序</w:t>
      </w:r>
      <w:r>
        <w:rPr>
          <w:rFonts w:hint="eastAsia" w:ascii="宋体" w:hAnsi="宋体" w:eastAsia="宋体" w:cs="宋体"/>
          <w:color w:val="000000" w:themeColor="text1"/>
          <w:sz w:val="22"/>
          <w:szCs w:val="22"/>
          <w:highlight w:val="none"/>
          <w14:textFill>
            <w14:solidFill>
              <w14:schemeClr w14:val="tx1"/>
            </w14:solidFill>
          </w14:textFill>
        </w:rPr>
        <w:t>。</w:t>
      </w:r>
    </w:p>
    <w:p w14:paraId="397F774C">
      <w:pPr>
        <w:tabs>
          <w:tab w:val="left" w:pos="4214"/>
        </w:tabs>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（2）评标委员会可推荐前三名为中标候选供应商，采购人应当确定评标委员会推荐排名第一的中标候选供应商为</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w:t>
      </w:r>
    </w:p>
    <w:p w14:paraId="7A9631FC">
      <w:pPr>
        <w:spacing w:line="360" w:lineRule="exact"/>
        <w:ind w:firstLine="44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，并依此类推。</w:t>
      </w:r>
    </w:p>
    <w:p w14:paraId="2DF11166">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57" w:name="_Toc25800"/>
      <w:bookmarkStart w:id="158" w:name="_Toc3571"/>
      <w:bookmarkStart w:id="159" w:name="_Toc1836"/>
      <w:r>
        <w:rPr>
          <w:rFonts w:hint="eastAsia" w:ascii="宋体" w:hAnsi="宋体" w:eastAsia="宋体" w:cs="宋体"/>
          <w:b/>
          <w:color w:val="000000" w:themeColor="text1"/>
          <w:szCs w:val="21"/>
          <w:highlight w:val="none"/>
          <w14:textFill>
            <w14:solidFill>
              <w14:schemeClr w14:val="tx1"/>
            </w14:solidFill>
          </w14:textFill>
        </w:rPr>
        <w:t>28. 属于下列情况之一者，投标无效</w:t>
      </w:r>
      <w:bookmarkEnd w:id="157"/>
      <w:bookmarkEnd w:id="158"/>
      <w:bookmarkEnd w:id="159"/>
    </w:p>
    <w:p w14:paraId="14CF47AF">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（1）未按照招标文件规定要求签字、盖章的；</w:t>
      </w:r>
    </w:p>
    <w:p w14:paraId="6F584000">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（2）报价超过招标文件中规定的预算金额的；</w:t>
      </w:r>
    </w:p>
    <w:p w14:paraId="4B4FE40B">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（3）不具备招标文件中规定的资格要求的</w:t>
      </w:r>
      <w:r>
        <w:rPr>
          <w:rFonts w:hint="eastAsia" w:ascii="宋体" w:hAnsi="宋体" w:eastAsia="宋体" w:cs="宋体"/>
          <w:color w:val="000000" w:themeColor="text1"/>
          <w:highlight w:val="none"/>
          <w14:textFill>
            <w14:solidFill>
              <w14:schemeClr w14:val="tx1"/>
            </w14:solidFill>
          </w14:textFill>
        </w:rPr>
        <w:t>；</w:t>
      </w:r>
    </w:p>
    <w:p w14:paraId="7D256675">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（4）投标文件含有采购人不能接受的附加条件的；</w:t>
      </w:r>
    </w:p>
    <w:p w14:paraId="38897DEE">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（5）投标文件未按招标文件的内容和要求编制，或提供虚假材料的；</w:t>
      </w:r>
    </w:p>
    <w:p w14:paraId="620DD002">
      <w:pPr>
        <w:spacing w:line="360" w:lineRule="exact"/>
        <w:ind w:firstLine="4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投标</w:t>
      </w:r>
      <w:r>
        <w:rPr>
          <w:rFonts w:hint="eastAsia" w:ascii="宋体" w:hAnsi="宋体" w:eastAsia="宋体" w:cs="宋体"/>
          <w:color w:val="000000" w:themeColor="text1"/>
          <w:szCs w:val="21"/>
          <w:highlight w:val="none"/>
          <w14:textFill>
            <w14:solidFill>
              <w14:schemeClr w14:val="tx1"/>
            </w14:solidFill>
          </w14:textFill>
        </w:rPr>
        <w:t>人未就“</w:t>
      </w:r>
      <w:r>
        <w:rPr>
          <w:rFonts w:hint="eastAsia" w:ascii="宋体" w:hAnsi="宋体" w:eastAsia="宋体" w:cs="宋体"/>
          <w:color w:val="000000" w:themeColor="text1"/>
          <w:szCs w:val="21"/>
          <w:highlight w:val="none"/>
          <w:lang w:eastAsia="zh-CN"/>
          <w14:textFill>
            <w14:solidFill>
              <w14:schemeClr w14:val="tx1"/>
            </w14:solidFill>
          </w14:textFill>
        </w:rPr>
        <w:t>采购需求</w:t>
      </w:r>
      <w:r>
        <w:rPr>
          <w:rFonts w:hint="eastAsia" w:ascii="宋体" w:hAnsi="宋体" w:eastAsia="宋体" w:cs="宋体"/>
          <w:color w:val="000000" w:themeColor="text1"/>
          <w:szCs w:val="21"/>
          <w:highlight w:val="none"/>
          <w14:textFill>
            <w14:solidFill>
              <w14:schemeClr w14:val="tx1"/>
            </w14:solidFill>
          </w14:textFill>
        </w:rPr>
        <w:t>”中的所有内容作完整唯一报价的</w:t>
      </w:r>
      <w:r>
        <w:rPr>
          <w:rFonts w:hint="eastAsia" w:ascii="宋体" w:hAnsi="宋体" w:eastAsia="宋体" w:cs="宋体"/>
          <w:color w:val="000000" w:themeColor="text1"/>
          <w:highlight w:val="none"/>
          <w14:textFill>
            <w14:solidFill>
              <w14:schemeClr w14:val="tx1"/>
            </w14:solidFill>
          </w14:textFill>
        </w:rPr>
        <w:t>；</w:t>
      </w:r>
    </w:p>
    <w:p w14:paraId="5D5D3DC4">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（7）未完全响应招标文件实质性要求的；</w:t>
      </w:r>
    </w:p>
    <w:p w14:paraId="152917C8">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（8）法律、法规和招标文件规定的其他无效情形。</w:t>
      </w:r>
    </w:p>
    <w:p w14:paraId="2A56E094">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60" w:name="_Toc32362"/>
      <w:bookmarkStart w:id="161" w:name="_Toc22404"/>
      <w:bookmarkStart w:id="162" w:name="_Toc15081"/>
      <w:r>
        <w:rPr>
          <w:rFonts w:hint="eastAsia" w:ascii="宋体" w:hAnsi="宋体" w:eastAsia="宋体" w:cs="宋体"/>
          <w:b/>
          <w:color w:val="000000" w:themeColor="text1"/>
          <w:szCs w:val="21"/>
          <w:highlight w:val="none"/>
          <w14:textFill>
            <w14:solidFill>
              <w14:schemeClr w14:val="tx1"/>
            </w14:solidFill>
          </w14:textFill>
        </w:rPr>
        <w:t>29. 投标人有下列情形之一的，视为串通投标，投标文件将被视为无效</w:t>
      </w:r>
      <w:bookmarkEnd w:id="160"/>
      <w:bookmarkEnd w:id="161"/>
      <w:bookmarkEnd w:id="162"/>
    </w:p>
    <w:p w14:paraId="75512023">
      <w:pPr>
        <w:spacing w:line="360" w:lineRule="exact"/>
        <w:ind w:left="355" w:firstLine="1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（1）不同投标人的投标文件由同一单位或者个人编制；</w:t>
      </w:r>
    </w:p>
    <w:p w14:paraId="108E833C">
      <w:pPr>
        <w:spacing w:line="360" w:lineRule="exact"/>
        <w:ind w:left="355" w:firstLine="1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（2）不同投标人委托同一单位或者个人办理投标事宜；</w:t>
      </w:r>
    </w:p>
    <w:p w14:paraId="7541EB52">
      <w:pPr>
        <w:spacing w:line="360" w:lineRule="exact"/>
        <w:ind w:left="355" w:firstLine="1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（3）不同的投标人的投标文件载明的项目管理员或者联系人员为同一个人；</w:t>
      </w:r>
    </w:p>
    <w:p w14:paraId="5D0706E5">
      <w:pPr>
        <w:spacing w:line="360" w:lineRule="exact"/>
        <w:ind w:left="355" w:firstLine="1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（4）不同投标人的投标文件异常一致或投标报价呈规律性差异； </w:t>
      </w:r>
    </w:p>
    <w:p w14:paraId="0995A2BD">
      <w:pPr>
        <w:spacing w:line="360" w:lineRule="exact"/>
        <w:ind w:left="355" w:firstLine="1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（5）不同投标人的投标文件相互混</w:t>
      </w:r>
      <w:r>
        <w:rPr>
          <w:rFonts w:hint="eastAsia" w:ascii="宋体" w:hAnsi="宋体" w:eastAsia="宋体" w:cs="宋体"/>
          <w:color w:val="000000" w:themeColor="text1"/>
          <w:highlight w:val="none"/>
          <w:lang w:eastAsia="zh-CN"/>
          <w14:textFill>
            <w14:solidFill>
              <w14:schemeClr w14:val="tx1"/>
            </w14:solidFill>
          </w14:textFill>
        </w:rPr>
        <w:t>编</w:t>
      </w:r>
      <w:r>
        <w:rPr>
          <w:rFonts w:hint="eastAsia" w:ascii="宋体" w:hAnsi="宋体" w:eastAsia="宋体" w:cs="宋体"/>
          <w:color w:val="000000" w:themeColor="text1"/>
          <w:highlight w:val="none"/>
          <w14:textFill>
            <w14:solidFill>
              <w14:schemeClr w14:val="tx1"/>
            </w14:solidFill>
          </w14:textFill>
        </w:rPr>
        <w:t>；</w:t>
      </w:r>
    </w:p>
    <w:p w14:paraId="43475FF3">
      <w:pPr>
        <w:spacing w:line="360" w:lineRule="exact"/>
        <w:ind w:left="355" w:firstLine="1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（6）不同投标人的投标保证金从同一单位或者个人账户转出。</w:t>
      </w:r>
    </w:p>
    <w:p w14:paraId="0C2F718C">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63" w:name="_Toc2973"/>
      <w:bookmarkStart w:id="164" w:name="_Toc18148"/>
      <w:bookmarkStart w:id="165" w:name="_Toc31699"/>
      <w:r>
        <w:rPr>
          <w:rFonts w:hint="eastAsia" w:ascii="宋体" w:hAnsi="宋体" w:eastAsia="宋体" w:cs="宋体"/>
          <w:b/>
          <w:color w:val="000000" w:themeColor="text1"/>
          <w:szCs w:val="21"/>
          <w:highlight w:val="none"/>
          <w14:textFill>
            <w14:solidFill>
              <w14:schemeClr w14:val="tx1"/>
            </w14:solidFill>
          </w14:textFill>
        </w:rPr>
        <w:t>30. 属于下列情形之一的，应予废标</w:t>
      </w:r>
      <w:bookmarkEnd w:id="163"/>
      <w:bookmarkEnd w:id="164"/>
      <w:bookmarkEnd w:id="165"/>
    </w:p>
    <w:p w14:paraId="4A75121C">
      <w:pPr>
        <w:tabs>
          <w:tab w:val="left" w:pos="840"/>
        </w:tabs>
        <w:spacing w:line="360" w:lineRule="exact"/>
        <w:ind w:left="330" w:firstLine="1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（1）符合专业条件的供应商或者对招标文件作实质响应的供应商不足3家的；</w:t>
      </w:r>
    </w:p>
    <w:p w14:paraId="66D5527A">
      <w:pPr>
        <w:tabs>
          <w:tab w:val="left" w:pos="840"/>
        </w:tabs>
        <w:spacing w:line="360" w:lineRule="exact"/>
        <w:ind w:left="330" w:firstLine="10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（2）出现影响采购公正的违法、违规行为的；</w:t>
      </w:r>
    </w:p>
    <w:p w14:paraId="733D511A">
      <w:pPr>
        <w:tabs>
          <w:tab w:val="left" w:pos="840"/>
        </w:tabs>
        <w:spacing w:line="360" w:lineRule="exact"/>
        <w:ind w:left="330" w:firstLine="10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（3）采购文件内容违反国家有关强制性规定的；</w:t>
      </w:r>
    </w:p>
    <w:p w14:paraId="1B466F09">
      <w:pPr>
        <w:tabs>
          <w:tab w:val="left" w:pos="840"/>
        </w:tabs>
        <w:spacing w:line="360" w:lineRule="exact"/>
        <w:ind w:left="330" w:firstLine="10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（4）因重大变故，采购任务取消的。</w:t>
      </w:r>
    </w:p>
    <w:p w14:paraId="29A18CAA">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66" w:name="_Toc12274"/>
      <w:bookmarkStart w:id="167" w:name="_Toc28686"/>
      <w:bookmarkStart w:id="168" w:name="_Toc28623"/>
      <w:r>
        <w:rPr>
          <w:rFonts w:hint="eastAsia" w:ascii="宋体" w:hAnsi="宋体" w:eastAsia="宋体" w:cs="宋体"/>
          <w:b/>
          <w:color w:val="000000" w:themeColor="text1"/>
          <w:szCs w:val="21"/>
          <w:highlight w:val="none"/>
          <w14:textFill>
            <w14:solidFill>
              <w14:schemeClr w14:val="tx1"/>
            </w14:solidFill>
          </w14:textFill>
        </w:rPr>
        <w:t>31. 开标、评标过程的监控</w:t>
      </w:r>
      <w:bookmarkEnd w:id="166"/>
      <w:bookmarkEnd w:id="167"/>
      <w:bookmarkEnd w:id="168"/>
    </w:p>
    <w:p w14:paraId="01B9C725">
      <w:pPr>
        <w:spacing w:line="360" w:lineRule="exact"/>
        <w:ind w:firstLine="4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本项目开标、评标过程实行全程录音、录像监控，投标人在评标过程中所进行的试图影响评标结果的不公正活动，可能导致其投标被拒绝。</w:t>
      </w:r>
    </w:p>
    <w:p w14:paraId="61C3916D">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69" w:name="_Toc1321"/>
      <w:bookmarkStart w:id="170" w:name="_Toc11732"/>
      <w:bookmarkStart w:id="171" w:name="_Toc26650"/>
      <w:r>
        <w:rPr>
          <w:rFonts w:hint="eastAsia" w:ascii="宋体" w:hAnsi="宋体" w:eastAsia="宋体" w:cs="宋体"/>
          <w:b/>
          <w:color w:val="000000" w:themeColor="text1"/>
          <w:szCs w:val="21"/>
          <w:highlight w:val="none"/>
          <w14:textFill>
            <w14:solidFill>
              <w14:schemeClr w14:val="tx1"/>
            </w14:solidFill>
          </w14:textFill>
        </w:rPr>
        <w:t>32. 信用查询</w:t>
      </w:r>
      <w:bookmarkEnd w:id="169"/>
      <w:bookmarkEnd w:id="170"/>
      <w:bookmarkEnd w:id="171"/>
    </w:p>
    <w:p w14:paraId="616F04F9">
      <w:pPr>
        <w:spacing w:line="360" w:lineRule="exact"/>
        <w:ind w:firstLine="4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根据《关于做好政府采购有关信用主体标识码登记及在政府采购活动中查询使用信用记录有关问题的通知》（桂财采〔2016〕37号），中标通知书发出前，由采购代理机构对第一中标候选供应商进行信用查询：</w:t>
      </w:r>
    </w:p>
    <w:p w14:paraId="04A5E3D6">
      <w:pPr>
        <w:spacing w:line="360" w:lineRule="exact"/>
        <w:ind w:firstLine="4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⑴查询渠道：“信用中国”网站(www.creditchina.gov.cn)、中国政府采购网(www.ccgp.gov.cn)等；</w:t>
      </w:r>
    </w:p>
    <w:p w14:paraId="3AA27B1E">
      <w:pPr>
        <w:spacing w:line="360" w:lineRule="exact"/>
        <w:ind w:firstLine="4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⑵查询时间：中标通知书发出前；</w:t>
      </w:r>
    </w:p>
    <w:p w14:paraId="5E900F14">
      <w:pPr>
        <w:spacing w:line="360" w:lineRule="exact"/>
        <w:ind w:firstLine="4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⑶信用信息查询记录和证据留存方式：在查询网站中直接打印查询记录，打印材料作为采购活动资料保存；</w:t>
      </w:r>
    </w:p>
    <w:p w14:paraId="4F052BC4">
      <w:pPr>
        <w:spacing w:line="360" w:lineRule="exact"/>
        <w:ind w:firstLine="4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⑷信用信息使用规则：对在“信用中国”网站(www.creditchina.gov.cn)、中国政府采购网(www.ccgp.gov.cn)等渠道列入失信被执行人、</w:t>
      </w:r>
      <w:r>
        <w:rPr>
          <w:rFonts w:hint="eastAsia" w:ascii="宋体" w:hAnsi="宋体" w:eastAsia="宋体" w:cs="宋体"/>
          <w:color w:val="000000" w:themeColor="text1"/>
          <w:highlight w:val="none"/>
          <w:lang w:eastAsia="zh-CN"/>
          <w14:textFill>
            <w14:solidFill>
              <w14:schemeClr w14:val="tx1"/>
            </w14:solidFill>
          </w14:textFill>
        </w:rPr>
        <w:t>重大税收违法失信主体名单</w:t>
      </w:r>
      <w:r>
        <w:rPr>
          <w:rFonts w:hint="eastAsia" w:ascii="宋体" w:hAnsi="宋体" w:eastAsia="宋体" w:cs="宋体"/>
          <w:color w:val="000000" w:themeColor="text1"/>
          <w:highlight w:val="none"/>
          <w14:textFill>
            <w14:solidFill>
              <w14:schemeClr w14:val="tx1"/>
            </w14:solidFill>
          </w14:textFill>
        </w:rPr>
        <w:t>、政府采购严重违法失信行为记录名单及其他不符合《中华人民共和国政府采购法》第二十二条规定条件的供应商，取消其中标候选供应商资格。</w:t>
      </w:r>
    </w:p>
    <w:p w14:paraId="1352602D">
      <w:pPr>
        <w:spacing w:line="360" w:lineRule="exact"/>
        <w:ind w:firstLine="4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77AD01BC">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72" w:name="_Toc27712"/>
      <w:bookmarkStart w:id="173" w:name="_Toc12233"/>
      <w:bookmarkStart w:id="174" w:name="_Toc30043"/>
      <w:r>
        <w:rPr>
          <w:rFonts w:hint="eastAsia" w:ascii="宋体" w:hAnsi="宋体" w:eastAsia="宋体" w:cs="宋体"/>
          <w:b/>
          <w:color w:val="000000" w:themeColor="text1"/>
          <w:szCs w:val="21"/>
          <w:highlight w:val="none"/>
          <w14:textFill>
            <w14:solidFill>
              <w14:schemeClr w14:val="tx1"/>
            </w14:solidFill>
          </w14:textFill>
        </w:rPr>
        <w:t>33. 中标公告及中标通知书</w:t>
      </w:r>
      <w:bookmarkEnd w:id="172"/>
      <w:bookmarkEnd w:id="173"/>
      <w:bookmarkEnd w:id="174"/>
    </w:p>
    <w:p w14:paraId="70A99F01">
      <w:pPr>
        <w:tabs>
          <w:tab w:val="left" w:pos="455"/>
        </w:tabs>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33.1采购代理机构于评标结束后两个工作日内将评标报告送交采购人，采购人应当自收到评标报告五个工作日内在评标报告推荐的中标候选供应商中按顺序确定</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；采购代理机构在</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确定之日起两个工作日内在指定媒体上公告中标结果，中标公告期限为一个工作日。</w:t>
      </w:r>
    </w:p>
    <w:p w14:paraId="2A4AD253">
      <w:pPr>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33.2中标公告发布的同时，</w:t>
      </w:r>
      <w:r>
        <w:rPr>
          <w:rFonts w:hint="eastAsia" w:ascii="宋体" w:hAnsi="宋体" w:eastAsia="宋体" w:cs="宋体"/>
          <w:color w:val="000000" w:themeColor="text1"/>
          <w:szCs w:val="21"/>
          <w:highlight w:val="none"/>
          <w:lang w:eastAsia="zh-CN"/>
          <w14:textFill>
            <w14:solidFill>
              <w14:schemeClr w14:val="tx1"/>
            </w14:solidFill>
          </w14:textFill>
        </w:rPr>
        <w:t>采购代理机构在线向中标供应商发出电子中标通知书</w:t>
      </w:r>
      <w:r>
        <w:rPr>
          <w:rFonts w:hint="eastAsia" w:ascii="宋体" w:hAnsi="宋体" w:eastAsia="宋体" w:cs="宋体"/>
          <w:color w:val="000000" w:themeColor="text1"/>
          <w:szCs w:val="21"/>
          <w:highlight w:val="none"/>
          <w14:textFill>
            <w14:solidFill>
              <w14:schemeClr w14:val="tx1"/>
            </w14:solidFill>
          </w14:textFill>
        </w:rPr>
        <w:t>。</w:t>
      </w:r>
      <w:bookmarkStart w:id="175" w:name="_Toc495841760"/>
      <w:bookmarkStart w:id="176" w:name="_Toc31543"/>
    </w:p>
    <w:p w14:paraId="67226769">
      <w:pPr>
        <w:pStyle w:val="254"/>
        <w:rPr>
          <w:rFonts w:hint="eastAsia" w:ascii="宋体" w:hAnsi="宋体" w:eastAsia="宋体" w:cs="宋体"/>
          <w:color w:val="000000" w:themeColor="text1"/>
          <w:highlight w:val="none"/>
          <w14:textFill>
            <w14:solidFill>
              <w14:schemeClr w14:val="tx1"/>
            </w14:solidFill>
          </w14:textFill>
        </w:rPr>
      </w:pPr>
    </w:p>
    <w:p w14:paraId="24263E98">
      <w:pPr>
        <w:spacing w:line="360" w:lineRule="auto"/>
        <w:jc w:val="center"/>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177" w:name="_Toc31963"/>
      <w:bookmarkStart w:id="178" w:name="_Toc6162"/>
      <w:r>
        <w:rPr>
          <w:rFonts w:hint="eastAsia" w:ascii="宋体" w:hAnsi="宋体" w:eastAsia="宋体" w:cs="宋体"/>
          <w:b/>
          <w:color w:val="000000" w:themeColor="text1"/>
          <w:sz w:val="28"/>
          <w:szCs w:val="28"/>
          <w:highlight w:val="none"/>
          <w14:textFill>
            <w14:solidFill>
              <w14:schemeClr w14:val="tx1"/>
            </w14:solidFill>
          </w14:textFill>
        </w:rPr>
        <w:t>七、履约保证金及签订合同</w:t>
      </w:r>
      <w:bookmarkEnd w:id="175"/>
      <w:bookmarkEnd w:id="176"/>
      <w:bookmarkEnd w:id="177"/>
      <w:bookmarkEnd w:id="178"/>
    </w:p>
    <w:p w14:paraId="5B21F46B">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79" w:name="_Toc10047"/>
      <w:bookmarkStart w:id="180" w:name="_Toc28207"/>
      <w:bookmarkStart w:id="181" w:name="_Toc6994"/>
      <w:r>
        <w:rPr>
          <w:rFonts w:hint="eastAsia" w:ascii="宋体" w:hAnsi="宋体" w:eastAsia="宋体" w:cs="宋体"/>
          <w:b/>
          <w:color w:val="000000" w:themeColor="text1"/>
          <w:szCs w:val="21"/>
          <w:highlight w:val="none"/>
          <w14:textFill>
            <w14:solidFill>
              <w14:schemeClr w14:val="tx1"/>
            </w14:solidFill>
          </w14:textFill>
        </w:rPr>
        <w:t>34. 履约保证金</w:t>
      </w:r>
      <w:bookmarkEnd w:id="179"/>
      <w:bookmarkEnd w:id="180"/>
      <w:bookmarkEnd w:id="181"/>
    </w:p>
    <w:p w14:paraId="6230593A">
      <w:pPr>
        <w:ind w:firstLine="420"/>
        <w:rPr>
          <w:rFonts w:hint="eastAsia" w:ascii="宋体" w:hAnsi="宋体" w:eastAsia="宋体" w:cs="宋体"/>
          <w:color w:val="000000" w:themeColor="text1"/>
          <w:highlight w:val="none"/>
          <w:lang w:eastAsia="zh-CN"/>
          <w14:textFill>
            <w14:solidFill>
              <w14:schemeClr w14:val="tx1"/>
            </w14:solidFill>
          </w14:textFill>
        </w:rPr>
      </w:pPr>
      <w:bookmarkStart w:id="182" w:name="_Toc18160"/>
      <w:r>
        <w:rPr>
          <w:rFonts w:hint="eastAsia" w:ascii="宋体" w:hAnsi="宋体" w:eastAsia="宋体" w:cs="宋体"/>
          <w:color w:val="000000" w:themeColor="text1"/>
          <w:highlight w:val="none"/>
          <w14:textFill>
            <w14:solidFill>
              <w14:schemeClr w14:val="tx1"/>
            </w14:solidFill>
          </w14:textFill>
        </w:rPr>
        <w:t>本项目无需缴纳履约保证金</w:t>
      </w:r>
      <w:r>
        <w:rPr>
          <w:rFonts w:hint="eastAsia" w:ascii="宋体" w:hAnsi="宋体" w:eastAsia="宋体" w:cs="宋体"/>
          <w:color w:val="000000" w:themeColor="text1"/>
          <w:highlight w:val="none"/>
          <w:lang w:eastAsia="zh-CN"/>
          <w14:textFill>
            <w14:solidFill>
              <w14:schemeClr w14:val="tx1"/>
            </w14:solidFill>
          </w14:textFill>
        </w:rPr>
        <w:t>。</w:t>
      </w:r>
    </w:p>
    <w:p w14:paraId="7D2B66ED">
      <w:pPr>
        <w:spacing w:line="36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83" w:name="_Toc14679"/>
      <w:bookmarkStart w:id="184" w:name="_Toc29339"/>
      <w:r>
        <w:rPr>
          <w:rFonts w:hint="eastAsia" w:ascii="宋体" w:hAnsi="宋体" w:eastAsia="宋体" w:cs="宋体"/>
          <w:b/>
          <w:color w:val="000000" w:themeColor="text1"/>
          <w:szCs w:val="21"/>
          <w:highlight w:val="none"/>
          <w14:textFill>
            <w14:solidFill>
              <w14:schemeClr w14:val="tx1"/>
            </w14:solidFill>
          </w14:textFill>
        </w:rPr>
        <w:t>35. 签订合同</w:t>
      </w:r>
      <w:bookmarkEnd w:id="182"/>
      <w:bookmarkEnd w:id="183"/>
      <w:bookmarkEnd w:id="184"/>
    </w:p>
    <w:p w14:paraId="3C0A8B2E">
      <w:pPr>
        <w:spacing w:line="360" w:lineRule="exact"/>
        <w:ind w:left="2"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35.1签订合同时间：</w:t>
      </w:r>
      <w:r>
        <w:rPr>
          <w:rFonts w:hint="eastAsia" w:ascii="宋体" w:hAnsi="宋体" w:eastAsia="宋体" w:cs="宋体"/>
          <w:color w:val="000000" w:themeColor="text1"/>
          <w:szCs w:val="21"/>
          <w:highlight w:val="none"/>
          <w:lang w:eastAsia="zh-CN"/>
          <w14:textFill>
            <w14:solidFill>
              <w14:schemeClr w14:val="tx1"/>
            </w14:solidFill>
          </w14:textFill>
        </w:rPr>
        <w:t>中标通知书发出之日起八个工作日内</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中标人收到</w:t>
      </w:r>
      <w:r>
        <w:rPr>
          <w:rFonts w:hint="eastAsia" w:ascii="宋体" w:hAnsi="宋体" w:eastAsia="宋体" w:cs="宋体"/>
          <w:color w:val="000000" w:themeColor="text1"/>
          <w:szCs w:val="21"/>
          <w:highlight w:val="none"/>
          <w14:textFill>
            <w14:solidFill>
              <w14:schemeClr w14:val="tx1"/>
            </w14:solidFill>
          </w14:textFill>
        </w:rPr>
        <w:t>中标通知书后，应按规定与采购人在“</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”上在线签订电子合同。</w:t>
      </w:r>
    </w:p>
    <w:p w14:paraId="053C96B1">
      <w:pPr>
        <w:spacing w:line="360" w:lineRule="exact"/>
        <w:ind w:left="2"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35.2</w:t>
      </w:r>
      <w:r>
        <w:rPr>
          <w:rFonts w:hint="eastAsia" w:ascii="宋体" w:hAnsi="宋体" w:eastAsia="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为联合体的，联合体各方均应与采购人签订合同，并承担连带责任。（本项目不接受联合体投标）</w:t>
      </w:r>
    </w:p>
    <w:p w14:paraId="41A9E32A">
      <w:pPr>
        <w:spacing w:line="360" w:lineRule="exact"/>
        <w:ind w:left="2"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35.3如</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有下列情形之一的，情节严重的，由财政部门将其列入不良行为记录名单，在一至三年内禁止参加政府采购活动，并予以通报。采购人或者采购代理机构可从评标委员会推荐的中标候选供应商中按顺序重新确定</w:t>
      </w:r>
      <w:r>
        <w:rPr>
          <w:rFonts w:hint="eastAsia" w:ascii="宋体" w:hAnsi="宋体" w:eastAsia="宋体" w:cs="宋体"/>
          <w:color w:val="000000" w:themeColor="text1"/>
          <w:szCs w:val="21"/>
          <w:highlight w:val="none"/>
          <w:lang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或重新组织招标。</w:t>
      </w:r>
    </w:p>
    <w:p w14:paraId="0D47CF0F">
      <w:pPr>
        <w:spacing w:line="360" w:lineRule="exact"/>
        <w:ind w:firstLine="31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（1）中标后不与采购人签订合同的（不可抗力除外）；</w:t>
      </w:r>
    </w:p>
    <w:p w14:paraId="4B765264">
      <w:pPr>
        <w:spacing w:line="360" w:lineRule="exact"/>
        <w:ind w:left="2" w:firstLine="31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（2）将中标项目转让给他人，或者在投标文件中未说明，且未经采购人同意，将中标项目分包给他人的；</w:t>
      </w:r>
    </w:p>
    <w:p w14:paraId="6921FC0C">
      <w:pPr>
        <w:spacing w:line="360" w:lineRule="exact"/>
        <w:ind w:firstLine="31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（3）拒绝履行合同义务的。</w:t>
      </w:r>
    </w:p>
    <w:p w14:paraId="463F5A3C">
      <w:pPr>
        <w:spacing w:line="360" w:lineRule="exact"/>
        <w:ind w:left="2"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35.4合同备案存档：政府采购合同双方自签订之日起</w:t>
      </w:r>
      <w:r>
        <w:rPr>
          <w:rFonts w:hint="eastAsia" w:ascii="宋体" w:hAnsi="宋体" w:eastAsia="宋体" w:cs="宋体"/>
          <w:color w:val="000000" w:themeColor="text1"/>
          <w:szCs w:val="21"/>
          <w:highlight w:val="none"/>
          <w:lang w:eastAsia="zh-CN"/>
          <w14:textFill>
            <w14:solidFill>
              <w14:schemeClr w14:val="tx1"/>
            </w14:solidFill>
          </w14:textFill>
        </w:rPr>
        <w:t>将自动存档于“广西政府采购云平台”上</w:t>
      </w:r>
      <w:r>
        <w:rPr>
          <w:rFonts w:hint="eastAsia" w:ascii="宋体" w:hAnsi="宋体" w:eastAsia="宋体" w:cs="宋体"/>
          <w:color w:val="000000" w:themeColor="text1"/>
          <w:szCs w:val="21"/>
          <w:highlight w:val="none"/>
          <w14:textFill>
            <w14:solidFill>
              <w14:schemeClr w14:val="tx1"/>
            </w14:solidFill>
          </w14:textFill>
        </w:rPr>
        <w:t>，采购人于合同签订之日起七个工作日内将一份合同原件送本级财政部门备案。</w:t>
      </w:r>
    </w:p>
    <w:p w14:paraId="2B6DB9FC">
      <w:pPr>
        <w:spacing w:line="400" w:lineRule="exact"/>
        <w:ind w:left="2" w:firstLine="420"/>
        <w:rPr>
          <w:rFonts w:hint="eastAsia" w:ascii="宋体" w:hAnsi="宋体" w:eastAsia="宋体" w:cs="宋体"/>
          <w:color w:val="000000" w:themeColor="text1"/>
          <w:szCs w:val="21"/>
          <w:highlight w:val="none"/>
          <w14:textFill>
            <w14:solidFill>
              <w14:schemeClr w14:val="tx1"/>
            </w14:solidFill>
          </w14:textFill>
        </w:rPr>
      </w:pPr>
    </w:p>
    <w:p w14:paraId="25F3F62D">
      <w:pPr>
        <w:spacing w:line="360" w:lineRule="auto"/>
        <w:jc w:val="center"/>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185" w:name="_Toc495841761"/>
      <w:bookmarkStart w:id="186" w:name="_Toc1909"/>
      <w:bookmarkStart w:id="187" w:name="_Toc30202"/>
      <w:bookmarkStart w:id="188" w:name="_Toc4983"/>
      <w:r>
        <w:rPr>
          <w:rFonts w:hint="eastAsia" w:ascii="宋体" w:hAnsi="宋体" w:eastAsia="宋体" w:cs="宋体"/>
          <w:b/>
          <w:color w:val="000000" w:themeColor="text1"/>
          <w:sz w:val="28"/>
          <w:szCs w:val="28"/>
          <w:highlight w:val="none"/>
          <w14:textFill>
            <w14:solidFill>
              <w14:schemeClr w14:val="tx1"/>
            </w14:solidFill>
          </w14:textFill>
        </w:rPr>
        <w:t>八、其他事项</w:t>
      </w:r>
      <w:bookmarkEnd w:id="185"/>
      <w:bookmarkEnd w:id="186"/>
      <w:bookmarkEnd w:id="187"/>
      <w:bookmarkEnd w:id="188"/>
    </w:p>
    <w:p w14:paraId="22A099E7">
      <w:pPr>
        <w:spacing w:line="38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89" w:name="_Toc2853"/>
      <w:bookmarkStart w:id="190" w:name="_Toc18260"/>
      <w:bookmarkStart w:id="191" w:name="_Toc19503"/>
      <w:bookmarkStart w:id="192" w:name="_Toc5655"/>
      <w:bookmarkStart w:id="193" w:name="_Toc2437"/>
      <w:bookmarkStart w:id="194" w:name="_Toc4309"/>
      <w:bookmarkStart w:id="195" w:name="_Toc32243"/>
      <w:r>
        <w:rPr>
          <w:rFonts w:hint="eastAsia" w:ascii="宋体" w:hAnsi="宋体" w:eastAsia="宋体" w:cs="宋体"/>
          <w:b/>
          <w:color w:val="000000" w:themeColor="text1"/>
          <w:szCs w:val="21"/>
          <w:highlight w:val="none"/>
          <w14:textFill>
            <w14:solidFill>
              <w14:schemeClr w14:val="tx1"/>
            </w14:solidFill>
          </w14:textFill>
        </w:rPr>
        <w:t>36. 招标代理服务费</w:t>
      </w:r>
      <w:bookmarkEnd w:id="189"/>
      <w:bookmarkEnd w:id="190"/>
      <w:bookmarkEnd w:id="191"/>
      <w:bookmarkEnd w:id="192"/>
      <w:bookmarkEnd w:id="193"/>
      <w:bookmarkEnd w:id="194"/>
    </w:p>
    <w:p w14:paraId="55CE1ED4">
      <w:pPr>
        <w:spacing w:line="380" w:lineRule="exact"/>
        <w:ind w:firstLine="42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本项目免收代理服务费。</w:t>
      </w:r>
    </w:p>
    <w:p w14:paraId="35A0714A">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96" w:name="_Toc14907"/>
      <w:bookmarkStart w:id="197" w:name="_Toc19124"/>
      <w:r>
        <w:rPr>
          <w:rFonts w:hint="eastAsia" w:ascii="宋体" w:hAnsi="宋体" w:eastAsia="宋体" w:cs="宋体"/>
          <w:b/>
          <w:color w:val="000000" w:themeColor="text1"/>
          <w:szCs w:val="21"/>
          <w:highlight w:val="none"/>
          <w14:textFill>
            <w14:solidFill>
              <w14:schemeClr w14:val="tx1"/>
            </w14:solidFill>
          </w14:textFill>
        </w:rPr>
        <w:t xml:space="preserve">37. </w:t>
      </w:r>
      <w:r>
        <w:rPr>
          <w:rFonts w:hint="eastAsia" w:ascii="宋体" w:hAnsi="宋体" w:eastAsia="宋体" w:cs="宋体"/>
          <w:b/>
          <w:color w:val="000000" w:themeColor="text1"/>
          <w:szCs w:val="21"/>
          <w:highlight w:val="none"/>
          <w:lang w:eastAsia="zh-CN"/>
          <w14:textFill>
            <w14:solidFill>
              <w14:schemeClr w14:val="tx1"/>
            </w14:solidFill>
          </w14:textFill>
        </w:rPr>
        <w:t>编制依据</w:t>
      </w:r>
      <w:bookmarkEnd w:id="195"/>
      <w:bookmarkEnd w:id="196"/>
    </w:p>
    <w:p w14:paraId="57C2AB23">
      <w:pPr>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本招标文件是根据《中华人民共和国政府采购法》《中华人民共和国政府采购法实施条例》及《政府采购货物和服务招标投标管理办法》（财政部令第87号）和政府采购管理有关规定编制。</w:t>
      </w:r>
      <w:bookmarkEnd w:id="197"/>
    </w:p>
    <w:p w14:paraId="2D91D992">
      <w:pPr>
        <w:spacing w:line="400" w:lineRule="exact"/>
        <w:ind w:firstLine="413"/>
        <w:outlineLvl w:val="2"/>
        <w:rPr>
          <w:rFonts w:hint="eastAsia" w:ascii="宋体" w:hAnsi="宋体" w:eastAsia="宋体" w:cs="宋体"/>
          <w:b/>
          <w:color w:val="000000" w:themeColor="text1"/>
          <w:szCs w:val="21"/>
          <w:highlight w:val="none"/>
          <w14:textFill>
            <w14:solidFill>
              <w14:schemeClr w14:val="tx1"/>
            </w14:solidFill>
          </w14:textFill>
        </w:rPr>
      </w:pPr>
      <w:bookmarkStart w:id="198" w:name="_Toc15333"/>
      <w:bookmarkStart w:id="199" w:name="_Toc29343"/>
      <w:bookmarkStart w:id="200" w:name="_Toc11077"/>
      <w:r>
        <w:rPr>
          <w:rFonts w:hint="eastAsia" w:ascii="宋体" w:hAnsi="宋体" w:eastAsia="宋体" w:cs="宋体"/>
          <w:b/>
          <w:color w:val="000000" w:themeColor="text1"/>
          <w:szCs w:val="21"/>
          <w:highlight w:val="none"/>
          <w14:textFill>
            <w14:solidFill>
              <w14:schemeClr w14:val="tx1"/>
            </w14:solidFill>
          </w14:textFill>
        </w:rPr>
        <w:t>38. 监督管理机构</w:t>
      </w:r>
      <w:bookmarkEnd w:id="198"/>
      <w:bookmarkEnd w:id="199"/>
    </w:p>
    <w:bookmarkEnd w:id="200"/>
    <w:p w14:paraId="67D2F447">
      <w:pPr>
        <w:spacing w:line="400" w:lineRule="exact"/>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bookmarkStart w:id="201" w:name="_Toc23297"/>
      <w:r>
        <w:rPr>
          <w:rFonts w:hint="eastAsia" w:ascii="宋体" w:hAnsi="宋体" w:eastAsia="宋体" w:cs="宋体"/>
          <w:color w:val="000000" w:themeColor="text1"/>
          <w:szCs w:val="21"/>
          <w:highlight w:val="none"/>
          <w:lang w:val="en-US" w:eastAsia="zh-CN"/>
          <w14:textFill>
            <w14:solidFill>
              <w14:schemeClr w14:val="tx1"/>
            </w14:solidFill>
          </w14:textFill>
        </w:rPr>
        <w:t>桂林市财政局</w:t>
      </w:r>
      <w:r>
        <w:rPr>
          <w:rFonts w:hint="eastAsia" w:ascii="宋体" w:hAnsi="宋体" w:eastAsia="宋体" w:cs="宋体"/>
          <w:color w:val="000000" w:themeColor="text1"/>
          <w:szCs w:val="21"/>
          <w:highlight w:val="none"/>
          <w14:textFill>
            <w14:solidFill>
              <w14:schemeClr w14:val="tx1"/>
            </w14:solidFill>
          </w14:textFill>
        </w:rPr>
        <w:t xml:space="preserve">   电话：</w:t>
      </w:r>
      <w:r>
        <w:rPr>
          <w:rFonts w:hint="eastAsia" w:ascii="宋体" w:hAnsi="宋体" w:eastAsia="宋体" w:cs="宋体"/>
          <w:color w:val="000000" w:themeColor="text1"/>
          <w:szCs w:val="21"/>
          <w:highlight w:val="none"/>
          <w:lang w:eastAsia="zh-CN"/>
          <w14:textFill>
            <w14:solidFill>
              <w14:schemeClr w14:val="tx1"/>
            </w14:solidFill>
          </w14:textFill>
        </w:rPr>
        <w:t>0773-2862142。</w:t>
      </w:r>
    </w:p>
    <w:p w14:paraId="420A2A13">
      <w:pPr>
        <w:pStyle w:val="216"/>
        <w:spacing w:line="390" w:lineRule="exact"/>
        <w:contextualSpacing/>
        <w:rPr>
          <w:rFonts w:hint="eastAsia" w:ascii="宋体" w:hAnsi="宋体" w:eastAsia="宋体" w:cs="宋体"/>
          <w:b/>
          <w:bCs/>
          <w:color w:val="000000" w:themeColor="text1"/>
          <w:highlight w:val="none"/>
          <w14:textFill>
            <w14:solidFill>
              <w14:schemeClr w14:val="tx1"/>
            </w14:solidFill>
          </w14:textFill>
        </w:rPr>
      </w:pPr>
    </w:p>
    <w:p w14:paraId="4E667987">
      <w:pPr>
        <w:pStyle w:val="216"/>
        <w:spacing w:line="390" w:lineRule="exact"/>
        <w:contextualSpacing/>
        <w:rPr>
          <w:rFonts w:hint="eastAsia" w:ascii="宋体" w:hAnsi="宋体" w:eastAsia="宋体" w:cs="宋体"/>
          <w:b/>
          <w:bCs/>
          <w:color w:val="000000" w:themeColor="text1"/>
          <w:highlight w:val="none"/>
          <w14:textFill>
            <w14:solidFill>
              <w14:schemeClr w14:val="tx1"/>
            </w14:solidFill>
          </w14:textFill>
        </w:rPr>
      </w:pPr>
    </w:p>
    <w:p w14:paraId="6C6F1F0A">
      <w:pPr>
        <w:pStyle w:val="216"/>
        <w:spacing w:line="390" w:lineRule="exact"/>
        <w:contextualSpacing/>
        <w:rPr>
          <w:rFonts w:hint="eastAsia" w:ascii="宋体" w:hAnsi="宋体" w:eastAsia="宋体" w:cs="宋体"/>
          <w:b/>
          <w:bCs/>
          <w:color w:val="000000" w:themeColor="text1"/>
          <w:highlight w:val="none"/>
          <w14:textFill>
            <w14:solidFill>
              <w14:schemeClr w14:val="tx1"/>
            </w14:solidFill>
          </w14:textFill>
        </w:rPr>
      </w:pPr>
    </w:p>
    <w:p w14:paraId="6AE29EE8">
      <w:pPr>
        <w:pStyle w:val="216"/>
        <w:spacing w:line="390" w:lineRule="exact"/>
        <w:contextualSpacing/>
        <w:rPr>
          <w:rFonts w:hint="eastAsia" w:ascii="宋体" w:hAnsi="宋体" w:eastAsia="宋体" w:cs="宋体"/>
          <w:b/>
          <w:bCs/>
          <w:color w:val="000000" w:themeColor="text1"/>
          <w:highlight w:val="none"/>
          <w14:textFill>
            <w14:solidFill>
              <w14:schemeClr w14:val="tx1"/>
            </w14:solidFill>
          </w14:textFill>
        </w:rPr>
      </w:pPr>
    </w:p>
    <w:p w14:paraId="114329EE">
      <w:pPr>
        <w:pStyle w:val="216"/>
        <w:spacing w:line="390" w:lineRule="exact"/>
        <w:contextualSpacing/>
        <w:rPr>
          <w:rFonts w:hint="eastAsia" w:ascii="宋体" w:hAnsi="宋体" w:eastAsia="宋体" w:cs="宋体"/>
          <w:b/>
          <w:bCs/>
          <w:color w:val="000000" w:themeColor="text1"/>
          <w:highlight w:val="none"/>
          <w14:textFill>
            <w14:solidFill>
              <w14:schemeClr w14:val="tx1"/>
            </w14:solidFill>
          </w14:textFill>
        </w:rPr>
      </w:pPr>
    </w:p>
    <w:p w14:paraId="2BDB6136">
      <w:pPr>
        <w:pStyle w:val="203"/>
        <w:rPr>
          <w:rFonts w:hint="eastAsia" w:ascii="宋体" w:hAnsi="宋体" w:eastAsia="宋体" w:cs="宋体"/>
          <w:b/>
          <w:bCs/>
          <w:color w:val="000000" w:themeColor="text1"/>
          <w:highlight w:val="none"/>
          <w14:textFill>
            <w14:solidFill>
              <w14:schemeClr w14:val="tx1"/>
            </w14:solidFill>
          </w14:textFill>
        </w:rPr>
      </w:pPr>
    </w:p>
    <w:p w14:paraId="6B121807">
      <w:pPr>
        <w:rPr>
          <w:rFonts w:hint="eastAsia" w:ascii="宋体" w:hAnsi="宋体" w:eastAsia="宋体" w:cs="宋体"/>
          <w:b/>
          <w:bCs/>
          <w:color w:val="000000" w:themeColor="text1"/>
          <w:highlight w:val="none"/>
          <w14:textFill>
            <w14:solidFill>
              <w14:schemeClr w14:val="tx1"/>
            </w14:solidFill>
          </w14:textFill>
        </w:rPr>
      </w:pPr>
    </w:p>
    <w:p w14:paraId="1C5D32DF">
      <w:pPr>
        <w:rPr>
          <w:rFonts w:hint="eastAsia" w:ascii="宋体" w:hAnsi="宋体" w:eastAsia="宋体" w:cs="宋体"/>
          <w:b/>
          <w:bCs/>
          <w:color w:val="000000" w:themeColor="text1"/>
          <w:highlight w:val="none"/>
          <w14:textFill>
            <w14:solidFill>
              <w14:schemeClr w14:val="tx1"/>
            </w14:solidFill>
          </w14:textFill>
        </w:rPr>
      </w:pPr>
    </w:p>
    <w:p w14:paraId="3950C422">
      <w:pPr>
        <w:rPr>
          <w:rFonts w:hint="eastAsia" w:ascii="宋体" w:hAnsi="宋体" w:eastAsia="宋体" w:cs="宋体"/>
          <w:b/>
          <w:bCs/>
          <w:color w:val="000000" w:themeColor="text1"/>
          <w:highlight w:val="none"/>
          <w14:textFill>
            <w14:solidFill>
              <w14:schemeClr w14:val="tx1"/>
            </w14:solidFill>
          </w14:textFill>
        </w:rPr>
      </w:pPr>
    </w:p>
    <w:p w14:paraId="5A9AC342">
      <w:pPr>
        <w:rPr>
          <w:rFonts w:hint="eastAsia" w:ascii="宋体" w:hAnsi="宋体" w:eastAsia="宋体" w:cs="宋体"/>
          <w:b/>
          <w:bCs/>
          <w:color w:val="000000" w:themeColor="text1"/>
          <w:highlight w:val="none"/>
          <w14:textFill>
            <w14:solidFill>
              <w14:schemeClr w14:val="tx1"/>
            </w14:solidFill>
          </w14:textFill>
        </w:rPr>
      </w:pPr>
    </w:p>
    <w:p w14:paraId="48FA39F1">
      <w:pPr>
        <w:rPr>
          <w:rFonts w:hint="eastAsia" w:ascii="宋体" w:hAnsi="宋体" w:eastAsia="宋体" w:cs="宋体"/>
          <w:b/>
          <w:bCs/>
          <w:color w:val="000000" w:themeColor="text1"/>
          <w:highlight w:val="none"/>
          <w14:textFill>
            <w14:solidFill>
              <w14:schemeClr w14:val="tx1"/>
            </w14:solidFill>
          </w14:textFill>
        </w:rPr>
      </w:pPr>
    </w:p>
    <w:p w14:paraId="23D1DB0F">
      <w:pPr>
        <w:rPr>
          <w:rFonts w:hint="eastAsia" w:ascii="宋体" w:hAnsi="宋体" w:eastAsia="宋体" w:cs="宋体"/>
          <w:b/>
          <w:bCs/>
          <w:color w:val="000000" w:themeColor="text1"/>
          <w:highlight w:val="none"/>
          <w14:textFill>
            <w14:solidFill>
              <w14:schemeClr w14:val="tx1"/>
            </w14:solidFill>
          </w14:textFill>
        </w:rPr>
      </w:pPr>
    </w:p>
    <w:p w14:paraId="3383EE71">
      <w:pPr>
        <w:rPr>
          <w:rFonts w:hint="eastAsia" w:ascii="宋体" w:hAnsi="宋体" w:eastAsia="宋体" w:cs="宋体"/>
          <w:b/>
          <w:bCs/>
          <w:color w:val="000000" w:themeColor="text1"/>
          <w:highlight w:val="none"/>
          <w14:textFill>
            <w14:solidFill>
              <w14:schemeClr w14:val="tx1"/>
            </w14:solidFill>
          </w14:textFill>
        </w:rPr>
      </w:pPr>
    </w:p>
    <w:p w14:paraId="2CA1A6EE">
      <w:pPr>
        <w:rPr>
          <w:rFonts w:hint="eastAsia" w:ascii="宋体" w:hAnsi="宋体" w:eastAsia="宋体" w:cs="宋体"/>
          <w:b/>
          <w:bCs/>
          <w:color w:val="000000" w:themeColor="text1"/>
          <w:highlight w:val="none"/>
          <w14:textFill>
            <w14:solidFill>
              <w14:schemeClr w14:val="tx1"/>
            </w14:solidFill>
          </w14:textFill>
        </w:rPr>
      </w:pPr>
    </w:p>
    <w:p w14:paraId="2CF6AC8F">
      <w:pPr>
        <w:rPr>
          <w:rFonts w:hint="eastAsia" w:ascii="宋体" w:hAnsi="宋体" w:eastAsia="宋体" w:cs="宋体"/>
          <w:b/>
          <w:bCs/>
          <w:color w:val="000000" w:themeColor="text1"/>
          <w:highlight w:val="none"/>
          <w14:textFill>
            <w14:solidFill>
              <w14:schemeClr w14:val="tx1"/>
            </w14:solidFill>
          </w14:textFill>
        </w:rPr>
      </w:pPr>
    </w:p>
    <w:p w14:paraId="6BD34315">
      <w:pPr>
        <w:rPr>
          <w:rFonts w:hint="eastAsia" w:ascii="宋体" w:hAnsi="宋体" w:eastAsia="宋体" w:cs="宋体"/>
          <w:b/>
          <w:bCs/>
          <w:color w:val="000000" w:themeColor="text1"/>
          <w:highlight w:val="none"/>
          <w14:textFill>
            <w14:solidFill>
              <w14:schemeClr w14:val="tx1"/>
            </w14:solidFill>
          </w14:textFill>
        </w:rPr>
      </w:pPr>
    </w:p>
    <w:p w14:paraId="62149EB8">
      <w:pPr>
        <w:rPr>
          <w:rFonts w:hint="eastAsia" w:ascii="宋体" w:hAnsi="宋体" w:eastAsia="宋体" w:cs="宋体"/>
          <w:b/>
          <w:bCs/>
          <w:color w:val="000000" w:themeColor="text1"/>
          <w:highlight w:val="none"/>
          <w14:textFill>
            <w14:solidFill>
              <w14:schemeClr w14:val="tx1"/>
            </w14:solidFill>
          </w14:textFill>
        </w:rPr>
      </w:pPr>
    </w:p>
    <w:p w14:paraId="56DABDF8">
      <w:pPr>
        <w:rPr>
          <w:rFonts w:hint="eastAsia" w:ascii="宋体" w:hAnsi="宋体" w:eastAsia="宋体" w:cs="宋体"/>
          <w:b/>
          <w:bCs/>
          <w:color w:val="000000" w:themeColor="text1"/>
          <w:highlight w:val="none"/>
          <w14:textFill>
            <w14:solidFill>
              <w14:schemeClr w14:val="tx1"/>
            </w14:solidFill>
          </w14:textFill>
        </w:rPr>
      </w:pPr>
    </w:p>
    <w:p w14:paraId="60C33FD7">
      <w:pPr>
        <w:rPr>
          <w:rFonts w:hint="eastAsia" w:ascii="宋体" w:hAnsi="宋体" w:eastAsia="宋体" w:cs="宋体"/>
          <w:b/>
          <w:bCs/>
          <w:color w:val="000000" w:themeColor="text1"/>
          <w:highlight w:val="none"/>
          <w14:textFill>
            <w14:solidFill>
              <w14:schemeClr w14:val="tx1"/>
            </w14:solidFill>
          </w14:textFill>
        </w:rPr>
      </w:pPr>
    </w:p>
    <w:p w14:paraId="1C9F5D82">
      <w:pPr>
        <w:rPr>
          <w:rFonts w:hint="eastAsia" w:ascii="宋体" w:hAnsi="宋体" w:eastAsia="宋体" w:cs="宋体"/>
          <w:b/>
          <w:bCs/>
          <w:color w:val="000000" w:themeColor="text1"/>
          <w:highlight w:val="none"/>
          <w14:textFill>
            <w14:solidFill>
              <w14:schemeClr w14:val="tx1"/>
            </w14:solidFill>
          </w14:textFill>
        </w:rPr>
      </w:pPr>
    </w:p>
    <w:p w14:paraId="142BF3D3">
      <w:pPr>
        <w:pStyle w:val="193"/>
        <w:spacing w:line="400" w:lineRule="exact"/>
        <w:jc w:val="center"/>
        <w:rPr>
          <w:rFonts w:hint="eastAsia" w:ascii="宋体" w:hAnsi="宋体" w:eastAsia="宋体" w:cs="宋体"/>
          <w:color w:val="000000" w:themeColor="text1"/>
          <w:sz w:val="32"/>
          <w:szCs w:val="32"/>
          <w:highlight w:val="none"/>
          <w14:textFill>
            <w14:solidFill>
              <w14:schemeClr w14:val="tx1"/>
            </w14:solidFill>
          </w14:textFill>
        </w:rPr>
      </w:pPr>
      <w:bookmarkStart w:id="202" w:name="_Toc30701"/>
      <w:bookmarkStart w:id="203" w:name="_Toc12929"/>
      <w:bookmarkStart w:id="204" w:name="_Toc14870"/>
      <w:bookmarkStart w:id="205" w:name="_Toc20149"/>
      <w:r>
        <w:rPr>
          <w:rFonts w:hint="eastAsia" w:ascii="宋体" w:hAnsi="宋体" w:eastAsia="宋体" w:cs="宋体"/>
          <w:color w:val="000000" w:themeColor="text1"/>
          <w:sz w:val="32"/>
          <w:szCs w:val="32"/>
          <w:highlight w:val="none"/>
          <w14:textFill>
            <w14:solidFill>
              <w14:schemeClr w14:val="tx1"/>
            </w14:solidFill>
          </w14:textFill>
        </w:rPr>
        <w:t>第三章  采购需求</w:t>
      </w:r>
      <w:bookmarkEnd w:id="201"/>
      <w:bookmarkEnd w:id="202"/>
      <w:bookmarkEnd w:id="203"/>
      <w:bookmarkEnd w:id="204"/>
    </w:p>
    <w:p w14:paraId="37E5343F">
      <w:pPr>
        <w:jc w:val="both"/>
        <w:rPr>
          <w:rFonts w:hint="eastAsia" w:ascii="宋体" w:hAnsi="宋体" w:eastAsia="宋体" w:cs="宋体"/>
          <w:color w:val="000000" w:themeColor="text1"/>
          <w:szCs w:val="21"/>
          <w:highlight w:val="none"/>
          <w14:textFill>
            <w14:solidFill>
              <w14:schemeClr w14:val="tx1"/>
            </w14:solidFill>
          </w14:textFill>
        </w:rPr>
      </w:pPr>
      <w:bookmarkStart w:id="206" w:name="_Toc30534"/>
      <w:bookmarkStart w:id="207" w:name="_Toc17907"/>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注：</w:t>
      </w:r>
      <w:r>
        <w:rPr>
          <w:rFonts w:hint="eastAsia" w:ascii="宋体" w:hAnsi="宋体" w:eastAsia="宋体" w:cs="宋体"/>
          <w:b/>
          <w:bCs/>
          <w:color w:val="000000" w:themeColor="text1"/>
          <w:szCs w:val="21"/>
          <w:highlight w:val="none"/>
          <w14:textFill>
            <w14:solidFill>
              <w14:schemeClr w14:val="tx1"/>
            </w14:solidFill>
          </w14:textFill>
        </w:rPr>
        <w:t>采购需求”中除现场考察相关要求外</w:t>
      </w:r>
      <w:r>
        <w:rPr>
          <w:rFonts w:hint="eastAsia" w:ascii="宋体" w:hAnsi="宋体" w:eastAsia="宋体" w:cs="宋体"/>
          <w:b/>
          <w:bCs/>
          <w:color w:val="000000" w:themeColor="text1"/>
          <w:szCs w:val="21"/>
          <w:highlight w:val="none"/>
          <w:lang w:eastAsia="zh-CN"/>
          <w14:textFill>
            <w14:solidFill>
              <w14:schemeClr w14:val="tx1"/>
            </w14:solidFill>
          </w14:textFill>
        </w:rPr>
        <w:t>，其他</w:t>
      </w:r>
      <w:r>
        <w:rPr>
          <w:rFonts w:hint="eastAsia" w:ascii="宋体" w:hAnsi="宋体" w:eastAsia="宋体" w:cs="宋体"/>
          <w:b/>
          <w:bCs/>
          <w:color w:val="000000" w:themeColor="text1"/>
          <w:szCs w:val="21"/>
          <w:highlight w:val="none"/>
          <w14:textFill>
            <w14:solidFill>
              <w14:schemeClr w14:val="tx1"/>
            </w14:solidFill>
          </w14:textFill>
        </w:rPr>
        <w:t>均为实质性要求，不允许负偏离，否则视为</w:t>
      </w:r>
      <w:r>
        <w:rPr>
          <w:rFonts w:hint="eastAsia" w:ascii="宋体" w:hAnsi="宋体" w:eastAsia="宋体" w:cs="宋体"/>
          <w:b/>
          <w:bCs/>
          <w:color w:val="000000" w:themeColor="text1"/>
          <w:szCs w:val="21"/>
          <w:highlight w:val="none"/>
          <w:lang w:eastAsia="zh-CN"/>
          <w14:textFill>
            <w14:solidFill>
              <w14:schemeClr w14:val="tx1"/>
            </w14:solidFill>
          </w14:textFill>
        </w:rPr>
        <w:t>投标无效。</w:t>
      </w:r>
    </w:p>
    <w:p w14:paraId="37D4F597">
      <w:pPr>
        <w:numPr>
          <w:ilvl w:val="0"/>
          <w:numId w:val="4"/>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项目基本情况</w:t>
      </w:r>
    </w:p>
    <w:p w14:paraId="63B4B8E1">
      <w:pPr>
        <w:numPr>
          <w:ilvl w:val="0"/>
          <w:numId w:val="0"/>
        </w:numP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1.1物业情况</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5404"/>
      </w:tblGrid>
      <w:tr w14:paraId="620B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noWrap w:val="0"/>
            <w:vAlign w:val="top"/>
          </w:tcPr>
          <w:p w14:paraId="728C1F4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物业名称</w:t>
            </w:r>
          </w:p>
        </w:tc>
        <w:tc>
          <w:tcPr>
            <w:tcW w:w="5404" w:type="dxa"/>
            <w:noWrap w:val="0"/>
            <w:vAlign w:val="top"/>
          </w:tcPr>
          <w:p w14:paraId="3542DB3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物业地址</w:t>
            </w:r>
          </w:p>
        </w:tc>
      </w:tr>
      <w:tr w14:paraId="5205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4F970CA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cs="宋体"/>
                <w:color w:val="000000"/>
                <w:highlight w:val="none"/>
                <w:lang w:val="en-US" w:eastAsia="zh-CN"/>
              </w:rPr>
              <w:t>中国共产党桂林市委员会党校物业服务采购</w:t>
            </w:r>
          </w:p>
        </w:tc>
        <w:tc>
          <w:tcPr>
            <w:tcW w:w="5404" w:type="dxa"/>
            <w:noWrap w:val="0"/>
            <w:vAlign w:val="top"/>
          </w:tcPr>
          <w:p w14:paraId="0A6CB6A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桂林市象山区万福路25号</w:t>
            </w:r>
          </w:p>
        </w:tc>
      </w:tr>
    </w:tbl>
    <w:p w14:paraId="1F22EE4B">
      <w:pPr>
        <w:numPr>
          <w:ilvl w:val="0"/>
          <w:numId w:val="0"/>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1.2采购人提供供应商使用的场地、设施设备、耗材等</w:t>
      </w:r>
    </w:p>
    <w:p w14:paraId="1A76BCEB">
      <w:pPr>
        <w:numPr>
          <w:ilvl w:val="0"/>
          <w:numId w:val="5"/>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可提供的办公室1间；面积40㎡</w:t>
      </w:r>
    </w:p>
    <w:p w14:paraId="1D8F66AA">
      <w:pPr>
        <w:numPr>
          <w:ilvl w:val="0"/>
          <w:numId w:val="5"/>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采购人可提供食堂，餐费由供应商自理</w:t>
      </w:r>
    </w:p>
    <w:p w14:paraId="1CE7F4B6">
      <w:pPr>
        <w:numPr>
          <w:ilvl w:val="0"/>
          <w:numId w:val="5"/>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采购人可提供的住宿:4个房间，14个床位</w:t>
      </w:r>
    </w:p>
    <w:p w14:paraId="37E74DC0">
      <w:pPr>
        <w:numPr>
          <w:ilvl w:val="0"/>
          <w:numId w:val="5"/>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采购人提供零星维修材料：电线、灯、水龙头、阀门、腻子等</w:t>
      </w:r>
    </w:p>
    <w:p w14:paraId="76EEE702">
      <w:pPr>
        <w:numPr>
          <w:ilvl w:val="0"/>
          <w:numId w:val="6"/>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物业服务范围</w:t>
      </w:r>
    </w:p>
    <w:p w14:paraId="412DF4E9">
      <w:pPr>
        <w:numPr>
          <w:ilvl w:val="0"/>
          <w:numId w:val="7"/>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物业管理（建筑物）</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915"/>
        <w:gridCol w:w="3737"/>
        <w:gridCol w:w="3207"/>
      </w:tblGrid>
      <w:tr w14:paraId="5106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0" w:type="dxa"/>
            <w:gridSpan w:val="2"/>
            <w:noWrap w:val="0"/>
            <w:vAlign w:val="top"/>
          </w:tcPr>
          <w:p w14:paraId="1CA8DF3E">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名称</w:t>
            </w:r>
          </w:p>
        </w:tc>
        <w:tc>
          <w:tcPr>
            <w:tcW w:w="3737" w:type="dxa"/>
            <w:noWrap w:val="0"/>
            <w:vAlign w:val="top"/>
          </w:tcPr>
          <w:p w14:paraId="6B71FDC1">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明细</w:t>
            </w:r>
          </w:p>
        </w:tc>
        <w:tc>
          <w:tcPr>
            <w:tcW w:w="3207" w:type="dxa"/>
            <w:noWrap w:val="0"/>
            <w:vAlign w:val="top"/>
          </w:tcPr>
          <w:p w14:paraId="3AEF7A06">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服务内容及标准</w:t>
            </w:r>
          </w:p>
        </w:tc>
      </w:tr>
      <w:tr w14:paraId="7675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0" w:type="dxa"/>
            <w:gridSpan w:val="2"/>
            <w:noWrap w:val="0"/>
            <w:vAlign w:val="top"/>
          </w:tcPr>
          <w:p w14:paraId="0EDA12E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建筑名称</w:t>
            </w:r>
          </w:p>
        </w:tc>
        <w:tc>
          <w:tcPr>
            <w:tcW w:w="3737" w:type="dxa"/>
            <w:noWrap w:val="0"/>
            <w:vAlign w:val="top"/>
          </w:tcPr>
          <w:p w14:paraId="7405E01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楼宇共计17栋</w:t>
            </w:r>
          </w:p>
        </w:tc>
        <w:tc>
          <w:tcPr>
            <w:tcW w:w="3207" w:type="dxa"/>
            <w:noWrap w:val="0"/>
            <w:vAlign w:val="top"/>
          </w:tcPr>
          <w:p w14:paraId="16323CA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r>
      <w:tr w14:paraId="4355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0DE5E636">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总面积</w:t>
            </w:r>
          </w:p>
        </w:tc>
        <w:tc>
          <w:tcPr>
            <w:tcW w:w="1915" w:type="dxa"/>
            <w:noWrap w:val="0"/>
            <w:vAlign w:val="top"/>
          </w:tcPr>
          <w:p w14:paraId="3A33EC6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建筑面积（㎡）</w:t>
            </w:r>
          </w:p>
        </w:tc>
        <w:tc>
          <w:tcPr>
            <w:tcW w:w="3737" w:type="dxa"/>
            <w:noWrap w:val="0"/>
            <w:vAlign w:val="top"/>
          </w:tcPr>
          <w:p w14:paraId="2F6AAFE9">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79580㎡</w:t>
            </w:r>
          </w:p>
        </w:tc>
        <w:tc>
          <w:tcPr>
            <w:tcW w:w="3207" w:type="dxa"/>
            <w:noWrap w:val="0"/>
            <w:vAlign w:val="top"/>
          </w:tcPr>
          <w:p w14:paraId="6F826B6F">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见“3.6保安服务”</w:t>
            </w:r>
          </w:p>
        </w:tc>
      </w:tr>
      <w:tr w14:paraId="71A5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7B03E243">
            <w:pPr>
              <w:spacing w:after="0" w:line="240" w:lineRule="auto"/>
              <w:jc w:val="center"/>
              <w:rPr>
                <w:rFonts w:hint="eastAsia" w:ascii="宋体" w:hAnsi="宋体" w:eastAsia="宋体" w:cs="宋体"/>
                <w:color w:val="000000" w:themeColor="text1"/>
                <w:highlight w:val="none"/>
                <w14:textFill>
                  <w14:solidFill>
                    <w14:schemeClr w14:val="tx1"/>
                  </w14:solidFill>
                </w14:textFill>
              </w:rPr>
            </w:pPr>
          </w:p>
        </w:tc>
        <w:tc>
          <w:tcPr>
            <w:tcW w:w="1915" w:type="dxa"/>
            <w:noWrap w:val="0"/>
            <w:vAlign w:val="top"/>
          </w:tcPr>
          <w:p w14:paraId="03FEBA5F">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保洁面积（㎡）</w:t>
            </w:r>
          </w:p>
        </w:tc>
        <w:tc>
          <w:tcPr>
            <w:tcW w:w="3737" w:type="dxa"/>
            <w:noWrap w:val="0"/>
            <w:vAlign w:val="top"/>
          </w:tcPr>
          <w:p w14:paraId="0677345A">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46109㎡</w:t>
            </w:r>
          </w:p>
        </w:tc>
        <w:tc>
          <w:tcPr>
            <w:tcW w:w="3207" w:type="dxa"/>
            <w:noWrap w:val="0"/>
            <w:vAlign w:val="top"/>
          </w:tcPr>
          <w:p w14:paraId="2DCDA9EE">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见“3.4保洁服务”</w:t>
            </w:r>
          </w:p>
        </w:tc>
      </w:tr>
      <w:tr w14:paraId="3437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01409BE4">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门窗</w:t>
            </w:r>
          </w:p>
        </w:tc>
        <w:tc>
          <w:tcPr>
            <w:tcW w:w="1915" w:type="dxa"/>
            <w:noWrap w:val="0"/>
            <w:vAlign w:val="top"/>
          </w:tcPr>
          <w:p w14:paraId="79C2163D">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门窗总个数或总面积</w:t>
            </w:r>
          </w:p>
        </w:tc>
        <w:tc>
          <w:tcPr>
            <w:tcW w:w="3737" w:type="dxa"/>
            <w:noWrap w:val="0"/>
            <w:vAlign w:val="top"/>
          </w:tcPr>
          <w:p w14:paraId="3ABB92F0">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总6099个</w:t>
            </w:r>
          </w:p>
        </w:tc>
        <w:tc>
          <w:tcPr>
            <w:tcW w:w="3207" w:type="dxa"/>
            <w:noWrap w:val="0"/>
            <w:vAlign w:val="top"/>
          </w:tcPr>
          <w:p w14:paraId="24D85DE4">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见“3.2房屋维护服务”“3.4保洁服务”</w:t>
            </w:r>
          </w:p>
        </w:tc>
      </w:tr>
      <w:tr w14:paraId="2B3C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5EB187D7">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地面</w:t>
            </w:r>
          </w:p>
        </w:tc>
        <w:tc>
          <w:tcPr>
            <w:tcW w:w="1915" w:type="dxa"/>
            <w:noWrap w:val="0"/>
            <w:vAlign w:val="top"/>
          </w:tcPr>
          <w:p w14:paraId="18D11BD8">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地面各材质及面积</w:t>
            </w:r>
          </w:p>
        </w:tc>
        <w:tc>
          <w:tcPr>
            <w:tcW w:w="3737" w:type="dxa"/>
            <w:noWrap w:val="0"/>
            <w:vAlign w:val="top"/>
          </w:tcPr>
          <w:p w14:paraId="33735244">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瓷砖：19300㎡</w:t>
            </w:r>
          </w:p>
          <w:p w14:paraId="1BC3B52B">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会议室地胶：6000㎡</w:t>
            </w:r>
          </w:p>
          <w:p w14:paraId="52302EC3">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环氧地坪漆：13500㎡</w:t>
            </w:r>
          </w:p>
        </w:tc>
        <w:tc>
          <w:tcPr>
            <w:tcW w:w="3207" w:type="dxa"/>
            <w:noWrap w:val="0"/>
            <w:vAlign w:val="top"/>
          </w:tcPr>
          <w:p w14:paraId="01A89CF2">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见“3.2房屋维护服务”“3.4保洁服务”</w:t>
            </w:r>
          </w:p>
        </w:tc>
      </w:tr>
      <w:tr w14:paraId="1A5F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45BD0E92">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内墙饰面</w:t>
            </w:r>
          </w:p>
        </w:tc>
        <w:tc>
          <w:tcPr>
            <w:tcW w:w="1915" w:type="dxa"/>
            <w:noWrap w:val="0"/>
            <w:vAlign w:val="top"/>
          </w:tcPr>
          <w:p w14:paraId="189427D2">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内墙饰面材质及面积</w:t>
            </w:r>
          </w:p>
        </w:tc>
        <w:tc>
          <w:tcPr>
            <w:tcW w:w="3737" w:type="dxa"/>
            <w:noWrap w:val="0"/>
            <w:vAlign w:val="top"/>
          </w:tcPr>
          <w:p w14:paraId="60A7F992">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乳胶漆面积：198950㎡</w:t>
            </w:r>
          </w:p>
          <w:p w14:paraId="64DE0A7B">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瓷砖：1500㎡</w:t>
            </w:r>
          </w:p>
          <w:p w14:paraId="7E44C00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3207" w:type="dxa"/>
            <w:noWrap w:val="0"/>
            <w:vAlign w:val="top"/>
          </w:tcPr>
          <w:p w14:paraId="36B9B568">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见“3.2房屋维护服务”“3.4保洁服务”</w:t>
            </w:r>
          </w:p>
        </w:tc>
      </w:tr>
      <w:tr w14:paraId="7740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03042CD4">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顶面</w:t>
            </w:r>
          </w:p>
        </w:tc>
        <w:tc>
          <w:tcPr>
            <w:tcW w:w="1915" w:type="dxa"/>
            <w:noWrap w:val="0"/>
            <w:vAlign w:val="top"/>
          </w:tcPr>
          <w:p w14:paraId="762CA1A8">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顶面材质及面积</w:t>
            </w:r>
          </w:p>
        </w:tc>
        <w:tc>
          <w:tcPr>
            <w:tcW w:w="3737" w:type="dxa"/>
            <w:noWrap w:val="0"/>
            <w:vAlign w:val="top"/>
          </w:tcPr>
          <w:p w14:paraId="5590BDA5">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乳胶漆面积：70825㎡</w:t>
            </w:r>
          </w:p>
          <w:p w14:paraId="498D3C85">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铝扣板面积：3600㎡</w:t>
            </w:r>
          </w:p>
        </w:tc>
        <w:tc>
          <w:tcPr>
            <w:tcW w:w="3207" w:type="dxa"/>
            <w:noWrap w:val="0"/>
            <w:vAlign w:val="top"/>
          </w:tcPr>
          <w:p w14:paraId="098796AF">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见“3.2房屋维护服务”“3.4保洁服务”</w:t>
            </w:r>
          </w:p>
        </w:tc>
      </w:tr>
      <w:tr w14:paraId="2614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65" w:type="dxa"/>
            <w:noWrap w:val="0"/>
            <w:vAlign w:val="top"/>
          </w:tcPr>
          <w:p w14:paraId="240F8D89">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外墙</w:t>
            </w:r>
          </w:p>
        </w:tc>
        <w:tc>
          <w:tcPr>
            <w:tcW w:w="1915" w:type="dxa"/>
            <w:noWrap w:val="0"/>
            <w:vAlign w:val="top"/>
          </w:tcPr>
          <w:p w14:paraId="2EA29ED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外墙材质及面积</w:t>
            </w:r>
          </w:p>
        </w:tc>
        <w:tc>
          <w:tcPr>
            <w:tcW w:w="3737" w:type="dxa"/>
            <w:noWrap w:val="0"/>
            <w:vAlign w:val="top"/>
          </w:tcPr>
          <w:p w14:paraId="21E2EF5F">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外墙砖：65800㎡</w:t>
            </w:r>
          </w:p>
        </w:tc>
        <w:tc>
          <w:tcPr>
            <w:tcW w:w="3207" w:type="dxa"/>
            <w:noWrap w:val="0"/>
            <w:vAlign w:val="top"/>
          </w:tcPr>
          <w:p w14:paraId="644F545C">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见“3.2房屋维护服务”“3.4保洁服务”</w:t>
            </w:r>
          </w:p>
        </w:tc>
      </w:tr>
      <w:tr w14:paraId="1F41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2B85C3EA">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会议室</w:t>
            </w:r>
          </w:p>
        </w:tc>
        <w:tc>
          <w:tcPr>
            <w:tcW w:w="1915" w:type="dxa"/>
            <w:noWrap w:val="0"/>
            <w:vAlign w:val="top"/>
          </w:tcPr>
          <w:p w14:paraId="4382963D">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室内设施说明（采购需求）</w:t>
            </w:r>
          </w:p>
        </w:tc>
        <w:tc>
          <w:tcPr>
            <w:tcW w:w="3737" w:type="dxa"/>
            <w:noWrap w:val="0"/>
            <w:vAlign w:val="top"/>
          </w:tcPr>
          <w:p w14:paraId="796C3A1A">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会议桌、会议椅、投影机、话筒、音响</w:t>
            </w:r>
          </w:p>
        </w:tc>
        <w:tc>
          <w:tcPr>
            <w:tcW w:w="3207" w:type="dxa"/>
            <w:noWrap w:val="0"/>
            <w:vAlign w:val="top"/>
          </w:tcPr>
          <w:p w14:paraId="09B40720">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见“3.2房屋维护服务”“3.4保洁服务”“3.7会议服务”</w:t>
            </w:r>
          </w:p>
        </w:tc>
      </w:tr>
      <w:tr w14:paraId="755A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0446A597">
            <w:pPr>
              <w:spacing w:after="0" w:line="240" w:lineRule="auto"/>
              <w:jc w:val="center"/>
              <w:rPr>
                <w:rFonts w:hint="eastAsia" w:ascii="宋体" w:hAnsi="宋体" w:eastAsia="宋体" w:cs="宋体"/>
                <w:color w:val="000000" w:themeColor="text1"/>
                <w:highlight w:val="none"/>
                <w14:textFill>
                  <w14:solidFill>
                    <w14:schemeClr w14:val="tx1"/>
                  </w14:solidFill>
                </w14:textFill>
              </w:rPr>
            </w:pPr>
          </w:p>
        </w:tc>
        <w:tc>
          <w:tcPr>
            <w:tcW w:w="1915" w:type="dxa"/>
            <w:noWrap w:val="0"/>
            <w:vAlign w:val="top"/>
          </w:tcPr>
          <w:p w14:paraId="35AA8BE0">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会议室数量</w:t>
            </w:r>
          </w:p>
        </w:tc>
        <w:tc>
          <w:tcPr>
            <w:tcW w:w="3737" w:type="dxa"/>
            <w:noWrap w:val="0"/>
            <w:vAlign w:val="top"/>
          </w:tcPr>
          <w:p w14:paraId="56619DC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会议室5个；220㎡</w:t>
            </w:r>
          </w:p>
        </w:tc>
        <w:tc>
          <w:tcPr>
            <w:tcW w:w="3207" w:type="dxa"/>
            <w:noWrap w:val="0"/>
            <w:vAlign w:val="top"/>
          </w:tcPr>
          <w:p w14:paraId="0EA8AF64">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见“3.4保洁服务”“3.7会议服务</w:t>
            </w:r>
          </w:p>
        </w:tc>
      </w:tr>
      <w:tr w14:paraId="5D9C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05DA09F8">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报告厅</w:t>
            </w:r>
          </w:p>
        </w:tc>
        <w:tc>
          <w:tcPr>
            <w:tcW w:w="1915" w:type="dxa"/>
            <w:noWrap w:val="0"/>
            <w:vAlign w:val="top"/>
          </w:tcPr>
          <w:p w14:paraId="1988F6EF">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室内设施说明（采购需求）</w:t>
            </w:r>
          </w:p>
        </w:tc>
        <w:tc>
          <w:tcPr>
            <w:tcW w:w="3737" w:type="dxa"/>
            <w:noWrap w:val="0"/>
            <w:vAlign w:val="top"/>
          </w:tcPr>
          <w:p w14:paraId="3DFCB76A">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会议桌、会议椅、投影机、话筒、音响</w:t>
            </w:r>
          </w:p>
        </w:tc>
        <w:tc>
          <w:tcPr>
            <w:tcW w:w="3207" w:type="dxa"/>
            <w:noWrap w:val="0"/>
            <w:vAlign w:val="top"/>
          </w:tcPr>
          <w:p w14:paraId="291E5397">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见“3.2房屋维护服务”“3.4保洁服务”“3.7会议服务”</w:t>
            </w:r>
          </w:p>
        </w:tc>
      </w:tr>
      <w:tr w14:paraId="7EBA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77652631">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0EB82E8E">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报告厅数量</w:t>
            </w:r>
          </w:p>
        </w:tc>
        <w:tc>
          <w:tcPr>
            <w:tcW w:w="3737" w:type="dxa"/>
            <w:noWrap w:val="0"/>
            <w:vAlign w:val="top"/>
          </w:tcPr>
          <w:p w14:paraId="422C7362">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4个；3800㎡</w:t>
            </w:r>
          </w:p>
        </w:tc>
        <w:tc>
          <w:tcPr>
            <w:tcW w:w="3207" w:type="dxa"/>
            <w:noWrap w:val="0"/>
            <w:vAlign w:val="top"/>
          </w:tcPr>
          <w:p w14:paraId="04AFC777">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见“3.4保洁服务”“3.7会议服务</w:t>
            </w:r>
          </w:p>
        </w:tc>
      </w:tr>
      <w:tr w14:paraId="5B5C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612178F5">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卫生间</w:t>
            </w:r>
          </w:p>
        </w:tc>
        <w:tc>
          <w:tcPr>
            <w:tcW w:w="1915" w:type="dxa"/>
            <w:noWrap w:val="0"/>
            <w:vAlign w:val="top"/>
          </w:tcPr>
          <w:p w14:paraId="27EAE732">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总数量及面积</w:t>
            </w:r>
          </w:p>
        </w:tc>
        <w:tc>
          <w:tcPr>
            <w:tcW w:w="3737" w:type="dxa"/>
            <w:noWrap w:val="0"/>
            <w:vAlign w:val="top"/>
          </w:tcPr>
          <w:p w14:paraId="60798820">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蹲坑207个；小便池91个；马桶3个；洗澡房16个</w:t>
            </w:r>
          </w:p>
        </w:tc>
        <w:tc>
          <w:tcPr>
            <w:tcW w:w="3207" w:type="dxa"/>
            <w:noWrap w:val="0"/>
            <w:vAlign w:val="top"/>
          </w:tcPr>
          <w:p w14:paraId="315496B2">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见“3.4保洁服务”</w:t>
            </w:r>
          </w:p>
        </w:tc>
      </w:tr>
      <w:tr w14:paraId="747C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noWrap w:val="0"/>
            <w:vAlign w:val="top"/>
          </w:tcPr>
          <w:p w14:paraId="30BE6629">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垃圾存放点</w:t>
            </w:r>
          </w:p>
        </w:tc>
        <w:tc>
          <w:tcPr>
            <w:tcW w:w="1915" w:type="dxa"/>
            <w:noWrap w:val="0"/>
            <w:vAlign w:val="top"/>
          </w:tcPr>
          <w:p w14:paraId="7DE0BCA3">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位置、面积、数量</w:t>
            </w:r>
          </w:p>
        </w:tc>
        <w:tc>
          <w:tcPr>
            <w:tcW w:w="3737" w:type="dxa"/>
            <w:noWrap w:val="0"/>
            <w:vAlign w:val="top"/>
          </w:tcPr>
          <w:p w14:paraId="48E280AF">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膳食中心1个；会议中心1个</w:t>
            </w:r>
          </w:p>
        </w:tc>
        <w:tc>
          <w:tcPr>
            <w:tcW w:w="3207" w:type="dxa"/>
            <w:noWrap w:val="0"/>
            <w:vAlign w:val="top"/>
          </w:tcPr>
          <w:p w14:paraId="082351F7">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见“3.4保洁服务”</w:t>
            </w:r>
          </w:p>
        </w:tc>
      </w:tr>
      <w:tr w14:paraId="01C7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restart"/>
            <w:noWrap w:val="0"/>
            <w:vAlign w:val="top"/>
          </w:tcPr>
          <w:p w14:paraId="226DD988">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车位数</w:t>
            </w:r>
          </w:p>
        </w:tc>
        <w:tc>
          <w:tcPr>
            <w:tcW w:w="1915" w:type="dxa"/>
            <w:noWrap w:val="0"/>
            <w:vAlign w:val="top"/>
          </w:tcPr>
          <w:p w14:paraId="6C026F77">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地下车位</w:t>
            </w:r>
          </w:p>
        </w:tc>
        <w:tc>
          <w:tcPr>
            <w:tcW w:w="3737" w:type="dxa"/>
            <w:noWrap w:val="0"/>
            <w:vAlign w:val="top"/>
          </w:tcPr>
          <w:p w14:paraId="4E684F8F">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汽车停车位321个（12个充电桩）；电单车车位162个（充电桩152个）</w:t>
            </w:r>
          </w:p>
        </w:tc>
        <w:tc>
          <w:tcPr>
            <w:tcW w:w="3207" w:type="dxa"/>
            <w:noWrap w:val="0"/>
            <w:vAlign w:val="top"/>
          </w:tcPr>
          <w:p w14:paraId="57A2521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见“3.6保安服务”</w:t>
            </w:r>
          </w:p>
        </w:tc>
      </w:tr>
      <w:tr w14:paraId="76C7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65" w:type="dxa"/>
            <w:vMerge w:val="continue"/>
            <w:noWrap w:val="0"/>
            <w:vAlign w:val="top"/>
          </w:tcPr>
          <w:p w14:paraId="402EAA48">
            <w:pPr>
              <w:spacing w:after="0" w:line="240" w:lineRule="auto"/>
              <w:jc w:val="center"/>
              <w:rPr>
                <w:rFonts w:hint="eastAsia" w:ascii="宋体" w:hAnsi="宋体" w:eastAsia="宋体" w:cs="宋体"/>
                <w:color w:val="000000" w:themeColor="text1"/>
                <w:highlight w:val="none"/>
                <w14:textFill>
                  <w14:solidFill>
                    <w14:schemeClr w14:val="tx1"/>
                  </w14:solidFill>
                </w14:textFill>
              </w:rPr>
            </w:pPr>
          </w:p>
        </w:tc>
        <w:tc>
          <w:tcPr>
            <w:tcW w:w="1915" w:type="dxa"/>
            <w:noWrap w:val="0"/>
            <w:vAlign w:val="top"/>
          </w:tcPr>
          <w:p w14:paraId="6EC269EF">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地上车位</w:t>
            </w:r>
          </w:p>
        </w:tc>
        <w:tc>
          <w:tcPr>
            <w:tcW w:w="3737" w:type="dxa"/>
            <w:noWrap w:val="0"/>
            <w:vAlign w:val="top"/>
          </w:tcPr>
          <w:p w14:paraId="24CD1D9B">
            <w:pPr>
              <w:spacing w:after="0" w:line="240" w:lineRule="auto"/>
              <w:ind w:firstLine="1260" w:firstLineChars="600"/>
              <w:jc w:val="both"/>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23个</w:t>
            </w:r>
          </w:p>
        </w:tc>
        <w:tc>
          <w:tcPr>
            <w:tcW w:w="3207" w:type="dxa"/>
            <w:noWrap w:val="0"/>
            <w:vAlign w:val="top"/>
          </w:tcPr>
          <w:p w14:paraId="2240E3A2">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见“3.6保安服务”</w:t>
            </w:r>
          </w:p>
        </w:tc>
      </w:tr>
      <w:tr w14:paraId="4BAC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restart"/>
            <w:noWrap w:val="0"/>
            <w:vAlign w:val="top"/>
          </w:tcPr>
          <w:p w14:paraId="194EF87E">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车行\人行口</w:t>
            </w:r>
          </w:p>
        </w:tc>
        <w:tc>
          <w:tcPr>
            <w:tcW w:w="1915" w:type="dxa"/>
            <w:noWrap w:val="0"/>
            <w:vAlign w:val="top"/>
          </w:tcPr>
          <w:p w14:paraId="3F4759E8">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车行口</w:t>
            </w:r>
          </w:p>
        </w:tc>
        <w:tc>
          <w:tcPr>
            <w:tcW w:w="3737" w:type="dxa"/>
            <w:noWrap w:val="0"/>
            <w:vAlign w:val="top"/>
          </w:tcPr>
          <w:p w14:paraId="6CE20CA2">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数量4个</w:t>
            </w:r>
          </w:p>
        </w:tc>
        <w:tc>
          <w:tcPr>
            <w:tcW w:w="3207" w:type="dxa"/>
            <w:noWrap w:val="0"/>
            <w:vAlign w:val="top"/>
          </w:tcPr>
          <w:p w14:paraId="35E4CC4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见“3.6保安服务”</w:t>
            </w:r>
          </w:p>
        </w:tc>
      </w:tr>
      <w:tr w14:paraId="76EE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65" w:type="dxa"/>
            <w:vMerge w:val="continue"/>
            <w:noWrap w:val="0"/>
            <w:vAlign w:val="top"/>
          </w:tcPr>
          <w:p w14:paraId="6FE5EB0B">
            <w:pPr>
              <w:spacing w:after="0" w:line="240" w:lineRule="auto"/>
              <w:jc w:val="center"/>
              <w:rPr>
                <w:rFonts w:hint="eastAsia" w:ascii="宋体" w:hAnsi="宋体" w:eastAsia="宋体" w:cs="宋体"/>
                <w:color w:val="000000" w:themeColor="text1"/>
                <w:highlight w:val="none"/>
                <w14:textFill>
                  <w14:solidFill>
                    <w14:schemeClr w14:val="tx1"/>
                  </w14:solidFill>
                </w14:textFill>
              </w:rPr>
            </w:pPr>
          </w:p>
        </w:tc>
        <w:tc>
          <w:tcPr>
            <w:tcW w:w="1915" w:type="dxa"/>
            <w:noWrap w:val="0"/>
            <w:vAlign w:val="top"/>
          </w:tcPr>
          <w:p w14:paraId="63C5636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人行口</w:t>
            </w:r>
          </w:p>
        </w:tc>
        <w:tc>
          <w:tcPr>
            <w:tcW w:w="3737" w:type="dxa"/>
            <w:noWrap w:val="0"/>
            <w:vAlign w:val="top"/>
          </w:tcPr>
          <w:p w14:paraId="487D7886">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数量2个</w:t>
            </w:r>
          </w:p>
        </w:tc>
        <w:tc>
          <w:tcPr>
            <w:tcW w:w="3207" w:type="dxa"/>
            <w:noWrap w:val="0"/>
            <w:vAlign w:val="top"/>
          </w:tcPr>
          <w:p w14:paraId="0E1FC757">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见“3.6保安服务”</w:t>
            </w:r>
          </w:p>
        </w:tc>
      </w:tr>
      <w:tr w14:paraId="4724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vMerge w:val="restart"/>
            <w:noWrap w:val="0"/>
            <w:vAlign w:val="top"/>
          </w:tcPr>
          <w:p w14:paraId="5A3FE009">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设施设备</w:t>
            </w:r>
          </w:p>
        </w:tc>
        <w:tc>
          <w:tcPr>
            <w:tcW w:w="1915" w:type="dxa"/>
            <w:noWrap w:val="0"/>
            <w:vAlign w:val="top"/>
          </w:tcPr>
          <w:p w14:paraId="219AC19C">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电梯</w:t>
            </w:r>
          </w:p>
        </w:tc>
        <w:tc>
          <w:tcPr>
            <w:tcW w:w="3737" w:type="dxa"/>
            <w:noWrap w:val="0"/>
            <w:vAlign w:val="top"/>
          </w:tcPr>
          <w:p w14:paraId="4DD872BF">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电梯数量：</w:t>
            </w:r>
          </w:p>
          <w:p w14:paraId="6F2EEC3D">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客梯18台</w:t>
            </w:r>
          </w:p>
          <w:p w14:paraId="6F445A27">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餐梯2台</w:t>
            </w:r>
          </w:p>
        </w:tc>
        <w:tc>
          <w:tcPr>
            <w:tcW w:w="3207" w:type="dxa"/>
            <w:noWrap w:val="0"/>
            <w:vAlign w:val="top"/>
          </w:tcPr>
          <w:p w14:paraId="57D04955">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w:t>
            </w:r>
          </w:p>
        </w:tc>
      </w:tr>
      <w:tr w14:paraId="194A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321A40C5">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555CABE6">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空调系统</w:t>
            </w:r>
          </w:p>
        </w:tc>
        <w:tc>
          <w:tcPr>
            <w:tcW w:w="3737" w:type="dxa"/>
            <w:noWrap w:val="0"/>
            <w:vAlign w:val="top"/>
          </w:tcPr>
          <w:p w14:paraId="79A3FF84">
            <w:pPr>
              <w:spacing w:after="0" w:line="240" w:lineRule="auto"/>
              <w:jc w:val="center"/>
              <w:rPr>
                <w:rStyle w:val="281"/>
                <w:rFonts w:hint="eastAsia" w:ascii="宋体" w:hAnsi="宋体" w:eastAsia="宋体" w:cs="宋体"/>
                <w:color w:val="000000" w:themeColor="text1"/>
                <w:highlight w:val="none"/>
                <w:lang w:val="en-US" w:eastAsia="zh-CN" w:bidi="ar"/>
                <w14:textFill>
                  <w14:solidFill>
                    <w14:schemeClr w14:val="tx1"/>
                  </w14:solidFill>
                </w14:textFill>
              </w:rPr>
            </w:pPr>
            <w:r>
              <w:rPr>
                <w:rStyle w:val="281"/>
                <w:rFonts w:hint="eastAsia" w:ascii="宋体" w:hAnsi="宋体" w:eastAsia="宋体" w:cs="宋体"/>
                <w:color w:val="000000" w:themeColor="text1"/>
                <w:highlight w:val="none"/>
                <w:lang w:val="en-US" w:eastAsia="zh-CN" w:bidi="ar"/>
                <w14:textFill>
                  <w14:solidFill>
                    <w14:schemeClr w14:val="tx1"/>
                  </w14:solidFill>
                </w14:textFill>
              </w:rPr>
              <w:t>水冷螺杆机组1台；</w:t>
            </w:r>
          </w:p>
          <w:p w14:paraId="7551C1C2">
            <w:pPr>
              <w:spacing w:after="0" w:line="240" w:lineRule="auto"/>
              <w:jc w:val="center"/>
              <w:rPr>
                <w:rStyle w:val="281"/>
                <w:rFonts w:hint="eastAsia" w:ascii="宋体" w:hAnsi="宋体" w:eastAsia="宋体" w:cs="宋体"/>
                <w:color w:val="000000" w:themeColor="text1"/>
                <w:highlight w:val="none"/>
                <w:lang w:val="en-US" w:eastAsia="zh-CN" w:bidi="ar"/>
                <w14:textFill>
                  <w14:solidFill>
                    <w14:schemeClr w14:val="tx1"/>
                  </w14:solidFill>
                </w14:textFill>
              </w:rPr>
            </w:pPr>
            <w:r>
              <w:rPr>
                <w:rStyle w:val="281"/>
                <w:rFonts w:hint="eastAsia" w:ascii="宋体" w:hAnsi="宋体" w:eastAsia="宋体" w:cs="宋体"/>
                <w:color w:val="000000" w:themeColor="text1"/>
                <w:highlight w:val="none"/>
                <w:lang w:val="en-US" w:eastAsia="zh-CN" w:bidi="ar"/>
                <w14:textFill>
                  <w14:solidFill>
                    <w14:schemeClr w14:val="tx1"/>
                  </w14:solidFill>
                </w14:textFill>
              </w:rPr>
              <w:t>风冷模块机组13台；</w:t>
            </w:r>
          </w:p>
          <w:p w14:paraId="21D1B3CA">
            <w:pPr>
              <w:spacing w:after="0" w:line="240" w:lineRule="auto"/>
              <w:jc w:val="center"/>
              <w:rPr>
                <w:rStyle w:val="281"/>
                <w:rFonts w:hint="eastAsia" w:ascii="宋体" w:hAnsi="宋体" w:eastAsia="宋体" w:cs="宋体"/>
                <w:color w:val="000000" w:themeColor="text1"/>
                <w:highlight w:val="none"/>
                <w:lang w:val="en-US" w:eastAsia="zh-CN" w:bidi="ar"/>
                <w14:textFill>
                  <w14:solidFill>
                    <w14:schemeClr w14:val="tx1"/>
                  </w14:solidFill>
                </w14:textFill>
              </w:rPr>
            </w:pPr>
            <w:r>
              <w:rPr>
                <w:rStyle w:val="281"/>
                <w:rFonts w:hint="eastAsia" w:ascii="宋体" w:hAnsi="宋体" w:eastAsia="宋体" w:cs="宋体"/>
                <w:color w:val="000000" w:themeColor="text1"/>
                <w:highlight w:val="none"/>
                <w:lang w:val="en-US" w:eastAsia="zh-CN" w:bidi="ar"/>
                <w14:textFill>
                  <w14:solidFill>
                    <w14:schemeClr w14:val="tx1"/>
                  </w14:solidFill>
                </w14:textFill>
              </w:rPr>
              <w:t>变频多联室外机组14台；</w:t>
            </w:r>
          </w:p>
          <w:p w14:paraId="1D14B7CA">
            <w:pPr>
              <w:spacing w:after="0" w:line="240" w:lineRule="auto"/>
              <w:jc w:val="center"/>
              <w:rPr>
                <w:rStyle w:val="281"/>
                <w:rFonts w:hint="eastAsia" w:ascii="宋体" w:hAnsi="宋体" w:eastAsia="宋体" w:cs="宋体"/>
                <w:color w:val="000000" w:themeColor="text1"/>
                <w:highlight w:val="none"/>
                <w:lang w:val="en-US" w:eastAsia="zh-CN" w:bidi="ar"/>
                <w14:textFill>
                  <w14:solidFill>
                    <w14:schemeClr w14:val="tx1"/>
                  </w14:solidFill>
                </w14:textFill>
              </w:rPr>
            </w:pPr>
            <w:r>
              <w:rPr>
                <w:rStyle w:val="281"/>
                <w:rFonts w:hint="eastAsia" w:ascii="宋体" w:hAnsi="宋体" w:eastAsia="宋体" w:cs="宋体"/>
                <w:color w:val="000000" w:themeColor="text1"/>
                <w:highlight w:val="none"/>
                <w:lang w:val="en-US" w:eastAsia="zh-CN" w:bidi="ar"/>
                <w14:textFill>
                  <w14:solidFill>
                    <w14:schemeClr w14:val="tx1"/>
                  </w14:solidFill>
                </w14:textFill>
              </w:rPr>
              <w:t>组合式空气处理机组4台；</w:t>
            </w:r>
          </w:p>
          <w:p w14:paraId="0D3E54A3">
            <w:pPr>
              <w:spacing w:after="0" w:line="240" w:lineRule="auto"/>
              <w:jc w:val="center"/>
              <w:rPr>
                <w:rStyle w:val="281"/>
                <w:rFonts w:hint="eastAsia" w:ascii="宋体" w:hAnsi="宋体" w:eastAsia="宋体" w:cs="宋体"/>
                <w:color w:val="000000" w:themeColor="text1"/>
                <w:highlight w:val="none"/>
                <w:lang w:val="en-US" w:eastAsia="zh-CN" w:bidi="ar"/>
                <w14:textFill>
                  <w14:solidFill>
                    <w14:schemeClr w14:val="tx1"/>
                  </w14:solidFill>
                </w14:textFill>
              </w:rPr>
            </w:pPr>
            <w:r>
              <w:rPr>
                <w:rStyle w:val="281"/>
                <w:rFonts w:hint="eastAsia" w:ascii="宋体" w:hAnsi="宋体" w:eastAsia="宋体" w:cs="宋体"/>
                <w:color w:val="000000" w:themeColor="text1"/>
                <w:highlight w:val="none"/>
                <w:lang w:val="en-US" w:eastAsia="zh-CN" w:bidi="ar"/>
                <w14:textFill>
                  <w14:solidFill>
                    <w14:schemeClr w14:val="tx1"/>
                  </w14:solidFill>
                </w14:textFill>
              </w:rPr>
              <w:t>吊式空气处理机组4台；</w:t>
            </w:r>
          </w:p>
          <w:p w14:paraId="038D3077">
            <w:pPr>
              <w:spacing w:after="0" w:line="240" w:lineRule="auto"/>
              <w:jc w:val="center"/>
              <w:rPr>
                <w:rStyle w:val="281"/>
                <w:rFonts w:hint="eastAsia" w:ascii="宋体" w:hAnsi="宋体" w:eastAsia="宋体" w:cs="宋体"/>
                <w:color w:val="000000" w:themeColor="text1"/>
                <w:highlight w:val="none"/>
                <w:lang w:val="en-US" w:eastAsia="zh-CN" w:bidi="ar"/>
                <w14:textFill>
                  <w14:solidFill>
                    <w14:schemeClr w14:val="tx1"/>
                  </w14:solidFill>
                </w14:textFill>
              </w:rPr>
            </w:pPr>
            <w:r>
              <w:rPr>
                <w:rStyle w:val="281"/>
                <w:rFonts w:hint="eastAsia" w:ascii="宋体" w:hAnsi="宋体" w:eastAsia="宋体" w:cs="宋体"/>
                <w:color w:val="000000" w:themeColor="text1"/>
                <w:highlight w:val="none"/>
                <w:lang w:val="en-US" w:eastAsia="zh-CN" w:bidi="ar"/>
                <w14:textFill>
                  <w14:solidFill>
                    <w14:schemeClr w14:val="tx1"/>
                  </w14:solidFill>
                </w14:textFill>
              </w:rPr>
              <w:t>变频多联新风室内机组6台；变频多联室内机组147台。</w:t>
            </w:r>
          </w:p>
          <w:p w14:paraId="29C0F61B">
            <w:pPr>
              <w:spacing w:after="0" w:line="240" w:lineRule="auto"/>
              <w:jc w:val="center"/>
              <w:rPr>
                <w:rStyle w:val="281"/>
                <w:rFonts w:hint="eastAsia" w:ascii="宋体" w:hAnsi="宋体" w:eastAsia="宋体" w:cs="宋体"/>
                <w:color w:val="000000" w:themeColor="text1"/>
                <w:highlight w:val="none"/>
                <w:lang w:val="en-US" w:eastAsia="zh-CN" w:bidi="ar"/>
                <w14:textFill>
                  <w14:solidFill>
                    <w14:schemeClr w14:val="tx1"/>
                  </w14:solidFill>
                </w14:textFill>
              </w:rPr>
            </w:pPr>
            <w:r>
              <w:rPr>
                <w:rStyle w:val="281"/>
                <w:rFonts w:hint="eastAsia" w:ascii="宋体" w:hAnsi="宋体" w:eastAsia="宋体" w:cs="宋体"/>
                <w:color w:val="000000" w:themeColor="text1"/>
                <w:highlight w:val="none"/>
                <w:lang w:val="en-US" w:eastAsia="zh-CN" w:bidi="ar"/>
                <w14:textFill>
                  <w14:solidFill>
                    <w14:schemeClr w14:val="tx1"/>
                  </w14:solidFill>
                </w14:textFill>
              </w:rPr>
              <w:t>分体式挂壁空调1000台；立式空调70台</w:t>
            </w:r>
          </w:p>
        </w:tc>
        <w:tc>
          <w:tcPr>
            <w:tcW w:w="3207" w:type="dxa"/>
            <w:noWrap w:val="0"/>
            <w:vAlign w:val="top"/>
          </w:tcPr>
          <w:p w14:paraId="4C2150BD">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w:t>
            </w:r>
          </w:p>
        </w:tc>
      </w:tr>
      <w:tr w14:paraId="43BCD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55E70582">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5BA27E19">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消防系统</w:t>
            </w:r>
          </w:p>
        </w:tc>
        <w:tc>
          <w:tcPr>
            <w:tcW w:w="3737" w:type="dxa"/>
            <w:noWrap w:val="0"/>
            <w:vAlign w:val="top"/>
          </w:tcPr>
          <w:p w14:paraId="71DFB9C7">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喷淋系统一套；喷淋泵2台，加压泵2台；稳压泵2台；气体灭火器2台及其他。烟感300个</w:t>
            </w:r>
          </w:p>
        </w:tc>
        <w:tc>
          <w:tcPr>
            <w:tcW w:w="3207" w:type="dxa"/>
            <w:noWrap w:val="0"/>
            <w:vAlign w:val="top"/>
          </w:tcPr>
          <w:p w14:paraId="5C049442">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见“3.6保安服务”“3.3公用设施设备维护”</w:t>
            </w:r>
          </w:p>
        </w:tc>
      </w:tr>
      <w:tr w14:paraId="0BE9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2EAB8246">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11050775">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安防系统</w:t>
            </w:r>
          </w:p>
        </w:tc>
        <w:tc>
          <w:tcPr>
            <w:tcW w:w="3737" w:type="dxa"/>
            <w:noWrap w:val="0"/>
            <w:vAlign w:val="top"/>
          </w:tcPr>
          <w:p w14:paraId="47A86A04">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安防系统的构成，安防设备的数量、类别，质保期。</w:t>
            </w:r>
          </w:p>
        </w:tc>
        <w:tc>
          <w:tcPr>
            <w:tcW w:w="3207" w:type="dxa"/>
            <w:noWrap w:val="0"/>
            <w:vAlign w:val="top"/>
          </w:tcPr>
          <w:p w14:paraId="78EA042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见“3.6保安服务”“3.3公用设施设备维护”</w:t>
            </w:r>
          </w:p>
        </w:tc>
      </w:tr>
      <w:tr w14:paraId="153B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65DEE939">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45E296C4">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照明系统</w:t>
            </w:r>
          </w:p>
        </w:tc>
        <w:tc>
          <w:tcPr>
            <w:tcW w:w="3737" w:type="dxa"/>
            <w:noWrap w:val="0"/>
            <w:vAlign w:val="top"/>
          </w:tcPr>
          <w:p w14:paraId="546BF76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高杆路灯127；梅花灯76；庭院灯63个</w:t>
            </w:r>
          </w:p>
        </w:tc>
        <w:tc>
          <w:tcPr>
            <w:tcW w:w="3207" w:type="dxa"/>
            <w:noWrap w:val="0"/>
            <w:vAlign w:val="top"/>
          </w:tcPr>
          <w:p w14:paraId="5EA115BE">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w:t>
            </w:r>
          </w:p>
        </w:tc>
      </w:tr>
      <w:tr w14:paraId="0E68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vMerge w:val="continue"/>
            <w:noWrap w:val="0"/>
            <w:vAlign w:val="top"/>
          </w:tcPr>
          <w:p w14:paraId="1A8C7FC7">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1DC2C820">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供配电系统</w:t>
            </w:r>
          </w:p>
        </w:tc>
        <w:tc>
          <w:tcPr>
            <w:tcW w:w="3737" w:type="dxa"/>
            <w:noWrap w:val="0"/>
            <w:vAlign w:val="top"/>
          </w:tcPr>
          <w:p w14:paraId="3BC611D9">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高压柜7台、低压柜7台；室内变压器2台；室外变压器5台。</w:t>
            </w:r>
          </w:p>
        </w:tc>
        <w:tc>
          <w:tcPr>
            <w:tcW w:w="3207" w:type="dxa"/>
            <w:noWrap w:val="0"/>
            <w:vAlign w:val="top"/>
          </w:tcPr>
          <w:p w14:paraId="4CB90E3B">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w:t>
            </w:r>
          </w:p>
        </w:tc>
      </w:tr>
      <w:tr w14:paraId="06F1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noWrap w:val="0"/>
            <w:vAlign w:val="top"/>
          </w:tcPr>
          <w:p w14:paraId="2E49DBCE">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1F349C34">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空气能热水器</w:t>
            </w:r>
          </w:p>
        </w:tc>
        <w:tc>
          <w:tcPr>
            <w:tcW w:w="3737" w:type="dxa"/>
            <w:noWrap w:val="0"/>
            <w:vAlign w:val="top"/>
          </w:tcPr>
          <w:p w14:paraId="30AC12EC">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19台空气能热水设备；网球场1台</w:t>
            </w:r>
          </w:p>
        </w:tc>
        <w:tc>
          <w:tcPr>
            <w:tcW w:w="3207" w:type="dxa"/>
            <w:noWrap w:val="0"/>
            <w:vAlign w:val="top"/>
          </w:tcPr>
          <w:p w14:paraId="7CFA17B3">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w:t>
            </w:r>
          </w:p>
        </w:tc>
      </w:tr>
      <w:tr w14:paraId="4C77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noWrap w:val="0"/>
            <w:vAlign w:val="top"/>
          </w:tcPr>
          <w:p w14:paraId="1497DCE7">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6C88AB7C">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污水处理系统</w:t>
            </w:r>
          </w:p>
        </w:tc>
        <w:tc>
          <w:tcPr>
            <w:tcW w:w="3737" w:type="dxa"/>
            <w:noWrap w:val="0"/>
            <w:vAlign w:val="top"/>
          </w:tcPr>
          <w:p w14:paraId="22CB7DB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地下室污水泵32台；生活污水2台；</w:t>
            </w:r>
          </w:p>
        </w:tc>
        <w:tc>
          <w:tcPr>
            <w:tcW w:w="3207" w:type="dxa"/>
            <w:noWrap w:val="0"/>
            <w:vAlign w:val="top"/>
          </w:tcPr>
          <w:p w14:paraId="4454119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w:t>
            </w:r>
          </w:p>
        </w:tc>
      </w:tr>
      <w:tr w14:paraId="6623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noWrap w:val="0"/>
            <w:vAlign w:val="top"/>
          </w:tcPr>
          <w:p w14:paraId="0CA9E67F">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644DE930">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循环水系统</w:t>
            </w:r>
          </w:p>
        </w:tc>
        <w:tc>
          <w:tcPr>
            <w:tcW w:w="3737" w:type="dxa"/>
            <w:noWrap w:val="0"/>
            <w:vAlign w:val="top"/>
          </w:tcPr>
          <w:p w14:paraId="1E561FA3">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循环水泵5台；雨水回收泵4台</w:t>
            </w:r>
          </w:p>
        </w:tc>
        <w:tc>
          <w:tcPr>
            <w:tcW w:w="3207" w:type="dxa"/>
            <w:noWrap w:val="0"/>
            <w:vAlign w:val="top"/>
          </w:tcPr>
          <w:p w14:paraId="67965DC3">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w:t>
            </w:r>
          </w:p>
        </w:tc>
      </w:tr>
      <w:tr w14:paraId="3A07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65" w:type="dxa"/>
            <w:noWrap w:val="0"/>
            <w:vAlign w:val="top"/>
          </w:tcPr>
          <w:p w14:paraId="209B48C7">
            <w:pPr>
              <w:spacing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915" w:type="dxa"/>
            <w:noWrap w:val="0"/>
            <w:vAlign w:val="top"/>
          </w:tcPr>
          <w:p w14:paraId="5E728734">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网球场</w:t>
            </w:r>
          </w:p>
        </w:tc>
        <w:tc>
          <w:tcPr>
            <w:tcW w:w="3737" w:type="dxa"/>
            <w:noWrap w:val="0"/>
            <w:vAlign w:val="top"/>
          </w:tcPr>
          <w:p w14:paraId="3DB21A5A">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2片室内场地；面积1406㎡</w:t>
            </w:r>
          </w:p>
        </w:tc>
        <w:tc>
          <w:tcPr>
            <w:tcW w:w="3207" w:type="dxa"/>
            <w:noWrap w:val="0"/>
            <w:vAlign w:val="top"/>
          </w:tcPr>
          <w:p w14:paraId="3A9E94F1">
            <w:p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w:t>
            </w:r>
          </w:p>
        </w:tc>
      </w:tr>
    </w:tbl>
    <w:p w14:paraId="578A0342">
      <w:pPr>
        <w:numPr>
          <w:ilvl w:val="0"/>
          <w:numId w:val="0"/>
        </w:numPr>
        <w:jc w:val="center"/>
        <w:rPr>
          <w:rFonts w:hint="eastAsia" w:ascii="宋体" w:hAnsi="宋体" w:eastAsia="宋体" w:cs="宋体"/>
          <w:color w:val="000000" w:themeColor="text1"/>
          <w:highlight w:val="none"/>
          <w:lang w:val="en-US" w:eastAsia="zh-CN"/>
          <w14:textFill>
            <w14:solidFill>
              <w14:schemeClr w14:val="tx1"/>
            </w14:solidFill>
          </w14:textFill>
        </w:rPr>
      </w:pPr>
    </w:p>
    <w:p w14:paraId="18880421">
      <w:pPr>
        <w:numPr>
          <w:ilvl w:val="0"/>
          <w:numId w:val="0"/>
        </w:numPr>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（2）物业管理（室外）</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3943"/>
      </w:tblGrid>
      <w:tr w14:paraId="4AC5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F3BF19D">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名称</w:t>
            </w:r>
          </w:p>
        </w:tc>
        <w:tc>
          <w:tcPr>
            <w:tcW w:w="2841" w:type="dxa"/>
            <w:noWrap w:val="0"/>
            <w:vAlign w:val="top"/>
          </w:tcPr>
          <w:p w14:paraId="4CC88CE7">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明细</w:t>
            </w:r>
          </w:p>
        </w:tc>
        <w:tc>
          <w:tcPr>
            <w:tcW w:w="3943" w:type="dxa"/>
            <w:noWrap w:val="0"/>
            <w:vAlign w:val="top"/>
          </w:tcPr>
          <w:p w14:paraId="3E5F0CF3">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服务内容及标准</w:t>
            </w:r>
          </w:p>
        </w:tc>
      </w:tr>
      <w:tr w14:paraId="2C70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58E5022F">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室外面积（㎡）</w:t>
            </w:r>
          </w:p>
        </w:tc>
        <w:tc>
          <w:tcPr>
            <w:tcW w:w="2841" w:type="dxa"/>
            <w:noWrap w:val="0"/>
            <w:vAlign w:val="top"/>
          </w:tcPr>
          <w:p w14:paraId="1988AA9C">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89055平方米</w:t>
            </w:r>
          </w:p>
        </w:tc>
        <w:tc>
          <w:tcPr>
            <w:tcW w:w="3943" w:type="dxa"/>
            <w:noWrap w:val="0"/>
            <w:vAlign w:val="top"/>
          </w:tcPr>
          <w:p w14:paraId="1932F0F9">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见“3.4保洁服务”“3.6保安服务”</w:t>
            </w:r>
          </w:p>
        </w:tc>
      </w:tr>
      <w:tr w14:paraId="1B08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6F80E2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绿化面积</w:t>
            </w:r>
          </w:p>
        </w:tc>
        <w:tc>
          <w:tcPr>
            <w:tcW w:w="2841" w:type="dxa"/>
            <w:noWrap w:val="0"/>
            <w:vAlign w:val="top"/>
          </w:tcPr>
          <w:p w14:paraId="2136CBD2">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55890平方米</w:t>
            </w:r>
          </w:p>
        </w:tc>
        <w:tc>
          <w:tcPr>
            <w:tcW w:w="3943" w:type="dxa"/>
            <w:noWrap w:val="0"/>
            <w:vAlign w:val="top"/>
          </w:tcPr>
          <w:p w14:paraId="3723AC3E">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见“3.4保洁服务”“3.5绿化服务”</w:t>
            </w:r>
          </w:p>
        </w:tc>
      </w:tr>
      <w:tr w14:paraId="5868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1886BEC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广场</w:t>
            </w:r>
          </w:p>
        </w:tc>
        <w:tc>
          <w:tcPr>
            <w:tcW w:w="2841" w:type="dxa"/>
            <w:noWrap w:val="0"/>
            <w:vAlign w:val="top"/>
          </w:tcPr>
          <w:p w14:paraId="3D40DC50">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3200平方米</w:t>
            </w:r>
          </w:p>
        </w:tc>
        <w:tc>
          <w:tcPr>
            <w:tcW w:w="3943" w:type="dxa"/>
            <w:noWrap w:val="0"/>
            <w:vAlign w:val="top"/>
          </w:tcPr>
          <w:p w14:paraId="1D6155F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见“3.4保洁服务”“3.6保安服务”</w:t>
            </w:r>
          </w:p>
        </w:tc>
      </w:tr>
      <w:tr w14:paraId="2147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FB734E9">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路灯、草坪、音箱</w:t>
            </w:r>
          </w:p>
        </w:tc>
        <w:tc>
          <w:tcPr>
            <w:tcW w:w="2841" w:type="dxa"/>
            <w:noWrap w:val="0"/>
            <w:vAlign w:val="top"/>
          </w:tcPr>
          <w:p w14:paraId="637AE26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路灯301个；草皮32000平方米</w:t>
            </w:r>
          </w:p>
        </w:tc>
        <w:tc>
          <w:tcPr>
            <w:tcW w:w="3943" w:type="dxa"/>
            <w:noWrap w:val="0"/>
            <w:vAlign w:val="top"/>
          </w:tcPr>
          <w:p w14:paraId="63CBD48B">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见“3.3公用设施设备维护”“3.4保洁服务”</w:t>
            </w:r>
          </w:p>
        </w:tc>
      </w:tr>
      <w:tr w14:paraId="624C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6A86874A">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消防栓</w:t>
            </w:r>
          </w:p>
        </w:tc>
        <w:tc>
          <w:tcPr>
            <w:tcW w:w="2841" w:type="dxa"/>
            <w:noWrap w:val="0"/>
            <w:vAlign w:val="top"/>
          </w:tcPr>
          <w:p w14:paraId="61B29823">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444个</w:t>
            </w:r>
          </w:p>
        </w:tc>
        <w:tc>
          <w:tcPr>
            <w:tcW w:w="3943" w:type="dxa"/>
            <w:noWrap w:val="0"/>
            <w:vAlign w:val="top"/>
          </w:tcPr>
          <w:p w14:paraId="2E79538E">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见“3.3公用设施设备维护”“3.4保洁服务”</w:t>
            </w:r>
          </w:p>
        </w:tc>
      </w:tr>
      <w:tr w14:paraId="711C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15E88953">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垃圾箱</w:t>
            </w:r>
          </w:p>
        </w:tc>
        <w:tc>
          <w:tcPr>
            <w:tcW w:w="2841" w:type="dxa"/>
            <w:noWrap w:val="0"/>
            <w:vAlign w:val="top"/>
          </w:tcPr>
          <w:p w14:paraId="068003FF">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室外垃圾箱61个</w:t>
            </w:r>
          </w:p>
        </w:tc>
        <w:tc>
          <w:tcPr>
            <w:tcW w:w="3943" w:type="dxa"/>
            <w:noWrap w:val="0"/>
            <w:vAlign w:val="top"/>
          </w:tcPr>
          <w:p w14:paraId="38ECBCE2">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见“3.4保洁服务”</w:t>
            </w:r>
          </w:p>
        </w:tc>
      </w:tr>
      <w:tr w14:paraId="7605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E55A65C">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室外配电箱</w:t>
            </w:r>
          </w:p>
        </w:tc>
        <w:tc>
          <w:tcPr>
            <w:tcW w:w="2841" w:type="dxa"/>
            <w:noWrap w:val="0"/>
            <w:vAlign w:val="top"/>
          </w:tcPr>
          <w:p w14:paraId="04895C30">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15个</w:t>
            </w:r>
          </w:p>
        </w:tc>
        <w:tc>
          <w:tcPr>
            <w:tcW w:w="3943" w:type="dxa"/>
            <w:noWrap w:val="0"/>
            <w:vAlign w:val="top"/>
          </w:tcPr>
          <w:p w14:paraId="1094ADA8">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见“3.3公用设施设备维护”“3.4保洁服务”</w:t>
            </w:r>
          </w:p>
        </w:tc>
      </w:tr>
      <w:tr w14:paraId="597E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6E56AB57">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门前三包</w:t>
            </w:r>
          </w:p>
        </w:tc>
        <w:tc>
          <w:tcPr>
            <w:tcW w:w="2841" w:type="dxa"/>
            <w:noWrap w:val="0"/>
            <w:vAlign w:val="top"/>
          </w:tcPr>
          <w:p w14:paraId="133D3758">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500㎡</w:t>
            </w:r>
          </w:p>
        </w:tc>
        <w:tc>
          <w:tcPr>
            <w:tcW w:w="3943" w:type="dxa"/>
            <w:noWrap w:val="0"/>
            <w:vAlign w:val="top"/>
          </w:tcPr>
          <w:p w14:paraId="08ECD0DD">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“3.4保洁服务”</w:t>
            </w:r>
          </w:p>
        </w:tc>
      </w:tr>
      <w:tr w14:paraId="7B48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2B8775A">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露台</w:t>
            </w:r>
          </w:p>
        </w:tc>
        <w:tc>
          <w:tcPr>
            <w:tcW w:w="2841" w:type="dxa"/>
            <w:noWrap w:val="0"/>
            <w:vAlign w:val="top"/>
          </w:tcPr>
          <w:p w14:paraId="5C18ABBE">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1000</w:t>
            </w:r>
          </w:p>
        </w:tc>
        <w:tc>
          <w:tcPr>
            <w:tcW w:w="3943" w:type="dxa"/>
            <w:noWrap w:val="0"/>
            <w:vAlign w:val="top"/>
          </w:tcPr>
          <w:p w14:paraId="77FC4BE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见“3.2房屋维护服务”“3.4保洁服务”</w:t>
            </w:r>
          </w:p>
        </w:tc>
      </w:tr>
      <w:tr w14:paraId="234D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8E5E110">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监控</w:t>
            </w:r>
          </w:p>
        </w:tc>
        <w:tc>
          <w:tcPr>
            <w:tcW w:w="2841" w:type="dxa"/>
            <w:noWrap w:val="0"/>
            <w:vAlign w:val="top"/>
          </w:tcPr>
          <w:p w14:paraId="4C55D4C1">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320个</w:t>
            </w:r>
          </w:p>
        </w:tc>
        <w:tc>
          <w:tcPr>
            <w:tcW w:w="3943" w:type="dxa"/>
            <w:noWrap w:val="0"/>
            <w:vAlign w:val="top"/>
          </w:tcPr>
          <w:p w14:paraId="2E17EE40">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见“3.3公用设施设备维护”“3.4保洁服务”</w:t>
            </w:r>
          </w:p>
        </w:tc>
      </w:tr>
      <w:tr w14:paraId="3B45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674635A">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指示牌、显示屏</w:t>
            </w:r>
          </w:p>
        </w:tc>
        <w:tc>
          <w:tcPr>
            <w:tcW w:w="2841" w:type="dxa"/>
            <w:noWrap w:val="0"/>
            <w:vAlign w:val="top"/>
          </w:tcPr>
          <w:p w14:paraId="0A0F5E23">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指示牌10个、显示屏10个</w:t>
            </w:r>
          </w:p>
        </w:tc>
        <w:tc>
          <w:tcPr>
            <w:tcW w:w="3943" w:type="dxa"/>
            <w:noWrap w:val="0"/>
            <w:vAlign w:val="top"/>
          </w:tcPr>
          <w:p w14:paraId="275B8127">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见“3.3公用设施设备维护”“3.4保洁服务”</w:t>
            </w:r>
          </w:p>
        </w:tc>
      </w:tr>
      <w:tr w14:paraId="063D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158D92FD">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截洪沟</w:t>
            </w:r>
          </w:p>
        </w:tc>
        <w:tc>
          <w:tcPr>
            <w:tcW w:w="2841" w:type="dxa"/>
            <w:noWrap w:val="0"/>
            <w:vAlign w:val="top"/>
          </w:tcPr>
          <w:p w14:paraId="6E6D763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1207m</w:t>
            </w:r>
          </w:p>
        </w:tc>
        <w:tc>
          <w:tcPr>
            <w:tcW w:w="3943" w:type="dxa"/>
            <w:shd w:val="clear" w:color="auto" w:fill="auto"/>
            <w:noWrap w:val="0"/>
            <w:vAlign w:val="top"/>
          </w:tcPr>
          <w:p w14:paraId="115B6B2D">
            <w:pPr>
              <w:numPr>
                <w:ilvl w:val="0"/>
                <w:numId w:val="0"/>
              </w:numPr>
              <w:spacing w:after="0" w:line="240" w:lineRule="auto"/>
              <w:ind w:left="0" w:leftChars="0" w:firstLine="0" w:firstLineChars="0"/>
              <w:jc w:val="center"/>
              <w:rPr>
                <w:rFonts w:hint="eastAsia" w:ascii="Times New Roman" w:hAnsi="Times New Roman" w:eastAsia="宋体" w:cs="Times New Roman"/>
                <w:sz w:val="21"/>
                <w:szCs w:val="24"/>
                <w:vertAlign w:val="baseline"/>
                <w:lang w:val="en-US" w:eastAsia="zh-CN" w:bidi="ar-SA"/>
              </w:rPr>
            </w:pPr>
            <w:r>
              <w:rPr>
                <w:rFonts w:hint="eastAsia"/>
                <w:vertAlign w:val="baseline"/>
                <w:lang w:val="en-US" w:eastAsia="zh-CN"/>
              </w:rPr>
              <w:t>“3.4保洁服务”</w:t>
            </w:r>
          </w:p>
        </w:tc>
      </w:tr>
      <w:tr w14:paraId="4EFC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179A077B">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室外塑胶步道</w:t>
            </w:r>
          </w:p>
        </w:tc>
        <w:tc>
          <w:tcPr>
            <w:tcW w:w="2841" w:type="dxa"/>
            <w:noWrap w:val="0"/>
            <w:vAlign w:val="top"/>
          </w:tcPr>
          <w:p w14:paraId="59C75BC4">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972m</w:t>
            </w:r>
          </w:p>
        </w:tc>
        <w:tc>
          <w:tcPr>
            <w:tcW w:w="3943" w:type="dxa"/>
            <w:shd w:val="clear" w:color="auto" w:fill="auto"/>
            <w:noWrap w:val="0"/>
            <w:vAlign w:val="top"/>
          </w:tcPr>
          <w:p w14:paraId="2AB0247C">
            <w:pPr>
              <w:numPr>
                <w:ilvl w:val="0"/>
                <w:numId w:val="0"/>
              </w:numPr>
              <w:spacing w:after="0" w:line="240" w:lineRule="auto"/>
              <w:ind w:left="0" w:leftChars="0" w:firstLine="0" w:firstLineChars="0"/>
              <w:jc w:val="center"/>
              <w:rPr>
                <w:rFonts w:hint="eastAsia" w:ascii="Times New Roman" w:hAnsi="Times New Roman" w:eastAsia="宋体" w:cs="Times New Roman"/>
                <w:sz w:val="21"/>
                <w:szCs w:val="24"/>
                <w:vertAlign w:val="baseline"/>
                <w:lang w:val="en-US" w:eastAsia="zh-CN" w:bidi="ar-SA"/>
              </w:rPr>
            </w:pPr>
            <w:r>
              <w:rPr>
                <w:rFonts w:hint="eastAsia"/>
                <w:vertAlign w:val="baseline"/>
                <w:lang w:val="en-US" w:eastAsia="zh-CN"/>
              </w:rPr>
              <w:t>见“3.3公用设施设备维护”“3.4保洁服务”</w:t>
            </w:r>
          </w:p>
        </w:tc>
      </w:tr>
      <w:tr w14:paraId="2130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1E33CCA">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七人制室外足球场</w:t>
            </w:r>
          </w:p>
        </w:tc>
        <w:tc>
          <w:tcPr>
            <w:tcW w:w="2841" w:type="dxa"/>
            <w:noWrap w:val="0"/>
            <w:vAlign w:val="top"/>
          </w:tcPr>
          <w:p w14:paraId="2B9399F6">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4000㎡</w:t>
            </w:r>
          </w:p>
        </w:tc>
        <w:tc>
          <w:tcPr>
            <w:tcW w:w="3943" w:type="dxa"/>
            <w:shd w:val="clear" w:color="auto" w:fill="auto"/>
            <w:noWrap w:val="0"/>
            <w:vAlign w:val="top"/>
          </w:tcPr>
          <w:p w14:paraId="4CF295F8">
            <w:pPr>
              <w:numPr>
                <w:ilvl w:val="0"/>
                <w:numId w:val="0"/>
              </w:numPr>
              <w:spacing w:after="0" w:line="240" w:lineRule="auto"/>
              <w:ind w:left="0" w:leftChars="0" w:firstLine="0" w:firstLineChars="0"/>
              <w:jc w:val="center"/>
              <w:rPr>
                <w:rFonts w:hint="eastAsia" w:ascii="Times New Roman" w:hAnsi="Times New Roman" w:eastAsia="宋体" w:cs="Times New Roman"/>
                <w:sz w:val="21"/>
                <w:szCs w:val="24"/>
                <w:vertAlign w:val="baseline"/>
                <w:lang w:val="en-US" w:eastAsia="zh-CN" w:bidi="ar-SA"/>
              </w:rPr>
            </w:pPr>
            <w:r>
              <w:rPr>
                <w:rFonts w:hint="eastAsia"/>
                <w:vertAlign w:val="baseline"/>
                <w:lang w:val="en-US" w:eastAsia="zh-CN"/>
              </w:rPr>
              <w:t>见“3.3公用设施设备维护”“3.4保洁服务”</w:t>
            </w:r>
          </w:p>
        </w:tc>
      </w:tr>
    </w:tbl>
    <w:p w14:paraId="35E6534C">
      <w:pPr>
        <w:rPr>
          <w:rFonts w:hint="eastAsia" w:ascii="宋体" w:hAnsi="宋体" w:eastAsia="宋体" w:cs="宋体"/>
          <w:color w:val="000000" w:themeColor="text1"/>
          <w:highlight w:val="none"/>
          <w14:textFill>
            <w14:solidFill>
              <w14:schemeClr w14:val="tx1"/>
            </w14:solidFill>
          </w14:textFill>
        </w:rPr>
      </w:pPr>
    </w:p>
    <w:p w14:paraId="6F4F54F5">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物业管理（办公办班办会保障）</w:t>
      </w:r>
    </w:p>
    <w:tbl>
      <w:tblPr>
        <w:tblStyle w:val="32"/>
        <w:tblW w:w="9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1"/>
        <w:gridCol w:w="3901"/>
        <w:gridCol w:w="3132"/>
      </w:tblGrid>
      <w:tr w14:paraId="6082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591" w:type="dxa"/>
            <w:noWrap w:val="0"/>
            <w:vAlign w:val="top"/>
          </w:tcPr>
          <w:p w14:paraId="1122EE8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名称</w:t>
            </w:r>
          </w:p>
        </w:tc>
        <w:tc>
          <w:tcPr>
            <w:tcW w:w="3901" w:type="dxa"/>
            <w:noWrap w:val="0"/>
            <w:vAlign w:val="top"/>
          </w:tcPr>
          <w:p w14:paraId="4890D97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明细</w:t>
            </w:r>
          </w:p>
        </w:tc>
        <w:tc>
          <w:tcPr>
            <w:tcW w:w="3132" w:type="dxa"/>
            <w:noWrap w:val="0"/>
            <w:vAlign w:val="top"/>
          </w:tcPr>
          <w:p w14:paraId="7861C02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服务内容及标准</w:t>
            </w:r>
          </w:p>
        </w:tc>
      </w:tr>
      <w:tr w14:paraId="58C5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2591" w:type="dxa"/>
            <w:noWrap w:val="0"/>
            <w:vAlign w:val="top"/>
          </w:tcPr>
          <w:p w14:paraId="06EF01C9">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办班办会办公保障</w:t>
            </w:r>
          </w:p>
        </w:tc>
        <w:tc>
          <w:tcPr>
            <w:tcW w:w="3901" w:type="dxa"/>
            <w:noWrap w:val="0"/>
            <w:vAlign w:val="top"/>
          </w:tcPr>
          <w:p w14:paraId="7F494DAF">
            <w:pPr>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办班办会办公的场地准备（桌椅摆放、卫生保洁等）；培训班资料装袋、搬运；现场教学饮用水搬运，一年约240个班次20000余人次</w:t>
            </w:r>
          </w:p>
        </w:tc>
        <w:tc>
          <w:tcPr>
            <w:tcW w:w="3132" w:type="dxa"/>
            <w:noWrap w:val="0"/>
            <w:vAlign w:val="top"/>
          </w:tcPr>
          <w:p w14:paraId="225A307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见“3.4保洁服务”“3.6保安服务”</w:t>
            </w:r>
          </w:p>
        </w:tc>
      </w:tr>
    </w:tbl>
    <w:p w14:paraId="7B7446D0">
      <w:pPr>
        <w:numPr>
          <w:ilvl w:val="0"/>
          <w:numId w:val="0"/>
        </w:numPr>
        <w:rPr>
          <w:rFonts w:hint="eastAsia" w:ascii="宋体" w:hAnsi="宋体" w:eastAsia="宋体" w:cs="宋体"/>
          <w:color w:val="000000" w:themeColor="text1"/>
          <w:highlight w:val="none"/>
          <w:lang w:val="en-US" w:eastAsia="zh-CN"/>
          <w14:textFill>
            <w14:solidFill>
              <w14:schemeClr w14:val="tx1"/>
            </w14:solidFill>
          </w14:textFill>
        </w:rPr>
      </w:pPr>
    </w:p>
    <w:p w14:paraId="4130F58E">
      <w:pPr>
        <w:numPr>
          <w:ilvl w:val="0"/>
          <w:numId w:val="8"/>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物业管理服务内容及标准</w:t>
      </w:r>
    </w:p>
    <w:p w14:paraId="046FEE5C">
      <w:pPr>
        <w:numPr>
          <w:ilvl w:val="0"/>
          <w:numId w:val="0"/>
        </w:numPr>
        <w:ind w:firstLine="42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物业管理服务包括基本服务、房屋维护服务、公用设施设备维护服务、保洁服务、绿化服务、保安服务、会议服务等。</w:t>
      </w:r>
    </w:p>
    <w:p w14:paraId="6214AAEB">
      <w:pPr>
        <w:numPr>
          <w:ilvl w:val="0"/>
          <w:numId w:val="0"/>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3.1基本服务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66"/>
        <w:gridCol w:w="7074"/>
      </w:tblGrid>
      <w:tr w14:paraId="10C3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noWrap w:val="0"/>
            <w:vAlign w:val="top"/>
          </w:tcPr>
          <w:p w14:paraId="0D56ADC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序号</w:t>
            </w:r>
          </w:p>
        </w:tc>
        <w:tc>
          <w:tcPr>
            <w:tcW w:w="1766" w:type="dxa"/>
            <w:noWrap w:val="0"/>
            <w:vAlign w:val="top"/>
          </w:tcPr>
          <w:p w14:paraId="1BAA943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服务内容</w:t>
            </w:r>
          </w:p>
        </w:tc>
        <w:tc>
          <w:tcPr>
            <w:tcW w:w="7074" w:type="dxa"/>
            <w:noWrap w:val="0"/>
            <w:vAlign w:val="top"/>
          </w:tcPr>
          <w:p w14:paraId="4B73577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服务标准</w:t>
            </w:r>
          </w:p>
        </w:tc>
      </w:tr>
      <w:tr w14:paraId="4CF0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restart"/>
            <w:noWrap w:val="0"/>
            <w:vAlign w:val="top"/>
          </w:tcPr>
          <w:p w14:paraId="26F2AB7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w:t>
            </w:r>
          </w:p>
        </w:tc>
        <w:tc>
          <w:tcPr>
            <w:tcW w:w="1766" w:type="dxa"/>
            <w:vMerge w:val="restart"/>
            <w:noWrap w:val="0"/>
            <w:vAlign w:val="top"/>
          </w:tcPr>
          <w:p w14:paraId="493700F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目标与责任</w:t>
            </w:r>
          </w:p>
        </w:tc>
        <w:tc>
          <w:tcPr>
            <w:tcW w:w="7074" w:type="dxa"/>
            <w:noWrap w:val="0"/>
            <w:vAlign w:val="top"/>
          </w:tcPr>
          <w:p w14:paraId="51321DE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（1）结合采购人要求及物业服务实际情况，制定年度管理目标，明确责任分工，制定配套项目服务实施方案。</w:t>
            </w:r>
          </w:p>
        </w:tc>
      </w:tr>
      <w:tr w14:paraId="32F7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19C73731">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61DB4077">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7074" w:type="dxa"/>
            <w:noWrap w:val="0"/>
            <w:vAlign w:val="top"/>
          </w:tcPr>
          <w:p w14:paraId="297E9F2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w:t>
            </w:r>
            <w:r>
              <w:rPr>
                <w:rFonts w:hint="eastAsia" w:eastAsia="宋体" w:cs="Times New Roman"/>
                <w:sz w:val="21"/>
                <w:szCs w:val="21"/>
                <w:vertAlign w:val="baseline"/>
                <w:lang w:val="en-US" w:eastAsia="zh-CN"/>
              </w:rPr>
              <w:t>投标人中标后必须按照</w:t>
            </w:r>
            <w:r>
              <w:rPr>
                <w:rFonts w:hint="eastAsia" w:ascii="宋体" w:hAnsi="宋体" w:cs="宋体"/>
                <w:szCs w:val="21"/>
              </w:rPr>
              <w:t>《中华人民共和国劳动合同法》</w:t>
            </w:r>
            <w:r>
              <w:rPr>
                <w:rFonts w:hint="eastAsia" w:eastAsia="宋体" w:cs="Times New Roman"/>
                <w:sz w:val="21"/>
                <w:szCs w:val="21"/>
                <w:vertAlign w:val="baseline"/>
                <w:lang w:val="en-US" w:eastAsia="zh-CN"/>
              </w:rPr>
              <w:t>和《中华人民共和国社会保险法》的规定与员工签订劳动合同和购买社会保险（养老、医疗（含生育）、工伤、失业），员工工资不得低于桂林市最低工资标准。</w:t>
            </w:r>
            <w:r>
              <w:rPr>
                <w:rFonts w:hint="eastAsia" w:ascii="宋体" w:hAnsi="宋体" w:eastAsia="宋体" w:cs="宋体"/>
                <w:color w:val="auto"/>
                <w:sz w:val="21"/>
                <w:szCs w:val="21"/>
                <w:highlight w:val="none"/>
                <w:vertAlign w:val="baseline"/>
                <w:lang w:val="en-US" w:eastAsia="zh-CN"/>
              </w:rPr>
              <w:t>若在服务期内最低工资标准调整或社保</w:t>
            </w:r>
            <w:r>
              <w:rPr>
                <w:rFonts w:hint="eastAsia" w:ascii="宋体" w:hAnsi="宋体" w:eastAsia="宋体" w:cs="宋体"/>
                <w:color w:val="auto"/>
                <w:spacing w:val="-6"/>
                <w:sz w:val="21"/>
                <w:szCs w:val="21"/>
                <w:highlight w:val="none"/>
                <w:vertAlign w:val="baseline"/>
                <w:lang w:val="en-US" w:eastAsia="zh-CN"/>
              </w:rPr>
              <w:t>缴费基数上下限标准的调整，中标人必须执行调整后的最低工资标准和</w:t>
            </w:r>
            <w:r>
              <w:rPr>
                <w:rFonts w:hint="eastAsia" w:ascii="宋体" w:hAnsi="宋体" w:eastAsia="宋体" w:cs="宋体"/>
                <w:color w:val="auto"/>
                <w:sz w:val="21"/>
                <w:szCs w:val="21"/>
                <w:highlight w:val="none"/>
                <w:vertAlign w:val="baseline"/>
                <w:lang w:val="en-US" w:eastAsia="zh-CN"/>
              </w:rPr>
              <w:t>社保</w:t>
            </w:r>
            <w:r>
              <w:rPr>
                <w:rFonts w:hint="eastAsia" w:ascii="宋体" w:hAnsi="宋体" w:eastAsia="宋体" w:cs="宋体"/>
                <w:color w:val="auto"/>
                <w:spacing w:val="-6"/>
                <w:sz w:val="21"/>
                <w:szCs w:val="21"/>
                <w:highlight w:val="none"/>
                <w:vertAlign w:val="baseline"/>
                <w:lang w:val="en-US" w:eastAsia="zh-CN"/>
              </w:rPr>
              <w:t>缴费基数上下限标准，否则视为违约</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w:t>
            </w:r>
          </w:p>
        </w:tc>
      </w:tr>
      <w:tr w14:paraId="7B86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restart"/>
            <w:noWrap w:val="0"/>
            <w:vAlign w:val="top"/>
          </w:tcPr>
          <w:p w14:paraId="3F915C8A">
            <w:pPr>
              <w:spacing w:after="0"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p>
        </w:tc>
        <w:tc>
          <w:tcPr>
            <w:tcW w:w="1766" w:type="dxa"/>
            <w:vMerge w:val="restart"/>
            <w:noWrap w:val="0"/>
            <w:vAlign w:val="top"/>
          </w:tcPr>
          <w:p w14:paraId="03C8EB16">
            <w:pPr>
              <w:spacing w:after="0"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服务人员及要求</w:t>
            </w:r>
          </w:p>
        </w:tc>
        <w:tc>
          <w:tcPr>
            <w:tcW w:w="7074" w:type="dxa"/>
            <w:noWrap w:val="0"/>
            <w:vAlign w:val="top"/>
          </w:tcPr>
          <w:p w14:paraId="1D9CA5C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（1）每季度至少开展1次岗位技能、职业素质、服务意识、绿色节能环保等教育培训，并进行适当形式的考核。</w:t>
            </w:r>
          </w:p>
        </w:tc>
      </w:tr>
      <w:tr w14:paraId="36FB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2407304C">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1BFF7F2E">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7074" w:type="dxa"/>
            <w:noWrap w:val="0"/>
            <w:vAlign w:val="top"/>
          </w:tcPr>
          <w:p w14:paraId="4481104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（2）根据采购人要求对服务人员进行从业资格审查，审查结果向采购人报备。</w:t>
            </w:r>
          </w:p>
        </w:tc>
      </w:tr>
      <w:tr w14:paraId="7C67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12BF3C2D">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6E53219A">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6E29164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服务人员的年龄、学历、工作经验及从业资格条件应当与所在岗位能力要求相匹配，到岗前应当经过必要的岗前培训已达到岗位能力要求，国家、行业规定应当取得职业资格证书或特种作业证书的，应当按规定持证上岗。</w:t>
            </w:r>
          </w:p>
        </w:tc>
      </w:tr>
      <w:tr w14:paraId="01F4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073E315E">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4A780732">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45C41C7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如采购人认为服务人员不适应岗位要求或存在其他影响工作的，可要求供应商进行调换。如因供应商原因对服务人员进行调换，应当经采购人同意，更换比例不得超过本项目服务人员总数的20%。本项目服务人员不得在其他项目兼职。</w:t>
            </w:r>
          </w:p>
        </w:tc>
      </w:tr>
      <w:tr w14:paraId="7051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6A137932">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4596B937">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25B4B7E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（5）着装分类统一，佩戴标识。仪容整洁、姿态端正、举止文明。用语文明礼貌，态度温和耐心。</w:t>
            </w:r>
          </w:p>
        </w:tc>
      </w:tr>
      <w:tr w14:paraId="6CE6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20CE36AB">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5164F2F3">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6788962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中标人要确保合法用工，安全生产。所有上岗人员须由采购人审核认定符合要求后方可上岗，在岗人员必须持证（身份证、健康证</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无犯罪记录证明</w:t>
            </w:r>
            <w:r>
              <w:rPr>
                <w:rFonts w:hint="eastAsia" w:ascii="宋体" w:hAnsi="宋体" w:eastAsia="宋体" w:cs="宋体"/>
                <w:color w:val="000000" w:themeColor="text1"/>
                <w:szCs w:val="21"/>
                <w:highlight w:val="none"/>
                <w14:textFill>
                  <w14:solidFill>
                    <w14:schemeClr w14:val="tx1"/>
                  </w14:solidFill>
                </w14:textFill>
              </w:rPr>
              <w:t>上岗，并登记上报采购人备案以便</w:t>
            </w:r>
            <w:r>
              <w:rPr>
                <w:rFonts w:hint="eastAsia" w:ascii="宋体" w:hAnsi="宋体" w:eastAsia="宋体" w:cs="宋体"/>
                <w:color w:val="000000" w:themeColor="text1"/>
                <w:szCs w:val="21"/>
                <w:highlight w:val="none"/>
                <w:lang w:eastAsia="zh-CN"/>
                <w14:textFill>
                  <w14:solidFill>
                    <w14:schemeClr w14:val="tx1"/>
                  </w14:solidFill>
                </w14:textFill>
              </w:rPr>
              <w:t>督查</w:t>
            </w:r>
            <w:r>
              <w:rPr>
                <w:rFonts w:hint="eastAsia" w:ascii="宋体" w:hAnsi="宋体" w:eastAsia="宋体" w:cs="宋体"/>
                <w:color w:val="000000" w:themeColor="text1"/>
                <w:szCs w:val="21"/>
                <w:highlight w:val="none"/>
                <w14:textFill>
                  <w14:solidFill>
                    <w14:schemeClr w14:val="tx1"/>
                  </w14:solidFill>
                </w14:textFill>
              </w:rPr>
              <w:t>，在岗人员必须建立工作档案，包括工作简历、家庭成分、无犯罪记录证明、联系方式等，采购人有权抽查，审核。对不合格上岗人员，应按采购人要求无条件更换。如发生劳资纠纷、人员人身或财产损失、生产安全事故，由中标人自行承担相关责任；中标人应建立健全人员管理制度，并对其工作人员的全部行为承担责任。如因此导致采购人被追索或损失的，中标人应赔偿采购人全部损失。中标人应该保持员工队伍相对稳定，在确保党校</w:t>
            </w:r>
            <w:r>
              <w:rPr>
                <w:rFonts w:hint="eastAsia" w:ascii="宋体" w:hAnsi="宋体" w:eastAsia="宋体" w:cs="宋体"/>
                <w:color w:val="000000" w:themeColor="text1"/>
                <w:szCs w:val="21"/>
                <w:highlight w:val="none"/>
                <w:lang w:eastAsia="zh-CN"/>
                <w14:textFill>
                  <w14:solidFill>
                    <w14:schemeClr w14:val="tx1"/>
                  </w14:solidFill>
                </w14:textFill>
              </w:rPr>
              <w:t>正常工作秩序</w:t>
            </w:r>
            <w:r>
              <w:rPr>
                <w:rFonts w:hint="eastAsia" w:ascii="宋体" w:hAnsi="宋体" w:eastAsia="宋体" w:cs="宋体"/>
                <w:color w:val="000000" w:themeColor="text1"/>
                <w:szCs w:val="21"/>
                <w:highlight w:val="none"/>
                <w14:textFill>
                  <w14:solidFill>
                    <w14:schemeClr w14:val="tx1"/>
                  </w14:solidFill>
                </w14:textFill>
              </w:rPr>
              <w:t>前提下，经采购人同意可对人员工作进行调整。如遇重大办班、开班保障任务，中标人应抽调人员无条件援助相关服务工作，以满足采购人</w:t>
            </w:r>
            <w:r>
              <w:rPr>
                <w:rFonts w:hint="eastAsia" w:ascii="宋体" w:hAnsi="宋体" w:eastAsia="宋体" w:cs="宋体"/>
                <w:color w:val="000000" w:themeColor="text1"/>
                <w:szCs w:val="21"/>
                <w:highlight w:val="none"/>
                <w:lang w:eastAsia="zh-CN"/>
                <w14:textFill>
                  <w14:solidFill>
                    <w14:schemeClr w14:val="tx1"/>
                  </w14:solidFill>
                </w14:textFill>
              </w:rPr>
              <w:t>工作</w:t>
            </w:r>
            <w:r>
              <w:rPr>
                <w:rFonts w:hint="eastAsia" w:ascii="宋体" w:hAnsi="宋体" w:eastAsia="宋体" w:cs="宋体"/>
                <w:color w:val="000000" w:themeColor="text1"/>
                <w:szCs w:val="21"/>
                <w:highlight w:val="none"/>
                <w14:textFill>
                  <w14:solidFill>
                    <w14:schemeClr w14:val="tx1"/>
                  </w14:solidFill>
                </w14:textFill>
              </w:rPr>
              <w:t>要求。</w:t>
            </w:r>
          </w:p>
        </w:tc>
      </w:tr>
      <w:tr w14:paraId="1254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restart"/>
            <w:noWrap w:val="0"/>
            <w:vAlign w:val="top"/>
          </w:tcPr>
          <w:p w14:paraId="2DE891AE">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w:t>
            </w:r>
          </w:p>
        </w:tc>
        <w:tc>
          <w:tcPr>
            <w:tcW w:w="1766" w:type="dxa"/>
            <w:vMerge w:val="restart"/>
            <w:noWrap w:val="0"/>
            <w:vAlign w:val="top"/>
          </w:tcPr>
          <w:p w14:paraId="6D127A32">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保密和思想政治教育</w:t>
            </w:r>
          </w:p>
        </w:tc>
        <w:tc>
          <w:tcPr>
            <w:tcW w:w="7074" w:type="dxa"/>
            <w:noWrap w:val="0"/>
            <w:vAlign w:val="top"/>
          </w:tcPr>
          <w:p w14:paraId="1BC960D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（1）建立保密管理制度。制度内容应当包括但不限于：①明确重点要害岗位保密职责。②对涉密工作岗位的保密要求等。</w:t>
            </w:r>
          </w:p>
        </w:tc>
      </w:tr>
      <w:tr w14:paraId="3F57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top"/>
          </w:tcPr>
          <w:p w14:paraId="3054530A">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4ED0886E">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7074" w:type="dxa"/>
            <w:noWrap w:val="0"/>
            <w:vAlign w:val="top"/>
          </w:tcPr>
          <w:p w14:paraId="34B3CF5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（2）根据采购人要求与涉密工作岗位的服务人员签订保密协议。保密协议应当向采购人报备。</w:t>
            </w:r>
          </w:p>
        </w:tc>
      </w:tr>
      <w:tr w14:paraId="4A85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top"/>
          </w:tcPr>
          <w:p w14:paraId="30F64BAC">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46B6A534">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2691E7D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（3）每季度至少开展 1 次对服务人员进行保密、思想政治教育的培训，提高服务人员保密意识和思想政治意识。新入职员工应当接受保密、思想政治教育培训，进行必要的人员经历审查，合格后签订保密协议方可上岗。</w:t>
            </w:r>
          </w:p>
        </w:tc>
      </w:tr>
      <w:tr w14:paraId="2826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top"/>
          </w:tcPr>
          <w:p w14:paraId="40ADA856">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2B5A0988">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119D219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（4）发现服务人员违法违规或重大过失，及时报告采购人，并采取必要补救措施。</w:t>
            </w:r>
          </w:p>
        </w:tc>
      </w:tr>
      <w:tr w14:paraId="7604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restart"/>
            <w:noWrap w:val="0"/>
            <w:vAlign w:val="top"/>
          </w:tcPr>
          <w:p w14:paraId="19BD0A20">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w:t>
            </w:r>
          </w:p>
        </w:tc>
        <w:tc>
          <w:tcPr>
            <w:tcW w:w="1766" w:type="dxa"/>
            <w:vMerge w:val="restart"/>
            <w:noWrap w:val="0"/>
            <w:vAlign w:val="top"/>
          </w:tcPr>
          <w:p w14:paraId="317C4E50">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档案管理</w:t>
            </w:r>
          </w:p>
        </w:tc>
        <w:tc>
          <w:tcPr>
            <w:tcW w:w="7074" w:type="dxa"/>
            <w:noWrap w:val="0"/>
            <w:vAlign w:val="top"/>
          </w:tcPr>
          <w:p w14:paraId="2454501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（1）建立物业信息，准确、及时地对文件资料和服务记录进行归档保存，并确保其物理安全。</w:t>
            </w:r>
          </w:p>
        </w:tc>
      </w:tr>
      <w:tr w14:paraId="40D5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top"/>
          </w:tcPr>
          <w:p w14:paraId="464EBE8A">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39C66D1C">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7074" w:type="dxa"/>
            <w:noWrap w:val="0"/>
            <w:vAlign w:val="top"/>
          </w:tcPr>
          <w:p w14:paraId="66BA09B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档案和记录齐全，包括但不限于：①采购人建议与投诉等。教育培训和考核记录。保密、思想政治教育培训记录。②房屋维护服务：房屋台账、使用说明、房屋装修、维保记录等。③公用设施设备维护服务：设备台账、设备卡、使用说明、维保记录、巡查记录、设施设备安全运行、设施设备定期巡检、维护保养、维修档案等。④保安服务：监控记录、突发事件演习与处置记录等。⑤保洁服务：工作日志、清洁检查表、用品清单、客户反馈表等。⑥绿化服务：绿化总平面图、清洁整改记录、消杀记录等。⑦其他：客户信息、财务明细、合同协议、信报信息登记、大件物品进出登记等。</w:t>
            </w:r>
          </w:p>
        </w:tc>
      </w:tr>
      <w:tr w14:paraId="0323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top"/>
          </w:tcPr>
          <w:p w14:paraId="11616259">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46A7611E">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7E08500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（3）遵守采购人的信息、档案资料保密要求，未经许可，不得将建筑物平面图等资料转作其他用途或向其他单位、个人提供。</w:t>
            </w:r>
          </w:p>
        </w:tc>
      </w:tr>
      <w:tr w14:paraId="0CA9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top"/>
          </w:tcPr>
          <w:p w14:paraId="0176A6E4">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4059C20D">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1E29E4D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（4）履约结束后，相关资料交还采购人，采购人按政府采购相关规定存档。</w:t>
            </w:r>
          </w:p>
        </w:tc>
      </w:tr>
      <w:tr w14:paraId="7215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restart"/>
            <w:noWrap w:val="0"/>
            <w:vAlign w:val="top"/>
          </w:tcPr>
          <w:p w14:paraId="380F4DA5">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w:t>
            </w:r>
          </w:p>
        </w:tc>
        <w:tc>
          <w:tcPr>
            <w:tcW w:w="1766" w:type="dxa"/>
            <w:vMerge w:val="restart"/>
            <w:noWrap w:val="0"/>
            <w:vAlign w:val="top"/>
          </w:tcPr>
          <w:p w14:paraId="258595BE">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服务改进</w:t>
            </w:r>
          </w:p>
        </w:tc>
        <w:tc>
          <w:tcPr>
            <w:tcW w:w="7074" w:type="dxa"/>
            <w:noWrap w:val="0"/>
            <w:vAlign w:val="top"/>
          </w:tcPr>
          <w:p w14:paraId="0BCFAE6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（1）明确负责人，定期对物业服务过程进行自查，结合反馈意见与评价结果采取改进措施，持续提升管理与服务水平。</w:t>
            </w:r>
          </w:p>
        </w:tc>
      </w:tr>
      <w:tr w14:paraId="3E10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5FB21855">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6D81E6DC">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7074" w:type="dxa"/>
            <w:noWrap w:val="0"/>
            <w:vAlign w:val="top"/>
          </w:tcPr>
          <w:p w14:paraId="6CADF51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（2）对不合格服务进行控制，对不合格服务的原因进行识别和分析，及时采取纠正措施，消除不合格的原因，防止不合格再发生。</w:t>
            </w:r>
          </w:p>
        </w:tc>
      </w:tr>
      <w:tr w14:paraId="5402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67523BC1">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029FFCCE">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2199788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（3）需整改问题及时整改完成。</w:t>
            </w:r>
          </w:p>
        </w:tc>
      </w:tr>
      <w:tr w14:paraId="20EC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restart"/>
            <w:noWrap w:val="0"/>
            <w:vAlign w:val="top"/>
          </w:tcPr>
          <w:p w14:paraId="1282AC9A">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w:t>
            </w:r>
          </w:p>
        </w:tc>
        <w:tc>
          <w:tcPr>
            <w:tcW w:w="1766" w:type="dxa"/>
            <w:vMerge w:val="restart"/>
            <w:noWrap w:val="0"/>
            <w:vAlign w:val="top"/>
          </w:tcPr>
          <w:p w14:paraId="2F07F42B">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重大活动后勤 保障</w:t>
            </w:r>
          </w:p>
        </w:tc>
        <w:tc>
          <w:tcPr>
            <w:tcW w:w="7074" w:type="dxa"/>
            <w:noWrap w:val="0"/>
            <w:vAlign w:val="top"/>
          </w:tcPr>
          <w:p w14:paraId="3603A80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（1）制订流程。配合采购人制订重大活动后勤保障工作流程，需对任务进行详细了解，并根据工作安排制定详细的后勤保障计划。</w:t>
            </w:r>
          </w:p>
        </w:tc>
      </w:tr>
      <w:tr w14:paraId="7E13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48101F5A">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08618E4B">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5B7286C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实施保障。按计划在关键区域和重点部位进行部署，确保任务顺利进行，对活动区域进行全面安全检查，发现并排除安全隐患，对车辆进行有序引导和管理，确保交通安全畅通，以礼貌、专业的态度对待来宾，展现良好形象。</w:t>
            </w:r>
          </w:p>
        </w:tc>
      </w:tr>
      <w:tr w14:paraId="3010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13811843">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766" w:type="dxa"/>
            <w:vMerge w:val="continue"/>
            <w:noWrap w:val="0"/>
            <w:vAlign w:val="top"/>
          </w:tcPr>
          <w:p w14:paraId="0438F7C0">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1093970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（3）收尾工作。对现场进行检查，做好清理工作。</w:t>
            </w:r>
          </w:p>
        </w:tc>
      </w:tr>
      <w:tr w14:paraId="2FAD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restart"/>
            <w:noWrap w:val="0"/>
            <w:vAlign w:val="top"/>
          </w:tcPr>
          <w:p w14:paraId="12ED8101">
            <w:pPr>
              <w:spacing w:after="0"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1766" w:type="dxa"/>
            <w:vMerge w:val="restart"/>
            <w:noWrap w:val="0"/>
            <w:vAlign w:val="top"/>
          </w:tcPr>
          <w:p w14:paraId="45C37074">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应急保障预案</w:t>
            </w:r>
          </w:p>
        </w:tc>
        <w:tc>
          <w:tcPr>
            <w:tcW w:w="7074" w:type="dxa"/>
            <w:noWrap w:val="0"/>
            <w:vAlign w:val="top"/>
          </w:tcPr>
          <w:p w14:paraId="0EEC24B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重点区域及安全隐患排查。结合项目的实际情况，对重点部位及危险隐患进行排查，并建立清单/台账；应当对危险隐患进行风险分析，制定相应措施进行控制或整改并定期监控；随着设施设备、服务内容的变化，及时更新清单/台账，使风险隐患始终处于受控状态。</w:t>
            </w:r>
          </w:p>
        </w:tc>
      </w:tr>
      <w:tr w14:paraId="595A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4ACD702F">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16D13009">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7074" w:type="dxa"/>
            <w:noWrap w:val="0"/>
            <w:vAlign w:val="top"/>
          </w:tcPr>
          <w:p w14:paraId="680E854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（2）应急预案的建立。根据办公楼隐患排查的 结果和实际情况，制定专项预案，包括但不限于：火情火警紧急处理应急预案、紧急疏散应急预案、停水停电应急预案、有限空间救援应急预案、高空作业救援应急预案、恶劣天气应对应急预案等。</w:t>
            </w:r>
          </w:p>
        </w:tc>
      </w:tr>
      <w:tr w14:paraId="5EFA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66D18050">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766" w:type="dxa"/>
            <w:vMerge w:val="continue"/>
            <w:noWrap w:val="0"/>
            <w:vAlign w:val="top"/>
          </w:tcPr>
          <w:p w14:paraId="6CA14BF8">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7074" w:type="dxa"/>
            <w:noWrap w:val="0"/>
            <w:vAlign w:val="top"/>
          </w:tcPr>
          <w:p w14:paraId="602E0FC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（3）应急预案的培训和演练。应急预案定期培训和演练，组织相关岗位每半年至少开展一次专项应急预案演练；留存培训及演练记录和影像资料，并对预案进行评价，确保与实际情况相结合。</w:t>
            </w:r>
          </w:p>
        </w:tc>
      </w:tr>
      <w:tr w14:paraId="5C05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top"/>
          </w:tcPr>
          <w:p w14:paraId="4DD2FD09">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766" w:type="dxa"/>
            <w:vMerge w:val="continue"/>
            <w:noWrap w:val="0"/>
            <w:vAlign w:val="top"/>
          </w:tcPr>
          <w:p w14:paraId="26498A0A">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7074" w:type="dxa"/>
            <w:noWrap w:val="0"/>
            <w:vAlign w:val="top"/>
          </w:tcPr>
          <w:p w14:paraId="04AF856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（4）应急物资的管理。根据专项预案中的应对需要、必要的应急物资，建立清单或台账，并由专人定期对应急物资进行检查，如有应急物资不足，及时通知采购人购置齐全，确保能够随时正常使用。</w:t>
            </w:r>
          </w:p>
        </w:tc>
      </w:tr>
      <w:tr w14:paraId="7D8C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restart"/>
            <w:noWrap w:val="0"/>
            <w:vAlign w:val="top"/>
          </w:tcPr>
          <w:p w14:paraId="4B7647E1">
            <w:pPr>
              <w:spacing w:after="0"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1766" w:type="dxa"/>
            <w:vMerge w:val="restart"/>
            <w:noWrap w:val="0"/>
            <w:vAlign w:val="top"/>
          </w:tcPr>
          <w:p w14:paraId="00E2CB87">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服务方案及工 作制度</w:t>
            </w:r>
          </w:p>
        </w:tc>
        <w:tc>
          <w:tcPr>
            <w:tcW w:w="7074" w:type="dxa"/>
            <w:noWrap w:val="0"/>
            <w:vAlign w:val="top"/>
          </w:tcPr>
          <w:p w14:paraId="7326A5C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（1）制定工作制度，主要包括：人员录用制度、档案管理制度、物业服务管理制度、公用设施设备相关管理制度等。</w:t>
            </w:r>
          </w:p>
        </w:tc>
      </w:tr>
      <w:tr w14:paraId="31A2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02C6790F">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180018C6">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7074" w:type="dxa"/>
            <w:noWrap w:val="0"/>
            <w:vAlign w:val="top"/>
          </w:tcPr>
          <w:p w14:paraId="615FC25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（2）制定项目实施方案，主要包括：交接方案、人员培训方案、人员稳定性方案、保密方案等。</w:t>
            </w:r>
          </w:p>
        </w:tc>
      </w:tr>
      <w:tr w14:paraId="6E64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71889A3E">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766" w:type="dxa"/>
            <w:vMerge w:val="continue"/>
            <w:noWrap w:val="0"/>
            <w:vAlign w:val="top"/>
          </w:tcPr>
          <w:p w14:paraId="31E06056">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7074" w:type="dxa"/>
            <w:noWrap w:val="0"/>
            <w:vAlign w:val="top"/>
          </w:tcPr>
          <w:p w14:paraId="40C339F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（3）制定物业服务方案，主要包括：房屋维护服务方案、公用设施设备维护服务方案、绿化服务方案、保洁服务方案、保安服务方案、会议服务方案等。</w:t>
            </w:r>
          </w:p>
        </w:tc>
      </w:tr>
      <w:tr w14:paraId="10DB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restart"/>
            <w:noWrap w:val="0"/>
            <w:vAlign w:val="top"/>
          </w:tcPr>
          <w:p w14:paraId="3DBD9226">
            <w:pPr>
              <w:spacing w:after="0"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p>
        </w:tc>
        <w:tc>
          <w:tcPr>
            <w:tcW w:w="1766" w:type="dxa"/>
            <w:vMerge w:val="restart"/>
            <w:noWrap w:val="0"/>
            <w:vAlign w:val="top"/>
          </w:tcPr>
          <w:p w14:paraId="02E6848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信报服务</w:t>
            </w:r>
          </w:p>
        </w:tc>
        <w:tc>
          <w:tcPr>
            <w:tcW w:w="7074" w:type="dxa"/>
            <w:noWrap w:val="0"/>
            <w:vAlign w:val="top"/>
          </w:tcPr>
          <w:p w14:paraId="496E23E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（1）对邮件、包裹和挂号信等进行正确分理、安全检查和防疫卫生检查。</w:t>
            </w:r>
          </w:p>
        </w:tc>
      </w:tr>
      <w:tr w14:paraId="49E0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77545D57">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62154B5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2057B54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（2）及时投送或通知收件人领取。</w:t>
            </w:r>
          </w:p>
        </w:tc>
      </w:tr>
      <w:tr w14:paraId="72EB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191C4DA0">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6" w:type="dxa"/>
            <w:vMerge w:val="continue"/>
            <w:noWrap w:val="0"/>
            <w:vAlign w:val="top"/>
          </w:tcPr>
          <w:p w14:paraId="29BA486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0869DA6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（3）大件物品出入向采购人报告，待采购人确认无误后放行。</w:t>
            </w:r>
          </w:p>
        </w:tc>
      </w:tr>
      <w:tr w14:paraId="1FA2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restart"/>
            <w:noWrap w:val="0"/>
            <w:vAlign w:val="top"/>
          </w:tcPr>
          <w:p w14:paraId="708DF39C">
            <w:p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10</w:t>
            </w:r>
          </w:p>
        </w:tc>
        <w:tc>
          <w:tcPr>
            <w:tcW w:w="1766" w:type="dxa"/>
            <w:vMerge w:val="restart"/>
            <w:noWrap w:val="0"/>
            <w:vAlign w:val="top"/>
          </w:tcPr>
          <w:p w14:paraId="3F06BAC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服务热线及紧 急维修</w:t>
            </w:r>
          </w:p>
        </w:tc>
        <w:tc>
          <w:tcPr>
            <w:tcW w:w="7074" w:type="dxa"/>
            <w:noWrap w:val="0"/>
            <w:vAlign w:val="top"/>
          </w:tcPr>
          <w:p w14:paraId="2C15510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（1）设置 24 小时报修服务热线。</w:t>
            </w:r>
          </w:p>
        </w:tc>
      </w:tr>
      <w:tr w14:paraId="11FD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4A1427F7">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66" w:type="dxa"/>
            <w:vMerge w:val="continue"/>
            <w:noWrap w:val="0"/>
            <w:vAlign w:val="top"/>
          </w:tcPr>
          <w:p w14:paraId="7F877A5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74" w:type="dxa"/>
            <w:noWrap w:val="0"/>
            <w:vAlign w:val="top"/>
          </w:tcPr>
          <w:p w14:paraId="6C23875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（2）紧急维修应当 15 分钟内到达现场，不间断维修直至修复。</w:t>
            </w:r>
          </w:p>
        </w:tc>
      </w:tr>
    </w:tbl>
    <w:p w14:paraId="307AF6E9">
      <w:pPr>
        <w:numPr>
          <w:ilvl w:val="0"/>
          <w:numId w:val="0"/>
        </w:num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3.2房屋维护服务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742"/>
        <w:gridCol w:w="7086"/>
      </w:tblGrid>
      <w:tr w14:paraId="3616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noWrap w:val="0"/>
            <w:vAlign w:val="top"/>
          </w:tcPr>
          <w:p w14:paraId="613EC27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序号</w:t>
            </w:r>
          </w:p>
        </w:tc>
        <w:tc>
          <w:tcPr>
            <w:tcW w:w="1742" w:type="dxa"/>
            <w:noWrap w:val="0"/>
            <w:vAlign w:val="top"/>
          </w:tcPr>
          <w:p w14:paraId="11C775D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服务内容</w:t>
            </w:r>
          </w:p>
        </w:tc>
        <w:tc>
          <w:tcPr>
            <w:tcW w:w="7086" w:type="dxa"/>
            <w:noWrap w:val="0"/>
            <w:vAlign w:val="top"/>
          </w:tcPr>
          <w:p w14:paraId="07DEA74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服务标准</w:t>
            </w:r>
          </w:p>
        </w:tc>
      </w:tr>
      <w:tr w14:paraId="265B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restart"/>
            <w:noWrap w:val="0"/>
            <w:vAlign w:val="top"/>
          </w:tcPr>
          <w:p w14:paraId="59DFF78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w:t>
            </w:r>
          </w:p>
        </w:tc>
        <w:tc>
          <w:tcPr>
            <w:tcW w:w="1742" w:type="dxa"/>
            <w:vMerge w:val="restart"/>
            <w:noWrap w:val="0"/>
            <w:vAlign w:val="top"/>
          </w:tcPr>
          <w:p w14:paraId="55E47D6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主体结构、围 护结构、部品 部件</w:t>
            </w:r>
          </w:p>
        </w:tc>
        <w:tc>
          <w:tcPr>
            <w:tcW w:w="7086" w:type="dxa"/>
            <w:noWrap w:val="0"/>
            <w:vAlign w:val="top"/>
          </w:tcPr>
          <w:p w14:paraId="16C3D05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（1）每季度至少开展 1 次房屋结构安全巡视，发现外观有变形、开裂等现象，及时建议采购人申请房屋安全鉴定，并采取必要的避险和防护措施。</w:t>
            </w:r>
          </w:p>
        </w:tc>
      </w:tr>
      <w:tr w14:paraId="7627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7D88BDD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42" w:type="dxa"/>
            <w:vMerge w:val="continue"/>
            <w:noWrap w:val="0"/>
            <w:vAlign w:val="top"/>
          </w:tcPr>
          <w:p w14:paraId="62CFC2C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1EA45AD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（2）每季度至少开展 1 次外墙贴饰面、幕墙玻璃、雨篷、散水、空调室外机支撑构件等检查，发现破损，及时向采购人报告，按采购人要求出具维修方案，待采购人同意后按维修方案实施维修。</w:t>
            </w:r>
          </w:p>
        </w:tc>
      </w:tr>
      <w:tr w14:paraId="5AF7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2F698D3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42" w:type="dxa"/>
            <w:vMerge w:val="continue"/>
            <w:noWrap w:val="0"/>
            <w:vAlign w:val="top"/>
          </w:tcPr>
          <w:p w14:paraId="5C94234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3788BE3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（3）每半月至少开展 1 次公用部位的门、窗、楼梯、通风道、室内地面、墙面、吊顶和室外屋面等巡查，发现破损，及时向采购人报告，按采购人要求出具维修方案，待采购人同意后按维修方案实施维修。</w:t>
            </w:r>
          </w:p>
        </w:tc>
      </w:tr>
      <w:tr w14:paraId="331A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442D048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42" w:type="dxa"/>
            <w:vMerge w:val="continue"/>
            <w:noWrap w:val="0"/>
            <w:vAlign w:val="top"/>
          </w:tcPr>
          <w:p w14:paraId="57B3ACF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22BFB60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（4）每年强降雨天气前后、雨雪季节检查屋面防水和雨落管等，发现破损，及时向采购人报告，按采购人要求出具维修方案，待采购人同意后按 维修方案实施维修。</w:t>
            </w:r>
          </w:p>
        </w:tc>
      </w:tr>
      <w:tr w14:paraId="26CA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1508D57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42" w:type="dxa"/>
            <w:vMerge w:val="continue"/>
            <w:noWrap w:val="0"/>
            <w:vAlign w:val="top"/>
          </w:tcPr>
          <w:p w14:paraId="66E44FD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54DA1B6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（5）办公楼外观完好，建筑装饰面无脱落、无破损、无污渍，玻璃幕墙清洁明亮、无破损。</w:t>
            </w:r>
          </w:p>
        </w:tc>
      </w:tr>
      <w:tr w14:paraId="08EB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top"/>
          </w:tcPr>
          <w:p w14:paraId="5AA85DC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42" w:type="dxa"/>
            <w:vMerge w:val="continue"/>
            <w:noWrap w:val="0"/>
            <w:vAlign w:val="top"/>
          </w:tcPr>
          <w:p w14:paraId="5B89021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1E0F929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（6）通道、楼梯、门窗等设施的完好和正常使用。</w:t>
            </w:r>
          </w:p>
        </w:tc>
      </w:tr>
      <w:tr w14:paraId="2DC8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restart"/>
            <w:noWrap w:val="0"/>
            <w:vAlign w:val="top"/>
          </w:tcPr>
          <w:p w14:paraId="6622FF7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w:t>
            </w:r>
          </w:p>
        </w:tc>
        <w:tc>
          <w:tcPr>
            <w:tcW w:w="1742" w:type="dxa"/>
            <w:vMerge w:val="restart"/>
            <w:noWrap w:val="0"/>
            <w:vAlign w:val="top"/>
          </w:tcPr>
          <w:p w14:paraId="5217604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其他设施</w:t>
            </w:r>
          </w:p>
        </w:tc>
        <w:tc>
          <w:tcPr>
            <w:tcW w:w="7086" w:type="dxa"/>
            <w:noWrap w:val="0"/>
            <w:vAlign w:val="top"/>
          </w:tcPr>
          <w:p w14:paraId="2666546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（1）每半月至少开展 1 次大门、围墙、道路、场地、管井、沟渠等巡查，每半月至少检查 1 次 雨污水管井、化粪池等巡查，发现破损，及时向采购人报告，按采购人要求出具维修方案，待采购人同意后按维修方案实施维修。</w:t>
            </w:r>
          </w:p>
        </w:tc>
      </w:tr>
      <w:tr w14:paraId="37A7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continue"/>
            <w:noWrap w:val="0"/>
            <w:vAlign w:val="top"/>
          </w:tcPr>
          <w:p w14:paraId="15BFF322">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1742" w:type="dxa"/>
            <w:vMerge w:val="continue"/>
            <w:noWrap w:val="0"/>
            <w:vAlign w:val="top"/>
          </w:tcPr>
          <w:p w14:paraId="3EFE109A">
            <w:pPr>
              <w:spacing w:after="0" w:line="240" w:lineRule="auto"/>
              <w:rPr>
                <w:rFonts w:hint="eastAsia" w:ascii="宋体" w:hAnsi="宋体" w:eastAsia="宋体" w:cs="宋体"/>
                <w:color w:val="000000" w:themeColor="text1"/>
                <w:highlight w:val="none"/>
                <w14:textFill>
                  <w14:solidFill>
                    <w14:schemeClr w14:val="tx1"/>
                  </w14:solidFill>
                </w14:textFill>
              </w:rPr>
            </w:pPr>
          </w:p>
        </w:tc>
        <w:tc>
          <w:tcPr>
            <w:tcW w:w="7086" w:type="dxa"/>
            <w:noWrap w:val="0"/>
            <w:vAlign w:val="top"/>
          </w:tcPr>
          <w:p w14:paraId="41FE21F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（2）每年至少开展 1 次防雷装置检测，发现失效，及时向采购人报告，按采购人要求出具维修方案，待采购人同意后按维修方案实施维修。</w:t>
            </w:r>
          </w:p>
        </w:tc>
      </w:tr>
      <w:tr w14:paraId="53DB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continue"/>
            <w:noWrap w:val="0"/>
            <w:vAlign w:val="top"/>
          </w:tcPr>
          <w:p w14:paraId="7E49365A">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742" w:type="dxa"/>
            <w:vMerge w:val="continue"/>
            <w:noWrap w:val="0"/>
            <w:vAlign w:val="top"/>
          </w:tcPr>
          <w:p w14:paraId="285F9D14">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7086" w:type="dxa"/>
            <w:noWrap w:val="0"/>
            <w:vAlign w:val="top"/>
          </w:tcPr>
          <w:p w14:paraId="3989185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（3）路面状态良好，地漏通畅不堵塞。</w:t>
            </w:r>
          </w:p>
        </w:tc>
      </w:tr>
      <w:tr w14:paraId="1E79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continue"/>
            <w:noWrap w:val="0"/>
            <w:vAlign w:val="top"/>
          </w:tcPr>
          <w:p w14:paraId="329E1706">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742" w:type="dxa"/>
            <w:vMerge w:val="continue"/>
            <w:noWrap w:val="0"/>
            <w:vAlign w:val="top"/>
          </w:tcPr>
          <w:p w14:paraId="5546AFF6">
            <w:pPr>
              <w:spacing w:after="0" w:line="24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7086" w:type="dxa"/>
            <w:noWrap w:val="0"/>
            <w:vAlign w:val="top"/>
          </w:tcPr>
          <w:p w14:paraId="32A5AFF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（4）接到采购人家具报修服务后，及时通知家具供货商对保修期内的家具进行维修，及时对保修期外的家具进行维修。</w:t>
            </w:r>
          </w:p>
        </w:tc>
      </w:tr>
      <w:tr w14:paraId="63A4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2" w:type="dxa"/>
            <w:vMerge w:val="restart"/>
            <w:noWrap w:val="0"/>
            <w:vAlign w:val="top"/>
          </w:tcPr>
          <w:p w14:paraId="2155096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w:t>
            </w:r>
          </w:p>
        </w:tc>
        <w:tc>
          <w:tcPr>
            <w:tcW w:w="1742" w:type="dxa"/>
            <w:vMerge w:val="restart"/>
            <w:noWrap w:val="0"/>
            <w:vAlign w:val="top"/>
          </w:tcPr>
          <w:p w14:paraId="650D1E5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装饰装修监督 管理</w:t>
            </w:r>
          </w:p>
        </w:tc>
        <w:tc>
          <w:tcPr>
            <w:tcW w:w="7086" w:type="dxa"/>
            <w:noWrap w:val="0"/>
            <w:vAlign w:val="top"/>
          </w:tcPr>
          <w:p w14:paraId="66CC6AD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（1）装饰装修前，供应商应当与采购人或采购人委托的装修企业签订装饰装修管理服务协议，告知装饰装修须知，并对装饰装修过程进行管理服务。</w:t>
            </w:r>
          </w:p>
        </w:tc>
      </w:tr>
      <w:tr w14:paraId="10EF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2" w:type="dxa"/>
            <w:vMerge w:val="continue"/>
            <w:noWrap w:val="0"/>
            <w:vAlign w:val="top"/>
          </w:tcPr>
          <w:p w14:paraId="6094D07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42" w:type="dxa"/>
            <w:vMerge w:val="continue"/>
            <w:noWrap w:val="0"/>
            <w:vAlign w:val="top"/>
          </w:tcPr>
          <w:p w14:paraId="1D0811F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0D44BCC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（2）根据协议内容，做好装修垃圾临时堆放、清运等。</w:t>
            </w:r>
          </w:p>
        </w:tc>
      </w:tr>
      <w:tr w14:paraId="3D54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2" w:type="dxa"/>
            <w:vMerge w:val="continue"/>
            <w:noWrap w:val="0"/>
            <w:vAlign w:val="top"/>
          </w:tcPr>
          <w:p w14:paraId="45EF871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42" w:type="dxa"/>
            <w:vMerge w:val="continue"/>
            <w:noWrap w:val="0"/>
            <w:vAlign w:val="top"/>
          </w:tcPr>
          <w:p w14:paraId="20306DD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1FCF7DF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（3）受采购人委托对房屋内装修进行严格的监督管理，发现问题及时上报，确保不因装修而危及大楼结构安全、人身安全和影响正常办公秩序。</w:t>
            </w:r>
          </w:p>
        </w:tc>
      </w:tr>
      <w:tr w14:paraId="64C8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82" w:type="dxa"/>
            <w:vMerge w:val="restart"/>
            <w:noWrap w:val="0"/>
            <w:vAlign w:val="top"/>
          </w:tcPr>
          <w:p w14:paraId="06FBB2C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w:t>
            </w:r>
          </w:p>
        </w:tc>
        <w:tc>
          <w:tcPr>
            <w:tcW w:w="1742" w:type="dxa"/>
            <w:vMerge w:val="restart"/>
            <w:noWrap w:val="0"/>
            <w:vAlign w:val="top"/>
          </w:tcPr>
          <w:p w14:paraId="29E0109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标识标牌</w:t>
            </w:r>
          </w:p>
        </w:tc>
        <w:tc>
          <w:tcPr>
            <w:tcW w:w="7086" w:type="dxa"/>
            <w:noWrap w:val="0"/>
            <w:vAlign w:val="top"/>
          </w:tcPr>
          <w:p w14:paraId="7F3D7D1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（1）标识标牌符合《公共信息图形符号 第 1 部分：通用符号》（GB/T 10001.1-2023）的相关要求，消防与安全标识符合《安全色和安全标志》 （GB2894-2025）、《消防安全标志 第 1 部分：标志》 （GB13495.1</w:t>
            </w:r>
            <w:r>
              <w:rPr>
                <w:rFonts w:hint="eastAsia" w:ascii="宋体" w:hAnsi="宋体" w:eastAsia="宋体" w:cs="宋体"/>
                <w:color w:val="000000" w:themeColor="text1"/>
                <w:highlight w:val="none"/>
                <w:lang w:val="en-US" w:eastAsia="zh-CN"/>
                <w14:textFill>
                  <w14:solidFill>
                    <w14:schemeClr w14:val="tx1"/>
                  </w14:solidFill>
                </w14:textFill>
              </w:rPr>
              <w:t>-2015</w:t>
            </w:r>
            <w:r>
              <w:rPr>
                <w:rFonts w:hint="eastAsia" w:ascii="宋体" w:hAnsi="宋体" w:eastAsia="宋体" w:cs="宋体"/>
                <w:color w:val="000000" w:themeColor="text1"/>
                <w:highlight w:val="none"/>
                <w:vertAlign w:val="baseline"/>
                <w:lang w:val="en-US" w:eastAsia="zh-CN"/>
                <w14:textFill>
                  <w14:solidFill>
                    <w14:schemeClr w14:val="tx1"/>
                  </w14:solidFill>
                </w14:textFill>
              </w:rPr>
              <w:t>）的相关要求。</w:t>
            </w:r>
          </w:p>
        </w:tc>
      </w:tr>
      <w:tr w14:paraId="7348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82" w:type="dxa"/>
            <w:vMerge w:val="continue"/>
            <w:noWrap w:val="0"/>
            <w:vAlign w:val="top"/>
          </w:tcPr>
          <w:p w14:paraId="62DA115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42" w:type="dxa"/>
            <w:vMerge w:val="continue"/>
            <w:noWrap w:val="0"/>
            <w:vAlign w:val="top"/>
          </w:tcPr>
          <w:p w14:paraId="27D74B2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34E3811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（2）每月至少检查 1 次标识标牌和消防与安全标识。应当规范清晰、路线指引正确、安装稳固。</w:t>
            </w:r>
          </w:p>
        </w:tc>
      </w:tr>
    </w:tbl>
    <w:p w14:paraId="403C7A88">
      <w:pPr>
        <w:numPr>
          <w:ilvl w:val="0"/>
          <w:numId w:val="0"/>
        </w:numP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3.3公用设施设备维护服务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77"/>
        <w:gridCol w:w="7050"/>
      </w:tblGrid>
      <w:tr w14:paraId="63EB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noWrap w:val="0"/>
            <w:vAlign w:val="top"/>
          </w:tcPr>
          <w:p w14:paraId="4C98BA2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序号</w:t>
            </w:r>
          </w:p>
        </w:tc>
        <w:tc>
          <w:tcPr>
            <w:tcW w:w="1777" w:type="dxa"/>
            <w:noWrap w:val="0"/>
            <w:vAlign w:val="top"/>
          </w:tcPr>
          <w:p w14:paraId="15FD5D3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服务内容</w:t>
            </w:r>
          </w:p>
        </w:tc>
        <w:tc>
          <w:tcPr>
            <w:tcW w:w="7050" w:type="dxa"/>
            <w:noWrap w:val="0"/>
            <w:vAlign w:val="top"/>
          </w:tcPr>
          <w:p w14:paraId="3BE68CF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服务标准</w:t>
            </w:r>
          </w:p>
        </w:tc>
      </w:tr>
      <w:tr w14:paraId="67D1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70" w:type="dxa"/>
            <w:vMerge w:val="restart"/>
            <w:noWrap w:val="0"/>
            <w:vAlign w:val="top"/>
          </w:tcPr>
          <w:p w14:paraId="72E41C6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w:t>
            </w:r>
          </w:p>
        </w:tc>
        <w:tc>
          <w:tcPr>
            <w:tcW w:w="1777" w:type="dxa"/>
            <w:vMerge w:val="restart"/>
            <w:noWrap w:val="0"/>
            <w:vAlign w:val="top"/>
          </w:tcPr>
          <w:p w14:paraId="3E93CCA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基本要求</w:t>
            </w:r>
          </w:p>
        </w:tc>
        <w:tc>
          <w:tcPr>
            <w:tcW w:w="7050" w:type="dxa"/>
            <w:noWrap w:val="0"/>
            <w:vAlign w:val="top"/>
          </w:tcPr>
          <w:p w14:paraId="7A1BA36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（1）重大节假日及恶劣天气前后，组织系统巡检 1 次。</w:t>
            </w:r>
          </w:p>
        </w:tc>
      </w:tr>
      <w:tr w14:paraId="5306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70" w:type="dxa"/>
            <w:vMerge w:val="continue"/>
            <w:noWrap w:val="0"/>
            <w:vAlign w:val="top"/>
          </w:tcPr>
          <w:p w14:paraId="50943E5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AC2FC3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657D07C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（2）具备设施设备安全、稳定运行的环境和场所（含有限空间），温湿度、照度、粉尘和烟雾浓度等符合相关安全规范。</w:t>
            </w:r>
          </w:p>
        </w:tc>
      </w:tr>
      <w:tr w14:paraId="4CED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restart"/>
            <w:noWrap w:val="0"/>
            <w:vAlign w:val="top"/>
          </w:tcPr>
          <w:p w14:paraId="53F5E0B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w:t>
            </w:r>
          </w:p>
        </w:tc>
        <w:tc>
          <w:tcPr>
            <w:tcW w:w="1777" w:type="dxa"/>
            <w:vMerge w:val="restart"/>
            <w:noWrap w:val="0"/>
            <w:vAlign w:val="top"/>
          </w:tcPr>
          <w:p w14:paraId="2B35BEF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设备机房</w:t>
            </w:r>
          </w:p>
        </w:tc>
        <w:tc>
          <w:tcPr>
            <w:tcW w:w="7050" w:type="dxa"/>
            <w:noWrap w:val="0"/>
            <w:vAlign w:val="top"/>
          </w:tcPr>
          <w:p w14:paraId="0A07384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（1）设备机房门口有机房类别及安全标志。 落实各类机房责任人、督查人，且设备系统图、应急预案流程图、管理制度、特种作业人员资格证书等上墙文件或证书符合各设备机房国家标准规范要求，机房巡视及外来人员记录清晰完整，标识统一。</w:t>
            </w:r>
          </w:p>
        </w:tc>
      </w:tr>
      <w:tr w14:paraId="0943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1A09BD4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465885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1DEB11C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（2）设备机房门窗、锁具应当完好、有效。</w:t>
            </w:r>
          </w:p>
        </w:tc>
      </w:tr>
      <w:tr w14:paraId="6556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1126BC6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25F631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7939C18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（3）每半月至少开展 1 次清洁，整洁有序、无杂物、无积尘、无鼠、无虫害，温湿度符合设备运行要求。</w:t>
            </w:r>
          </w:p>
        </w:tc>
      </w:tr>
      <w:tr w14:paraId="04D5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71C3375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63DBA31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23E53B3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（4）按各设备机房国家标准规范规定维护/保管消防、通风、应急照明，防止小动物进入。</w:t>
            </w:r>
          </w:p>
        </w:tc>
      </w:tr>
      <w:tr w14:paraId="27F1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4C85247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0A97C0C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3F38581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（5）安全防护用具配置齐全，检验合格。</w:t>
            </w:r>
          </w:p>
        </w:tc>
      </w:tr>
      <w:tr w14:paraId="2CB6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70" w:type="dxa"/>
            <w:vMerge w:val="continue"/>
            <w:noWrap w:val="0"/>
            <w:vAlign w:val="top"/>
          </w:tcPr>
          <w:p w14:paraId="4315C6A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03DD88E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637A1F7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（6）应急设施设备用品应当齐全、完备，可随时启用。</w:t>
            </w:r>
          </w:p>
        </w:tc>
      </w:tr>
      <w:tr w14:paraId="23A5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70" w:type="dxa"/>
            <w:vMerge w:val="restart"/>
            <w:noWrap w:val="0"/>
            <w:vAlign w:val="top"/>
          </w:tcPr>
          <w:p w14:paraId="6544722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w:t>
            </w:r>
          </w:p>
        </w:tc>
        <w:tc>
          <w:tcPr>
            <w:tcW w:w="1777" w:type="dxa"/>
            <w:vMerge w:val="restart"/>
            <w:noWrap w:val="0"/>
            <w:vAlign w:val="top"/>
          </w:tcPr>
          <w:p w14:paraId="5D2FBCA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电梯系统</w:t>
            </w:r>
          </w:p>
        </w:tc>
        <w:tc>
          <w:tcPr>
            <w:tcW w:w="7050" w:type="dxa"/>
            <w:noWrap w:val="0"/>
            <w:vAlign w:val="top"/>
          </w:tcPr>
          <w:p w14:paraId="40DE673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（1）电梯运行平稳、无异响、平层、开关正常。每日至少开展1 次电梯的安全状况检查。</w:t>
            </w:r>
          </w:p>
        </w:tc>
      </w:tr>
      <w:tr w14:paraId="55A6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70" w:type="dxa"/>
            <w:vMerge w:val="continue"/>
            <w:noWrap w:val="0"/>
            <w:vAlign w:val="top"/>
          </w:tcPr>
          <w:p w14:paraId="23DC16B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9B702D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44FAB45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（2）电梯准用证、年检合格证等证件齐全。相关证件、紧急救援电话和乘客注意事项置于轿厢醒目位置。</w:t>
            </w:r>
          </w:p>
        </w:tc>
      </w:tr>
      <w:tr w14:paraId="31C9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70" w:type="dxa"/>
            <w:vMerge w:val="continue"/>
            <w:noWrap w:val="0"/>
            <w:vAlign w:val="top"/>
          </w:tcPr>
          <w:p w14:paraId="31D94D6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0DAFBF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566D131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（3）每年至少开展 1 次对电梯的全面检测， 并出具检测报告，核发电梯使用标志。</w:t>
            </w:r>
          </w:p>
        </w:tc>
      </w:tr>
      <w:tr w14:paraId="1954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70" w:type="dxa"/>
            <w:vMerge w:val="continue"/>
            <w:noWrap w:val="0"/>
            <w:vAlign w:val="top"/>
          </w:tcPr>
          <w:p w14:paraId="3DAA805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AEE649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2560AB5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（4）电梯维保应当符合《电梯维护保养规则》 （TSG T5002</w:t>
            </w:r>
            <w:r>
              <w:rPr>
                <w:rFonts w:hint="eastAsia" w:ascii="宋体" w:hAnsi="宋体" w:eastAsia="宋体" w:cs="宋体"/>
                <w:color w:val="000000" w:themeColor="text1"/>
                <w:highlight w:val="none"/>
                <w:lang w:val="en-US" w:eastAsia="zh-CN"/>
                <w14:textFill>
                  <w14:solidFill>
                    <w14:schemeClr w14:val="tx1"/>
                  </w14:solidFill>
                </w14:textFill>
              </w:rPr>
              <w:t>-2017</w:t>
            </w:r>
            <w:r>
              <w:rPr>
                <w:rFonts w:hint="eastAsia" w:ascii="宋体" w:hAnsi="宋体" w:eastAsia="宋体" w:cs="宋体"/>
                <w:color w:val="000000" w:themeColor="text1"/>
                <w:highlight w:val="none"/>
                <w:vertAlign w:val="baseline"/>
                <w:lang w:val="en-US" w:eastAsia="zh-CN"/>
                <w14:textFill>
                  <w14:solidFill>
                    <w14:schemeClr w14:val="tx1"/>
                  </w14:solidFill>
                </w14:textFill>
              </w:rPr>
              <w:t>）的有关要求。</w:t>
            </w:r>
          </w:p>
        </w:tc>
      </w:tr>
      <w:tr w14:paraId="557D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70" w:type="dxa"/>
            <w:vMerge w:val="continue"/>
            <w:noWrap w:val="0"/>
            <w:vAlign w:val="top"/>
          </w:tcPr>
          <w:p w14:paraId="5077F2E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062EE4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63FF0F3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（5）电梯使用应当符合《特种设备使用管理规则》（TSG 08</w:t>
            </w:r>
            <w:r>
              <w:rPr>
                <w:rFonts w:hint="eastAsia" w:ascii="宋体" w:hAnsi="宋体" w:eastAsia="宋体" w:cs="宋体"/>
                <w:color w:val="000000" w:themeColor="text1"/>
                <w:highlight w:val="none"/>
                <w:lang w:val="en-US" w:eastAsia="zh-CN"/>
                <w14:textFill>
                  <w14:solidFill>
                    <w14:schemeClr w14:val="tx1"/>
                  </w14:solidFill>
                </w14:textFill>
              </w:rPr>
              <w:t>-2026</w:t>
            </w:r>
            <w:r>
              <w:rPr>
                <w:rFonts w:hint="eastAsia" w:ascii="宋体" w:hAnsi="宋体" w:eastAsia="宋体" w:cs="宋体"/>
                <w:color w:val="000000" w:themeColor="text1"/>
                <w:highlight w:val="none"/>
                <w:vertAlign w:val="baseline"/>
                <w:lang w:val="en-US" w:eastAsia="zh-CN"/>
                <w14:textFill>
                  <w14:solidFill>
                    <w14:schemeClr w14:val="tx1"/>
                  </w14:solidFill>
                </w14:textFill>
              </w:rPr>
              <w:t>）的有关要求。</w:t>
            </w:r>
          </w:p>
        </w:tc>
      </w:tr>
      <w:tr w14:paraId="506C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70" w:type="dxa"/>
            <w:vMerge w:val="continue"/>
            <w:noWrap w:val="0"/>
            <w:vAlign w:val="top"/>
          </w:tcPr>
          <w:p w14:paraId="06837F3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BA6DB4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35CCB84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（6）有电梯突发事件或事故的应急措施与救援预案，每半年至少开展演练 1 次。电梯出现故障，物业服务人员 10 分钟内到场应急处理，维保专业人员 30 分钟内到场应急处理。</w:t>
            </w:r>
          </w:p>
        </w:tc>
      </w:tr>
      <w:tr w14:paraId="2880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70" w:type="dxa"/>
            <w:vMerge w:val="continue"/>
            <w:noWrap w:val="0"/>
            <w:vAlign w:val="top"/>
          </w:tcPr>
          <w:p w14:paraId="5CF9686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B24357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1A0A79E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（7）到场进行救助和排除故障。电梯紧急电话保持畅通。</w:t>
            </w:r>
          </w:p>
        </w:tc>
      </w:tr>
      <w:tr w14:paraId="2E75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70" w:type="dxa"/>
            <w:vMerge w:val="continue"/>
            <w:noWrap w:val="0"/>
            <w:vAlign w:val="top"/>
          </w:tcPr>
          <w:p w14:paraId="1B10B95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5094B73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2D5B958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（8）电梯维修、保养时在现场设置提示标识和防护围栏。</w:t>
            </w:r>
          </w:p>
        </w:tc>
      </w:tr>
      <w:tr w14:paraId="3618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70" w:type="dxa"/>
            <w:vMerge w:val="continue"/>
            <w:noWrap w:val="0"/>
            <w:vAlign w:val="top"/>
          </w:tcPr>
          <w:p w14:paraId="51BBC6D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7359EE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068224D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（9）根据采购人需求，合理设置电梯开启的数量、时间。</w:t>
            </w:r>
          </w:p>
        </w:tc>
      </w:tr>
      <w:tr w14:paraId="6F6A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050" w:type="dxa"/>
          <w:trHeight w:val="312" w:hRule="atLeast"/>
        </w:trPr>
        <w:tc>
          <w:tcPr>
            <w:tcW w:w="770" w:type="dxa"/>
            <w:vMerge w:val="continue"/>
            <w:noWrap w:val="0"/>
            <w:vAlign w:val="top"/>
          </w:tcPr>
          <w:p w14:paraId="71FCBE8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6F268B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r>
      <w:tr w14:paraId="1979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restart"/>
            <w:noWrap w:val="0"/>
            <w:vAlign w:val="top"/>
          </w:tcPr>
          <w:p w14:paraId="6CF2716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w:t>
            </w:r>
          </w:p>
        </w:tc>
        <w:tc>
          <w:tcPr>
            <w:tcW w:w="1777" w:type="dxa"/>
            <w:vMerge w:val="restart"/>
            <w:noWrap w:val="0"/>
            <w:vAlign w:val="top"/>
          </w:tcPr>
          <w:p w14:paraId="6094A50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空调系统</w:t>
            </w:r>
          </w:p>
        </w:tc>
        <w:tc>
          <w:tcPr>
            <w:tcW w:w="7050" w:type="dxa"/>
            <w:noWrap w:val="0"/>
            <w:vAlign w:val="top"/>
          </w:tcPr>
          <w:p w14:paraId="4E725AB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（1）空调通风系统运行管理符合《空调通风系统运行管理标准》（GB50365</w:t>
            </w:r>
            <w:r>
              <w:rPr>
                <w:rFonts w:hint="eastAsia" w:ascii="宋体" w:hAnsi="宋体" w:eastAsia="宋体" w:cs="宋体"/>
                <w:color w:val="000000" w:themeColor="text1"/>
                <w:highlight w:val="none"/>
                <w:lang w:val="en-US" w:eastAsia="zh-CN"/>
                <w14:textFill>
                  <w14:solidFill>
                    <w14:schemeClr w14:val="tx1"/>
                  </w14:solidFill>
                </w14:textFill>
              </w:rPr>
              <w:t>-2019</w:t>
            </w:r>
            <w:r>
              <w:rPr>
                <w:rFonts w:hint="eastAsia" w:ascii="宋体" w:hAnsi="宋体" w:eastAsia="宋体" w:cs="宋体"/>
                <w:color w:val="000000" w:themeColor="text1"/>
                <w:highlight w:val="none"/>
                <w:vertAlign w:val="baseline"/>
                <w:lang w:val="en-US" w:eastAsia="zh-CN"/>
                <w14:textFill>
                  <w14:solidFill>
                    <w14:schemeClr w14:val="tx1"/>
                  </w14:solidFill>
                </w14:textFill>
              </w:rPr>
              <w:t>）的相关要求。</w:t>
            </w:r>
          </w:p>
        </w:tc>
      </w:tr>
      <w:tr w14:paraId="6C29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continue"/>
            <w:noWrap w:val="0"/>
            <w:vAlign w:val="top"/>
          </w:tcPr>
          <w:p w14:paraId="3B69D47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57F50CD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1DB1EE5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（2）办公楼内温湿度、空气质量等符合《室内空气质量标准》（GB/T18883-2022）的相关要求。</w:t>
            </w:r>
          </w:p>
        </w:tc>
      </w:tr>
      <w:tr w14:paraId="70A7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continue"/>
            <w:noWrap w:val="0"/>
            <w:vAlign w:val="top"/>
          </w:tcPr>
          <w:p w14:paraId="0382C67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0355B54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64057D6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（3）定期维保并做好记录，保证空调设施设备处于良好状态。</w:t>
            </w:r>
          </w:p>
        </w:tc>
      </w:tr>
      <w:tr w14:paraId="2241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continue"/>
            <w:noWrap w:val="0"/>
            <w:vAlign w:val="top"/>
          </w:tcPr>
          <w:p w14:paraId="48CA1E0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5D39DF7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50C5C3C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（4）中央空调运行前对冷水机组、循环水泵、冷却塔、风机等设施设备进行系统检查，运行期间每日至少开展 1 次运行情况巡查。</w:t>
            </w:r>
          </w:p>
        </w:tc>
      </w:tr>
      <w:tr w14:paraId="636D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continue"/>
            <w:noWrap w:val="0"/>
            <w:vAlign w:val="top"/>
          </w:tcPr>
          <w:p w14:paraId="7B21D7B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6039F37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29CFF67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（5）每半年至少开展 1 次管道、阀门检查并除锈。</w:t>
            </w:r>
          </w:p>
        </w:tc>
      </w:tr>
      <w:tr w14:paraId="4940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continue"/>
            <w:noWrap w:val="0"/>
            <w:vAlign w:val="top"/>
          </w:tcPr>
          <w:p w14:paraId="3B0EA72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5F153B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403BEB1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（6）每年至少开展 1 次系统整体性维修养护，检验1次压力容器、仪表及冷却塔噪声。</w:t>
            </w:r>
          </w:p>
        </w:tc>
      </w:tr>
      <w:tr w14:paraId="3855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continue"/>
            <w:noWrap w:val="0"/>
            <w:vAlign w:val="top"/>
          </w:tcPr>
          <w:p w14:paraId="20D5EE6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5E2EEEE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28267BA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（7）每年至少开展 1 次新风机、空气处理机滤网等清洗消毒；每 2 年至少开展 1 次风管清洗消毒。</w:t>
            </w:r>
          </w:p>
        </w:tc>
      </w:tr>
      <w:tr w14:paraId="10F4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continue"/>
            <w:noWrap w:val="0"/>
            <w:vAlign w:val="top"/>
          </w:tcPr>
          <w:p w14:paraId="7AE08BF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543E38E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4FA16B7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（8）每年至少开展 1 次分体式空调主机（含空调过滤网）和室外机清洁。每月至少开展 1 次挂机和室外支架稳固性巡查。</w:t>
            </w:r>
          </w:p>
        </w:tc>
      </w:tr>
      <w:tr w14:paraId="11BF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continue"/>
            <w:noWrap w:val="0"/>
            <w:vAlign w:val="top"/>
          </w:tcPr>
          <w:p w14:paraId="6A8A067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4320B4E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0EC3000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（9）制冷、供暖系统温度设定及启用时间符合节能要求。</w:t>
            </w:r>
          </w:p>
        </w:tc>
      </w:tr>
      <w:tr w14:paraId="7483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770" w:type="dxa"/>
            <w:vMerge w:val="continue"/>
            <w:noWrap w:val="0"/>
            <w:vAlign w:val="top"/>
          </w:tcPr>
          <w:p w14:paraId="29D4532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7E4AF0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268982A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（10）发现故障或损坏应当在 30 分钟内到场，紧急维修应当在 15 分钟内到达现场，在 12 小时内维修完毕。</w:t>
            </w:r>
          </w:p>
        </w:tc>
      </w:tr>
      <w:tr w14:paraId="4FFB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70" w:type="dxa"/>
            <w:vMerge w:val="restart"/>
            <w:noWrap w:val="0"/>
            <w:vAlign w:val="top"/>
          </w:tcPr>
          <w:p w14:paraId="355A3F1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w:t>
            </w:r>
          </w:p>
        </w:tc>
        <w:tc>
          <w:tcPr>
            <w:tcW w:w="1777" w:type="dxa"/>
            <w:vMerge w:val="restart"/>
            <w:noWrap w:val="0"/>
            <w:vAlign w:val="top"/>
          </w:tcPr>
          <w:p w14:paraId="5172926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消防系统</w:t>
            </w:r>
          </w:p>
        </w:tc>
        <w:tc>
          <w:tcPr>
            <w:tcW w:w="7050" w:type="dxa"/>
            <w:noWrap w:val="0"/>
            <w:vAlign w:val="top"/>
          </w:tcPr>
          <w:p w14:paraId="0C1A50C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（1）消防设施的维护管理符合《建筑消防设施的维护管理》（GB25201</w:t>
            </w:r>
            <w:r>
              <w:rPr>
                <w:rFonts w:hint="eastAsia" w:ascii="宋体" w:hAnsi="宋体" w:eastAsia="宋体" w:cs="宋体"/>
                <w:color w:val="000000" w:themeColor="text1"/>
                <w:highlight w:val="none"/>
                <w:lang w:val="en-US" w:eastAsia="zh-CN"/>
                <w14:textFill>
                  <w14:solidFill>
                    <w14:schemeClr w14:val="tx1"/>
                  </w14:solidFill>
                </w14:textFill>
              </w:rPr>
              <w:t>-2010</w:t>
            </w:r>
            <w:r>
              <w:rPr>
                <w:rFonts w:hint="eastAsia" w:ascii="宋体" w:hAnsi="宋体" w:eastAsia="宋体" w:cs="宋体"/>
                <w:color w:val="000000" w:themeColor="text1"/>
                <w:highlight w:val="none"/>
                <w:vertAlign w:val="baseline"/>
                <w:lang w:val="en-US" w:eastAsia="zh-CN"/>
                <w14:textFill>
                  <w14:solidFill>
                    <w14:schemeClr w14:val="tx1"/>
                  </w14:solidFill>
                </w14:textFill>
              </w:rPr>
              <w:t>）的相关要求。</w:t>
            </w:r>
          </w:p>
        </w:tc>
      </w:tr>
      <w:tr w14:paraId="6EA3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70" w:type="dxa"/>
            <w:vMerge w:val="continue"/>
            <w:noWrap w:val="0"/>
            <w:vAlign w:val="top"/>
          </w:tcPr>
          <w:p w14:paraId="0B4E7DD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BA48B5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3D8C6F8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（2）消防设备检测符合《建筑消防设施检测技术规程》（GB/T44481-2024）或 XF503</w:t>
            </w:r>
            <w:r>
              <w:rPr>
                <w:rFonts w:hint="eastAsia" w:ascii="宋体" w:hAnsi="宋体" w:eastAsia="宋体" w:cs="宋体"/>
                <w:color w:val="000000" w:themeColor="text1"/>
                <w:highlight w:val="none"/>
                <w:lang w:val="en-US" w:eastAsia="zh-CN"/>
                <w14:textFill>
                  <w14:solidFill>
                    <w14:schemeClr w14:val="tx1"/>
                  </w14:solidFill>
                </w14:textFill>
              </w:rPr>
              <w:t>-2004</w:t>
            </w:r>
            <w:r>
              <w:rPr>
                <w:rFonts w:hint="eastAsia" w:ascii="宋体" w:hAnsi="宋体" w:eastAsia="宋体" w:cs="宋体"/>
                <w:color w:val="000000" w:themeColor="text1"/>
                <w:highlight w:val="none"/>
                <w:vertAlign w:val="baseline"/>
                <w:lang w:val="en-US" w:eastAsia="zh-CN"/>
                <w14:textFill>
                  <w14:solidFill>
                    <w14:schemeClr w14:val="tx1"/>
                  </w14:solidFill>
                </w14:textFill>
              </w:rPr>
              <w:t>）的相关要求。</w:t>
            </w:r>
          </w:p>
        </w:tc>
      </w:tr>
      <w:tr w14:paraId="0A5F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70" w:type="dxa"/>
            <w:vMerge w:val="continue"/>
            <w:noWrap w:val="0"/>
            <w:vAlign w:val="top"/>
          </w:tcPr>
          <w:p w14:paraId="2CB7737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DCBD33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1991C25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（3）消防设施平面图、火警疏散示意图、防火分区图等按幢设置在楼层醒目位置。</w:t>
            </w:r>
          </w:p>
        </w:tc>
      </w:tr>
      <w:tr w14:paraId="0E80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70" w:type="dxa"/>
            <w:vMerge w:val="continue"/>
            <w:noWrap w:val="0"/>
            <w:vAlign w:val="top"/>
          </w:tcPr>
          <w:p w14:paraId="5F1BF7A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6C4B74E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6F40C51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（4）消防系统各设施设备使用说明清晰，宜图文结合。</w:t>
            </w:r>
          </w:p>
        </w:tc>
      </w:tr>
      <w:tr w14:paraId="6FC3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70" w:type="dxa"/>
            <w:vMerge w:val="continue"/>
            <w:noWrap w:val="0"/>
            <w:vAlign w:val="top"/>
          </w:tcPr>
          <w:p w14:paraId="313DAD9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2227528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20458B2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（5）自动喷水灭火系统启动正常。</w:t>
            </w:r>
          </w:p>
        </w:tc>
      </w:tr>
      <w:tr w14:paraId="185B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70" w:type="dxa"/>
            <w:vMerge w:val="continue"/>
            <w:noWrap w:val="0"/>
            <w:vAlign w:val="top"/>
          </w:tcPr>
          <w:p w14:paraId="3BBB842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2C4160A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5E5B726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（6）消火栓箱、防火门、灭火器、消防水泵、红外线报警器、应急照明、安全疏散等系统运行正常。</w:t>
            </w:r>
          </w:p>
        </w:tc>
      </w:tr>
      <w:tr w14:paraId="343A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70" w:type="dxa"/>
            <w:vMerge w:val="continue"/>
            <w:noWrap w:val="0"/>
            <w:vAlign w:val="top"/>
          </w:tcPr>
          <w:p w14:paraId="403A526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5F8F0EF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579C87B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（7）消防监控系统运行良好，自动和手动报警设施启动正常。</w:t>
            </w:r>
          </w:p>
        </w:tc>
      </w:tr>
      <w:tr w14:paraId="5192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70" w:type="dxa"/>
            <w:vMerge w:val="continue"/>
            <w:noWrap w:val="0"/>
            <w:vAlign w:val="top"/>
          </w:tcPr>
          <w:p w14:paraId="383B4B3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2C2D096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147B0EE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（8）正压送风、防排烟系统运行正常。</w:t>
            </w:r>
          </w:p>
        </w:tc>
      </w:tr>
      <w:tr w14:paraId="7C65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770" w:type="dxa"/>
            <w:vMerge w:val="restart"/>
            <w:noWrap w:val="0"/>
            <w:vAlign w:val="top"/>
          </w:tcPr>
          <w:p w14:paraId="348A9FE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w:t>
            </w:r>
          </w:p>
        </w:tc>
        <w:tc>
          <w:tcPr>
            <w:tcW w:w="1777" w:type="dxa"/>
            <w:vMerge w:val="restart"/>
            <w:noWrap w:val="0"/>
            <w:vAlign w:val="top"/>
          </w:tcPr>
          <w:p w14:paraId="0EB1C30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供配电系统</w:t>
            </w:r>
          </w:p>
        </w:tc>
        <w:tc>
          <w:tcPr>
            <w:tcW w:w="7050" w:type="dxa"/>
            <w:noWrap w:val="0"/>
            <w:vAlign w:val="top"/>
          </w:tcPr>
          <w:p w14:paraId="24B1265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（1）建立 24 小时运行值班监控制度。</w:t>
            </w:r>
          </w:p>
        </w:tc>
      </w:tr>
      <w:tr w14:paraId="518C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770" w:type="dxa"/>
            <w:vMerge w:val="continue"/>
            <w:noWrap w:val="0"/>
            <w:vAlign w:val="top"/>
          </w:tcPr>
          <w:p w14:paraId="49102AC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10E4EE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5728FBF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（2）对供电范围内的电气设备定期巡视维护，加强高低压配电柜、配电箱、控制柜及线路等重点部位监测。</w:t>
            </w:r>
          </w:p>
        </w:tc>
      </w:tr>
      <w:tr w14:paraId="07A9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770" w:type="dxa"/>
            <w:vMerge w:val="continue"/>
            <w:noWrap w:val="0"/>
            <w:vAlign w:val="top"/>
          </w:tcPr>
          <w:p w14:paraId="5466F26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0BB01F6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5AB97C1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（3）公共使用的照明、指示灯具线路、开关、接地等保持完好，确保用电安全。</w:t>
            </w:r>
          </w:p>
        </w:tc>
      </w:tr>
      <w:tr w14:paraId="6F18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770" w:type="dxa"/>
            <w:vMerge w:val="continue"/>
            <w:noWrap w:val="0"/>
            <w:vAlign w:val="top"/>
          </w:tcPr>
          <w:p w14:paraId="6F23D30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D0067C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2F2C7EF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（4）核心部位用电建立高可控用电保障和配备应急发电设备，定期维护应急发电设备。</w:t>
            </w:r>
          </w:p>
        </w:tc>
      </w:tr>
      <w:tr w14:paraId="7BC1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770" w:type="dxa"/>
            <w:vMerge w:val="continue"/>
            <w:noWrap w:val="0"/>
            <w:vAlign w:val="top"/>
          </w:tcPr>
          <w:p w14:paraId="76FE785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6A6B523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23FC856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（5）发生非计划性停电的，应当在事件发生后及时通知采购人，快速恢复或启用应急电源，并做好应急事件上报及处理工作。</w:t>
            </w:r>
          </w:p>
        </w:tc>
      </w:tr>
      <w:tr w14:paraId="1227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770" w:type="dxa"/>
            <w:vMerge w:val="continue"/>
            <w:noWrap w:val="0"/>
            <w:vAlign w:val="top"/>
          </w:tcPr>
          <w:p w14:paraId="336E33D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6499DE6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1FA34A6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（6）复杂故障涉及供电部门维修处置的及时与供电部门联系，并向采购人报告。</w:t>
            </w:r>
          </w:p>
        </w:tc>
      </w:tr>
      <w:tr w14:paraId="7E26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restart"/>
            <w:noWrap w:val="0"/>
            <w:vAlign w:val="top"/>
          </w:tcPr>
          <w:p w14:paraId="1B51257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w:t>
            </w:r>
          </w:p>
        </w:tc>
        <w:tc>
          <w:tcPr>
            <w:tcW w:w="1777" w:type="dxa"/>
            <w:vMerge w:val="restart"/>
            <w:noWrap w:val="0"/>
            <w:vAlign w:val="top"/>
          </w:tcPr>
          <w:p w14:paraId="247CA57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照明系统</w:t>
            </w:r>
          </w:p>
        </w:tc>
        <w:tc>
          <w:tcPr>
            <w:tcW w:w="7050" w:type="dxa"/>
            <w:noWrap w:val="0"/>
            <w:vAlign w:val="top"/>
          </w:tcPr>
          <w:p w14:paraId="14EA241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（1）外观整洁无缺损、无松落。</w:t>
            </w:r>
          </w:p>
        </w:tc>
      </w:tr>
      <w:tr w14:paraId="235C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3A9369A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54F738C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3E03D96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（2）更换的照明灯具应当选用节能环保产品，亮度与更换前保持一致。</w:t>
            </w:r>
          </w:p>
        </w:tc>
      </w:tr>
      <w:tr w14:paraId="4301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0B88E2E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493EBC0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50" w:type="dxa"/>
            <w:noWrap w:val="0"/>
            <w:vAlign w:val="top"/>
          </w:tcPr>
          <w:p w14:paraId="60DFF44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（3）每周至少开展 1 次公共区域照明设备巡视。</w:t>
            </w:r>
          </w:p>
        </w:tc>
      </w:tr>
      <w:tr w14:paraId="362F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restart"/>
            <w:shd w:val="clear" w:color="auto" w:fill="auto"/>
            <w:noWrap w:val="0"/>
            <w:vAlign w:val="top"/>
          </w:tcPr>
          <w:p w14:paraId="63539582">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8</w:t>
            </w:r>
          </w:p>
        </w:tc>
        <w:tc>
          <w:tcPr>
            <w:tcW w:w="1777" w:type="dxa"/>
            <w:vMerge w:val="restart"/>
            <w:shd w:val="clear" w:color="auto" w:fill="auto"/>
            <w:noWrap w:val="0"/>
            <w:vAlign w:val="top"/>
          </w:tcPr>
          <w:p w14:paraId="05E5EC7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p w14:paraId="29DCEF61">
            <w:pPr>
              <w:spacing w:after="0" w:line="240" w:lineRule="auto"/>
              <w:rPr>
                <w:rFonts w:hint="eastAsia" w:ascii="宋体" w:hAnsi="宋体" w:eastAsia="宋体" w:cs="宋体"/>
                <w:color w:val="000000" w:themeColor="text1"/>
                <w:sz w:val="21"/>
                <w:szCs w:val="24"/>
                <w:highlight w:val="none"/>
                <w:lang w:val="en-US" w:eastAsia="zh-CN" w:bidi="ar-SA"/>
                <w14:textFill>
                  <w14:solidFill>
                    <w14:schemeClr w14:val="tx1"/>
                  </w14:solidFill>
                </w14:textFill>
              </w:rPr>
            </w:pPr>
          </w:p>
          <w:p w14:paraId="4B3496D1">
            <w:pPr>
              <w:spacing w:after="0" w:line="240" w:lineRule="auto"/>
              <w:jc w:val="center"/>
              <w:rPr>
                <w:rFonts w:hint="eastAsia" w:ascii="宋体" w:hAnsi="宋体" w:eastAsia="宋体" w:cs="宋体"/>
                <w:color w:val="000000" w:themeColor="text1"/>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污水、循环水系统</w:t>
            </w:r>
          </w:p>
        </w:tc>
        <w:tc>
          <w:tcPr>
            <w:tcW w:w="7050" w:type="dxa"/>
            <w:shd w:val="clear" w:color="auto" w:fill="auto"/>
            <w:noWrap w:val="0"/>
            <w:vAlign w:val="top"/>
          </w:tcPr>
          <w:p w14:paraId="1BFB53EF">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（1）每日对污水、循环水泵送系统进行设备巡视。</w:t>
            </w:r>
          </w:p>
        </w:tc>
      </w:tr>
      <w:tr w14:paraId="749C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tcPr>
          <w:p w14:paraId="3A37345F">
            <w:pPr>
              <w:pStyle w:val="2"/>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tcPr>
          <w:p w14:paraId="2355625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0" w:type="auto"/>
            <w:shd w:val="clear" w:color="auto" w:fill="auto"/>
            <w:vAlign w:val="top"/>
          </w:tcPr>
          <w:p w14:paraId="4F0D01DF">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（2）按照采购人要求对循环水系统进行设备运行时间进行管理</w:t>
            </w:r>
          </w:p>
        </w:tc>
      </w:tr>
      <w:tr w14:paraId="55AA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tcPr>
          <w:p w14:paraId="1CF7E8FF">
            <w:pPr>
              <w:pStyle w:val="2"/>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tcPr>
          <w:p w14:paraId="77F5427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0" w:type="auto"/>
            <w:shd w:val="clear" w:color="auto" w:fill="auto"/>
            <w:vAlign w:val="top"/>
          </w:tcPr>
          <w:p w14:paraId="2D7DD0A1">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（3）设备出现异常情况下，污水设备在24小时内完成整改；循环水设备48小时内完成整改</w:t>
            </w:r>
          </w:p>
        </w:tc>
      </w:tr>
      <w:tr w14:paraId="2774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tcPr>
          <w:p w14:paraId="0D9ED8B5">
            <w:pPr>
              <w:pStyle w:val="2"/>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tcPr>
          <w:p w14:paraId="72E0810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0" w:type="auto"/>
            <w:shd w:val="clear" w:color="auto" w:fill="auto"/>
            <w:vAlign w:val="top"/>
          </w:tcPr>
          <w:p w14:paraId="2BB0191E">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（4）复杂故障下不能及时整改的要及时向采购人汇报</w:t>
            </w:r>
          </w:p>
        </w:tc>
      </w:tr>
      <w:tr w14:paraId="3114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restart"/>
            <w:shd w:val="clear" w:color="auto" w:fill="auto"/>
            <w:vAlign w:val="top"/>
          </w:tcPr>
          <w:p w14:paraId="5F63AA29">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9</w:t>
            </w:r>
          </w:p>
        </w:tc>
        <w:tc>
          <w:tcPr>
            <w:tcW w:w="1777" w:type="dxa"/>
            <w:vMerge w:val="restart"/>
            <w:shd w:val="clear" w:color="auto" w:fill="auto"/>
            <w:vAlign w:val="top"/>
          </w:tcPr>
          <w:p w14:paraId="65D41A85">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空气能热水系统</w:t>
            </w:r>
          </w:p>
        </w:tc>
        <w:tc>
          <w:tcPr>
            <w:tcW w:w="0" w:type="auto"/>
            <w:shd w:val="clear" w:color="auto" w:fill="auto"/>
            <w:vAlign w:val="top"/>
          </w:tcPr>
          <w:p w14:paraId="567C2672">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（1）每周至少开展 3次空气能热水设备巡视。</w:t>
            </w:r>
          </w:p>
        </w:tc>
      </w:tr>
      <w:tr w14:paraId="2C2E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tcPr>
          <w:p w14:paraId="00A6FDDD">
            <w:pPr>
              <w:pStyle w:val="2"/>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tcPr>
          <w:p w14:paraId="32A0E41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0" w:type="auto"/>
            <w:shd w:val="clear" w:color="auto" w:fill="auto"/>
            <w:vAlign w:val="top"/>
          </w:tcPr>
          <w:p w14:paraId="7CD8B557">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（2）对出现热水停供的楼栋在2小时内进行问题排查整改</w:t>
            </w:r>
          </w:p>
        </w:tc>
      </w:tr>
      <w:tr w14:paraId="36B5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tcPr>
          <w:p w14:paraId="17DB6463">
            <w:pPr>
              <w:pStyle w:val="2"/>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tcPr>
          <w:p w14:paraId="2722912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0" w:type="auto"/>
            <w:shd w:val="clear" w:color="auto" w:fill="auto"/>
            <w:vAlign w:val="top"/>
          </w:tcPr>
          <w:p w14:paraId="4EECF528">
            <w:pPr>
              <w:numPr>
                <w:ilvl w:val="0"/>
                <w:numId w:val="0"/>
              </w:numPr>
              <w:spacing w:after="0" w:line="240" w:lineRule="auto"/>
              <w:ind w:left="0" w:leftChars="0" w:firstLine="0" w:firstLineChars="0"/>
              <w:rPr>
                <w:rFonts w:hint="eastAsia" w:ascii="宋体" w:hAnsi="宋体" w:eastAsia="宋体" w:cs="宋体"/>
                <w:color w:val="000000" w:themeColor="text1"/>
                <w:sz w:val="21"/>
                <w:szCs w:val="24"/>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（3）复杂故障下不能及时整改的要及时向采购人汇报</w:t>
            </w:r>
          </w:p>
        </w:tc>
      </w:tr>
    </w:tbl>
    <w:p w14:paraId="0D1E2ED9">
      <w:pPr>
        <w:numPr>
          <w:ilvl w:val="0"/>
          <w:numId w:val="0"/>
        </w:num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注：电梯系统、锅炉设备等设施设备的安装改造维修应当由具备相应资质的供应商完成，如供应商自身不具备，可进行分包由具有相应资质的单位完成。</w:t>
      </w:r>
    </w:p>
    <w:p w14:paraId="53F4519B">
      <w:pPr>
        <w:numPr>
          <w:ilvl w:val="0"/>
          <w:numId w:val="0"/>
        </w:numP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3.4保洁服务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77"/>
        <w:gridCol w:w="7061"/>
      </w:tblGrid>
      <w:tr w14:paraId="11B6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19B3022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序号</w:t>
            </w:r>
          </w:p>
        </w:tc>
        <w:tc>
          <w:tcPr>
            <w:tcW w:w="1777" w:type="dxa"/>
            <w:noWrap w:val="0"/>
            <w:vAlign w:val="top"/>
          </w:tcPr>
          <w:p w14:paraId="33225F0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服务内容</w:t>
            </w:r>
          </w:p>
        </w:tc>
        <w:tc>
          <w:tcPr>
            <w:tcW w:w="7061" w:type="dxa"/>
            <w:noWrap w:val="0"/>
            <w:vAlign w:val="top"/>
          </w:tcPr>
          <w:p w14:paraId="20EF842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服务标准</w:t>
            </w:r>
          </w:p>
        </w:tc>
      </w:tr>
      <w:tr w14:paraId="4264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restart"/>
            <w:noWrap w:val="0"/>
            <w:vAlign w:val="top"/>
          </w:tcPr>
          <w:p w14:paraId="0844AEE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w:t>
            </w:r>
          </w:p>
        </w:tc>
        <w:tc>
          <w:tcPr>
            <w:tcW w:w="1777" w:type="dxa"/>
            <w:vMerge w:val="restart"/>
            <w:noWrap w:val="0"/>
            <w:vAlign w:val="top"/>
          </w:tcPr>
          <w:p w14:paraId="2D2A551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基本要求</w:t>
            </w:r>
          </w:p>
        </w:tc>
        <w:tc>
          <w:tcPr>
            <w:tcW w:w="7061" w:type="dxa"/>
            <w:noWrap w:val="0"/>
            <w:vAlign w:val="top"/>
          </w:tcPr>
          <w:p w14:paraId="1690A19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（1）建立保洁服务的工作制度及工作计划，并按照执行。</w:t>
            </w:r>
          </w:p>
        </w:tc>
      </w:tr>
      <w:tr w14:paraId="322D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21E73EA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0A21954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6D09A5C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（2）做好保洁服务工作记录，记录填写规范、保存完好。</w:t>
            </w:r>
          </w:p>
        </w:tc>
      </w:tr>
      <w:tr w14:paraId="403F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64A2CD5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E19BA4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24852E0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（3）作业时采取安全防护措施，防止对作业人员或他人造成伤害。相关耗材的环保、安全性等应当符合国家相关规定要求。</w:t>
            </w:r>
          </w:p>
        </w:tc>
      </w:tr>
      <w:tr w14:paraId="7C71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1053775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D18D55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247271A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（4）进入保密区域时，有采购人相关人员全程在场。</w:t>
            </w:r>
          </w:p>
        </w:tc>
      </w:tr>
      <w:tr w14:paraId="4C3E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restart"/>
            <w:noWrap w:val="0"/>
            <w:vAlign w:val="top"/>
          </w:tcPr>
          <w:p w14:paraId="1C2B6AE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w:t>
            </w:r>
          </w:p>
        </w:tc>
        <w:tc>
          <w:tcPr>
            <w:tcW w:w="1777" w:type="dxa"/>
            <w:vMerge w:val="restart"/>
            <w:noWrap w:val="0"/>
            <w:vAlign w:val="top"/>
          </w:tcPr>
          <w:p w14:paraId="66B2AA1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办公用房区域 保洁</w:t>
            </w:r>
          </w:p>
        </w:tc>
        <w:tc>
          <w:tcPr>
            <w:tcW w:w="7061" w:type="dxa"/>
            <w:noWrap w:val="0"/>
            <w:vAlign w:val="top"/>
          </w:tcPr>
          <w:p w14:paraId="736D199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（1）大厅、楼内公共通道： ①公共通道保持干净，无异味、无杂物、无 积水，每日至少开展 1 次清洁作业。 ②门窗玻璃干净无尘，透光性好，每周至少开展 1 次清洁作业。 ③指示牌干净，无污渍，每日至少开展 1 次 清洁作业。</w:t>
            </w:r>
          </w:p>
        </w:tc>
      </w:tr>
      <w:tr w14:paraId="078C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044737E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7DB07B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2D713BA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（2）电器、消防等设施设备： ①配电箱、设备机房、会议室音视频设备、消防栓及开关插座等保持表面干净，无尘无污迹，每月至少开展 1 次清洁作业。 ②监控摄像头、门禁系统等表面光亮，无尘、无斑点，每月至少开展 1 次清洁作业。</w:t>
            </w:r>
          </w:p>
        </w:tc>
      </w:tr>
      <w:tr w14:paraId="19A4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157741F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8B05FA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76C21BD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（3）楼梯及楼梯间保持干净、无异味、无杂物、无积水，每日至少开展 1 次清洁作业。</w:t>
            </w:r>
          </w:p>
        </w:tc>
      </w:tr>
      <w:tr w14:paraId="6AFE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7124F4E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6D69F83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2C3098A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（4）开水间保持干净、无异味、无杂物、无积水，每日至少开展 1 次清洁作业。</w:t>
            </w:r>
          </w:p>
        </w:tc>
      </w:tr>
      <w:tr w14:paraId="72AA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02E0FDC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85EC6C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6A834A6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（5）作业工具间： ①保持干净，无异味、无杂物、无积水，每日至少开展 1 次清洁作业。 ②作业工具摆放整齐有序，表面干净无渍，每日消毒。</w:t>
            </w:r>
          </w:p>
        </w:tc>
      </w:tr>
      <w:tr w14:paraId="0D45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0120428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694E70E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06F00D3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（6）公共卫生间：①保持干净，无异味，垃圾无溢出，每日至少开展 1 次清洁作业。②及时补充厕纸等必要用品。</w:t>
            </w:r>
          </w:p>
        </w:tc>
      </w:tr>
      <w:tr w14:paraId="7259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3CD7E83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059744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2595C94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（7）电梯轿厢： ①保持干净，无污渍、无粘贴物、无异味，每日至少开展 1 次清洁作业。 ②灯具、操作指示板明亮。</w:t>
            </w:r>
          </w:p>
        </w:tc>
      </w:tr>
      <w:tr w14:paraId="2751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60D70C1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32DC48F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5B60160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（8）平台、屋顶、天沟保持干净，有杂物及时清扫，每月至少开展 1 次清洁作业。</w:t>
            </w:r>
          </w:p>
        </w:tc>
      </w:tr>
      <w:tr w14:paraId="7A10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74AA20E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751EEF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449E3B1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（9）地面、内墙做好养护工作，每季度开展 1 次清洁作业。</w:t>
            </w:r>
          </w:p>
        </w:tc>
      </w:tr>
      <w:tr w14:paraId="0302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26E9E65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24BCBF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74216C9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（10）地毯干净、无油渍、无污渍、无褪色，每月至少开展 1 次清洁作业。</w:t>
            </w:r>
          </w:p>
        </w:tc>
      </w:tr>
      <w:tr w14:paraId="597C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restart"/>
            <w:noWrap w:val="0"/>
            <w:vAlign w:val="top"/>
          </w:tcPr>
          <w:p w14:paraId="09FAE84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w:t>
            </w:r>
          </w:p>
        </w:tc>
        <w:tc>
          <w:tcPr>
            <w:tcW w:w="1777" w:type="dxa"/>
            <w:vMerge w:val="restart"/>
            <w:noWrap w:val="0"/>
            <w:vAlign w:val="top"/>
          </w:tcPr>
          <w:p w14:paraId="38ACE63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公共场地区域 保洁</w:t>
            </w:r>
          </w:p>
        </w:tc>
        <w:tc>
          <w:tcPr>
            <w:tcW w:w="7061" w:type="dxa"/>
            <w:noWrap w:val="0"/>
            <w:vAlign w:val="top"/>
          </w:tcPr>
          <w:p w14:paraId="1DEC5A7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（1）每日清扫道路地面、停车场等公共区域 2 次，保持干净、无杂物、无积水。</w:t>
            </w:r>
          </w:p>
        </w:tc>
      </w:tr>
      <w:tr w14:paraId="3745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4F5D34B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48BA546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4C53B11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（2）强降雨、强风、冰雹等恶劣天气时及时清扫积水、树叶，并采取安全防护措施。</w:t>
            </w:r>
          </w:p>
        </w:tc>
      </w:tr>
      <w:tr w14:paraId="317A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39119FF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4F8F3CA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07E6D3B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（3）各种路标、宣传栏等保持干净，每月至少开展 1 次清洁作业。</w:t>
            </w:r>
          </w:p>
        </w:tc>
      </w:tr>
      <w:tr w14:paraId="5589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73DB936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4F85665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262F8A5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（4）清洁室外照明设备，每月至少开展 1 次清洁作业。</w:t>
            </w:r>
          </w:p>
        </w:tc>
      </w:tr>
      <w:tr w14:paraId="7505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200C193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203A56E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4966C38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（5）绿地内无杂物、无改变用途和破坏、践踏、占用现象，每天至少开展 1 次巡查。</w:t>
            </w:r>
          </w:p>
        </w:tc>
      </w:tr>
      <w:tr w14:paraId="312C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2E9B5B7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2D3CA1F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28C349F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（6）办公区外立面定期清洗、2 米以上外窗玻璃擦拭，每年至少开展 1 次清洗。</w:t>
            </w:r>
          </w:p>
        </w:tc>
      </w:tr>
      <w:tr w14:paraId="314E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top"/>
          </w:tcPr>
          <w:p w14:paraId="51DB14C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w:t>
            </w:r>
          </w:p>
        </w:tc>
        <w:tc>
          <w:tcPr>
            <w:tcW w:w="1777" w:type="dxa"/>
            <w:vMerge w:val="restart"/>
            <w:noWrap w:val="0"/>
            <w:vAlign w:val="top"/>
          </w:tcPr>
          <w:p w14:paraId="26603B4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垃圾处理</w:t>
            </w:r>
          </w:p>
        </w:tc>
        <w:tc>
          <w:tcPr>
            <w:tcW w:w="7061" w:type="dxa"/>
            <w:noWrap w:val="0"/>
            <w:vAlign w:val="top"/>
          </w:tcPr>
          <w:p w14:paraId="4274D97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（1）在指定位置摆放分类垃圾桶，并在显著处张贴垃圾分类标识。分类垃圾桶和垃圾分类标识根据所在城市的要求设置。</w:t>
            </w:r>
          </w:p>
        </w:tc>
      </w:tr>
      <w:tr w14:paraId="2B67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2C14670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09A8B20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4F16C60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（2）桶身表面干净无污渍，每日开展至少 1 次清洁作业。</w:t>
            </w:r>
          </w:p>
        </w:tc>
      </w:tr>
      <w:tr w14:paraId="40F6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52F276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68F76E7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3CC431B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（3）垃圾中转房保持整洁，无明显异味，每日至少开展 1 次清洁作业。</w:t>
            </w:r>
          </w:p>
        </w:tc>
      </w:tr>
      <w:tr w14:paraId="5979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206F35A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4704E5B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6FD6A2D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（4）化粪池清掏，无明显异味，每半年至少开展 1 次清洁作业。</w:t>
            </w:r>
          </w:p>
        </w:tc>
      </w:tr>
      <w:tr w14:paraId="7AAD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B439CD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1D0380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23B42B1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（5）每个工作日内要对楼层产生的垃圾，进行清理分类，并运至垃圾集中堆放点。</w:t>
            </w:r>
          </w:p>
        </w:tc>
      </w:tr>
      <w:tr w14:paraId="780E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2FB0A2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1D209CD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608C6FC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（6）垃圾装袋，日产日清。</w:t>
            </w:r>
          </w:p>
        </w:tc>
      </w:tr>
      <w:tr w14:paraId="5325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B29351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D30E3A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02DDDC8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（7）建立垃圾清运台账，交由规范的渠道回收处理</w:t>
            </w:r>
          </w:p>
        </w:tc>
      </w:tr>
      <w:tr w14:paraId="6C12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3C5B04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5868C67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3BAB927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（8）做好垃圾分类管理的宣传工作，督促并引导全员参与垃圾分类投放。</w:t>
            </w:r>
          </w:p>
        </w:tc>
      </w:tr>
      <w:tr w14:paraId="37CB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0B72B3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69A2859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0FB30B4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（9）垃圾分类投放管理工作的执行标准，按所在城市的要求执行。</w:t>
            </w:r>
          </w:p>
        </w:tc>
      </w:tr>
      <w:tr w14:paraId="6077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59" w:type="dxa"/>
            <w:vMerge w:val="restart"/>
            <w:noWrap w:val="0"/>
            <w:vAlign w:val="top"/>
          </w:tcPr>
          <w:p w14:paraId="0656E64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w:t>
            </w:r>
          </w:p>
        </w:tc>
        <w:tc>
          <w:tcPr>
            <w:tcW w:w="1777" w:type="dxa"/>
            <w:vMerge w:val="restart"/>
            <w:noWrap w:val="0"/>
            <w:vAlign w:val="top"/>
          </w:tcPr>
          <w:p w14:paraId="02E333E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卫生消毒</w:t>
            </w:r>
          </w:p>
        </w:tc>
        <w:tc>
          <w:tcPr>
            <w:tcW w:w="7061" w:type="dxa"/>
            <w:noWrap w:val="0"/>
            <w:vAlign w:val="top"/>
          </w:tcPr>
          <w:p w14:paraId="7FBCC3A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（1）办公用房区域、公共场所区域和周围环境预防性卫生消毒，消毒后及时通风，每周至少开展 1 次作业。</w:t>
            </w:r>
          </w:p>
        </w:tc>
      </w:tr>
      <w:tr w14:paraId="1281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59" w:type="dxa"/>
            <w:vMerge w:val="continue"/>
            <w:noWrap w:val="0"/>
            <w:vAlign w:val="top"/>
          </w:tcPr>
          <w:p w14:paraId="33EEC64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5ECA5AC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12D1CD7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（2）采取综合措施消灭老鼠、蟑螂，控制室内外蚊虫孳生，达到基本无蝇，每季度至少开展 1 次作业。</w:t>
            </w:r>
          </w:p>
        </w:tc>
      </w:tr>
      <w:tr w14:paraId="41F0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59" w:type="dxa"/>
            <w:vMerge w:val="continue"/>
            <w:noWrap w:val="0"/>
            <w:vAlign w:val="top"/>
          </w:tcPr>
          <w:p w14:paraId="016B781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77" w:type="dxa"/>
            <w:vMerge w:val="continue"/>
            <w:noWrap w:val="0"/>
            <w:vAlign w:val="top"/>
          </w:tcPr>
          <w:p w14:paraId="7458B55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61" w:type="dxa"/>
            <w:noWrap w:val="0"/>
            <w:vAlign w:val="top"/>
          </w:tcPr>
          <w:p w14:paraId="1F161A4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（3）发生公共卫生事件时，邀请专业单位开展消毒、检测等工作。</w:t>
            </w:r>
          </w:p>
        </w:tc>
      </w:tr>
    </w:tbl>
    <w:p w14:paraId="0EB0A128">
      <w:pPr>
        <w:numPr>
          <w:ilvl w:val="0"/>
          <w:numId w:val="0"/>
        </w:numPr>
        <w:rPr>
          <w:rFonts w:hint="eastAsia" w:ascii="宋体" w:hAnsi="宋体" w:eastAsia="宋体" w:cs="宋体"/>
          <w:color w:val="000000" w:themeColor="text1"/>
          <w:highlight w:val="none"/>
          <w:vertAlign w:val="baseline"/>
          <w:lang w:val="en-US" w:eastAsia="zh-CN"/>
          <w14:textFill>
            <w14:solidFill>
              <w14:schemeClr w14:val="tx1"/>
            </w14:solidFill>
          </w14:textFill>
        </w:rPr>
      </w:pPr>
    </w:p>
    <w:p w14:paraId="3EFE4A01">
      <w:pPr>
        <w:numPr>
          <w:ilvl w:val="0"/>
          <w:numId w:val="0"/>
        </w:numP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3.5绿化服务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65"/>
        <w:gridCol w:w="7086"/>
      </w:tblGrid>
      <w:tr w14:paraId="0E4B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4EDA1FF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序号</w:t>
            </w:r>
          </w:p>
        </w:tc>
        <w:tc>
          <w:tcPr>
            <w:tcW w:w="1765" w:type="dxa"/>
            <w:noWrap w:val="0"/>
            <w:vAlign w:val="top"/>
          </w:tcPr>
          <w:p w14:paraId="5A85904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服务内容</w:t>
            </w:r>
          </w:p>
        </w:tc>
        <w:tc>
          <w:tcPr>
            <w:tcW w:w="7086" w:type="dxa"/>
            <w:noWrap w:val="0"/>
            <w:vAlign w:val="top"/>
          </w:tcPr>
          <w:p w14:paraId="49146FB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服务标准</w:t>
            </w:r>
          </w:p>
        </w:tc>
      </w:tr>
      <w:tr w14:paraId="0EE8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restart"/>
            <w:noWrap w:val="0"/>
            <w:vAlign w:val="top"/>
          </w:tcPr>
          <w:p w14:paraId="1FE0712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w:t>
            </w:r>
          </w:p>
        </w:tc>
        <w:tc>
          <w:tcPr>
            <w:tcW w:w="1765" w:type="dxa"/>
            <w:vMerge w:val="restart"/>
            <w:noWrap w:val="0"/>
            <w:vAlign w:val="top"/>
          </w:tcPr>
          <w:p w14:paraId="18CAEF6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基本要求</w:t>
            </w:r>
          </w:p>
        </w:tc>
        <w:tc>
          <w:tcPr>
            <w:tcW w:w="7086" w:type="dxa"/>
            <w:noWrap w:val="0"/>
            <w:vAlign w:val="top"/>
          </w:tcPr>
          <w:p w14:paraId="09711A9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（1）制定绿化服务的工作制度及工作计划，并按照执行。</w:t>
            </w:r>
          </w:p>
        </w:tc>
      </w:tr>
      <w:tr w14:paraId="348F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top"/>
          </w:tcPr>
          <w:p w14:paraId="34A6CC8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4F3D859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65766A9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（2）做好绿化服务工作记录，填写规范。</w:t>
            </w:r>
          </w:p>
        </w:tc>
      </w:tr>
      <w:tr w14:paraId="17E9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top"/>
          </w:tcPr>
          <w:p w14:paraId="1824836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1C2A475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4F96444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（3）作业时采取安全防护措施，防止对作业人员或他人造成伤害。</w:t>
            </w:r>
          </w:p>
        </w:tc>
      </w:tr>
      <w:tr w14:paraId="6FE1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top"/>
          </w:tcPr>
          <w:p w14:paraId="60A74A7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222CAB1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5C3BCA8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（4）相关耗材的环保、安全性应当符合规定要求。</w:t>
            </w:r>
          </w:p>
        </w:tc>
      </w:tr>
      <w:tr w14:paraId="0330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top"/>
          </w:tcPr>
          <w:p w14:paraId="45D14EA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w:t>
            </w:r>
          </w:p>
        </w:tc>
        <w:tc>
          <w:tcPr>
            <w:tcW w:w="1765" w:type="dxa"/>
            <w:vMerge w:val="restart"/>
            <w:noWrap w:val="0"/>
            <w:vAlign w:val="top"/>
          </w:tcPr>
          <w:p w14:paraId="57EE63C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室外绿化养护</w:t>
            </w:r>
          </w:p>
        </w:tc>
        <w:tc>
          <w:tcPr>
            <w:tcW w:w="7086" w:type="dxa"/>
            <w:noWrap w:val="0"/>
            <w:vAlign w:val="top"/>
          </w:tcPr>
          <w:p w14:paraId="03751CC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（1）根据生长环境、植物特性进行除草、灌溉、施肥、整形修剪、防治病虫害等。</w:t>
            </w:r>
          </w:p>
        </w:tc>
      </w:tr>
      <w:tr w14:paraId="6D2C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D89956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7EA0DE0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4EB7FCB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（2）根据生长情况修剪绿地，绿地内无枯草、无杂物，无干枯坏死和病虫侵害，基本无裸露土地。</w:t>
            </w:r>
          </w:p>
        </w:tc>
      </w:tr>
      <w:tr w14:paraId="2369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C3ABC7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4FE0177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2932339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（3）定期修剪树木、花卉等，灌乔木生长正常、造型美观自然、花枝新鲜，无枯叶、无病虫、无死树缺株。</w:t>
            </w:r>
          </w:p>
        </w:tc>
      </w:tr>
      <w:tr w14:paraId="29A8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CB098B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3E402A5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2B69AF7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（4）绿篱生长造型正常，颜色正常，修剪及时，基本无死株和干死株，有虫株率在10%以下。</w:t>
            </w:r>
          </w:p>
        </w:tc>
      </w:tr>
      <w:tr w14:paraId="1880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0D8571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405177F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61A8EFE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（5）清除花坛和花景的花蒂、黄叶、杂草、垃圾，做好病虫害防治。</w:t>
            </w:r>
          </w:p>
        </w:tc>
      </w:tr>
      <w:tr w14:paraId="24B6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7FF948C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75F503C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17F0F7A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（6）水池水面定期清理，无枯枝落叶、水质清洁。</w:t>
            </w:r>
          </w:p>
        </w:tc>
      </w:tr>
      <w:tr w14:paraId="070F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34677E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5E12096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04D6BB2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（7）根据病虫害发生规律实施综合治理，通常在病虫率高时，以药剂杀死病虫，以确保植物良好生长。产生垃圾的主要区域和路段做到日产日清。</w:t>
            </w:r>
          </w:p>
        </w:tc>
      </w:tr>
      <w:tr w14:paraId="01FC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941AF0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084A80A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07818A8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（8）雨雪、冰雹、强风等恶劣天气来临前，专人巡查，对绿植做好预防措施，排除安全隐患。</w:t>
            </w:r>
          </w:p>
        </w:tc>
      </w:tr>
      <w:tr w14:paraId="67F6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0D10C3E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65" w:type="dxa"/>
            <w:vMerge w:val="continue"/>
            <w:noWrap w:val="0"/>
            <w:vAlign w:val="top"/>
          </w:tcPr>
          <w:p w14:paraId="400B43E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6" w:type="dxa"/>
            <w:noWrap w:val="0"/>
            <w:vAlign w:val="top"/>
          </w:tcPr>
          <w:p w14:paraId="3B5EB11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（9）恶劣天气后，及时清除倒树断枝，疏通道路，尽快恢复原状。</w:t>
            </w:r>
          </w:p>
        </w:tc>
      </w:tr>
    </w:tbl>
    <w:p w14:paraId="777EB48B">
      <w:pPr>
        <w:numPr>
          <w:ilvl w:val="0"/>
          <w:numId w:val="0"/>
        </w:numP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3.6保安服务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54"/>
        <w:gridCol w:w="7084"/>
      </w:tblGrid>
      <w:tr w14:paraId="4699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24DA85A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序号</w:t>
            </w:r>
          </w:p>
        </w:tc>
        <w:tc>
          <w:tcPr>
            <w:tcW w:w="1754" w:type="dxa"/>
            <w:noWrap w:val="0"/>
            <w:vAlign w:val="top"/>
          </w:tcPr>
          <w:p w14:paraId="56B5A17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服务内容</w:t>
            </w:r>
          </w:p>
        </w:tc>
        <w:tc>
          <w:tcPr>
            <w:tcW w:w="7084" w:type="dxa"/>
            <w:noWrap w:val="0"/>
            <w:vAlign w:val="top"/>
          </w:tcPr>
          <w:p w14:paraId="2646F24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服务标准</w:t>
            </w:r>
          </w:p>
        </w:tc>
      </w:tr>
      <w:tr w14:paraId="47EF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restart"/>
            <w:noWrap w:val="0"/>
            <w:vAlign w:val="top"/>
          </w:tcPr>
          <w:p w14:paraId="6C5C4A2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w:t>
            </w:r>
          </w:p>
        </w:tc>
        <w:tc>
          <w:tcPr>
            <w:tcW w:w="1754" w:type="dxa"/>
            <w:vMerge w:val="restart"/>
            <w:noWrap w:val="0"/>
            <w:vAlign w:val="top"/>
          </w:tcPr>
          <w:p w14:paraId="6E97F9C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基本要求</w:t>
            </w:r>
          </w:p>
        </w:tc>
        <w:tc>
          <w:tcPr>
            <w:tcW w:w="7084" w:type="dxa"/>
            <w:noWrap w:val="0"/>
            <w:vAlign w:val="top"/>
          </w:tcPr>
          <w:p w14:paraId="1BB77E6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（1）建立保安服务相关制度，并按照执行。</w:t>
            </w:r>
          </w:p>
        </w:tc>
      </w:tr>
      <w:tr w14:paraId="38CC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13721A3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70FCDEE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51233D2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（2）对巡查、值守及异常情况等做好相关记录，填写规范，保存完好。</w:t>
            </w:r>
          </w:p>
        </w:tc>
      </w:tr>
      <w:tr w14:paraId="52A0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2549BD8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27A427C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37D1676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（3）配备保安服务必要的器材。</w:t>
            </w:r>
          </w:p>
        </w:tc>
      </w:tr>
      <w:tr w14:paraId="4CBA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restart"/>
            <w:noWrap w:val="0"/>
            <w:vAlign w:val="top"/>
          </w:tcPr>
          <w:p w14:paraId="30F9F77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w:t>
            </w:r>
          </w:p>
        </w:tc>
        <w:tc>
          <w:tcPr>
            <w:tcW w:w="1754" w:type="dxa"/>
            <w:vMerge w:val="restart"/>
            <w:noWrap w:val="0"/>
            <w:vAlign w:val="top"/>
          </w:tcPr>
          <w:p w14:paraId="09731AD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出入管理</w:t>
            </w:r>
          </w:p>
        </w:tc>
        <w:tc>
          <w:tcPr>
            <w:tcW w:w="7084" w:type="dxa"/>
            <w:noWrap w:val="0"/>
            <w:vAlign w:val="top"/>
          </w:tcPr>
          <w:p w14:paraId="0F76A67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（1）办公楼（区）主出入口应当实行 24 小时值班制。</w:t>
            </w:r>
          </w:p>
        </w:tc>
      </w:tr>
      <w:tr w14:paraId="2BE5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top"/>
          </w:tcPr>
          <w:p w14:paraId="252F558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25B1413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207C45C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（2）设置门岗。</w:t>
            </w:r>
          </w:p>
        </w:tc>
      </w:tr>
      <w:tr w14:paraId="0437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top"/>
          </w:tcPr>
          <w:p w14:paraId="4E91EFF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4462DA9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63214CD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（3）在出入口对外来人员及其携带大件物品、外来车辆进行询问和记录，并与相关部门取得联系，同意后方可进入。</w:t>
            </w:r>
          </w:p>
        </w:tc>
      </w:tr>
      <w:tr w14:paraId="54E2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top"/>
          </w:tcPr>
          <w:p w14:paraId="3ADA7F3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68EB103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29B60E9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（4）大件物品搬出有相关部门开具的证明和清单，经核实后放行。</w:t>
            </w:r>
          </w:p>
        </w:tc>
      </w:tr>
      <w:tr w14:paraId="028F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top"/>
          </w:tcPr>
          <w:p w14:paraId="406677F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620466E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2D0DEB4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（5）排查可疑人员，对于不出示证件、不按规定登记、不听劝阻而强行闯入者，及时劝离，必要时通知公安机关进行处理。</w:t>
            </w:r>
          </w:p>
        </w:tc>
      </w:tr>
      <w:tr w14:paraId="127F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top"/>
          </w:tcPr>
          <w:p w14:paraId="2A6ECED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2201C9E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2257159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（6）配合相关部门积极疏导上访人员，有效疏导如出入口人群集聚、车辆拥堵、货物堵塞道路等情况。</w:t>
            </w:r>
          </w:p>
        </w:tc>
      </w:tr>
      <w:tr w14:paraId="69B5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top"/>
          </w:tcPr>
          <w:p w14:paraId="0BACDEB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4C11E18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25488AB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（7）对物品进出实行安检、登记、电话确认等分类管理措施。大宗 物品进出会同接收单位收件人审检，严防违禁品 （包括毒品、军火弹药、管制刀具、易燃易爆品等）、限带品（包括动物、任何未经授权的专业摄影设备、无人机等）进入。</w:t>
            </w:r>
          </w:p>
        </w:tc>
      </w:tr>
      <w:tr w14:paraId="2003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top"/>
          </w:tcPr>
          <w:p w14:paraId="2C63C4C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1E490C3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496FD82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提供现场接待服务。 ①做好来访人员、车辆进出证件登记，及时通报。 ②严禁无关人员、可疑人员和危险物品进入办公楼（区）内。 ③物品摆放整齐有序、分类放置。 ④现场办理等待时间不超过5分钟，等待较长 时间应当及时沟通。 ⑤对来访人员咨询、建议、求助等事项，及时处理或答复，处理和答复率100%。 ⑥接待服务工作时间应当覆盖采购人工作时间（上班时间为上午9：00—下午17:00）。 ⑦与被访人进行核实确认；告知被访人的办公室门牌号；告知访客注意事项。</w:t>
            </w:r>
          </w:p>
        </w:tc>
      </w:tr>
      <w:tr w14:paraId="1048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restart"/>
            <w:noWrap w:val="0"/>
            <w:vAlign w:val="top"/>
          </w:tcPr>
          <w:p w14:paraId="17E9EE6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w:t>
            </w:r>
          </w:p>
        </w:tc>
        <w:tc>
          <w:tcPr>
            <w:tcW w:w="1754" w:type="dxa"/>
            <w:vMerge w:val="restart"/>
            <w:noWrap w:val="0"/>
            <w:vAlign w:val="top"/>
          </w:tcPr>
          <w:p w14:paraId="3796548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值班巡查</w:t>
            </w:r>
          </w:p>
        </w:tc>
        <w:tc>
          <w:tcPr>
            <w:tcW w:w="7084" w:type="dxa"/>
            <w:noWrap w:val="0"/>
            <w:vAlign w:val="top"/>
          </w:tcPr>
          <w:p w14:paraId="7CC14A5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（1）建立 24 小时值班巡查制度。</w:t>
            </w:r>
          </w:p>
        </w:tc>
      </w:tr>
      <w:tr w14:paraId="23A3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top"/>
          </w:tcPr>
          <w:p w14:paraId="6178FEA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26978BD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4D0874F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（2）制定巡查路线，按照指定时间和路线执行，加强重点区域、重点部位及装修区域的巡查。</w:t>
            </w:r>
          </w:p>
        </w:tc>
      </w:tr>
      <w:tr w14:paraId="3314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top"/>
          </w:tcPr>
          <w:p w14:paraId="781C96F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66F1D87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5AE611B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（3）巡查期间保持通信设施设备畅通，遇到异常情况立即上报并在现场采取相应措施。</w:t>
            </w:r>
          </w:p>
        </w:tc>
      </w:tr>
      <w:tr w14:paraId="2238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top"/>
          </w:tcPr>
          <w:p w14:paraId="24B3CA4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79DA7C4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4FDE222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（4）收到监控室指令后，巡查人员及时到达指定地点并迅速采取相应措施。</w:t>
            </w:r>
          </w:p>
        </w:tc>
      </w:tr>
      <w:tr w14:paraId="24F5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restart"/>
            <w:noWrap w:val="0"/>
            <w:vAlign w:val="top"/>
          </w:tcPr>
          <w:p w14:paraId="2FF0C34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w:t>
            </w:r>
          </w:p>
        </w:tc>
        <w:tc>
          <w:tcPr>
            <w:tcW w:w="1754" w:type="dxa"/>
            <w:vMerge w:val="restart"/>
            <w:noWrap w:val="0"/>
            <w:vAlign w:val="top"/>
          </w:tcPr>
          <w:p w14:paraId="49CD39A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监控值守</w:t>
            </w:r>
          </w:p>
        </w:tc>
        <w:tc>
          <w:tcPr>
            <w:tcW w:w="7084" w:type="dxa"/>
            <w:noWrap w:val="0"/>
            <w:vAlign w:val="top"/>
          </w:tcPr>
          <w:p w14:paraId="0116DBC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（1）监控室环境卫生符合系统设备运行要求，定期进行检查和打扫，确保系统功能正常。</w:t>
            </w:r>
          </w:p>
        </w:tc>
      </w:tr>
      <w:tr w14:paraId="296F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top"/>
          </w:tcPr>
          <w:p w14:paraId="469E9A4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79168E8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218C228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（2）监控设备24小时正常运行，监控室实行专人 24 小时值班制度。</w:t>
            </w:r>
          </w:p>
        </w:tc>
      </w:tr>
      <w:tr w14:paraId="1AF9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top"/>
          </w:tcPr>
          <w:p w14:paraId="1D75379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34FE3BA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77A8523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（3）监控记录画面清晰，视频监控无死角、无盲区。</w:t>
            </w:r>
          </w:p>
        </w:tc>
      </w:tr>
      <w:tr w14:paraId="2F84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top"/>
          </w:tcPr>
          <w:p w14:paraId="5B004A9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489265E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3D4BD1E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（4）值班期间遵守操作规程和保密制度，做好监控记录的保存工作。</w:t>
            </w:r>
          </w:p>
        </w:tc>
      </w:tr>
      <w:tr w14:paraId="331B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top"/>
          </w:tcPr>
          <w:p w14:paraId="7017385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363C320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27F16B3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（5）监控记录保持完整，保存时间不应少于90 天。</w:t>
            </w:r>
          </w:p>
        </w:tc>
      </w:tr>
      <w:tr w14:paraId="28D5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top"/>
          </w:tcPr>
          <w:p w14:paraId="51C1DB3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11FDF74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33D9446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（6）无关人员进入监控室或查阅监控记录，经授权人批准并做好相关记录。</w:t>
            </w:r>
          </w:p>
        </w:tc>
      </w:tr>
      <w:tr w14:paraId="357F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top"/>
          </w:tcPr>
          <w:p w14:paraId="13E8122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72720C3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6CD8960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（7）监控室收到火情等报警信号、其他异常情况信号后，及时报警并安排其他安保人员前往现场进行处理。</w:t>
            </w:r>
          </w:p>
        </w:tc>
      </w:tr>
      <w:tr w14:paraId="3DA7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restart"/>
            <w:noWrap w:val="0"/>
            <w:vAlign w:val="top"/>
          </w:tcPr>
          <w:p w14:paraId="32E0938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w:t>
            </w:r>
          </w:p>
        </w:tc>
        <w:tc>
          <w:tcPr>
            <w:tcW w:w="1754" w:type="dxa"/>
            <w:vMerge w:val="restart"/>
            <w:noWrap w:val="0"/>
            <w:vAlign w:val="top"/>
          </w:tcPr>
          <w:p w14:paraId="2D56707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车辆停放</w:t>
            </w:r>
          </w:p>
        </w:tc>
        <w:tc>
          <w:tcPr>
            <w:tcW w:w="7084" w:type="dxa"/>
            <w:noWrap w:val="0"/>
            <w:vAlign w:val="top"/>
          </w:tcPr>
          <w:p w14:paraId="153F6EC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（1）车辆行驶路线设置合理、规范，导向标志完整、清晰。</w:t>
            </w:r>
          </w:p>
        </w:tc>
      </w:tr>
      <w:tr w14:paraId="5F57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193CA0D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793B148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4F60A56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（2）合理规划车辆停放区域，张贴车辆引导标识，对车辆及停放区域实行规范管理。</w:t>
            </w:r>
          </w:p>
        </w:tc>
      </w:tr>
      <w:tr w14:paraId="28E9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3099836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3E8D946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785A14A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（3）严禁在办公楼的公用走道、楼梯间、安全出口处等公共区域停放车辆或充电。</w:t>
            </w:r>
          </w:p>
        </w:tc>
      </w:tr>
      <w:tr w14:paraId="5498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26397E1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3726FD2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4078822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（4）非机动车定点有序停放。</w:t>
            </w:r>
          </w:p>
        </w:tc>
      </w:tr>
      <w:tr w14:paraId="2413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34BD813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7B7635E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12DED1F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（5）发现车辆异常情况及时通知车主，并做好登记；发生交通事故、自然灾害等意外事故时及时赶赴现场疏导和协助处理，响应时间不超过 3 分钟。</w:t>
            </w:r>
          </w:p>
        </w:tc>
      </w:tr>
      <w:tr w14:paraId="0D4B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restart"/>
            <w:noWrap w:val="0"/>
            <w:vAlign w:val="top"/>
          </w:tcPr>
          <w:p w14:paraId="7C750E0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w:t>
            </w:r>
          </w:p>
        </w:tc>
        <w:tc>
          <w:tcPr>
            <w:tcW w:w="1754" w:type="dxa"/>
            <w:vMerge w:val="restart"/>
            <w:noWrap w:val="0"/>
            <w:vAlign w:val="top"/>
          </w:tcPr>
          <w:p w14:paraId="494E81E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消防安全管理</w:t>
            </w:r>
          </w:p>
        </w:tc>
        <w:tc>
          <w:tcPr>
            <w:tcW w:w="7084" w:type="dxa"/>
            <w:noWrap w:val="0"/>
            <w:vAlign w:val="top"/>
          </w:tcPr>
          <w:p w14:paraId="0168A48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（1）建立消防安全责任制，确定各级消防安全责任人及其职责。</w:t>
            </w:r>
          </w:p>
        </w:tc>
      </w:tr>
      <w:tr w14:paraId="0FD5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0BEFC19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641024E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14B4D27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（2）消防控制室实行 24 小时值班制度，每班不少于 2 人。</w:t>
            </w:r>
          </w:p>
        </w:tc>
      </w:tr>
      <w:tr w14:paraId="2DB8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4CE9933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74E9B69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717BA14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（3）消火栓、应急照明、应急物资、消防及人员逃生通道、消防车通道可随时正常使用。</w:t>
            </w:r>
          </w:p>
        </w:tc>
      </w:tr>
      <w:tr w14:paraId="40AA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49740AB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187A11E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1BD2EED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（4）易燃易爆品设专区专人管理，做好相关记录。</w:t>
            </w:r>
          </w:p>
        </w:tc>
      </w:tr>
      <w:tr w14:paraId="685D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top"/>
          </w:tcPr>
          <w:p w14:paraId="5294B92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2F43049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4126AE7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（5）定期组织消防安全宣传，每半年至少开展 1 次消防演练。</w:t>
            </w:r>
          </w:p>
        </w:tc>
      </w:tr>
      <w:tr w14:paraId="36A5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restart"/>
            <w:noWrap w:val="0"/>
            <w:vAlign w:val="top"/>
          </w:tcPr>
          <w:p w14:paraId="5B1AAA3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w:t>
            </w:r>
          </w:p>
        </w:tc>
        <w:tc>
          <w:tcPr>
            <w:tcW w:w="1754" w:type="dxa"/>
            <w:vMerge w:val="restart"/>
            <w:noWrap w:val="0"/>
            <w:vAlign w:val="top"/>
          </w:tcPr>
          <w:p w14:paraId="6FBCECE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突发事件处理</w:t>
            </w:r>
          </w:p>
        </w:tc>
        <w:tc>
          <w:tcPr>
            <w:tcW w:w="7084" w:type="dxa"/>
            <w:noWrap w:val="0"/>
            <w:vAlign w:val="top"/>
          </w:tcPr>
          <w:p w14:paraId="38B176F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（1）制定突发事件安全责任书，明确突发事件责任人及应承担的安全责任。</w:t>
            </w:r>
          </w:p>
        </w:tc>
      </w:tr>
      <w:tr w14:paraId="3DB8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0021F55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5C743C8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25795AA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（2）建立应急突发事件处置队伍，明确各自的职责。人员具有一定的救援知识和救援能力。</w:t>
            </w:r>
          </w:p>
        </w:tc>
      </w:tr>
      <w:tr w14:paraId="6372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7495C28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6808927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4DAF1D5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（3）识别、分析各种潜在风险，针对不同风险类型制定相应解决方案，并配备应急物资。</w:t>
            </w:r>
          </w:p>
        </w:tc>
      </w:tr>
      <w:tr w14:paraId="4307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6DA3C5A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40EFDDF1">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44DAC7E4">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（4）每半年至少开展 1 次突发事件应急演练，并有相应记录。</w:t>
            </w:r>
          </w:p>
        </w:tc>
      </w:tr>
      <w:tr w14:paraId="35E3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6607A0B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77E9A09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543D07EE">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（5）发生意外事件时，及时采取应急措施，维护办公区域物业服务正常进行，保护人身财产安全。</w:t>
            </w:r>
          </w:p>
        </w:tc>
      </w:tr>
      <w:tr w14:paraId="0080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44C7948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09DAE502">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5500628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（6）办公区域物业服务应急预案终止实施后，积极采取措施，在尽可能短的时间内，消除事故 带来的不良影响，妥善安置和慰问受害及受影响的人员和部门。</w:t>
            </w:r>
          </w:p>
        </w:tc>
      </w:tr>
      <w:tr w14:paraId="735D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0911E58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240C6F7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256EC79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（7）事故处理后，及时形成事故应急总结报告，完善应急救援工作方案。</w:t>
            </w:r>
          </w:p>
        </w:tc>
      </w:tr>
      <w:tr w14:paraId="0C3F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restart"/>
            <w:noWrap w:val="0"/>
            <w:vAlign w:val="top"/>
          </w:tcPr>
          <w:p w14:paraId="6F92D036">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8</w:t>
            </w:r>
          </w:p>
        </w:tc>
        <w:tc>
          <w:tcPr>
            <w:tcW w:w="1754" w:type="dxa"/>
            <w:vMerge w:val="restart"/>
            <w:noWrap w:val="0"/>
            <w:vAlign w:val="top"/>
          </w:tcPr>
          <w:p w14:paraId="6D6482F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大型活动秩序</w:t>
            </w:r>
          </w:p>
        </w:tc>
        <w:tc>
          <w:tcPr>
            <w:tcW w:w="7084" w:type="dxa"/>
            <w:noWrap w:val="0"/>
            <w:vAlign w:val="top"/>
          </w:tcPr>
          <w:p w14:paraId="376D46D0">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（1）制定相应的活动秩序维护方案，合理安排人员，并对场所的安全隐患进行排查。</w:t>
            </w:r>
          </w:p>
        </w:tc>
      </w:tr>
      <w:tr w14:paraId="3B57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38E106E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2C730EB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6CACC479">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（2）应当保障通道、出入口、停车场等区域畅通。</w:t>
            </w:r>
          </w:p>
        </w:tc>
      </w:tr>
      <w:tr w14:paraId="4DC0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4653BAC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1754" w:type="dxa"/>
            <w:vMerge w:val="continue"/>
            <w:noWrap w:val="0"/>
            <w:vAlign w:val="top"/>
          </w:tcPr>
          <w:p w14:paraId="4555560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p>
        </w:tc>
        <w:tc>
          <w:tcPr>
            <w:tcW w:w="7084" w:type="dxa"/>
            <w:noWrap w:val="0"/>
            <w:vAlign w:val="top"/>
          </w:tcPr>
          <w:p w14:paraId="03CFA41F">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（3）活动举办过程中，做好现场秩序的维护和突发事故的处置工作，确保活动正常进行。</w:t>
            </w:r>
          </w:p>
        </w:tc>
      </w:tr>
    </w:tbl>
    <w:p w14:paraId="100A7508">
      <w:pPr>
        <w:numPr>
          <w:ilvl w:val="0"/>
          <w:numId w:val="0"/>
        </w:numPr>
        <w:rPr>
          <w:rFonts w:hint="eastAsia" w:ascii="宋体" w:hAnsi="宋体" w:eastAsia="宋体" w:cs="宋体"/>
          <w:color w:val="000000" w:themeColor="text1"/>
          <w:highlight w:val="none"/>
          <w:vertAlign w:val="baseline"/>
          <w:lang w:val="en-US" w:eastAsia="zh-CN"/>
          <w14:textFill>
            <w14:solidFill>
              <w14:schemeClr w14:val="tx1"/>
            </w14:solidFill>
          </w14:textFill>
        </w:rPr>
      </w:pPr>
    </w:p>
    <w:p w14:paraId="16BF2831">
      <w:pPr>
        <w:numPr>
          <w:ilvl w:val="0"/>
          <w:numId w:val="0"/>
        </w:numPr>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3.7会议服务</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54"/>
        <w:gridCol w:w="7084"/>
      </w:tblGrid>
      <w:tr w14:paraId="57B3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0D45602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序号</w:t>
            </w:r>
          </w:p>
        </w:tc>
        <w:tc>
          <w:tcPr>
            <w:tcW w:w="1754" w:type="dxa"/>
            <w:noWrap w:val="0"/>
            <w:vAlign w:val="top"/>
          </w:tcPr>
          <w:p w14:paraId="320B824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服务内容</w:t>
            </w:r>
          </w:p>
        </w:tc>
        <w:tc>
          <w:tcPr>
            <w:tcW w:w="7084" w:type="dxa"/>
            <w:noWrap w:val="0"/>
            <w:vAlign w:val="top"/>
          </w:tcPr>
          <w:p w14:paraId="62373D8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服务标准</w:t>
            </w:r>
          </w:p>
        </w:tc>
      </w:tr>
      <w:tr w14:paraId="48B9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7C1F321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1</w:t>
            </w:r>
          </w:p>
        </w:tc>
        <w:tc>
          <w:tcPr>
            <w:tcW w:w="1754" w:type="dxa"/>
            <w:noWrap w:val="0"/>
            <w:vAlign w:val="top"/>
          </w:tcPr>
          <w:p w14:paraId="3B22FC0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会议受理</w:t>
            </w:r>
          </w:p>
        </w:tc>
        <w:tc>
          <w:tcPr>
            <w:tcW w:w="7084" w:type="dxa"/>
            <w:noWrap w:val="0"/>
            <w:vAlign w:val="top"/>
          </w:tcPr>
          <w:p w14:paraId="547CE153">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接受会议预订，记录会议需求。</w:t>
            </w:r>
          </w:p>
        </w:tc>
      </w:tr>
      <w:tr w14:paraId="3D4E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7166211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2</w:t>
            </w:r>
          </w:p>
        </w:tc>
        <w:tc>
          <w:tcPr>
            <w:tcW w:w="1754" w:type="dxa"/>
            <w:noWrap w:val="0"/>
            <w:vAlign w:val="top"/>
          </w:tcPr>
          <w:p w14:paraId="36E3752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会前准备</w:t>
            </w:r>
          </w:p>
        </w:tc>
        <w:tc>
          <w:tcPr>
            <w:tcW w:w="7084" w:type="dxa"/>
            <w:noWrap w:val="0"/>
            <w:vAlign w:val="top"/>
          </w:tcPr>
          <w:p w14:paraId="37A2129A">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根据会议需求、场地大小、用途，明确会议桌椅、物品、设备、文具等摆放规定，音、视频设施保障措施。</w:t>
            </w:r>
          </w:p>
        </w:tc>
      </w:tr>
      <w:tr w14:paraId="29A2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5D223F18">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3</w:t>
            </w:r>
          </w:p>
        </w:tc>
        <w:tc>
          <w:tcPr>
            <w:tcW w:w="1754" w:type="dxa"/>
            <w:noWrap w:val="0"/>
            <w:vAlign w:val="top"/>
          </w:tcPr>
          <w:p w14:paraId="2F07E627">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引导服务</w:t>
            </w:r>
          </w:p>
        </w:tc>
        <w:tc>
          <w:tcPr>
            <w:tcW w:w="7084" w:type="dxa"/>
            <w:noWrap w:val="0"/>
            <w:vAlign w:val="top"/>
          </w:tcPr>
          <w:p w14:paraId="157E57BC">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做好引导牌并放置在指定位置，引导人员引导手势规范，语言标准。</w:t>
            </w:r>
          </w:p>
        </w:tc>
      </w:tr>
      <w:tr w14:paraId="26A9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354722EB">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4</w:t>
            </w:r>
          </w:p>
        </w:tc>
        <w:tc>
          <w:tcPr>
            <w:tcW w:w="1754" w:type="dxa"/>
            <w:noWrap w:val="0"/>
            <w:vAlign w:val="top"/>
          </w:tcPr>
          <w:p w14:paraId="78A9368D">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会后整理</w:t>
            </w:r>
          </w:p>
        </w:tc>
        <w:tc>
          <w:tcPr>
            <w:tcW w:w="7084" w:type="dxa"/>
            <w:noWrap w:val="0"/>
            <w:vAlign w:val="top"/>
          </w:tcPr>
          <w:p w14:paraId="0A386125">
            <w:pPr>
              <w:numPr>
                <w:ilvl w:val="0"/>
                <w:numId w:val="0"/>
              </w:numPr>
              <w:spacing w:after="0" w:line="240" w:lineRule="auto"/>
              <w:rPr>
                <w:rFonts w:hint="eastAsia" w:ascii="宋体" w:hAnsi="宋体" w:eastAsia="宋体" w:cs="宋体"/>
                <w:color w:val="000000" w:themeColor="text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vertAlign w:val="baseline"/>
                <w:lang w:val="en-US" w:eastAsia="zh-CN"/>
                <w14:textFill>
                  <w14:solidFill>
                    <w14:schemeClr w14:val="tx1"/>
                  </w14:solidFill>
                </w14:textFill>
              </w:rPr>
              <w:t>对会议现场进行检查，做好会场清扫工作。</w:t>
            </w:r>
          </w:p>
        </w:tc>
      </w:tr>
    </w:tbl>
    <w:p w14:paraId="4BD68693">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6334DF1">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物业管理服务人员需求</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4"/>
        <w:gridCol w:w="1459"/>
        <w:gridCol w:w="974"/>
        <w:gridCol w:w="1657"/>
        <w:gridCol w:w="4354"/>
      </w:tblGrid>
      <w:tr w14:paraId="493D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74" w:type="dxa"/>
            <w:noWrap w:val="0"/>
            <w:vAlign w:val="top"/>
          </w:tcPr>
          <w:p w14:paraId="18A3F58C">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部门职能</w:t>
            </w:r>
          </w:p>
        </w:tc>
        <w:tc>
          <w:tcPr>
            <w:tcW w:w="1459" w:type="dxa"/>
            <w:noWrap w:val="0"/>
            <w:vAlign w:val="top"/>
          </w:tcPr>
          <w:p w14:paraId="16181F3C">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岗位</w:t>
            </w:r>
          </w:p>
        </w:tc>
        <w:tc>
          <w:tcPr>
            <w:tcW w:w="974" w:type="dxa"/>
            <w:noWrap w:val="0"/>
            <w:vAlign w:val="top"/>
          </w:tcPr>
          <w:p w14:paraId="5EDC4C36">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同时在岗人数</w:t>
            </w:r>
          </w:p>
        </w:tc>
        <w:tc>
          <w:tcPr>
            <w:tcW w:w="1657" w:type="dxa"/>
            <w:noWrap w:val="0"/>
            <w:vAlign w:val="top"/>
          </w:tcPr>
          <w:p w14:paraId="0667BC70">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岗位所需总人数</w:t>
            </w:r>
          </w:p>
        </w:tc>
        <w:tc>
          <w:tcPr>
            <w:tcW w:w="4354" w:type="dxa"/>
            <w:noWrap w:val="0"/>
            <w:vAlign w:val="top"/>
          </w:tcPr>
          <w:p w14:paraId="7498FBDC">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人员要求及岗位要求</w:t>
            </w:r>
          </w:p>
        </w:tc>
      </w:tr>
      <w:tr w14:paraId="6EFC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restart"/>
            <w:noWrap w:val="0"/>
            <w:vAlign w:val="top"/>
          </w:tcPr>
          <w:p w14:paraId="02CE3ED7">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项目部</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人</w:t>
            </w:r>
          </w:p>
        </w:tc>
        <w:tc>
          <w:tcPr>
            <w:tcW w:w="1459" w:type="dxa"/>
            <w:noWrap w:val="0"/>
            <w:vAlign w:val="top"/>
          </w:tcPr>
          <w:p w14:paraId="03338A8D">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项目经理</w:t>
            </w:r>
          </w:p>
        </w:tc>
        <w:tc>
          <w:tcPr>
            <w:tcW w:w="974" w:type="dxa"/>
            <w:noWrap w:val="0"/>
            <w:vAlign w:val="top"/>
          </w:tcPr>
          <w:p w14:paraId="2812555E">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657" w:type="dxa"/>
            <w:noWrap w:val="0"/>
            <w:vAlign w:val="top"/>
          </w:tcPr>
          <w:p w14:paraId="69D50A42">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4354" w:type="dxa"/>
            <w:noWrap w:val="0"/>
            <w:vAlign w:val="top"/>
          </w:tcPr>
          <w:p w14:paraId="7C8B2598">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身体健康，品貌端正，普通话标准、流利，思想觉悟较高，作风正派，工作责任心强，有五年以上</w:t>
            </w:r>
            <w:r>
              <w:rPr>
                <w:rFonts w:hint="eastAsia" w:ascii="宋体" w:hAnsi="宋体" w:eastAsia="宋体" w:cs="宋体"/>
                <w:color w:val="000000" w:themeColor="text1"/>
                <w:szCs w:val="21"/>
                <w:highlight w:val="none"/>
                <w:lang w:eastAsia="zh-CN"/>
                <w14:textFill>
                  <w14:solidFill>
                    <w14:schemeClr w14:val="tx1"/>
                  </w14:solidFill>
                </w14:textFill>
              </w:rPr>
              <w:t>（含五年）</w:t>
            </w:r>
            <w:r>
              <w:rPr>
                <w:rFonts w:hint="eastAsia" w:ascii="宋体" w:hAnsi="宋体" w:eastAsia="宋体" w:cs="宋体"/>
                <w:color w:val="000000" w:themeColor="text1"/>
                <w:szCs w:val="21"/>
                <w:highlight w:val="none"/>
                <w14:textFill>
                  <w14:solidFill>
                    <w14:schemeClr w14:val="tx1"/>
                  </w14:solidFill>
                </w14:textFill>
              </w:rPr>
              <w:t>相关管理（经理）岗位工作经历</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有良好的协调能力和团队管理能力，有组织和接待大型团队的服务经验，能根据实际情况编写培训计划和合理安排员工劳动量，有较强的处事应变能力，能熟悉操作计算机。要做好物业人员的业务培训，抓好团队管理。</w:t>
            </w:r>
          </w:p>
        </w:tc>
      </w:tr>
      <w:tr w14:paraId="18BE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continue"/>
            <w:noWrap w:val="0"/>
            <w:vAlign w:val="top"/>
          </w:tcPr>
          <w:p w14:paraId="74507E62">
            <w:pPr>
              <w:rPr>
                <w:rFonts w:hint="eastAsia" w:ascii="宋体" w:hAnsi="宋体" w:eastAsia="宋体" w:cs="宋体"/>
                <w:color w:val="000000" w:themeColor="text1"/>
                <w:highlight w:val="none"/>
                <w14:textFill>
                  <w14:solidFill>
                    <w14:schemeClr w14:val="tx1"/>
                  </w14:solidFill>
                </w14:textFill>
              </w:rPr>
            </w:pPr>
          </w:p>
        </w:tc>
        <w:tc>
          <w:tcPr>
            <w:tcW w:w="1459" w:type="dxa"/>
            <w:noWrap w:val="0"/>
            <w:vAlign w:val="top"/>
          </w:tcPr>
          <w:p w14:paraId="1D6394AE">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项目副经理</w:t>
            </w:r>
          </w:p>
        </w:tc>
        <w:tc>
          <w:tcPr>
            <w:tcW w:w="974" w:type="dxa"/>
            <w:noWrap w:val="0"/>
            <w:vAlign w:val="top"/>
          </w:tcPr>
          <w:p w14:paraId="12824340">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p>
        </w:tc>
        <w:tc>
          <w:tcPr>
            <w:tcW w:w="1657" w:type="dxa"/>
            <w:noWrap w:val="0"/>
            <w:vAlign w:val="top"/>
          </w:tcPr>
          <w:p w14:paraId="32014F2F">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p>
        </w:tc>
        <w:tc>
          <w:tcPr>
            <w:tcW w:w="4354" w:type="dxa"/>
            <w:noWrap w:val="0"/>
            <w:vAlign w:val="top"/>
          </w:tcPr>
          <w:p w14:paraId="7C82AD2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从事物业相关工作经历三年以上（含三年），普通话标准、流利，思想觉悟较高，作风正派，工作责任心强，有良好的沟通和协调能力。</w:t>
            </w:r>
          </w:p>
        </w:tc>
      </w:tr>
      <w:tr w14:paraId="1023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restart"/>
            <w:noWrap w:val="0"/>
            <w:vAlign w:val="top"/>
          </w:tcPr>
          <w:p w14:paraId="0CF3D014">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水电、土建维修</w:t>
            </w:r>
          </w:p>
          <w:p w14:paraId="54EDBF66">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人</w:t>
            </w:r>
          </w:p>
        </w:tc>
        <w:tc>
          <w:tcPr>
            <w:tcW w:w="1459" w:type="dxa"/>
            <w:noWrap w:val="0"/>
            <w:vAlign w:val="top"/>
          </w:tcPr>
          <w:p w14:paraId="5A7FA7CF">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主管</w:t>
            </w:r>
          </w:p>
        </w:tc>
        <w:tc>
          <w:tcPr>
            <w:tcW w:w="974" w:type="dxa"/>
            <w:noWrap w:val="0"/>
            <w:vAlign w:val="top"/>
          </w:tcPr>
          <w:p w14:paraId="622BE9A8">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657" w:type="dxa"/>
            <w:noWrap w:val="0"/>
            <w:vAlign w:val="top"/>
          </w:tcPr>
          <w:p w14:paraId="49686A69">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4354" w:type="dxa"/>
            <w:noWrap w:val="0"/>
            <w:vAlign w:val="top"/>
          </w:tcPr>
          <w:p w14:paraId="28B50FFB">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从事工程管理工作5年以上（含5年）的专职管理人员，</w:t>
            </w:r>
            <w:r>
              <w:rPr>
                <w:rFonts w:hint="eastAsia" w:ascii="宋体" w:hAnsi="宋体" w:eastAsia="宋体" w:cs="宋体"/>
                <w:color w:val="000000" w:themeColor="text1"/>
                <w:szCs w:val="21"/>
                <w:highlight w:val="none"/>
                <w:lang w:eastAsia="zh-CN"/>
                <w14:textFill>
                  <w14:solidFill>
                    <w14:schemeClr w14:val="tx1"/>
                  </w14:solidFill>
                </w14:textFill>
              </w:rPr>
              <w:t>持特种设备管理</w:t>
            </w:r>
            <w:r>
              <w:rPr>
                <w:rFonts w:hint="eastAsia" w:ascii="宋体" w:hAnsi="宋体" w:eastAsia="宋体" w:cs="宋体"/>
                <w:color w:val="000000" w:themeColor="text1"/>
                <w:szCs w:val="21"/>
                <w:highlight w:val="none"/>
                <w:lang w:val="en-US" w:eastAsia="zh-CN"/>
                <w14:textFill>
                  <w14:solidFill>
                    <w14:schemeClr w14:val="tx1"/>
                  </w14:solidFill>
                </w14:textFill>
              </w:rPr>
              <w:t>A证，</w:t>
            </w:r>
            <w:r>
              <w:rPr>
                <w:rFonts w:hint="eastAsia" w:ascii="宋体" w:hAnsi="宋体" w:eastAsia="宋体" w:cs="宋体"/>
                <w:color w:val="000000" w:themeColor="text1"/>
                <w:szCs w:val="21"/>
                <w:highlight w:val="none"/>
                <w14:textFill>
                  <w14:solidFill>
                    <w14:schemeClr w14:val="tx1"/>
                  </w14:solidFill>
                </w14:textFill>
              </w:rPr>
              <w:t>人员相对稳定，常驻</w:t>
            </w:r>
            <w:r>
              <w:rPr>
                <w:rFonts w:hint="eastAsia" w:ascii="宋体" w:hAnsi="宋体" w:eastAsia="宋体" w:cs="宋体"/>
                <w:color w:val="000000" w:themeColor="text1"/>
                <w:szCs w:val="21"/>
                <w:highlight w:val="none"/>
                <w:lang w:eastAsia="zh-CN"/>
                <w14:textFill>
                  <w14:solidFill>
                    <w14:schemeClr w14:val="tx1"/>
                  </w14:solidFill>
                </w14:textFill>
              </w:rPr>
              <w:t>中国共产党桂林市委员会党校</w:t>
            </w:r>
            <w:r>
              <w:rPr>
                <w:rFonts w:hint="eastAsia" w:ascii="宋体" w:hAnsi="宋体" w:eastAsia="宋体" w:cs="宋体"/>
                <w:color w:val="000000" w:themeColor="text1"/>
                <w:szCs w:val="21"/>
                <w:highlight w:val="none"/>
                <w14:textFill>
                  <w14:solidFill>
                    <w14:schemeClr w14:val="tx1"/>
                  </w14:solidFill>
                </w14:textFill>
              </w:rPr>
              <w:t>校园，全面负责工程部的日常管理和技术指导；熟悉工程维修工作的基本要点；能掌握常用工程机械、工具的使用和维护；具备较强的沟通、组织、协调能力，责任感强。负责员工出勤考核、员工培训；施工安全监督；制定工作计划（我校因实际需要，规划建设了从大化变电站至我校的10KV供电专线，其中部分高压线路及高压变电箱设置于我校校园内。根据供电部门要求，进入我校范围内的线路及设备，由我校按供电部门规章自行管理）（年龄不超过50岁）。</w:t>
            </w:r>
          </w:p>
        </w:tc>
      </w:tr>
      <w:tr w14:paraId="4EFB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continue"/>
            <w:noWrap w:val="0"/>
            <w:vAlign w:val="top"/>
          </w:tcPr>
          <w:p w14:paraId="3C04A05F">
            <w:pPr>
              <w:rPr>
                <w:rFonts w:hint="eastAsia" w:ascii="宋体" w:hAnsi="宋体" w:eastAsia="宋体" w:cs="宋体"/>
                <w:color w:val="000000" w:themeColor="text1"/>
                <w:highlight w:val="none"/>
                <w14:textFill>
                  <w14:solidFill>
                    <w14:schemeClr w14:val="tx1"/>
                  </w14:solidFill>
                </w14:textFill>
              </w:rPr>
            </w:pPr>
          </w:p>
        </w:tc>
        <w:tc>
          <w:tcPr>
            <w:tcW w:w="1459" w:type="dxa"/>
            <w:noWrap w:val="0"/>
            <w:vAlign w:val="top"/>
          </w:tcPr>
          <w:p w14:paraId="1396CC17">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水电维修员</w:t>
            </w:r>
          </w:p>
        </w:tc>
        <w:tc>
          <w:tcPr>
            <w:tcW w:w="974" w:type="dxa"/>
            <w:noWrap w:val="0"/>
            <w:vAlign w:val="top"/>
          </w:tcPr>
          <w:p w14:paraId="276BDCAE">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p>
        </w:tc>
        <w:tc>
          <w:tcPr>
            <w:tcW w:w="1657" w:type="dxa"/>
            <w:noWrap w:val="0"/>
            <w:vAlign w:val="top"/>
          </w:tcPr>
          <w:p w14:paraId="2892EB58">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p>
        </w:tc>
        <w:tc>
          <w:tcPr>
            <w:tcW w:w="4354" w:type="dxa"/>
            <w:noWrap w:val="0"/>
            <w:vAlign w:val="top"/>
          </w:tcPr>
          <w:p w14:paraId="61EA2777">
            <w:pPr>
              <w:rPr>
                <w:rFonts w:hint="eastAsia" w:ascii="宋体" w:hAnsi="宋体" w:eastAsia="宋体" w:cs="宋体"/>
                <w:color w:val="000000" w:themeColor="text1"/>
                <w:highlight w:val="none"/>
                <w14:textFill>
                  <w14:solidFill>
                    <w14:schemeClr w14:val="tx1"/>
                  </w14:solidFill>
                </w14:textFill>
              </w:rPr>
            </w:pPr>
            <w:bookmarkStart w:id="208" w:name="_Toc26150"/>
            <w:r>
              <w:rPr>
                <w:rStyle w:val="252"/>
                <w:rFonts w:hint="eastAsia" w:ascii="宋体" w:hAnsi="宋体" w:eastAsia="宋体" w:cs="宋体"/>
                <w:b w:val="0"/>
                <w:color w:val="000000" w:themeColor="text1"/>
                <w:sz w:val="21"/>
                <w:szCs w:val="21"/>
                <w:highlight w:val="none"/>
                <w14:textFill>
                  <w14:solidFill>
                    <w14:schemeClr w14:val="tx1"/>
                  </w14:solidFill>
                </w14:textFill>
              </w:rPr>
              <w:t>持电工上岗证（其中至少有两名持高压电工证、两名持高空作业证），</w:t>
            </w:r>
            <w:bookmarkEnd w:id="208"/>
            <w:r>
              <w:rPr>
                <w:rFonts w:hint="eastAsia" w:ascii="宋体" w:hAnsi="宋体" w:eastAsia="宋体" w:cs="宋体"/>
                <w:color w:val="000000" w:themeColor="text1"/>
                <w:szCs w:val="21"/>
                <w:highlight w:val="none"/>
                <w14:textFill>
                  <w14:solidFill>
                    <w14:schemeClr w14:val="tx1"/>
                  </w14:solidFill>
                </w14:textFill>
              </w:rPr>
              <w:t>身体健康、相貌端正、思想作风正派。工作责任心强、有较强的服务意识，具备胜任该岗位工作的能力。根据党校要求，在工程师的指导下做好水电维修工作（年龄不超过50岁）。</w:t>
            </w:r>
          </w:p>
        </w:tc>
      </w:tr>
      <w:tr w14:paraId="3E73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continue"/>
            <w:noWrap w:val="0"/>
            <w:vAlign w:val="top"/>
          </w:tcPr>
          <w:p w14:paraId="10EEFFFD">
            <w:pPr>
              <w:rPr>
                <w:rFonts w:hint="eastAsia" w:ascii="宋体" w:hAnsi="宋体" w:eastAsia="宋体" w:cs="宋体"/>
                <w:color w:val="000000" w:themeColor="text1"/>
                <w:highlight w:val="none"/>
                <w14:textFill>
                  <w14:solidFill>
                    <w14:schemeClr w14:val="tx1"/>
                  </w14:solidFill>
                </w14:textFill>
              </w:rPr>
            </w:pPr>
          </w:p>
        </w:tc>
        <w:tc>
          <w:tcPr>
            <w:tcW w:w="1459" w:type="dxa"/>
            <w:noWrap w:val="0"/>
            <w:vAlign w:val="top"/>
          </w:tcPr>
          <w:p w14:paraId="55B12BAF">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土建维修员</w:t>
            </w:r>
          </w:p>
        </w:tc>
        <w:tc>
          <w:tcPr>
            <w:tcW w:w="974" w:type="dxa"/>
            <w:noWrap w:val="0"/>
            <w:vAlign w:val="top"/>
          </w:tcPr>
          <w:p w14:paraId="136AE66F">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657" w:type="dxa"/>
            <w:noWrap w:val="0"/>
            <w:vAlign w:val="top"/>
          </w:tcPr>
          <w:p w14:paraId="7BB8437A">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4354" w:type="dxa"/>
            <w:noWrap w:val="0"/>
            <w:vAlign w:val="top"/>
          </w:tcPr>
          <w:p w14:paraId="0C9913A8">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身体健康、相貌端正、思想作风正派。工作责任心强、有较强的服务意识，具备胜任该岗位工作的能力。根据党校要求，在工程师的指导下做好土建维修工作（年龄不超过50岁）。</w:t>
            </w:r>
          </w:p>
        </w:tc>
      </w:tr>
      <w:tr w14:paraId="197A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restart"/>
            <w:noWrap w:val="0"/>
            <w:vAlign w:val="top"/>
          </w:tcPr>
          <w:p w14:paraId="40F1B73C">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保洁服务</w:t>
            </w:r>
          </w:p>
          <w:p w14:paraId="35BA61ED">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人</w:t>
            </w:r>
          </w:p>
        </w:tc>
        <w:tc>
          <w:tcPr>
            <w:tcW w:w="1459" w:type="dxa"/>
            <w:noWrap w:val="0"/>
            <w:vAlign w:val="top"/>
          </w:tcPr>
          <w:p w14:paraId="4298DA13">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主管</w:t>
            </w:r>
          </w:p>
        </w:tc>
        <w:tc>
          <w:tcPr>
            <w:tcW w:w="974" w:type="dxa"/>
            <w:noWrap w:val="0"/>
            <w:vAlign w:val="top"/>
          </w:tcPr>
          <w:p w14:paraId="438F4E1C">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657" w:type="dxa"/>
            <w:noWrap w:val="0"/>
            <w:vAlign w:val="top"/>
          </w:tcPr>
          <w:p w14:paraId="17D31CBF">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4354" w:type="dxa"/>
            <w:noWrap w:val="0"/>
            <w:vAlign w:val="top"/>
          </w:tcPr>
          <w:p w14:paraId="7E89C3A6">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从事物业相关工作经历三年以上（含三年）的专职管理人员；具备较强的沟通、组织、协调能力，责任感强；培训新员工的业务；做好员工监督、考勤工作；做好资产的使用与发放管理。</w:t>
            </w:r>
          </w:p>
        </w:tc>
      </w:tr>
      <w:tr w14:paraId="1167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274" w:type="dxa"/>
            <w:vMerge w:val="continue"/>
            <w:noWrap w:val="0"/>
            <w:vAlign w:val="top"/>
          </w:tcPr>
          <w:p w14:paraId="39FB9C18">
            <w:pPr>
              <w:rPr>
                <w:rFonts w:hint="eastAsia" w:ascii="宋体" w:hAnsi="宋体" w:eastAsia="宋体" w:cs="宋体"/>
                <w:color w:val="000000" w:themeColor="text1"/>
                <w:highlight w:val="none"/>
                <w14:textFill>
                  <w14:solidFill>
                    <w14:schemeClr w14:val="tx1"/>
                  </w14:solidFill>
                </w14:textFill>
              </w:rPr>
            </w:pPr>
          </w:p>
        </w:tc>
        <w:tc>
          <w:tcPr>
            <w:tcW w:w="1459" w:type="dxa"/>
            <w:noWrap w:val="0"/>
            <w:vAlign w:val="top"/>
          </w:tcPr>
          <w:p w14:paraId="1B745C78">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保洁员</w:t>
            </w:r>
          </w:p>
        </w:tc>
        <w:tc>
          <w:tcPr>
            <w:tcW w:w="974" w:type="dxa"/>
            <w:noWrap w:val="0"/>
            <w:vAlign w:val="top"/>
          </w:tcPr>
          <w:p w14:paraId="30D01351">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20</w:t>
            </w:r>
          </w:p>
        </w:tc>
        <w:tc>
          <w:tcPr>
            <w:tcW w:w="1657" w:type="dxa"/>
            <w:noWrap w:val="0"/>
            <w:vAlign w:val="top"/>
          </w:tcPr>
          <w:p w14:paraId="22B48188">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20</w:t>
            </w:r>
          </w:p>
        </w:tc>
        <w:tc>
          <w:tcPr>
            <w:tcW w:w="4354" w:type="dxa"/>
            <w:noWrap w:val="0"/>
            <w:vAlign w:val="center"/>
          </w:tcPr>
          <w:p w14:paraId="579B702E">
            <w:pPr>
              <w:adjustRightInd w:val="0"/>
              <w:snapToGrid w:val="0"/>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身体健康、相貌端正、思想作风正派；工作责任心强、有较强的服务意识，具备胜任该岗位工作的能力。（年龄不超过45周岁）</w:t>
            </w:r>
          </w:p>
        </w:tc>
      </w:tr>
      <w:tr w14:paraId="2A46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restart"/>
            <w:noWrap w:val="0"/>
            <w:vAlign w:val="top"/>
          </w:tcPr>
          <w:p w14:paraId="4CFFAB54">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绿化服务</w:t>
            </w:r>
          </w:p>
          <w:p w14:paraId="5562B368">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人</w:t>
            </w:r>
          </w:p>
        </w:tc>
        <w:tc>
          <w:tcPr>
            <w:tcW w:w="1459" w:type="dxa"/>
            <w:noWrap w:val="0"/>
            <w:vAlign w:val="top"/>
          </w:tcPr>
          <w:p w14:paraId="3CD8C160">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绿化主管</w:t>
            </w:r>
          </w:p>
        </w:tc>
        <w:tc>
          <w:tcPr>
            <w:tcW w:w="974" w:type="dxa"/>
            <w:noWrap w:val="0"/>
            <w:vAlign w:val="top"/>
          </w:tcPr>
          <w:p w14:paraId="1C9985BC">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657" w:type="dxa"/>
            <w:noWrap w:val="0"/>
            <w:vAlign w:val="top"/>
          </w:tcPr>
          <w:p w14:paraId="7B09F5D6">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4354" w:type="dxa"/>
            <w:noWrap w:val="0"/>
            <w:vAlign w:val="top"/>
          </w:tcPr>
          <w:p w14:paraId="26ADDC4A">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持</w:t>
            </w:r>
            <w:r>
              <w:rPr>
                <w:rFonts w:hint="eastAsia" w:ascii="宋体" w:hAnsi="宋体" w:eastAsia="宋体" w:cs="宋体"/>
                <w:color w:val="000000" w:themeColor="text1"/>
                <w:szCs w:val="21"/>
                <w:highlight w:val="none"/>
                <w:lang w:val="en-US" w:eastAsia="zh-CN"/>
                <w14:textFill>
                  <w14:solidFill>
                    <w14:schemeClr w14:val="tx1"/>
                  </w14:solidFill>
                </w14:textFill>
              </w:rPr>
              <w:t>中</w:t>
            </w:r>
            <w:r>
              <w:rPr>
                <w:rFonts w:hint="eastAsia" w:ascii="宋体" w:hAnsi="宋体" w:eastAsia="宋体" w:cs="宋体"/>
                <w:color w:val="000000" w:themeColor="text1"/>
                <w:szCs w:val="21"/>
                <w:highlight w:val="none"/>
                <w:lang w:eastAsia="zh-CN"/>
                <w14:textFill>
                  <w14:solidFill>
                    <w14:schemeClr w14:val="tx1"/>
                  </w14:solidFill>
                </w14:textFill>
              </w:rPr>
              <w:t>级绿化工证书，</w:t>
            </w:r>
            <w:r>
              <w:rPr>
                <w:rFonts w:hint="eastAsia" w:ascii="宋体" w:hAnsi="宋体" w:eastAsia="宋体" w:cs="宋体"/>
                <w:color w:val="000000" w:themeColor="text1"/>
                <w:szCs w:val="21"/>
                <w:highlight w:val="none"/>
                <w14:textFill>
                  <w14:solidFill>
                    <w14:schemeClr w14:val="tx1"/>
                  </w14:solidFill>
                </w14:textFill>
              </w:rPr>
              <w:t>具有良好的协调、团队管理能力和较强的处事应变能力。负责与党校协调绿化管理需求事宜；抓好服务人员的业务培训；抓好团队管理。熟悉植物养护工作的基本要点；能掌握常用绿化机械、工具的使用和维护；具备较强的沟通、组织、协调能力，责任感强。负责员工出勤考核、员工培训；施工安全监督；制定工作计划。</w:t>
            </w:r>
          </w:p>
        </w:tc>
      </w:tr>
      <w:tr w14:paraId="4F72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continue"/>
            <w:noWrap w:val="0"/>
            <w:vAlign w:val="top"/>
          </w:tcPr>
          <w:p w14:paraId="261574E3">
            <w:pPr>
              <w:rPr>
                <w:rFonts w:hint="eastAsia" w:ascii="宋体" w:hAnsi="宋体" w:eastAsia="宋体" w:cs="宋体"/>
                <w:color w:val="000000" w:themeColor="text1"/>
                <w:highlight w:val="none"/>
                <w14:textFill>
                  <w14:solidFill>
                    <w14:schemeClr w14:val="tx1"/>
                  </w14:solidFill>
                </w14:textFill>
              </w:rPr>
            </w:pPr>
          </w:p>
        </w:tc>
        <w:tc>
          <w:tcPr>
            <w:tcW w:w="1459" w:type="dxa"/>
            <w:noWrap w:val="0"/>
            <w:vAlign w:val="top"/>
          </w:tcPr>
          <w:p w14:paraId="0DD6834C">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绿化员</w:t>
            </w:r>
          </w:p>
        </w:tc>
        <w:tc>
          <w:tcPr>
            <w:tcW w:w="974" w:type="dxa"/>
            <w:noWrap w:val="0"/>
            <w:vAlign w:val="top"/>
          </w:tcPr>
          <w:p w14:paraId="68A0BBA1">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7</w:t>
            </w:r>
          </w:p>
        </w:tc>
        <w:tc>
          <w:tcPr>
            <w:tcW w:w="1657" w:type="dxa"/>
            <w:noWrap w:val="0"/>
            <w:vAlign w:val="top"/>
          </w:tcPr>
          <w:p w14:paraId="16ADD1EE">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7</w:t>
            </w:r>
          </w:p>
        </w:tc>
        <w:tc>
          <w:tcPr>
            <w:tcW w:w="4354" w:type="dxa"/>
            <w:noWrap w:val="0"/>
            <w:vAlign w:val="top"/>
          </w:tcPr>
          <w:p w14:paraId="40540B70">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身体健康、相貌端正、思想作风正派。工作责任心强、有较强的服务意识，具备胜任该岗位工作的能力。根据党校要求，在工程师的指导下做好绿化养护工作（年龄不超过50岁）。</w:t>
            </w:r>
          </w:p>
        </w:tc>
      </w:tr>
      <w:tr w14:paraId="791D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restart"/>
            <w:noWrap w:val="0"/>
            <w:vAlign w:val="top"/>
          </w:tcPr>
          <w:p w14:paraId="61566C54">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保安服务</w:t>
            </w:r>
          </w:p>
          <w:p w14:paraId="281B080A">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w:t>
            </w:r>
            <w:r>
              <w:rPr>
                <w:rFonts w:hint="eastAsia" w:ascii="宋体" w:hAnsi="宋体" w:eastAsia="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人</w:t>
            </w:r>
          </w:p>
        </w:tc>
        <w:tc>
          <w:tcPr>
            <w:tcW w:w="1459" w:type="dxa"/>
            <w:noWrap w:val="0"/>
            <w:vAlign w:val="top"/>
          </w:tcPr>
          <w:p w14:paraId="2B5D9878">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主管</w:t>
            </w:r>
          </w:p>
        </w:tc>
        <w:tc>
          <w:tcPr>
            <w:tcW w:w="974" w:type="dxa"/>
            <w:noWrap w:val="0"/>
            <w:vAlign w:val="top"/>
          </w:tcPr>
          <w:p w14:paraId="65697BA0">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657" w:type="dxa"/>
            <w:noWrap w:val="0"/>
            <w:vAlign w:val="top"/>
          </w:tcPr>
          <w:p w14:paraId="0680FCF4">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4354" w:type="dxa"/>
            <w:noWrap w:val="0"/>
            <w:vAlign w:val="center"/>
          </w:tcPr>
          <w:p w14:paraId="233F74B2">
            <w:pPr>
              <w:adjustRightInd w:val="0"/>
              <w:snapToGrid w:val="0"/>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有相关工作经验，队伍要求实行半军事化管理，身体健康，性别不限，年龄在50岁</w:t>
            </w:r>
            <w:r>
              <w:rPr>
                <w:rFonts w:hint="eastAsia" w:ascii="宋体" w:hAnsi="宋体" w:eastAsia="宋体" w:cs="宋体"/>
                <w:color w:val="000000" w:themeColor="text1"/>
                <w:szCs w:val="21"/>
                <w:highlight w:val="none"/>
                <w:lang w:val="en-US" w:eastAsia="zh-CN"/>
                <w14:textFill>
                  <w14:solidFill>
                    <w14:schemeClr w14:val="tx1"/>
                  </w14:solidFill>
                </w14:textFill>
              </w:rPr>
              <w:t>及</w:t>
            </w:r>
            <w:r>
              <w:rPr>
                <w:rFonts w:hint="eastAsia" w:ascii="宋体" w:hAnsi="宋体" w:eastAsia="宋体" w:cs="宋体"/>
                <w:color w:val="000000" w:themeColor="text1"/>
                <w:szCs w:val="21"/>
                <w:highlight w:val="none"/>
                <w14:textFill>
                  <w14:solidFill>
                    <w14:schemeClr w14:val="tx1"/>
                  </w14:solidFill>
                </w14:textFill>
              </w:rPr>
              <w:t>以下；有三年以上安保队伍的管理经验，相对稳定，长驻党校校园，全面负责安保队伍的日常管理和安全防范工作；有较高的政治思想素养和安保业务水平，无违法犯罪记录，有较强的组织、管理、协调能力，受过安保业务培训；做好培训新员工的业务及对员工的监督、考勤工作；做好资产的使用与发放管理；自觉遵守我校管理规定，服从管理。</w:t>
            </w:r>
          </w:p>
        </w:tc>
      </w:tr>
      <w:tr w14:paraId="0EFD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74" w:type="dxa"/>
            <w:vMerge w:val="continue"/>
            <w:noWrap w:val="0"/>
            <w:vAlign w:val="top"/>
          </w:tcPr>
          <w:p w14:paraId="6D1DC101">
            <w:pPr>
              <w:rPr>
                <w:rFonts w:hint="eastAsia" w:ascii="宋体" w:hAnsi="宋体" w:eastAsia="宋体" w:cs="宋体"/>
                <w:color w:val="000000" w:themeColor="text1"/>
                <w:highlight w:val="none"/>
                <w14:textFill>
                  <w14:solidFill>
                    <w14:schemeClr w14:val="tx1"/>
                  </w14:solidFill>
                </w14:textFill>
              </w:rPr>
            </w:pPr>
          </w:p>
        </w:tc>
        <w:tc>
          <w:tcPr>
            <w:tcW w:w="1459" w:type="dxa"/>
            <w:noWrap w:val="0"/>
            <w:vAlign w:val="top"/>
          </w:tcPr>
          <w:p w14:paraId="188C5063">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保安员</w:t>
            </w:r>
          </w:p>
        </w:tc>
        <w:tc>
          <w:tcPr>
            <w:tcW w:w="974" w:type="dxa"/>
            <w:noWrap w:val="0"/>
            <w:vAlign w:val="top"/>
          </w:tcPr>
          <w:p w14:paraId="5F638C46">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val="en-US" w:eastAsia="zh-CN"/>
                <w14:textFill>
                  <w14:solidFill>
                    <w14:schemeClr w14:val="tx1"/>
                  </w14:solidFill>
                </w14:textFill>
              </w:rPr>
              <w:t>1</w:t>
            </w:r>
          </w:p>
        </w:tc>
        <w:tc>
          <w:tcPr>
            <w:tcW w:w="1657" w:type="dxa"/>
            <w:noWrap w:val="0"/>
            <w:vAlign w:val="top"/>
          </w:tcPr>
          <w:p w14:paraId="379AEBD7">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val="en-US" w:eastAsia="zh-CN"/>
                <w14:textFill>
                  <w14:solidFill>
                    <w14:schemeClr w14:val="tx1"/>
                  </w14:solidFill>
                </w14:textFill>
              </w:rPr>
              <w:t>1</w:t>
            </w:r>
          </w:p>
        </w:tc>
        <w:tc>
          <w:tcPr>
            <w:tcW w:w="4354" w:type="dxa"/>
            <w:noWrap w:val="0"/>
            <w:vAlign w:val="center"/>
          </w:tcPr>
          <w:p w14:paraId="5EBC50DB">
            <w:pPr>
              <w:adjustRightInd w:val="0"/>
              <w:snapToGrid w:val="0"/>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相关工作经验，年龄在18岁-45岁之间，其中18-40岁之间占三分之二以上，性别不限，队伍要求实行半军事化管理，能适应全年365天24小时轮班工作方式，部分岗位需要24小时值班。中标人入场后1个月内必须提供所有保安人员能够满足专业岗位需求的相关证明材料。作风正派，无违法犯罪记录；会说普通话，五官端正，身体健康，机智灵敏，能胜任执勤工作；自觉遵守</w:t>
            </w:r>
            <w:r>
              <w:rPr>
                <w:rFonts w:hint="eastAsia" w:ascii="宋体" w:hAnsi="宋体" w:eastAsia="宋体" w:cs="宋体"/>
                <w:color w:val="000000" w:themeColor="text1"/>
                <w:szCs w:val="21"/>
                <w:highlight w:val="none"/>
                <w:lang w:val="en-US" w:eastAsia="zh-CN"/>
                <w14:textFill>
                  <w14:solidFill>
                    <w14:schemeClr w14:val="tx1"/>
                  </w14:solidFill>
                </w14:textFill>
              </w:rPr>
              <w:t>党</w:t>
            </w:r>
            <w:r>
              <w:rPr>
                <w:rFonts w:hint="eastAsia" w:ascii="宋体" w:hAnsi="宋体" w:eastAsia="宋体" w:cs="宋体"/>
                <w:color w:val="000000" w:themeColor="text1"/>
                <w:szCs w:val="21"/>
                <w:highlight w:val="none"/>
                <w14:textFill>
                  <w14:solidFill>
                    <w14:schemeClr w14:val="tx1"/>
                  </w14:solidFill>
                </w14:textFill>
              </w:rPr>
              <w:t>校管理规定，服从管理。</w:t>
            </w:r>
          </w:p>
        </w:tc>
      </w:tr>
      <w:tr w14:paraId="5D0B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274" w:type="dxa"/>
            <w:vMerge w:val="continue"/>
            <w:noWrap w:val="0"/>
            <w:vAlign w:val="top"/>
          </w:tcPr>
          <w:p w14:paraId="68C91353">
            <w:pPr>
              <w:rPr>
                <w:rFonts w:hint="eastAsia" w:ascii="宋体" w:hAnsi="宋体" w:eastAsia="宋体" w:cs="宋体"/>
                <w:color w:val="000000" w:themeColor="text1"/>
                <w:highlight w:val="none"/>
                <w14:textFill>
                  <w14:solidFill>
                    <w14:schemeClr w14:val="tx1"/>
                  </w14:solidFill>
                </w14:textFill>
              </w:rPr>
            </w:pPr>
          </w:p>
        </w:tc>
        <w:tc>
          <w:tcPr>
            <w:tcW w:w="1459" w:type="dxa"/>
            <w:noWrap w:val="0"/>
            <w:vAlign w:val="top"/>
          </w:tcPr>
          <w:p w14:paraId="01BD18C4">
            <w:pPr>
              <w:rPr>
                <w:rFonts w:hint="eastAsia" w:ascii="宋体" w:hAnsi="宋体" w:eastAsia="宋体" w:cs="宋体"/>
                <w:color w:val="000000" w:themeColor="text1"/>
                <w:highlight w:val="none"/>
                <w14:textFill>
                  <w14:solidFill>
                    <w14:schemeClr w14:val="tx1"/>
                  </w14:solidFill>
                </w14:textFill>
              </w:rPr>
            </w:pPr>
            <w:bookmarkStart w:id="209" w:name="OLE_LINK5"/>
            <w:r>
              <w:rPr>
                <w:rFonts w:hint="eastAsia" w:ascii="宋体" w:hAnsi="宋体" w:eastAsia="宋体" w:cs="宋体"/>
                <w:color w:val="000000" w:themeColor="text1"/>
                <w:highlight w:val="none"/>
                <w14:textFill>
                  <w14:solidFill>
                    <w14:schemeClr w14:val="tx1"/>
                  </w14:solidFill>
                </w14:textFill>
              </w:rPr>
              <w:t>消控室人员</w:t>
            </w:r>
            <w:bookmarkEnd w:id="209"/>
          </w:p>
        </w:tc>
        <w:tc>
          <w:tcPr>
            <w:tcW w:w="974" w:type="dxa"/>
            <w:noWrap w:val="0"/>
            <w:vAlign w:val="top"/>
          </w:tcPr>
          <w:p w14:paraId="4B3694F5">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p>
        </w:tc>
        <w:tc>
          <w:tcPr>
            <w:tcW w:w="1657" w:type="dxa"/>
            <w:noWrap w:val="0"/>
            <w:vAlign w:val="top"/>
          </w:tcPr>
          <w:p w14:paraId="58BCCF3D">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p>
        </w:tc>
        <w:tc>
          <w:tcPr>
            <w:tcW w:w="4354" w:type="dxa"/>
            <w:noWrap w:val="0"/>
            <w:vAlign w:val="top"/>
          </w:tcPr>
          <w:p w14:paraId="170929FA">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会说普通话，五官端正，身体健康；自觉遵守党校的管理规定，服从管理。消防控制室（24小时）值班人员需持有</w:t>
            </w:r>
            <w:r>
              <w:rPr>
                <w:rFonts w:hint="eastAsia" w:ascii="宋体" w:hAnsi="宋体" w:eastAsia="宋体" w:cs="宋体"/>
                <w:color w:val="000000" w:themeColor="text1"/>
                <w:highlight w:val="none"/>
                <w14:textFill>
                  <w14:solidFill>
                    <w14:schemeClr w14:val="tx1"/>
                  </w14:solidFill>
                </w14:textFill>
              </w:rPr>
              <w:t>消防设施操作员</w:t>
            </w:r>
            <w:r>
              <w:rPr>
                <w:rFonts w:hint="eastAsia" w:ascii="宋体" w:hAnsi="宋体" w:eastAsia="宋体" w:cs="宋体"/>
                <w:color w:val="000000" w:themeColor="text1"/>
                <w:szCs w:val="21"/>
                <w:highlight w:val="none"/>
                <w14:textFill>
                  <w14:solidFill>
                    <w14:schemeClr w14:val="tx1"/>
                  </w14:solidFill>
                </w14:textFill>
              </w:rPr>
              <w:t>证书，且中标人签订合同后必须提供针对该项目的所有消防控制室（24小时）值班人员的证书，每年要安排人员参加消防培训，以提高人员素质。</w:t>
            </w:r>
          </w:p>
        </w:tc>
      </w:tr>
    </w:tbl>
    <w:p w14:paraId="11C3666E">
      <w:pPr>
        <w:pStyle w:val="15"/>
        <w:ind w:firstLine="422" w:firstLineChars="20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19035725">
      <w:pPr>
        <w:pStyle w:val="15"/>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14:textFill>
            <w14:solidFill>
              <w14:schemeClr w14:val="tx1"/>
            </w14:solidFill>
          </w14:textFill>
        </w:rPr>
        <w:t>、商务</w:t>
      </w:r>
      <w:r>
        <w:rPr>
          <w:rFonts w:hint="eastAsia" w:ascii="宋体" w:hAnsi="宋体" w:eastAsia="宋体" w:cs="宋体"/>
          <w:b/>
          <w:bCs/>
          <w:color w:val="000000" w:themeColor="text1"/>
          <w:sz w:val="21"/>
          <w:szCs w:val="21"/>
          <w:highlight w:val="none"/>
          <w:lang w:eastAsia="zh-CN"/>
          <w14:textFill>
            <w14:solidFill>
              <w14:schemeClr w14:val="tx1"/>
            </w14:solidFill>
          </w14:textFill>
        </w:rPr>
        <w:t>要求</w:t>
      </w:r>
    </w:p>
    <w:p w14:paraId="5BE00833">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w:t>
      </w:r>
      <w:r>
        <w:rPr>
          <w:rFonts w:hint="eastAsia" w:ascii="宋体" w:hAnsi="宋体" w:eastAsia="宋体" w:cs="宋体"/>
          <w:b/>
          <w:bCs/>
          <w:color w:val="000000" w:themeColor="text1"/>
          <w:highlight w:val="none"/>
          <w:lang w:eastAsia="zh-CN"/>
          <w14:textFill>
            <w14:solidFill>
              <w14:schemeClr w14:val="tx1"/>
            </w14:solidFill>
          </w14:textFill>
        </w:rPr>
        <w:t>）报价要求</w:t>
      </w:r>
    </w:p>
    <w:p w14:paraId="30F672B4">
      <w:pPr>
        <w:spacing w:line="36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报价至少包括全年服务团队的日常办公经费、工资薪酬、劳保福利、服装费（含工作牌、手套等工作装备）、加班费、奖金、管理费、体检费、伙食费、税金、国家规定购买的各项保险及岗位配套装备（含维修工具）等一切相关费用。投标人必须按岗位设置方案，配齐人员，每月将人员情况报送采购单位，党校每月审核一次。（如遇重大活动保障及新增服务需求，由此产生的人员加班费用及增加调用其他相应专业人员、设备的费用，根据实际情况另计。）</w:t>
      </w:r>
    </w:p>
    <w:p w14:paraId="21A32CDF">
      <w:pPr>
        <w:spacing w:line="360" w:lineRule="exact"/>
        <w:ind w:firstLine="422" w:firstLineChars="200"/>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bCs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bCs w:val="0"/>
          <w:color w:val="000000" w:themeColor="text1"/>
          <w:kern w:val="0"/>
          <w:sz w:val="21"/>
          <w:szCs w:val="21"/>
          <w:highlight w:val="none"/>
          <w14:textFill>
            <w14:solidFill>
              <w14:schemeClr w14:val="tx1"/>
            </w14:solidFill>
          </w14:textFill>
        </w:rPr>
        <w:t>本项目采购预算：</w:t>
      </w: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本项目</w:t>
      </w:r>
      <w:r>
        <w:rPr>
          <w:rFonts w:hint="eastAsia" w:ascii="宋体" w:hAnsi="宋体" w:eastAsia="宋体" w:cs="宋体"/>
          <w:b/>
          <w:bCs w:val="0"/>
          <w:color w:val="000000" w:themeColor="text1"/>
          <w:kern w:val="0"/>
          <w:sz w:val="21"/>
          <w:szCs w:val="21"/>
          <w:highlight w:val="none"/>
          <w:lang w:val="en-US" w:eastAsia="zh-CN"/>
          <w14:textFill>
            <w14:solidFill>
              <w14:schemeClr w14:val="tx1"/>
            </w14:solidFill>
          </w14:textFill>
        </w:rPr>
        <w:t>两年总</w:t>
      </w: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预算金额为人民币伍佰柒拾万元整（¥</w:t>
      </w:r>
      <w:r>
        <w:rPr>
          <w:rFonts w:hint="eastAsia" w:ascii="宋体" w:hAnsi="宋体" w:eastAsia="宋体" w:cs="宋体"/>
          <w:b/>
          <w:bCs w:val="0"/>
          <w:color w:val="000000" w:themeColor="text1"/>
          <w:kern w:val="0"/>
          <w:sz w:val="21"/>
          <w:szCs w:val="21"/>
          <w:highlight w:val="none"/>
          <w:lang w:val="en-US" w:eastAsia="zh-CN"/>
          <w14:textFill>
            <w14:solidFill>
              <w14:schemeClr w14:val="tx1"/>
            </w14:solidFill>
          </w14:textFill>
        </w:rPr>
        <w:t>570</w:t>
      </w: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0000.00元）。</w:t>
      </w:r>
      <w:r>
        <w:rPr>
          <w:rFonts w:hint="eastAsia" w:ascii="宋体" w:hAnsi="宋体" w:eastAsia="宋体" w:cs="宋体"/>
          <w:b/>
          <w:bCs w:val="0"/>
          <w:color w:val="000000" w:themeColor="text1"/>
          <w:kern w:val="0"/>
          <w:sz w:val="21"/>
          <w:szCs w:val="21"/>
          <w:highlight w:val="none"/>
          <w14:textFill>
            <w14:solidFill>
              <w14:schemeClr w14:val="tx1"/>
            </w14:solidFill>
          </w14:textFill>
        </w:rPr>
        <w:t>投标报价超过采购预算金额的，投标文件按无效处理</w:t>
      </w: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w:t>
      </w:r>
    </w:p>
    <w:p w14:paraId="2B398975">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b/>
          <w:bCs/>
          <w:color w:val="000000" w:themeColor="text1"/>
          <w:kern w:val="0"/>
          <w:szCs w:val="21"/>
          <w:highlight w:val="none"/>
          <w:lang w:eastAsia="zh-CN"/>
          <w14:textFill>
            <w14:solidFill>
              <w14:schemeClr w14:val="tx1"/>
            </w14:solidFill>
          </w14:textFill>
        </w:rPr>
      </w:pPr>
      <w:r>
        <w:rPr>
          <w:rFonts w:hint="eastAsia" w:ascii="宋体" w:hAnsi="宋体" w:eastAsia="宋体" w:cs="宋体"/>
          <w:b/>
          <w:bCs/>
          <w:color w:val="000000" w:themeColor="text1"/>
          <w:kern w:val="0"/>
          <w:szCs w:val="21"/>
          <w:highlight w:val="none"/>
          <w:lang w:eastAsia="zh-CN"/>
          <w14:textFill>
            <w14:solidFill>
              <w14:schemeClr w14:val="tx1"/>
            </w14:solidFill>
          </w14:textFill>
        </w:rPr>
        <w:t>（</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b/>
          <w:bCs/>
          <w:color w:val="000000" w:themeColor="text1"/>
          <w:kern w:val="0"/>
          <w:szCs w:val="21"/>
          <w:highlight w:val="none"/>
          <w:lang w:eastAsia="zh-CN"/>
          <w14:textFill>
            <w14:solidFill>
              <w14:schemeClr w14:val="tx1"/>
            </w14:solidFill>
          </w14:textFill>
        </w:rPr>
        <w:t>）付款方式</w:t>
      </w:r>
    </w:p>
    <w:p w14:paraId="4292004E">
      <w:pPr>
        <w:keepNext w:val="0"/>
        <w:keepLines w:val="0"/>
        <w:pageBreakBefore w:val="0"/>
        <w:numPr>
          <w:ilvl w:val="0"/>
          <w:numId w:val="0"/>
        </w:numPr>
        <w:kinsoku/>
        <w:wordWrap/>
        <w:overflowPunct/>
        <w:topLinePunct w:val="0"/>
        <w:bidi w:val="0"/>
        <w:adjustRightInd w:val="0"/>
        <w:snapToGrid w:val="0"/>
        <w:spacing w:line="400" w:lineRule="exact"/>
        <w:ind w:firstLine="420" w:firstLineChars="200"/>
        <w:textAlignment w:val="auto"/>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按月支付，即每月支付合同款的1/</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24</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本项目无预付款，由中标人在月末向中国共产党桂林市委员会党校书面申请支付当月的服务管理费（如签订合同当月服务不到一个月的按照日平均费用×服务天数计算），经考评合格，双方认可后，党校及时付款。中标人开具合法发票给中国共产党桂林市委员会党校,60日内付款。特殊情况除外。</w:t>
      </w:r>
    </w:p>
    <w:p w14:paraId="5E00C3ED">
      <w:pPr>
        <w:pStyle w:val="2"/>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bCs w:val="0"/>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snapToGrid w:val="0"/>
          <w:color w:val="000000" w:themeColor="text1"/>
          <w:kern w:val="0"/>
          <w:szCs w:val="21"/>
          <w:highlight w:val="none"/>
          <w14:textFill>
            <w14:solidFill>
              <w14:schemeClr w14:val="tx1"/>
            </w14:solidFill>
          </w14:textFill>
        </w:rPr>
        <w:t>现场</w:t>
      </w:r>
      <w:r>
        <w:rPr>
          <w:rFonts w:hint="eastAsia" w:ascii="宋体" w:hAnsi="宋体" w:eastAsia="宋体" w:cs="宋体"/>
          <w:b/>
          <w:snapToGrid w:val="0"/>
          <w:color w:val="000000" w:themeColor="text1"/>
          <w:kern w:val="0"/>
          <w:szCs w:val="21"/>
          <w:highlight w:val="none"/>
          <w:lang w:eastAsia="zh-CN"/>
          <w14:textFill>
            <w14:solidFill>
              <w14:schemeClr w14:val="tx1"/>
            </w14:solidFill>
          </w14:textFill>
        </w:rPr>
        <w:t>考</w:t>
      </w:r>
      <w:r>
        <w:rPr>
          <w:rFonts w:hint="eastAsia" w:ascii="宋体" w:hAnsi="宋体" w:eastAsia="宋体" w:cs="宋体"/>
          <w:b/>
          <w:snapToGrid w:val="0"/>
          <w:color w:val="000000" w:themeColor="text1"/>
          <w:kern w:val="0"/>
          <w:szCs w:val="21"/>
          <w:highlight w:val="none"/>
          <w14:textFill>
            <w14:solidFill>
              <w14:schemeClr w14:val="tx1"/>
            </w14:solidFill>
          </w14:textFill>
        </w:rPr>
        <w:t>察</w:t>
      </w:r>
    </w:p>
    <w:p w14:paraId="259F1336">
      <w:pPr>
        <w:keepNext w:val="0"/>
        <w:keepLines w:val="0"/>
        <w:pageBreakBefore w:val="0"/>
        <w:numPr>
          <w:ilvl w:val="0"/>
          <w:numId w:val="0"/>
        </w:numPr>
        <w:kinsoku/>
        <w:wordWrap/>
        <w:overflowPunct/>
        <w:topLinePunct w:val="0"/>
        <w:bidi w:val="0"/>
        <w:adjustRightInd w:val="0"/>
        <w:snapToGrid w:val="0"/>
        <w:spacing w:line="400" w:lineRule="exact"/>
        <w:ind w:firstLine="420" w:firstLineChars="200"/>
        <w:textAlignment w:val="auto"/>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拟参加本项目的投标人如有需要，可对现场进行</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考察</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，由投标人代表自行前往实地进行</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考察</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，现场考察所发生的一切费用及风险由投标人自行承担，联系人及联系电话：</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粟赪13517531888</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。本现场考察非强制要求（即非实质性要求）。</w:t>
      </w:r>
      <w:bookmarkStart w:id="268" w:name="_GoBack"/>
      <w:bookmarkEnd w:id="268"/>
    </w:p>
    <w:p w14:paraId="64D5BB0A">
      <w:pPr>
        <w:keepNext w:val="0"/>
        <w:keepLines w:val="0"/>
        <w:pageBreakBefore w:val="0"/>
        <w:numPr>
          <w:ilvl w:val="0"/>
          <w:numId w:val="0"/>
        </w:numPr>
        <w:kinsoku/>
        <w:wordWrap/>
        <w:overflowPunct/>
        <w:topLinePunct w:val="0"/>
        <w:bidi w:val="0"/>
        <w:adjustRightInd w:val="0"/>
        <w:snapToGrid w:val="0"/>
        <w:spacing w:line="400" w:lineRule="exact"/>
        <w:ind w:left="420" w:leftChars="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bCs w:val="0"/>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bCs w:val="0"/>
          <w:color w:val="000000" w:themeColor="text1"/>
          <w:kern w:val="0"/>
          <w:sz w:val="21"/>
          <w:szCs w:val="21"/>
          <w:highlight w:val="none"/>
          <w14:textFill>
            <w14:solidFill>
              <w14:schemeClr w14:val="tx1"/>
            </w14:solidFill>
          </w14:textFill>
        </w:rPr>
        <w:t>其他要求</w:t>
      </w:r>
    </w:p>
    <w:p w14:paraId="2081D3DB">
      <w:pPr>
        <w:keepNext w:val="0"/>
        <w:keepLines w:val="0"/>
        <w:pageBreakBefore w:val="0"/>
        <w:kinsoku/>
        <w:wordWrap/>
        <w:overflowPunct/>
        <w:topLinePunct w:val="0"/>
        <w:bidi w:val="0"/>
        <w:adjustRightInd w:val="0"/>
        <w:snapToGrid w:val="0"/>
        <w:spacing w:line="400" w:lineRule="exact"/>
        <w:ind w:left="0" w:leftChars="0"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①</w:t>
      </w:r>
      <w:r>
        <w:rPr>
          <w:rFonts w:hint="eastAsia" w:ascii="宋体" w:hAnsi="宋体" w:eastAsia="宋体" w:cs="宋体"/>
          <w:color w:val="000000" w:themeColor="text1"/>
          <w:kern w:val="0"/>
          <w:sz w:val="21"/>
          <w:szCs w:val="21"/>
          <w:highlight w:val="none"/>
          <w14:textFill>
            <w14:solidFill>
              <w14:schemeClr w14:val="tx1"/>
            </w14:solidFill>
          </w14:textFill>
        </w:rPr>
        <w:t>涉及用工方面的劳务纠纷和劳动事故全部由中标人承担责任。</w:t>
      </w:r>
    </w:p>
    <w:p w14:paraId="225FA2BA">
      <w:pPr>
        <w:keepNext w:val="0"/>
        <w:keepLines w:val="0"/>
        <w:pageBreakBefore w:val="0"/>
        <w:kinsoku/>
        <w:wordWrap/>
        <w:overflowPunct/>
        <w:topLinePunct w:val="0"/>
        <w:bidi w:val="0"/>
        <w:adjustRightInd w:val="0"/>
        <w:snapToGrid w:val="0"/>
        <w:spacing w:line="400" w:lineRule="exact"/>
        <w:ind w:left="0" w:leftChars="0"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②</w:t>
      </w:r>
      <w:r>
        <w:rPr>
          <w:rFonts w:hint="eastAsia" w:ascii="宋体" w:hAnsi="宋体" w:eastAsia="宋体" w:cs="宋体"/>
          <w:color w:val="000000" w:themeColor="text1"/>
          <w:kern w:val="0"/>
          <w:sz w:val="21"/>
          <w:szCs w:val="21"/>
          <w:highlight w:val="none"/>
          <w14:textFill>
            <w14:solidFill>
              <w14:schemeClr w14:val="tx1"/>
            </w14:solidFill>
          </w14:textFill>
        </w:rPr>
        <w:t>服务时间：自合同签订之日起</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两</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年</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5B9F61C6">
      <w:pPr>
        <w:keepNext w:val="0"/>
        <w:keepLines w:val="0"/>
        <w:pageBreakBefore w:val="0"/>
        <w:kinsoku/>
        <w:wordWrap/>
        <w:overflowPunct/>
        <w:topLinePunct w:val="0"/>
        <w:bidi w:val="0"/>
        <w:adjustRightInd w:val="0"/>
        <w:snapToGrid w:val="0"/>
        <w:spacing w:line="400" w:lineRule="exact"/>
        <w:ind w:left="0" w:leftChars="0"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③</w:t>
      </w:r>
      <w:r>
        <w:rPr>
          <w:rFonts w:hint="eastAsia" w:ascii="宋体" w:hAnsi="宋体" w:eastAsia="宋体" w:cs="宋体"/>
          <w:color w:val="000000" w:themeColor="text1"/>
          <w:kern w:val="0"/>
          <w:sz w:val="21"/>
          <w:szCs w:val="21"/>
          <w:highlight w:val="none"/>
          <w14:textFill>
            <w14:solidFill>
              <w14:schemeClr w14:val="tx1"/>
            </w14:solidFill>
          </w14:textFill>
        </w:rPr>
        <w:t>合同签订期：</w:t>
      </w:r>
      <w:r>
        <w:rPr>
          <w:rFonts w:hint="eastAsia" w:ascii="宋体" w:hAnsi="宋体" w:eastAsia="宋体" w:cs="宋体"/>
          <w:color w:val="000000" w:themeColor="text1"/>
          <w:szCs w:val="21"/>
          <w:highlight w:val="none"/>
          <w:lang w:eastAsia="zh-CN"/>
          <w14:textFill>
            <w14:solidFill>
              <w14:schemeClr w14:val="tx1"/>
            </w14:solidFill>
          </w14:textFill>
        </w:rPr>
        <w:t>中标通知书发出之日起八个工作日内</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中标人收到中标通知书后，应按规定与采购人在“广西政府采购云平台”上在线签订电子合同</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3DAD62E0">
      <w:pPr>
        <w:pStyle w:val="254"/>
        <w:ind w:left="0" w:leftChars="0"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④</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本项目专门面向中小企业，所属行业为物业管理。</w:t>
      </w:r>
    </w:p>
    <w:p w14:paraId="6B13B5A8">
      <w:pPr>
        <w:spacing w:line="360" w:lineRule="auto"/>
        <w:ind w:firstLine="420" w:firstLineChars="200"/>
        <w:jc w:val="left"/>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⑤</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本项目不得转包给第三者，也不能给第三者挂靠。</w:t>
      </w:r>
    </w:p>
    <w:p w14:paraId="7CF78B23">
      <w:pPr>
        <w:spacing w:line="360" w:lineRule="auto"/>
        <w:ind w:firstLine="420" w:firstLineChars="200"/>
        <w:jc w:val="left"/>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⑥</w:t>
      </w:r>
      <w:r>
        <w:rPr>
          <w:rFonts w:hint="eastAsia" w:ascii="宋体" w:hAnsi="宋体" w:eastAsia="宋体" w:cs="宋体"/>
          <w:b/>
          <w:bCs/>
          <w:color w:val="000000" w:themeColor="text1"/>
          <w:highlight w:val="none"/>
          <w:lang w:val="en-US" w:eastAsia="zh-CN"/>
          <w14:textFill>
            <w14:solidFill>
              <w14:schemeClr w14:val="tx1"/>
            </w14:solidFill>
          </w14:textFill>
        </w:rPr>
        <w:t>投标人应综合考虑投标报价，要求投标人在投标文件中必须提供投标报价构成明细表（格式详见附表1），并加盖投标人公章，否则，投标无效。</w:t>
      </w:r>
    </w:p>
    <w:p w14:paraId="6EB71E14">
      <w:pPr>
        <w:spacing w:line="400" w:lineRule="exact"/>
        <w:rPr>
          <w:rFonts w:hint="eastAsia" w:ascii="宋体" w:hAnsi="宋体" w:eastAsia="宋体" w:cs="宋体"/>
          <w:b/>
          <w:bCs/>
          <w:color w:val="000000" w:themeColor="text1"/>
          <w:highlight w:val="none"/>
          <w:lang w:val="en-US" w:eastAsia="zh-CN"/>
          <w14:textFill>
            <w14:solidFill>
              <w14:schemeClr w14:val="tx1"/>
            </w14:solidFill>
          </w14:textFill>
        </w:rPr>
      </w:pPr>
    </w:p>
    <w:p w14:paraId="58D6F54D">
      <w:pPr>
        <w:spacing w:line="400" w:lineRule="exact"/>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附表1</w:t>
      </w:r>
    </w:p>
    <w:p w14:paraId="7C388A22">
      <w:pPr>
        <w:pStyle w:val="18"/>
        <w:spacing w:line="400" w:lineRule="exact"/>
        <w:jc w:val="center"/>
        <w:rPr>
          <w:rFonts w:hint="eastAsia" w:ascii="宋体" w:hAnsi="宋体" w:eastAsia="宋体" w:cs="宋体"/>
          <w:b/>
          <w:bCs/>
          <w:color w:val="000000" w:themeColor="text1"/>
          <w:kern w:val="2"/>
          <w:sz w:val="28"/>
          <w:szCs w:val="36"/>
          <w:highlight w:val="none"/>
          <w:lang w:val="en-US" w:eastAsia="zh-CN" w:bidi="ar-SA"/>
          <w14:textFill>
            <w14:solidFill>
              <w14:schemeClr w14:val="tx1"/>
            </w14:solidFill>
          </w14:textFill>
        </w:rPr>
      </w:pPr>
    </w:p>
    <w:p w14:paraId="1BD98813">
      <w:pPr>
        <w:pStyle w:val="18"/>
        <w:spacing w:line="400" w:lineRule="exact"/>
        <w:jc w:val="cente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8"/>
          <w:szCs w:val="36"/>
          <w:highlight w:val="none"/>
          <w:lang w:val="en-US" w:eastAsia="zh-CN" w:bidi="ar-SA"/>
          <w14:textFill>
            <w14:solidFill>
              <w14:schemeClr w14:val="tx1"/>
            </w14:solidFill>
          </w14:textFill>
        </w:rPr>
        <w:t>投标报价构成明细表（格式）</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330"/>
        <w:gridCol w:w="840"/>
        <w:gridCol w:w="810"/>
        <w:gridCol w:w="1350"/>
        <w:gridCol w:w="125"/>
        <w:gridCol w:w="745"/>
        <w:gridCol w:w="1337"/>
        <w:gridCol w:w="695"/>
        <w:gridCol w:w="956"/>
        <w:gridCol w:w="552"/>
        <w:gridCol w:w="796"/>
      </w:tblGrid>
      <w:tr w14:paraId="6A33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12"/>
            <w:noWrap w:val="0"/>
            <w:vAlign w:val="top"/>
          </w:tcPr>
          <w:p w14:paraId="26806B16">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一、人员工资及社保福利</w:t>
            </w:r>
          </w:p>
        </w:tc>
      </w:tr>
      <w:tr w14:paraId="4CB2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top"/>
          </w:tcPr>
          <w:p w14:paraId="63CEB9D8">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序号</w:t>
            </w:r>
          </w:p>
        </w:tc>
        <w:tc>
          <w:tcPr>
            <w:tcW w:w="1330" w:type="dxa"/>
            <w:noWrap w:val="0"/>
            <w:vAlign w:val="top"/>
          </w:tcPr>
          <w:p w14:paraId="47EE3CA9">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岗位工种</w:t>
            </w:r>
          </w:p>
        </w:tc>
        <w:tc>
          <w:tcPr>
            <w:tcW w:w="840" w:type="dxa"/>
            <w:noWrap w:val="0"/>
            <w:vAlign w:val="top"/>
          </w:tcPr>
          <w:p w14:paraId="0800A38D">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人数</w:t>
            </w:r>
          </w:p>
        </w:tc>
        <w:tc>
          <w:tcPr>
            <w:tcW w:w="810" w:type="dxa"/>
            <w:noWrap w:val="0"/>
            <w:vAlign w:val="top"/>
          </w:tcPr>
          <w:p w14:paraId="4D1E772B">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每月工资（元）</w:t>
            </w:r>
          </w:p>
        </w:tc>
        <w:tc>
          <w:tcPr>
            <w:tcW w:w="1350" w:type="dxa"/>
            <w:noWrap w:val="0"/>
            <w:vAlign w:val="top"/>
          </w:tcPr>
          <w:p w14:paraId="3063B712">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工资①</w:t>
            </w:r>
          </w:p>
          <w:p w14:paraId="4A8DFF07">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1×24月</w:t>
            </w:r>
            <w:r>
              <w:rPr>
                <w:rFonts w:hint="eastAsia" w:ascii="宋体" w:hAnsi="宋体" w:eastAsia="宋体" w:cs="宋体"/>
                <w:color w:val="000000" w:themeColor="text1"/>
                <w:highlight w:val="none"/>
                <w:lang w:eastAsia="zh-CN"/>
                <w14:textFill>
                  <w14:solidFill>
                    <w14:schemeClr w14:val="tx1"/>
                  </w14:solidFill>
                </w14:textFill>
              </w:rPr>
              <w:t>）</w:t>
            </w:r>
          </w:p>
        </w:tc>
        <w:tc>
          <w:tcPr>
            <w:tcW w:w="870" w:type="dxa"/>
            <w:gridSpan w:val="2"/>
            <w:noWrap w:val="0"/>
            <w:vAlign w:val="top"/>
          </w:tcPr>
          <w:p w14:paraId="07364739">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每月社会保险（元）</w:t>
            </w:r>
          </w:p>
        </w:tc>
        <w:tc>
          <w:tcPr>
            <w:tcW w:w="1337" w:type="dxa"/>
            <w:noWrap w:val="0"/>
            <w:vAlign w:val="top"/>
          </w:tcPr>
          <w:p w14:paraId="78BF4E4A">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社会保险②</w:t>
            </w:r>
          </w:p>
          <w:p w14:paraId="3AE70852">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1×24月</w:t>
            </w:r>
            <w:r>
              <w:rPr>
                <w:rFonts w:hint="eastAsia" w:ascii="宋体" w:hAnsi="宋体" w:eastAsia="宋体" w:cs="宋体"/>
                <w:color w:val="000000" w:themeColor="text1"/>
                <w:highlight w:val="none"/>
                <w:lang w:eastAsia="zh-CN"/>
                <w14:textFill>
                  <w14:solidFill>
                    <w14:schemeClr w14:val="tx1"/>
                  </w14:solidFill>
                </w14:textFill>
              </w:rPr>
              <w:t>）</w:t>
            </w:r>
          </w:p>
        </w:tc>
        <w:tc>
          <w:tcPr>
            <w:tcW w:w="695" w:type="dxa"/>
            <w:noWrap w:val="0"/>
            <w:vAlign w:val="top"/>
          </w:tcPr>
          <w:p w14:paraId="1F35A4B6">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加班及福利③</w:t>
            </w:r>
          </w:p>
        </w:tc>
        <w:tc>
          <w:tcPr>
            <w:tcW w:w="1508" w:type="dxa"/>
            <w:gridSpan w:val="2"/>
            <w:noWrap w:val="0"/>
            <w:vAlign w:val="top"/>
          </w:tcPr>
          <w:p w14:paraId="4DB304A8">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合计</w:t>
            </w:r>
          </w:p>
          <w:p w14:paraId="568A36A8">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④</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①</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②</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③</w:t>
            </w:r>
          </w:p>
          <w:p w14:paraId="769CE065">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p>
        </w:tc>
        <w:tc>
          <w:tcPr>
            <w:tcW w:w="796" w:type="dxa"/>
            <w:noWrap w:val="0"/>
            <w:vAlign w:val="top"/>
          </w:tcPr>
          <w:p w14:paraId="52CAB6AB">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备注</w:t>
            </w:r>
          </w:p>
        </w:tc>
      </w:tr>
      <w:tr w14:paraId="1004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top"/>
          </w:tcPr>
          <w:p w14:paraId="13E34FD6">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p>
        </w:tc>
        <w:tc>
          <w:tcPr>
            <w:tcW w:w="1330" w:type="dxa"/>
            <w:noWrap w:val="0"/>
            <w:vAlign w:val="top"/>
          </w:tcPr>
          <w:p w14:paraId="771C4430">
            <w:pPr>
              <w:spacing w:after="0"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项目经理</w:t>
            </w:r>
          </w:p>
        </w:tc>
        <w:tc>
          <w:tcPr>
            <w:tcW w:w="840" w:type="dxa"/>
            <w:noWrap w:val="0"/>
            <w:vAlign w:val="top"/>
          </w:tcPr>
          <w:p w14:paraId="1CEDF9AE">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1C01EE2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20E3C77A">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6523DDF5">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5CE57D5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553FF124">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465E2A5B">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4CF8DE16">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20F8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top"/>
          </w:tcPr>
          <w:p w14:paraId="7C58DAA9">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p>
        </w:tc>
        <w:tc>
          <w:tcPr>
            <w:tcW w:w="1330" w:type="dxa"/>
            <w:noWrap w:val="0"/>
            <w:vAlign w:val="top"/>
          </w:tcPr>
          <w:p w14:paraId="204B5014">
            <w:pPr>
              <w:spacing w:after="0" w:line="4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项目副经理</w:t>
            </w:r>
          </w:p>
        </w:tc>
        <w:tc>
          <w:tcPr>
            <w:tcW w:w="840" w:type="dxa"/>
            <w:noWrap w:val="0"/>
            <w:vAlign w:val="top"/>
          </w:tcPr>
          <w:p w14:paraId="3DBA2E62">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6DC14A72">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4985BE8F">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3BA58D89">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035E5BF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6B189D4C">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0CB90223">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4DB7A894">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2C18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top"/>
          </w:tcPr>
          <w:p w14:paraId="545BBF91">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p>
        </w:tc>
        <w:tc>
          <w:tcPr>
            <w:tcW w:w="1330" w:type="dxa"/>
            <w:noWrap w:val="0"/>
            <w:vAlign w:val="top"/>
          </w:tcPr>
          <w:p w14:paraId="18C35E37">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水电、土建</w:t>
            </w:r>
            <w:r>
              <w:rPr>
                <w:rFonts w:hint="eastAsia" w:ascii="宋体" w:hAnsi="宋体" w:eastAsia="宋体" w:cs="宋体"/>
                <w:color w:val="000000" w:themeColor="text1"/>
                <w:highlight w:val="none"/>
                <w:lang w:val="en-US" w:eastAsia="zh-CN"/>
                <w14:textFill>
                  <w14:solidFill>
                    <w14:schemeClr w14:val="tx1"/>
                  </w14:solidFill>
                </w14:textFill>
              </w:rPr>
              <w:t>主管</w:t>
            </w:r>
          </w:p>
        </w:tc>
        <w:tc>
          <w:tcPr>
            <w:tcW w:w="840" w:type="dxa"/>
            <w:noWrap w:val="0"/>
            <w:vAlign w:val="top"/>
          </w:tcPr>
          <w:p w14:paraId="21256B74">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7300F819">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11AEAFEA">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012A1524">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136D4EC3">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6DCB77C5">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27229A7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335ECD03">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0FBA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top"/>
          </w:tcPr>
          <w:p w14:paraId="37413915">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p>
        </w:tc>
        <w:tc>
          <w:tcPr>
            <w:tcW w:w="1330" w:type="dxa"/>
            <w:noWrap w:val="0"/>
            <w:vAlign w:val="top"/>
          </w:tcPr>
          <w:p w14:paraId="7BD809FB">
            <w:pPr>
              <w:spacing w:after="0"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水电维修员</w:t>
            </w:r>
          </w:p>
        </w:tc>
        <w:tc>
          <w:tcPr>
            <w:tcW w:w="840" w:type="dxa"/>
            <w:noWrap w:val="0"/>
            <w:vAlign w:val="top"/>
          </w:tcPr>
          <w:p w14:paraId="27A158F1">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30326DD1">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7DCB8977">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7930502F">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09F4ED28">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6B1A7164">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1ECAF8C9">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47D93BB5">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1FAD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top"/>
          </w:tcPr>
          <w:p w14:paraId="3D354ABB">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p>
        </w:tc>
        <w:tc>
          <w:tcPr>
            <w:tcW w:w="1330" w:type="dxa"/>
            <w:noWrap w:val="0"/>
            <w:vAlign w:val="top"/>
          </w:tcPr>
          <w:p w14:paraId="3DB11752">
            <w:pPr>
              <w:spacing w:after="0"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土建维修员</w:t>
            </w:r>
          </w:p>
        </w:tc>
        <w:tc>
          <w:tcPr>
            <w:tcW w:w="840" w:type="dxa"/>
            <w:noWrap w:val="0"/>
            <w:vAlign w:val="top"/>
          </w:tcPr>
          <w:p w14:paraId="4CF50AC4">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034447FF">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34ACF808">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29EA8D63">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66870439">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417AB579">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7A0A5BEC">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31C18574">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5734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top"/>
          </w:tcPr>
          <w:p w14:paraId="0D9EF371">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6</w:t>
            </w:r>
          </w:p>
        </w:tc>
        <w:tc>
          <w:tcPr>
            <w:tcW w:w="1330" w:type="dxa"/>
            <w:noWrap w:val="0"/>
            <w:vAlign w:val="top"/>
          </w:tcPr>
          <w:p w14:paraId="3E42851D">
            <w:pPr>
              <w:spacing w:after="0" w:line="4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保洁主管</w:t>
            </w:r>
          </w:p>
        </w:tc>
        <w:tc>
          <w:tcPr>
            <w:tcW w:w="840" w:type="dxa"/>
            <w:noWrap w:val="0"/>
            <w:vAlign w:val="top"/>
          </w:tcPr>
          <w:p w14:paraId="71D31A21">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42FA3441">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3F298C8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4357055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4D40F54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024EF9A3">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77B13E23">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71E639B7">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417B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26" w:type="dxa"/>
            <w:noWrap w:val="0"/>
            <w:vAlign w:val="top"/>
          </w:tcPr>
          <w:p w14:paraId="4F2DF9A4">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7</w:t>
            </w:r>
          </w:p>
        </w:tc>
        <w:tc>
          <w:tcPr>
            <w:tcW w:w="1330" w:type="dxa"/>
            <w:noWrap w:val="0"/>
            <w:vAlign w:val="top"/>
          </w:tcPr>
          <w:p w14:paraId="20F084C0">
            <w:pPr>
              <w:spacing w:after="0"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保洁员</w:t>
            </w:r>
          </w:p>
        </w:tc>
        <w:tc>
          <w:tcPr>
            <w:tcW w:w="840" w:type="dxa"/>
            <w:noWrap w:val="0"/>
            <w:vAlign w:val="top"/>
          </w:tcPr>
          <w:p w14:paraId="542EB51F">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482FD53C">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2A4C90F2">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3411B528">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2358DBB0">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2F0271BD">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7260C175">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79DF0E33">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34F1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26" w:type="dxa"/>
            <w:noWrap w:val="0"/>
            <w:vAlign w:val="top"/>
          </w:tcPr>
          <w:p w14:paraId="76FEA290">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8</w:t>
            </w:r>
          </w:p>
        </w:tc>
        <w:tc>
          <w:tcPr>
            <w:tcW w:w="1330" w:type="dxa"/>
            <w:noWrap w:val="0"/>
            <w:vAlign w:val="top"/>
          </w:tcPr>
          <w:p w14:paraId="1CAD4A47">
            <w:pPr>
              <w:spacing w:after="0" w:line="4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绿化主管</w:t>
            </w:r>
          </w:p>
        </w:tc>
        <w:tc>
          <w:tcPr>
            <w:tcW w:w="840" w:type="dxa"/>
            <w:noWrap w:val="0"/>
            <w:vAlign w:val="top"/>
          </w:tcPr>
          <w:p w14:paraId="338BF268">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1E9B128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6D9B7D44">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03ED5BB7">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4B2AC163">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6F375A5C">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39616BD3">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45033FB0">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3B01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26" w:type="dxa"/>
            <w:noWrap w:val="0"/>
            <w:vAlign w:val="top"/>
          </w:tcPr>
          <w:p w14:paraId="6F2ADA9A">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9</w:t>
            </w:r>
          </w:p>
        </w:tc>
        <w:tc>
          <w:tcPr>
            <w:tcW w:w="1330" w:type="dxa"/>
            <w:noWrap w:val="0"/>
            <w:vAlign w:val="top"/>
          </w:tcPr>
          <w:p w14:paraId="2286E771">
            <w:pPr>
              <w:spacing w:after="0" w:line="4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绿化员</w:t>
            </w:r>
          </w:p>
        </w:tc>
        <w:tc>
          <w:tcPr>
            <w:tcW w:w="840" w:type="dxa"/>
            <w:noWrap w:val="0"/>
            <w:vAlign w:val="top"/>
          </w:tcPr>
          <w:p w14:paraId="7BD17BC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50C22395">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34B19C83">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25CA8654">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3A840D9A">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5C908F38">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73E4E3C1">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0309AFB3">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4C89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26" w:type="dxa"/>
            <w:noWrap w:val="0"/>
            <w:vAlign w:val="top"/>
          </w:tcPr>
          <w:p w14:paraId="01F38056">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10</w:t>
            </w:r>
          </w:p>
        </w:tc>
        <w:tc>
          <w:tcPr>
            <w:tcW w:w="1330" w:type="dxa"/>
            <w:noWrap w:val="0"/>
            <w:vAlign w:val="top"/>
          </w:tcPr>
          <w:p w14:paraId="4BFAB826">
            <w:pPr>
              <w:spacing w:after="0" w:line="4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保安主管</w:t>
            </w:r>
          </w:p>
        </w:tc>
        <w:tc>
          <w:tcPr>
            <w:tcW w:w="840" w:type="dxa"/>
            <w:noWrap w:val="0"/>
            <w:vAlign w:val="top"/>
          </w:tcPr>
          <w:p w14:paraId="435839B3">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698F8024">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41E60EFA">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5A5CC4B2">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6B456E8B">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46937F1D">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346B7C72">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69B87B41">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4014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top"/>
          </w:tcPr>
          <w:p w14:paraId="5F56E206">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11</w:t>
            </w:r>
          </w:p>
        </w:tc>
        <w:tc>
          <w:tcPr>
            <w:tcW w:w="1330" w:type="dxa"/>
            <w:noWrap w:val="0"/>
            <w:vAlign w:val="top"/>
          </w:tcPr>
          <w:p w14:paraId="35819753">
            <w:pPr>
              <w:spacing w:after="0"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保安员</w:t>
            </w:r>
          </w:p>
        </w:tc>
        <w:tc>
          <w:tcPr>
            <w:tcW w:w="840" w:type="dxa"/>
            <w:noWrap w:val="0"/>
            <w:vAlign w:val="top"/>
          </w:tcPr>
          <w:p w14:paraId="165F1CE7">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64EE9BF8">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2965CC66">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30282334">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4B21C07B">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0324D1D8">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63BD330B">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3D2DC7F3">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477B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top"/>
          </w:tcPr>
          <w:p w14:paraId="27279B61">
            <w:pPr>
              <w:spacing w:after="0" w:line="400" w:lineRule="exac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12</w:t>
            </w:r>
          </w:p>
        </w:tc>
        <w:tc>
          <w:tcPr>
            <w:tcW w:w="1330" w:type="dxa"/>
            <w:noWrap w:val="0"/>
            <w:vAlign w:val="top"/>
          </w:tcPr>
          <w:p w14:paraId="05E7B597">
            <w:pPr>
              <w:spacing w:after="0" w:line="4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消控室人员</w:t>
            </w:r>
          </w:p>
        </w:tc>
        <w:tc>
          <w:tcPr>
            <w:tcW w:w="840" w:type="dxa"/>
            <w:noWrap w:val="0"/>
            <w:vAlign w:val="top"/>
          </w:tcPr>
          <w:p w14:paraId="085A6D70">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10" w:type="dxa"/>
            <w:noWrap w:val="0"/>
            <w:vAlign w:val="top"/>
          </w:tcPr>
          <w:p w14:paraId="388574AF">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50" w:type="dxa"/>
            <w:noWrap w:val="0"/>
            <w:vAlign w:val="top"/>
          </w:tcPr>
          <w:p w14:paraId="6F07329D">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870" w:type="dxa"/>
            <w:gridSpan w:val="2"/>
            <w:noWrap w:val="0"/>
            <w:vAlign w:val="top"/>
          </w:tcPr>
          <w:p w14:paraId="61C526C7">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337" w:type="dxa"/>
            <w:noWrap w:val="0"/>
            <w:vAlign w:val="top"/>
          </w:tcPr>
          <w:p w14:paraId="793BBEAB">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695" w:type="dxa"/>
            <w:noWrap w:val="0"/>
            <w:vAlign w:val="top"/>
          </w:tcPr>
          <w:p w14:paraId="4C768855">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1508" w:type="dxa"/>
            <w:gridSpan w:val="2"/>
            <w:noWrap w:val="0"/>
            <w:vAlign w:val="top"/>
          </w:tcPr>
          <w:p w14:paraId="7DCC078A">
            <w:pPr>
              <w:spacing w:after="0" w:line="400" w:lineRule="exact"/>
              <w:rPr>
                <w:rFonts w:hint="eastAsia" w:ascii="宋体" w:hAnsi="宋体" w:eastAsia="宋体" w:cs="宋体"/>
                <w:color w:val="000000" w:themeColor="text1"/>
                <w:highlight w:val="none"/>
                <w14:textFill>
                  <w14:solidFill>
                    <w14:schemeClr w14:val="tx1"/>
                  </w14:solidFill>
                </w14:textFill>
              </w:rPr>
            </w:pPr>
          </w:p>
        </w:tc>
        <w:tc>
          <w:tcPr>
            <w:tcW w:w="796" w:type="dxa"/>
            <w:noWrap w:val="0"/>
            <w:vAlign w:val="top"/>
          </w:tcPr>
          <w:p w14:paraId="3E4E2FD8">
            <w:pPr>
              <w:spacing w:after="0" w:line="400" w:lineRule="exact"/>
              <w:rPr>
                <w:rFonts w:hint="eastAsia" w:ascii="宋体" w:hAnsi="宋体" w:eastAsia="宋体" w:cs="宋体"/>
                <w:color w:val="000000" w:themeColor="text1"/>
                <w:highlight w:val="none"/>
                <w14:textFill>
                  <w14:solidFill>
                    <w14:schemeClr w14:val="tx1"/>
                  </w14:solidFill>
                </w14:textFill>
              </w:rPr>
            </w:pPr>
          </w:p>
        </w:tc>
      </w:tr>
      <w:tr w14:paraId="300A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8" w:type="dxa"/>
            <w:gridSpan w:val="9"/>
            <w:noWrap w:val="0"/>
            <w:vAlign w:val="top"/>
          </w:tcPr>
          <w:p w14:paraId="34AED99F">
            <w:pPr>
              <w:spacing w:after="0" w:line="400" w:lineRule="exact"/>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小计</w:t>
            </w:r>
          </w:p>
        </w:tc>
        <w:tc>
          <w:tcPr>
            <w:tcW w:w="1508" w:type="dxa"/>
            <w:gridSpan w:val="2"/>
            <w:noWrap w:val="0"/>
            <w:vAlign w:val="top"/>
          </w:tcPr>
          <w:p w14:paraId="1AE7C827">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p>
        </w:tc>
        <w:tc>
          <w:tcPr>
            <w:tcW w:w="796" w:type="dxa"/>
            <w:noWrap w:val="0"/>
            <w:vAlign w:val="top"/>
          </w:tcPr>
          <w:p w14:paraId="7BA58AAA">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p>
        </w:tc>
      </w:tr>
      <w:tr w14:paraId="4D11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12"/>
            <w:noWrap w:val="0"/>
            <w:vAlign w:val="top"/>
          </w:tcPr>
          <w:p w14:paraId="704BB5B9">
            <w:pPr>
              <w:spacing w:after="0" w:line="40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二、</w:t>
            </w:r>
            <w:r>
              <w:rPr>
                <w:rFonts w:hint="eastAsia" w:ascii="宋体" w:hAnsi="宋体" w:eastAsia="宋体" w:cs="宋体"/>
                <w:b/>
                <w:bCs/>
                <w:color w:val="000000" w:themeColor="text1"/>
                <w:szCs w:val="21"/>
                <w:highlight w:val="none"/>
                <w14:textFill>
                  <w14:solidFill>
                    <w14:schemeClr w14:val="tx1"/>
                  </w14:solidFill>
                </w14:textFill>
              </w:rPr>
              <w:t>办公用品、服装、装备</w:t>
            </w:r>
          </w:p>
        </w:tc>
      </w:tr>
      <w:tr w14:paraId="2873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center"/>
          </w:tcPr>
          <w:p w14:paraId="27C38DD4">
            <w:pPr>
              <w:pStyle w:val="18"/>
              <w:spacing w:after="0" w:line="400" w:lineRule="exact"/>
              <w:jc w:val="center"/>
              <w:rPr>
                <w:rFonts w:hint="eastAsia"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序号</w:t>
            </w:r>
          </w:p>
        </w:tc>
        <w:tc>
          <w:tcPr>
            <w:tcW w:w="1650" w:type="dxa"/>
            <w:gridSpan w:val="2"/>
            <w:noWrap w:val="0"/>
            <w:vAlign w:val="center"/>
          </w:tcPr>
          <w:p w14:paraId="02B86BEA">
            <w:pPr>
              <w:pStyle w:val="18"/>
              <w:spacing w:after="0" w:line="400" w:lineRule="exact"/>
              <w:jc w:val="center"/>
              <w:rPr>
                <w:rFonts w:hint="eastAsia"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费用支出项目</w:t>
            </w:r>
          </w:p>
        </w:tc>
        <w:tc>
          <w:tcPr>
            <w:tcW w:w="1475" w:type="dxa"/>
            <w:gridSpan w:val="2"/>
            <w:noWrap w:val="0"/>
            <w:vAlign w:val="center"/>
          </w:tcPr>
          <w:p w14:paraId="282212A0">
            <w:pPr>
              <w:pStyle w:val="18"/>
              <w:spacing w:after="0" w:line="400" w:lineRule="exact"/>
              <w:jc w:val="center"/>
              <w:rPr>
                <w:rFonts w:hint="eastAsia"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成本/人①</w:t>
            </w:r>
          </w:p>
        </w:tc>
        <w:tc>
          <w:tcPr>
            <w:tcW w:w="2082" w:type="dxa"/>
            <w:gridSpan w:val="2"/>
            <w:noWrap w:val="0"/>
            <w:vAlign w:val="center"/>
          </w:tcPr>
          <w:p w14:paraId="7DE7A469">
            <w:pPr>
              <w:pStyle w:val="18"/>
              <w:spacing w:after="0" w:line="400" w:lineRule="exact"/>
              <w:jc w:val="center"/>
              <w:rPr>
                <w:rFonts w:hint="eastAsia"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数量（人）②</w:t>
            </w:r>
          </w:p>
        </w:tc>
        <w:tc>
          <w:tcPr>
            <w:tcW w:w="1651" w:type="dxa"/>
            <w:gridSpan w:val="2"/>
            <w:noWrap w:val="0"/>
            <w:vAlign w:val="center"/>
          </w:tcPr>
          <w:p w14:paraId="4B727005">
            <w:pPr>
              <w:pStyle w:val="18"/>
              <w:spacing w:after="0" w:line="400" w:lineRule="exact"/>
              <w:jc w:val="center"/>
              <w:rPr>
                <w:rFonts w:hint="eastAsia"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合计：成本费用（元）③=①×②</w:t>
            </w:r>
          </w:p>
        </w:tc>
        <w:tc>
          <w:tcPr>
            <w:tcW w:w="1348" w:type="dxa"/>
            <w:gridSpan w:val="2"/>
            <w:noWrap w:val="0"/>
            <w:vAlign w:val="center"/>
          </w:tcPr>
          <w:p w14:paraId="78F049EB">
            <w:pPr>
              <w:pStyle w:val="18"/>
              <w:spacing w:after="0" w:line="400" w:lineRule="exact"/>
              <w:jc w:val="center"/>
              <w:rPr>
                <w:rFonts w:hint="eastAsia"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highlight w:val="none"/>
                <w:lang w:eastAsia="zh-CN"/>
                <w14:textFill>
                  <w14:solidFill>
                    <w14:schemeClr w14:val="tx1"/>
                  </w14:solidFill>
                </w14:textFill>
              </w:rPr>
              <w:t>备注</w:t>
            </w:r>
          </w:p>
        </w:tc>
      </w:tr>
      <w:tr w14:paraId="26D5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top"/>
          </w:tcPr>
          <w:p w14:paraId="05B00C1B">
            <w:pPr>
              <w:spacing w:after="0" w:line="400" w:lineRule="exact"/>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1</w:t>
            </w:r>
          </w:p>
        </w:tc>
        <w:tc>
          <w:tcPr>
            <w:tcW w:w="1650" w:type="dxa"/>
            <w:gridSpan w:val="2"/>
            <w:noWrap w:val="0"/>
            <w:vAlign w:val="center"/>
          </w:tcPr>
          <w:p w14:paraId="391DF112">
            <w:pPr>
              <w:pStyle w:val="18"/>
              <w:spacing w:after="0" w:line="400" w:lineRule="exact"/>
              <w:jc w:val="center"/>
              <w:rPr>
                <w:rFonts w:hint="eastAsia" w:ascii="宋体" w:hAnsi="宋体" w:eastAsia="宋体" w:cs="宋体"/>
                <w:b w:val="0"/>
                <w:bCs/>
                <w:color w:val="000000" w:themeColor="text1"/>
                <w:highlight w:val="none"/>
                <w:lang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办公用品</w:t>
            </w:r>
          </w:p>
        </w:tc>
        <w:tc>
          <w:tcPr>
            <w:tcW w:w="1475" w:type="dxa"/>
            <w:gridSpan w:val="2"/>
            <w:noWrap w:val="0"/>
            <w:vAlign w:val="top"/>
          </w:tcPr>
          <w:p w14:paraId="1229A46F">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2082" w:type="dxa"/>
            <w:gridSpan w:val="2"/>
            <w:noWrap w:val="0"/>
            <w:vAlign w:val="top"/>
          </w:tcPr>
          <w:p w14:paraId="254DC422">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1651" w:type="dxa"/>
            <w:gridSpan w:val="2"/>
            <w:noWrap w:val="0"/>
            <w:vAlign w:val="top"/>
          </w:tcPr>
          <w:p w14:paraId="03D2028D">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1348" w:type="dxa"/>
            <w:gridSpan w:val="2"/>
            <w:noWrap w:val="0"/>
            <w:vAlign w:val="top"/>
          </w:tcPr>
          <w:p w14:paraId="10B6D95D">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r>
      <w:tr w14:paraId="4B78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top"/>
          </w:tcPr>
          <w:p w14:paraId="1E72A1A8">
            <w:pPr>
              <w:spacing w:after="0" w:line="400" w:lineRule="exact"/>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2</w:t>
            </w:r>
          </w:p>
        </w:tc>
        <w:tc>
          <w:tcPr>
            <w:tcW w:w="1650" w:type="dxa"/>
            <w:gridSpan w:val="2"/>
            <w:noWrap w:val="0"/>
            <w:vAlign w:val="center"/>
          </w:tcPr>
          <w:p w14:paraId="6B5FD1DB">
            <w:pPr>
              <w:pStyle w:val="18"/>
              <w:spacing w:after="0" w:line="400" w:lineRule="exact"/>
              <w:jc w:val="center"/>
              <w:rPr>
                <w:rFonts w:hint="eastAsia" w:ascii="宋体" w:hAnsi="宋体" w:eastAsia="宋体" w:cs="宋体"/>
                <w:b w:val="0"/>
                <w:bCs/>
                <w:color w:val="000000" w:themeColor="text1"/>
                <w:highlight w:val="none"/>
                <w:lang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服装</w:t>
            </w:r>
          </w:p>
        </w:tc>
        <w:tc>
          <w:tcPr>
            <w:tcW w:w="1475" w:type="dxa"/>
            <w:gridSpan w:val="2"/>
            <w:noWrap w:val="0"/>
            <w:vAlign w:val="top"/>
          </w:tcPr>
          <w:p w14:paraId="1C89BE9E">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2082" w:type="dxa"/>
            <w:gridSpan w:val="2"/>
            <w:noWrap w:val="0"/>
            <w:vAlign w:val="top"/>
          </w:tcPr>
          <w:p w14:paraId="1694E154">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1651" w:type="dxa"/>
            <w:gridSpan w:val="2"/>
            <w:noWrap w:val="0"/>
            <w:vAlign w:val="top"/>
          </w:tcPr>
          <w:p w14:paraId="1E87F441">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1348" w:type="dxa"/>
            <w:gridSpan w:val="2"/>
            <w:noWrap w:val="0"/>
            <w:vAlign w:val="top"/>
          </w:tcPr>
          <w:p w14:paraId="206FE98F">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r>
      <w:tr w14:paraId="5FD2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top"/>
          </w:tcPr>
          <w:p w14:paraId="56DBDBC2">
            <w:pPr>
              <w:spacing w:after="0" w:line="400" w:lineRule="exact"/>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3</w:t>
            </w:r>
          </w:p>
        </w:tc>
        <w:tc>
          <w:tcPr>
            <w:tcW w:w="1650" w:type="dxa"/>
            <w:gridSpan w:val="2"/>
            <w:noWrap w:val="0"/>
            <w:vAlign w:val="center"/>
          </w:tcPr>
          <w:p w14:paraId="66550D2F">
            <w:pPr>
              <w:pStyle w:val="18"/>
              <w:spacing w:after="0" w:line="400" w:lineRule="exact"/>
              <w:jc w:val="center"/>
              <w:rPr>
                <w:rFonts w:hint="eastAsia" w:ascii="宋体" w:hAnsi="宋体" w:eastAsia="宋体" w:cs="宋体"/>
                <w:b w:val="0"/>
                <w:bCs/>
                <w:color w:val="000000" w:themeColor="text1"/>
                <w:highlight w:val="none"/>
                <w:lang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装备</w:t>
            </w:r>
          </w:p>
        </w:tc>
        <w:tc>
          <w:tcPr>
            <w:tcW w:w="1475" w:type="dxa"/>
            <w:gridSpan w:val="2"/>
            <w:noWrap w:val="0"/>
            <w:vAlign w:val="top"/>
          </w:tcPr>
          <w:p w14:paraId="037C6242">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2082" w:type="dxa"/>
            <w:gridSpan w:val="2"/>
            <w:noWrap w:val="0"/>
            <w:vAlign w:val="top"/>
          </w:tcPr>
          <w:p w14:paraId="3F43B3F1">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1651" w:type="dxa"/>
            <w:gridSpan w:val="2"/>
            <w:noWrap w:val="0"/>
            <w:vAlign w:val="top"/>
          </w:tcPr>
          <w:p w14:paraId="2479B291">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1348" w:type="dxa"/>
            <w:gridSpan w:val="2"/>
            <w:noWrap w:val="0"/>
            <w:vAlign w:val="top"/>
          </w:tcPr>
          <w:p w14:paraId="459DE733">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r>
      <w:tr w14:paraId="2236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3" w:type="dxa"/>
            <w:gridSpan w:val="8"/>
            <w:noWrap w:val="0"/>
            <w:vAlign w:val="top"/>
          </w:tcPr>
          <w:p w14:paraId="2F839F02">
            <w:pPr>
              <w:spacing w:after="0" w:line="400" w:lineRule="exact"/>
              <w:jc w:val="center"/>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highlight w:val="none"/>
                <w:lang w:eastAsia="zh-CN"/>
                <w14:textFill>
                  <w14:solidFill>
                    <w14:schemeClr w14:val="tx1"/>
                  </w14:solidFill>
                </w14:textFill>
              </w:rPr>
              <w:t>小计</w:t>
            </w:r>
          </w:p>
        </w:tc>
        <w:tc>
          <w:tcPr>
            <w:tcW w:w="1651" w:type="dxa"/>
            <w:gridSpan w:val="2"/>
            <w:noWrap w:val="0"/>
            <w:vAlign w:val="top"/>
          </w:tcPr>
          <w:p w14:paraId="0C708FCA">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c>
          <w:tcPr>
            <w:tcW w:w="1348" w:type="dxa"/>
            <w:gridSpan w:val="2"/>
            <w:noWrap w:val="0"/>
            <w:vAlign w:val="top"/>
          </w:tcPr>
          <w:p w14:paraId="300CD8AF">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p>
        </w:tc>
      </w:tr>
      <w:tr w14:paraId="55C9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12"/>
            <w:noWrap w:val="0"/>
            <w:vAlign w:val="top"/>
          </w:tcPr>
          <w:p w14:paraId="3A79BD5B">
            <w:pPr>
              <w:spacing w:after="0" w:line="400" w:lineRule="exact"/>
              <w:rPr>
                <w:rFonts w:hint="eastAsia"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szCs w:val="21"/>
                <w:highlight w:val="none"/>
                <w:lang w:eastAsia="zh-CN"/>
                <w14:textFill>
                  <w14:solidFill>
                    <w14:schemeClr w14:val="tx1"/>
                  </w14:solidFill>
                </w14:textFill>
              </w:rPr>
              <w:t>三、</w:t>
            </w:r>
            <w:r>
              <w:rPr>
                <w:rFonts w:hint="eastAsia" w:ascii="宋体" w:hAnsi="宋体" w:eastAsia="宋体" w:cs="宋体"/>
                <w:b/>
                <w:color w:val="000000" w:themeColor="text1"/>
                <w:szCs w:val="21"/>
                <w:highlight w:val="none"/>
                <w14:textFill>
                  <w14:solidFill>
                    <w14:schemeClr w14:val="tx1"/>
                  </w14:solidFill>
                </w14:textFill>
              </w:rPr>
              <w:t>管理费、利润及税费</w:t>
            </w:r>
          </w:p>
        </w:tc>
      </w:tr>
      <w:tr w14:paraId="276F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center"/>
          </w:tcPr>
          <w:p w14:paraId="0B9BB669">
            <w:pPr>
              <w:pStyle w:val="18"/>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序号</w:t>
            </w:r>
          </w:p>
        </w:tc>
        <w:tc>
          <w:tcPr>
            <w:tcW w:w="1650" w:type="dxa"/>
            <w:gridSpan w:val="2"/>
            <w:noWrap w:val="0"/>
            <w:vAlign w:val="center"/>
          </w:tcPr>
          <w:p w14:paraId="23A06072">
            <w:pPr>
              <w:pStyle w:val="18"/>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费用支出项目</w:t>
            </w:r>
          </w:p>
        </w:tc>
        <w:tc>
          <w:tcPr>
            <w:tcW w:w="1475" w:type="dxa"/>
            <w:gridSpan w:val="2"/>
            <w:noWrap w:val="0"/>
            <w:vAlign w:val="center"/>
          </w:tcPr>
          <w:p w14:paraId="23B6ACD8">
            <w:pPr>
              <w:pStyle w:val="18"/>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每月成本（元）①</w:t>
            </w:r>
          </w:p>
        </w:tc>
        <w:tc>
          <w:tcPr>
            <w:tcW w:w="2082" w:type="dxa"/>
            <w:gridSpan w:val="2"/>
            <w:noWrap w:val="0"/>
            <w:vAlign w:val="center"/>
          </w:tcPr>
          <w:p w14:paraId="67BA73D0">
            <w:pPr>
              <w:pStyle w:val="18"/>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月（</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Cs w:val="21"/>
                <w:highlight w:val="none"/>
                <w14:textFill>
                  <w14:solidFill>
                    <w14:schemeClr w14:val="tx1"/>
                  </w14:solidFill>
                </w14:textFill>
              </w:rPr>
              <w:t>年</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24</w:t>
            </w:r>
            <w:r>
              <w:rPr>
                <w:rFonts w:hint="eastAsia" w:ascii="宋体" w:hAnsi="宋体" w:eastAsia="宋体" w:cs="宋体"/>
                <w:b w:val="0"/>
                <w:bCs w:val="0"/>
                <w:color w:val="000000" w:themeColor="text1"/>
                <w:szCs w:val="21"/>
                <w:highlight w:val="none"/>
                <w14:textFill>
                  <w14:solidFill>
                    <w14:schemeClr w14:val="tx1"/>
                  </w14:solidFill>
                </w14:textFill>
              </w:rPr>
              <w:t>月）②</w:t>
            </w:r>
          </w:p>
        </w:tc>
        <w:tc>
          <w:tcPr>
            <w:tcW w:w="1651" w:type="dxa"/>
            <w:gridSpan w:val="2"/>
            <w:noWrap w:val="0"/>
            <w:vAlign w:val="center"/>
          </w:tcPr>
          <w:p w14:paraId="2606E085">
            <w:pPr>
              <w:pStyle w:val="18"/>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合计：成本费用（元）③=①×②</w:t>
            </w:r>
          </w:p>
        </w:tc>
        <w:tc>
          <w:tcPr>
            <w:tcW w:w="1348" w:type="dxa"/>
            <w:gridSpan w:val="2"/>
            <w:noWrap w:val="0"/>
            <w:vAlign w:val="center"/>
          </w:tcPr>
          <w:p w14:paraId="1974E605">
            <w:pPr>
              <w:pStyle w:val="18"/>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备注</w:t>
            </w:r>
          </w:p>
        </w:tc>
      </w:tr>
      <w:tr w14:paraId="7E56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top"/>
          </w:tcPr>
          <w:p w14:paraId="70D8706C">
            <w:pPr>
              <w:spacing w:after="0" w:line="400" w:lineRule="exact"/>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p>
        </w:tc>
        <w:tc>
          <w:tcPr>
            <w:tcW w:w="1650" w:type="dxa"/>
            <w:gridSpan w:val="2"/>
            <w:noWrap w:val="0"/>
            <w:vAlign w:val="center"/>
          </w:tcPr>
          <w:p w14:paraId="19490078">
            <w:pPr>
              <w:pStyle w:val="18"/>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管理费</w:t>
            </w:r>
          </w:p>
        </w:tc>
        <w:tc>
          <w:tcPr>
            <w:tcW w:w="1475" w:type="dxa"/>
            <w:gridSpan w:val="2"/>
            <w:noWrap w:val="0"/>
            <w:vAlign w:val="top"/>
          </w:tcPr>
          <w:p w14:paraId="153647DE">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2082" w:type="dxa"/>
            <w:gridSpan w:val="2"/>
            <w:noWrap w:val="0"/>
            <w:vAlign w:val="top"/>
          </w:tcPr>
          <w:p w14:paraId="153242F2">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1651" w:type="dxa"/>
            <w:gridSpan w:val="2"/>
            <w:noWrap w:val="0"/>
            <w:vAlign w:val="top"/>
          </w:tcPr>
          <w:p w14:paraId="5C8BE85F">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1348" w:type="dxa"/>
            <w:gridSpan w:val="2"/>
            <w:noWrap w:val="0"/>
            <w:vAlign w:val="top"/>
          </w:tcPr>
          <w:p w14:paraId="360A0401">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r>
      <w:tr w14:paraId="6A97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top"/>
          </w:tcPr>
          <w:p w14:paraId="460C2D6B">
            <w:pPr>
              <w:spacing w:after="0" w:line="400" w:lineRule="exact"/>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p>
        </w:tc>
        <w:tc>
          <w:tcPr>
            <w:tcW w:w="1650" w:type="dxa"/>
            <w:gridSpan w:val="2"/>
            <w:noWrap w:val="0"/>
            <w:vAlign w:val="center"/>
          </w:tcPr>
          <w:p w14:paraId="4B72CBE3">
            <w:pPr>
              <w:pStyle w:val="18"/>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利润</w:t>
            </w:r>
          </w:p>
        </w:tc>
        <w:tc>
          <w:tcPr>
            <w:tcW w:w="1475" w:type="dxa"/>
            <w:gridSpan w:val="2"/>
            <w:noWrap w:val="0"/>
            <w:vAlign w:val="top"/>
          </w:tcPr>
          <w:p w14:paraId="3C6B8C2C">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2082" w:type="dxa"/>
            <w:gridSpan w:val="2"/>
            <w:noWrap w:val="0"/>
            <w:vAlign w:val="top"/>
          </w:tcPr>
          <w:p w14:paraId="19A46B42">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1651" w:type="dxa"/>
            <w:gridSpan w:val="2"/>
            <w:noWrap w:val="0"/>
            <w:vAlign w:val="top"/>
          </w:tcPr>
          <w:p w14:paraId="30A70148">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1348" w:type="dxa"/>
            <w:gridSpan w:val="2"/>
            <w:noWrap w:val="0"/>
            <w:vAlign w:val="top"/>
          </w:tcPr>
          <w:p w14:paraId="11D9B93B">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r>
      <w:tr w14:paraId="5987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top"/>
          </w:tcPr>
          <w:p w14:paraId="116210AC">
            <w:pPr>
              <w:spacing w:after="0" w:line="400" w:lineRule="exact"/>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w:t>
            </w:r>
          </w:p>
        </w:tc>
        <w:tc>
          <w:tcPr>
            <w:tcW w:w="1650" w:type="dxa"/>
            <w:gridSpan w:val="2"/>
            <w:noWrap w:val="0"/>
            <w:vAlign w:val="center"/>
          </w:tcPr>
          <w:p w14:paraId="724FEB78">
            <w:pPr>
              <w:pStyle w:val="18"/>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税费</w:t>
            </w:r>
          </w:p>
        </w:tc>
        <w:tc>
          <w:tcPr>
            <w:tcW w:w="1475" w:type="dxa"/>
            <w:gridSpan w:val="2"/>
            <w:noWrap w:val="0"/>
            <w:vAlign w:val="top"/>
          </w:tcPr>
          <w:p w14:paraId="551B5A81">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2082" w:type="dxa"/>
            <w:gridSpan w:val="2"/>
            <w:noWrap w:val="0"/>
            <w:vAlign w:val="top"/>
          </w:tcPr>
          <w:p w14:paraId="526682B1">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1651" w:type="dxa"/>
            <w:gridSpan w:val="2"/>
            <w:noWrap w:val="0"/>
            <w:vAlign w:val="top"/>
          </w:tcPr>
          <w:p w14:paraId="4ED81732">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1348" w:type="dxa"/>
            <w:gridSpan w:val="2"/>
            <w:noWrap w:val="0"/>
            <w:vAlign w:val="top"/>
          </w:tcPr>
          <w:p w14:paraId="4DD477F4">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r>
      <w:tr w14:paraId="4B9A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3" w:type="dxa"/>
            <w:gridSpan w:val="8"/>
            <w:noWrap w:val="0"/>
            <w:vAlign w:val="top"/>
          </w:tcPr>
          <w:p w14:paraId="1E13C72F">
            <w:pPr>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小计</w:t>
            </w:r>
          </w:p>
        </w:tc>
        <w:tc>
          <w:tcPr>
            <w:tcW w:w="1651" w:type="dxa"/>
            <w:gridSpan w:val="2"/>
            <w:noWrap w:val="0"/>
            <w:vAlign w:val="top"/>
          </w:tcPr>
          <w:p w14:paraId="188B27D2">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c>
          <w:tcPr>
            <w:tcW w:w="1348" w:type="dxa"/>
            <w:gridSpan w:val="2"/>
            <w:noWrap w:val="0"/>
            <w:vAlign w:val="top"/>
          </w:tcPr>
          <w:p w14:paraId="5CDFE568">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p>
        </w:tc>
      </w:tr>
      <w:tr w14:paraId="4676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62" w:type="dxa"/>
            <w:gridSpan w:val="12"/>
            <w:noWrap w:val="0"/>
            <w:vAlign w:val="top"/>
          </w:tcPr>
          <w:p w14:paraId="30F709F4">
            <w:pPr>
              <w:spacing w:after="0" w:line="40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四、其他费用</w:t>
            </w:r>
          </w:p>
        </w:tc>
      </w:tr>
      <w:tr w14:paraId="2C92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center"/>
          </w:tcPr>
          <w:p w14:paraId="2A6E180E">
            <w:pPr>
              <w:pStyle w:val="18"/>
              <w:spacing w:after="0" w:line="40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650" w:type="dxa"/>
            <w:gridSpan w:val="2"/>
            <w:noWrap w:val="0"/>
            <w:vAlign w:val="center"/>
          </w:tcPr>
          <w:p w14:paraId="78D68460">
            <w:pPr>
              <w:pStyle w:val="18"/>
              <w:spacing w:after="0" w:line="40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费用支出项目</w:t>
            </w:r>
          </w:p>
        </w:tc>
        <w:tc>
          <w:tcPr>
            <w:tcW w:w="1475" w:type="dxa"/>
            <w:gridSpan w:val="2"/>
            <w:noWrap w:val="0"/>
            <w:vAlign w:val="center"/>
          </w:tcPr>
          <w:p w14:paraId="4B9DE93B">
            <w:pPr>
              <w:pStyle w:val="18"/>
              <w:spacing w:after="0" w:line="40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每月成本（元）①</w:t>
            </w:r>
          </w:p>
        </w:tc>
        <w:tc>
          <w:tcPr>
            <w:tcW w:w="2082" w:type="dxa"/>
            <w:gridSpan w:val="2"/>
            <w:noWrap w:val="0"/>
            <w:vAlign w:val="center"/>
          </w:tcPr>
          <w:p w14:paraId="1583A38C">
            <w:pPr>
              <w:pStyle w:val="18"/>
              <w:spacing w:after="0" w:line="40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lang w:val="en-US" w:eastAsia="zh-CN"/>
                <w14:textFill>
                  <w14:solidFill>
                    <w14:schemeClr w14:val="tx1"/>
                  </w14:solidFill>
                </w14:textFill>
              </w:rPr>
              <w:t>24</w:t>
            </w:r>
            <w:r>
              <w:rPr>
                <w:rFonts w:hint="eastAsia" w:ascii="宋体" w:hAnsi="宋体" w:eastAsia="宋体" w:cs="宋体"/>
                <w:color w:val="000000" w:themeColor="text1"/>
                <w:szCs w:val="21"/>
                <w:highlight w:val="none"/>
                <w14:textFill>
                  <w14:solidFill>
                    <w14:schemeClr w14:val="tx1"/>
                  </w14:solidFill>
                </w14:textFill>
              </w:rPr>
              <w:t>月）②</w:t>
            </w:r>
          </w:p>
        </w:tc>
        <w:tc>
          <w:tcPr>
            <w:tcW w:w="1651" w:type="dxa"/>
            <w:gridSpan w:val="2"/>
            <w:noWrap w:val="0"/>
            <w:vAlign w:val="center"/>
          </w:tcPr>
          <w:p w14:paraId="04B4D3A0">
            <w:pPr>
              <w:pStyle w:val="18"/>
              <w:spacing w:after="0" w:line="40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合计：成本费用（元）③=①×②</w:t>
            </w:r>
          </w:p>
        </w:tc>
        <w:tc>
          <w:tcPr>
            <w:tcW w:w="1348" w:type="dxa"/>
            <w:gridSpan w:val="2"/>
            <w:noWrap w:val="0"/>
            <w:vAlign w:val="center"/>
          </w:tcPr>
          <w:p w14:paraId="6A8919F5">
            <w:pPr>
              <w:pStyle w:val="18"/>
              <w:spacing w:after="0" w:line="40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备注</w:t>
            </w:r>
          </w:p>
        </w:tc>
      </w:tr>
      <w:tr w14:paraId="4F0A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top"/>
          </w:tcPr>
          <w:p w14:paraId="5FA797C1">
            <w:pPr>
              <w:spacing w:after="0" w:line="400" w:lineRule="exact"/>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p>
        </w:tc>
        <w:tc>
          <w:tcPr>
            <w:tcW w:w="1650" w:type="dxa"/>
            <w:gridSpan w:val="2"/>
            <w:noWrap w:val="0"/>
            <w:vAlign w:val="top"/>
          </w:tcPr>
          <w:p w14:paraId="7C4704EC">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其他费用</w:t>
            </w:r>
          </w:p>
        </w:tc>
        <w:tc>
          <w:tcPr>
            <w:tcW w:w="1475" w:type="dxa"/>
            <w:gridSpan w:val="2"/>
            <w:noWrap w:val="0"/>
            <w:vAlign w:val="top"/>
          </w:tcPr>
          <w:p w14:paraId="048EE63E">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c>
          <w:tcPr>
            <w:tcW w:w="2082" w:type="dxa"/>
            <w:gridSpan w:val="2"/>
            <w:noWrap w:val="0"/>
            <w:vAlign w:val="top"/>
          </w:tcPr>
          <w:p w14:paraId="11D53D7C">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c>
          <w:tcPr>
            <w:tcW w:w="1651" w:type="dxa"/>
            <w:gridSpan w:val="2"/>
            <w:noWrap w:val="0"/>
            <w:vAlign w:val="top"/>
          </w:tcPr>
          <w:p w14:paraId="4697FC0E">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c>
          <w:tcPr>
            <w:tcW w:w="1348" w:type="dxa"/>
            <w:gridSpan w:val="2"/>
            <w:noWrap w:val="0"/>
            <w:vAlign w:val="top"/>
          </w:tcPr>
          <w:p w14:paraId="6A29BE20">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r>
      <w:tr w14:paraId="7E59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6" w:type="dxa"/>
            <w:gridSpan w:val="2"/>
            <w:noWrap w:val="0"/>
            <w:vAlign w:val="top"/>
          </w:tcPr>
          <w:p w14:paraId="0591E8A8">
            <w:pPr>
              <w:spacing w:after="0" w:line="400" w:lineRule="exact"/>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p>
        </w:tc>
        <w:tc>
          <w:tcPr>
            <w:tcW w:w="1650" w:type="dxa"/>
            <w:gridSpan w:val="2"/>
            <w:noWrap w:val="0"/>
            <w:vAlign w:val="top"/>
          </w:tcPr>
          <w:p w14:paraId="19BFCE08">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c>
          <w:tcPr>
            <w:tcW w:w="1475" w:type="dxa"/>
            <w:gridSpan w:val="2"/>
            <w:noWrap w:val="0"/>
            <w:vAlign w:val="top"/>
          </w:tcPr>
          <w:p w14:paraId="6ACD75BF">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c>
          <w:tcPr>
            <w:tcW w:w="2082" w:type="dxa"/>
            <w:gridSpan w:val="2"/>
            <w:noWrap w:val="0"/>
            <w:vAlign w:val="top"/>
          </w:tcPr>
          <w:p w14:paraId="37A9289D">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c>
          <w:tcPr>
            <w:tcW w:w="1651" w:type="dxa"/>
            <w:gridSpan w:val="2"/>
            <w:noWrap w:val="0"/>
            <w:vAlign w:val="top"/>
          </w:tcPr>
          <w:p w14:paraId="78E4A71B">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c>
          <w:tcPr>
            <w:tcW w:w="1348" w:type="dxa"/>
            <w:gridSpan w:val="2"/>
            <w:noWrap w:val="0"/>
            <w:vAlign w:val="top"/>
          </w:tcPr>
          <w:p w14:paraId="3C5C68B8">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r>
      <w:tr w14:paraId="038B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3" w:type="dxa"/>
            <w:gridSpan w:val="8"/>
            <w:noWrap w:val="0"/>
            <w:vAlign w:val="top"/>
          </w:tcPr>
          <w:p w14:paraId="6B07F807">
            <w:pPr>
              <w:spacing w:after="0" w:line="400" w:lineRule="exact"/>
              <w:jc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小计</w:t>
            </w:r>
          </w:p>
        </w:tc>
        <w:tc>
          <w:tcPr>
            <w:tcW w:w="1651" w:type="dxa"/>
            <w:gridSpan w:val="2"/>
            <w:noWrap w:val="0"/>
            <w:vAlign w:val="top"/>
          </w:tcPr>
          <w:p w14:paraId="37D5C4F6">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c>
          <w:tcPr>
            <w:tcW w:w="1348" w:type="dxa"/>
            <w:gridSpan w:val="2"/>
            <w:noWrap w:val="0"/>
            <w:vAlign w:val="top"/>
          </w:tcPr>
          <w:p w14:paraId="175AFFEE">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p>
        </w:tc>
      </w:tr>
      <w:tr w14:paraId="51A5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12"/>
            <w:noWrap w:val="0"/>
            <w:vAlign w:val="top"/>
          </w:tcPr>
          <w:p w14:paraId="73AD48FF">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五、</w:t>
            </w:r>
            <w:r>
              <w:rPr>
                <w:rFonts w:hint="eastAsia" w:ascii="宋体" w:hAnsi="宋体" w:eastAsia="宋体" w:cs="宋体"/>
                <w:b/>
                <w:color w:val="000000" w:themeColor="text1"/>
                <w:szCs w:val="21"/>
                <w:highlight w:val="none"/>
                <w14:textFill>
                  <w14:solidFill>
                    <w14:schemeClr w14:val="tx1"/>
                  </w14:solidFill>
                </w14:textFill>
              </w:rPr>
              <w:t>总费用</w:t>
            </w:r>
            <w:r>
              <w:rPr>
                <w:rFonts w:hint="eastAsia" w:ascii="宋体" w:hAnsi="宋体" w:eastAsia="宋体" w:cs="宋体"/>
                <w:b/>
                <w:bCs w:val="0"/>
                <w:color w:val="000000" w:themeColor="text1"/>
                <w:szCs w:val="21"/>
                <w:highlight w:val="none"/>
                <w14:textFill>
                  <w14:solidFill>
                    <w14:schemeClr w14:val="tx1"/>
                  </w14:solidFill>
                </w14:textFill>
              </w:rPr>
              <w:t xml:space="preserve">合计 = 一 + 二 + 三 + 四 </w:t>
            </w:r>
          </w:p>
        </w:tc>
      </w:tr>
      <w:tr w14:paraId="6F33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12"/>
            <w:noWrap w:val="0"/>
            <w:vAlign w:val="top"/>
          </w:tcPr>
          <w:p w14:paraId="49DE2F5A">
            <w:pPr>
              <w:spacing w:after="0" w:line="400" w:lineRule="exact"/>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大写（人民币）：                          （</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xml:space="preserve">                ）</w:t>
            </w:r>
          </w:p>
        </w:tc>
      </w:tr>
    </w:tbl>
    <w:p w14:paraId="2049DB9E">
      <w:pPr>
        <w:spacing w:line="360" w:lineRule="auto"/>
        <w:jc w:val="left"/>
        <w:rPr>
          <w:rStyle w:val="252"/>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注：如觉得本表内容不够详细，可自行增添栏目，但必须有以上内容，否则，投标无效。</w:t>
      </w:r>
    </w:p>
    <w:p w14:paraId="7F555654">
      <w:pPr>
        <w:pStyle w:val="2"/>
        <w:ind w:left="0" w:leftChars="0" w:firstLine="0" w:firstLineChars="0"/>
        <w:rPr>
          <w:rFonts w:hint="eastAsia" w:ascii="宋体" w:hAnsi="宋体" w:eastAsia="宋体" w:cs="宋体"/>
          <w:b/>
          <w:bCs/>
          <w:color w:val="000000" w:themeColor="text1"/>
          <w:highlight w:val="none"/>
          <w:lang w:val="en-US" w:eastAsia="zh-CN"/>
          <w14:textFill>
            <w14:solidFill>
              <w14:schemeClr w14:val="tx1"/>
            </w14:solidFill>
          </w14:textFill>
        </w:rPr>
      </w:pPr>
    </w:p>
    <w:p w14:paraId="5C476D1B">
      <w:pPr>
        <w:pStyle w:val="2"/>
        <w:numPr>
          <w:ilvl w:val="0"/>
          <w:numId w:val="9"/>
        </w:numP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服务管理质量保证及考评</w:t>
      </w:r>
    </w:p>
    <w:p w14:paraId="06DF8471">
      <w:pPr>
        <w:adjustRightInd w:val="0"/>
        <w:snapToGrid w:val="0"/>
        <w:spacing w:line="440" w:lineRule="exact"/>
        <w:ind w:firstLine="422"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（一）监督管理:</w:t>
      </w:r>
      <w:r>
        <w:rPr>
          <w:rFonts w:hint="eastAsia" w:ascii="宋体" w:hAnsi="宋体" w:eastAsia="宋体" w:cs="宋体"/>
          <w:color w:val="000000" w:themeColor="text1"/>
          <w:szCs w:val="21"/>
          <w:highlight w:val="none"/>
          <w14:textFill>
            <w14:solidFill>
              <w14:schemeClr w14:val="tx1"/>
            </w14:solidFill>
          </w14:textFill>
        </w:rPr>
        <w:t>党校下设专门机构负责对本次招标项目进行日常管理，投标人须接受监督、检查与指导。</w:t>
      </w:r>
    </w:p>
    <w:p w14:paraId="14DC6351">
      <w:pPr>
        <w:adjustRightInd w:val="0"/>
        <w:snapToGrid w:val="0"/>
        <w:spacing w:line="440" w:lineRule="exact"/>
        <w:ind w:firstLine="422"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（二）质量评估：</w:t>
      </w:r>
      <w:r>
        <w:rPr>
          <w:rFonts w:hint="eastAsia" w:ascii="宋体" w:hAnsi="宋体" w:eastAsia="宋体" w:cs="宋体"/>
          <w:color w:val="000000" w:themeColor="text1"/>
          <w:szCs w:val="21"/>
          <w:highlight w:val="none"/>
          <w14:textFill>
            <w14:solidFill>
              <w14:schemeClr w14:val="tx1"/>
            </w14:solidFill>
          </w14:textFill>
        </w:rPr>
        <w:t>党校监管人员根据服务人员、服务内容、质量标准、服务要求每月对中标人进行一次考评，考评满分为100分（含日常监督考评50分，教职工、学员满意度测评30分，考评小组评分20分），党校根据综合得分情况进行处罚，具体如下：</w:t>
      </w:r>
    </w:p>
    <w:p w14:paraId="5025E849">
      <w:pPr>
        <w:adjustRightInd w:val="0"/>
        <w:snapToGrid w:val="0"/>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①综合得分≥90分，合格；</w:t>
      </w:r>
    </w:p>
    <w:p w14:paraId="3381E8D4">
      <w:pPr>
        <w:adjustRightInd w:val="0"/>
        <w:snapToGrid w:val="0"/>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②85分≤综合得分﹤90分，每月须缴纳处罚金1万元；</w:t>
      </w:r>
    </w:p>
    <w:p w14:paraId="0A669026">
      <w:pPr>
        <w:adjustRightInd w:val="0"/>
        <w:snapToGrid w:val="0"/>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③80分≤综合得分﹤85分，每月须缴纳处罚金2万元；</w:t>
      </w:r>
    </w:p>
    <w:p w14:paraId="32EDA9AB">
      <w:pPr>
        <w:adjustRightInd w:val="0"/>
        <w:snapToGrid w:val="0"/>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④综合得分﹤80分，每月须缴纳处罚金3万元，党校有权要求中标人更换本项目负责人，限期整改；</w:t>
      </w:r>
    </w:p>
    <w:p w14:paraId="77F065D4">
      <w:pPr>
        <w:adjustRightInd w:val="0"/>
        <w:snapToGrid w:val="0"/>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⑤一年内有二次﹤80分的，党校有权提前解除服务合同。</w:t>
      </w:r>
    </w:p>
    <w:p w14:paraId="0B0B2ED5">
      <w:pPr>
        <w:pStyle w:val="254"/>
        <w:spacing w:line="44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处罚金未足额缴纳不予拨付当月合同款。</w:t>
      </w:r>
    </w:p>
    <w:p w14:paraId="6DC20EE0">
      <w:pPr>
        <w:adjustRightInd w:val="0"/>
        <w:snapToGrid w:val="0"/>
        <w:spacing w:line="440" w:lineRule="exact"/>
        <w:ind w:firstLine="422" w:firstLineChars="200"/>
        <w:rPr>
          <w:rFonts w:hint="eastAsia" w:ascii="宋体" w:hAnsi="宋体" w:eastAsia="宋体" w:cs="宋体"/>
          <w:b/>
          <w:bCs/>
          <w:color w:val="000000" w:themeColor="text1"/>
          <w:szCs w:val="21"/>
          <w:highlight w:val="none"/>
          <w14:textFill>
            <w14:solidFill>
              <w14:schemeClr w14:val="tx1"/>
            </w14:solidFill>
          </w14:textFill>
        </w:rPr>
      </w:pPr>
    </w:p>
    <w:p w14:paraId="30DDB867">
      <w:pPr>
        <w:adjustRightInd w:val="0"/>
        <w:snapToGrid w:val="0"/>
        <w:spacing w:line="440" w:lineRule="exact"/>
        <w:ind w:firstLine="422" w:firstLineChars="200"/>
        <w:rPr>
          <w:rFonts w:hint="eastAsia" w:ascii="宋体" w:hAnsi="宋体" w:eastAsia="宋体" w:cs="宋体"/>
          <w:b/>
          <w:bCs/>
          <w:color w:val="000000" w:themeColor="text1"/>
          <w:szCs w:val="21"/>
          <w:highlight w:val="none"/>
          <w14:textFill>
            <w14:solidFill>
              <w14:schemeClr w14:val="tx1"/>
            </w14:solidFill>
          </w14:textFill>
        </w:rPr>
      </w:pPr>
    </w:p>
    <w:p w14:paraId="1A87A860">
      <w:pPr>
        <w:adjustRightInd w:val="0"/>
        <w:snapToGrid w:val="0"/>
        <w:spacing w:line="440" w:lineRule="exact"/>
        <w:ind w:firstLine="422"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（质量评估表如下）</w:t>
      </w:r>
    </w:p>
    <w:p w14:paraId="33F2AC61">
      <w:pPr>
        <w:pStyle w:val="15"/>
        <w:spacing w:line="440" w:lineRule="exact"/>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p>
    <w:p w14:paraId="0D71837B">
      <w:pPr>
        <w:pStyle w:val="15"/>
        <w:spacing w:line="440" w:lineRule="exact"/>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p>
    <w:p w14:paraId="1B98D243">
      <w:pPr>
        <w:rPr>
          <w:rFonts w:hint="eastAsia" w:ascii="宋体" w:hAnsi="宋体" w:eastAsia="宋体" w:cs="宋体"/>
          <w:b/>
          <w:bCs/>
          <w:color w:val="000000" w:themeColor="text1"/>
          <w:szCs w:val="21"/>
          <w:highlight w:val="none"/>
          <w14:textFill>
            <w14:solidFill>
              <w14:schemeClr w14:val="tx1"/>
            </w14:solidFill>
          </w14:textFill>
        </w:rPr>
      </w:pPr>
    </w:p>
    <w:p w14:paraId="59009F43">
      <w:pPr>
        <w:pStyle w:val="15"/>
        <w:rPr>
          <w:rFonts w:hint="eastAsia" w:ascii="宋体" w:hAnsi="宋体" w:eastAsia="宋体" w:cs="宋体"/>
          <w:b/>
          <w:bCs/>
          <w:color w:val="000000" w:themeColor="text1"/>
          <w:sz w:val="21"/>
          <w:szCs w:val="21"/>
          <w:highlight w:val="none"/>
          <w14:textFill>
            <w14:solidFill>
              <w14:schemeClr w14:val="tx1"/>
            </w14:solidFill>
          </w14:textFill>
        </w:rPr>
      </w:pPr>
    </w:p>
    <w:tbl>
      <w:tblPr>
        <w:tblStyle w:val="32"/>
        <w:tblW w:w="9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020"/>
        <w:gridCol w:w="4335"/>
        <w:gridCol w:w="1770"/>
        <w:gridCol w:w="660"/>
        <w:gridCol w:w="660"/>
        <w:gridCol w:w="752"/>
      </w:tblGrid>
      <w:tr w14:paraId="2156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87" w:type="dxa"/>
            <w:gridSpan w:val="6"/>
            <w:tcBorders>
              <w:top w:val="nil"/>
              <w:left w:val="nil"/>
              <w:bottom w:val="nil"/>
              <w:right w:val="nil"/>
            </w:tcBorders>
            <w:noWrap w:val="0"/>
            <w:vAlign w:val="center"/>
          </w:tcPr>
          <w:p w14:paraId="0AD2CB5F">
            <w:pPr>
              <w:keepNext w:val="0"/>
              <w:keepLines w:val="0"/>
              <w:pageBreakBefore w:val="0"/>
              <w:widowControl/>
              <w:kinsoku/>
              <w:wordWrap/>
              <w:overflowPunct/>
              <w:topLinePunct w:val="0"/>
              <w:autoSpaceDE/>
              <w:autoSpaceDN/>
              <w:bidi w:val="0"/>
              <w:spacing w:line="360" w:lineRule="exact"/>
              <w:ind w:firstLine="422" w:firstLineChars="200"/>
              <w:jc w:val="lef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评估时间：    年  月   日</w:t>
            </w:r>
          </w:p>
        </w:tc>
        <w:tc>
          <w:tcPr>
            <w:tcW w:w="752" w:type="dxa"/>
            <w:tcBorders>
              <w:top w:val="nil"/>
              <w:left w:val="nil"/>
              <w:bottom w:val="nil"/>
              <w:right w:val="nil"/>
            </w:tcBorders>
            <w:noWrap w:val="0"/>
            <w:vAlign w:val="center"/>
          </w:tcPr>
          <w:p w14:paraId="35BDA054">
            <w:pPr>
              <w:keepNext w:val="0"/>
              <w:keepLines w:val="0"/>
              <w:pageBreakBefore w:val="0"/>
              <w:widowControl/>
              <w:kinsoku/>
              <w:wordWrap/>
              <w:overflowPunct/>
              <w:topLinePunct w:val="0"/>
              <w:autoSpaceDE/>
              <w:autoSpaceDN/>
              <w:bidi w:val="0"/>
              <w:spacing w:line="360" w:lineRule="exact"/>
              <w:ind w:firstLine="422" w:firstLineChars="200"/>
              <w:jc w:val="left"/>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7A2A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87" w:type="dxa"/>
            <w:gridSpan w:val="6"/>
            <w:tcBorders>
              <w:top w:val="nil"/>
              <w:left w:val="nil"/>
              <w:bottom w:val="single" w:color="auto" w:sz="4" w:space="0"/>
              <w:right w:val="nil"/>
            </w:tcBorders>
            <w:noWrap w:val="0"/>
            <w:vAlign w:val="center"/>
          </w:tcPr>
          <w:p w14:paraId="39CDD60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（满分：100分）</w:t>
            </w:r>
          </w:p>
        </w:tc>
        <w:tc>
          <w:tcPr>
            <w:tcW w:w="752" w:type="dxa"/>
            <w:tcBorders>
              <w:top w:val="nil"/>
              <w:left w:val="nil"/>
              <w:bottom w:val="single" w:color="auto" w:sz="4" w:space="0"/>
              <w:right w:val="nil"/>
            </w:tcBorders>
            <w:noWrap w:val="0"/>
            <w:vAlign w:val="center"/>
          </w:tcPr>
          <w:p w14:paraId="02CEA222">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2545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762" w:type="dxa"/>
            <w:gridSpan w:val="2"/>
            <w:tcBorders>
              <w:top w:val="single" w:color="auto" w:sz="4" w:space="0"/>
            </w:tcBorders>
            <w:noWrap w:val="0"/>
            <w:vAlign w:val="center"/>
          </w:tcPr>
          <w:p w14:paraId="4B122529">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类别及内容</w:t>
            </w:r>
          </w:p>
        </w:tc>
        <w:tc>
          <w:tcPr>
            <w:tcW w:w="4335" w:type="dxa"/>
            <w:tcBorders>
              <w:top w:val="single" w:color="auto" w:sz="4" w:space="0"/>
            </w:tcBorders>
            <w:noWrap w:val="0"/>
            <w:vAlign w:val="center"/>
          </w:tcPr>
          <w:p w14:paraId="15EB1022">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服务标准</w:t>
            </w:r>
          </w:p>
        </w:tc>
        <w:tc>
          <w:tcPr>
            <w:tcW w:w="1770" w:type="dxa"/>
            <w:tcBorders>
              <w:top w:val="single" w:color="auto" w:sz="4" w:space="0"/>
            </w:tcBorders>
            <w:noWrap w:val="0"/>
            <w:vAlign w:val="center"/>
          </w:tcPr>
          <w:p w14:paraId="0F2996CF">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评分标准</w:t>
            </w:r>
          </w:p>
        </w:tc>
        <w:tc>
          <w:tcPr>
            <w:tcW w:w="660" w:type="dxa"/>
            <w:tcBorders>
              <w:top w:val="single" w:color="auto" w:sz="4" w:space="0"/>
            </w:tcBorders>
            <w:noWrap w:val="0"/>
            <w:vAlign w:val="center"/>
          </w:tcPr>
          <w:p w14:paraId="734AAEF2">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评估得分</w:t>
            </w:r>
          </w:p>
        </w:tc>
        <w:tc>
          <w:tcPr>
            <w:tcW w:w="660" w:type="dxa"/>
            <w:tcBorders>
              <w:top w:val="single" w:color="auto" w:sz="4" w:space="0"/>
            </w:tcBorders>
            <w:noWrap w:val="0"/>
            <w:vAlign w:val="center"/>
          </w:tcPr>
          <w:p w14:paraId="0FF31EB5">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扣分</w:t>
            </w:r>
          </w:p>
        </w:tc>
        <w:tc>
          <w:tcPr>
            <w:tcW w:w="752" w:type="dxa"/>
            <w:tcBorders>
              <w:top w:val="single" w:color="auto" w:sz="4" w:space="0"/>
            </w:tcBorders>
            <w:noWrap w:val="0"/>
            <w:vAlign w:val="center"/>
          </w:tcPr>
          <w:p w14:paraId="7C93E617">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扣分说明</w:t>
            </w:r>
          </w:p>
        </w:tc>
      </w:tr>
      <w:tr w14:paraId="7BDF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762" w:type="dxa"/>
            <w:gridSpan w:val="2"/>
            <w:noWrap w:val="0"/>
            <w:vAlign w:val="center"/>
          </w:tcPr>
          <w:p w14:paraId="548A232E">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人员配置（10分）</w:t>
            </w:r>
          </w:p>
        </w:tc>
        <w:tc>
          <w:tcPr>
            <w:tcW w:w="4335" w:type="dxa"/>
            <w:noWrap w:val="0"/>
            <w:vAlign w:val="center"/>
          </w:tcPr>
          <w:p w14:paraId="030C32E6">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各岗位工作人员的数量、学历、经历、年龄等情况。</w:t>
            </w:r>
          </w:p>
        </w:tc>
        <w:tc>
          <w:tcPr>
            <w:tcW w:w="1770" w:type="dxa"/>
            <w:noWrap w:val="0"/>
            <w:vAlign w:val="center"/>
          </w:tcPr>
          <w:p w14:paraId="7C7BED30">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不达标的，每个内容扣1分；缺岗超过半个月仍未到位的，每人扣5分，扣完为止。</w:t>
            </w:r>
          </w:p>
        </w:tc>
        <w:tc>
          <w:tcPr>
            <w:tcW w:w="660" w:type="dxa"/>
            <w:noWrap w:val="0"/>
            <w:vAlign w:val="center"/>
          </w:tcPr>
          <w:p w14:paraId="7D30220D">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　</w:t>
            </w:r>
          </w:p>
        </w:tc>
        <w:tc>
          <w:tcPr>
            <w:tcW w:w="660" w:type="dxa"/>
            <w:noWrap w:val="0"/>
            <w:vAlign w:val="center"/>
          </w:tcPr>
          <w:p w14:paraId="163F7B5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　</w:t>
            </w:r>
          </w:p>
        </w:tc>
        <w:tc>
          <w:tcPr>
            <w:tcW w:w="752" w:type="dxa"/>
            <w:noWrap w:val="0"/>
            <w:vAlign w:val="center"/>
          </w:tcPr>
          <w:p w14:paraId="2FBBE85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7AE2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restart"/>
            <w:noWrap w:val="0"/>
            <w:vAlign w:val="center"/>
          </w:tcPr>
          <w:p w14:paraId="2B933919">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卫生保洁服务（15分）</w:t>
            </w:r>
          </w:p>
        </w:tc>
        <w:tc>
          <w:tcPr>
            <w:tcW w:w="1020" w:type="dxa"/>
            <w:noWrap w:val="0"/>
            <w:vAlign w:val="center"/>
          </w:tcPr>
          <w:p w14:paraId="69450B0B">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室内（各大中心</w:t>
            </w:r>
            <w:r>
              <w:rPr>
                <w:rFonts w:hint="eastAsia" w:ascii="宋体" w:hAnsi="宋体" w:eastAsia="宋体" w:cs="宋体"/>
                <w:b/>
                <w:bCs/>
                <w:color w:val="000000" w:themeColor="text1"/>
                <w:szCs w:val="21"/>
                <w:highlight w:val="none"/>
                <w14:textFill>
                  <w14:solidFill>
                    <w14:schemeClr w14:val="tx1"/>
                  </w14:solidFill>
                </w14:textFill>
              </w:rPr>
              <w:t>公共区域</w:t>
            </w:r>
            <w:r>
              <w:rPr>
                <w:rFonts w:hint="eastAsia" w:ascii="宋体" w:hAnsi="宋体" w:eastAsia="宋体" w:cs="宋体"/>
                <w:b/>
                <w:bCs/>
                <w:color w:val="000000" w:themeColor="text1"/>
                <w:kern w:val="0"/>
                <w:szCs w:val="21"/>
                <w:highlight w:val="none"/>
                <w14:textFill>
                  <w14:solidFill>
                    <w14:schemeClr w14:val="tx1"/>
                  </w14:solidFill>
                </w14:textFill>
              </w:rPr>
              <w:t>）卫生清洁标准（4分）</w:t>
            </w:r>
          </w:p>
        </w:tc>
        <w:tc>
          <w:tcPr>
            <w:tcW w:w="4335" w:type="dxa"/>
            <w:noWrap w:val="0"/>
            <w:vAlign w:val="center"/>
          </w:tcPr>
          <w:p w14:paraId="312D3A61">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1.墙裙（面）：每周至少清扫1次，保持无尘迹、无污垢、无蜘蛛网。</w:t>
            </w:r>
          </w:p>
          <w:p w14:paraId="1F80BDFA">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2.楼顶:每个月至少清扫2次，保持无垃圾、排水口不堵塞、无蜘蛛网。</w:t>
            </w:r>
          </w:p>
          <w:p w14:paraId="2BCE5154">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3.楼面：每个月至少清扫2次，保持楼面无蜘蛛网。</w:t>
            </w:r>
          </w:p>
          <w:p w14:paraId="546D217C">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4.卫生间:每天按需冲洗刷、至少拖地2次、至少消毒2次，保持卫生间无异味，地面、洗手台无积水，马桶、蹲坑瓷盆无污垢、无蜘蛛网。</w:t>
            </w:r>
          </w:p>
          <w:p w14:paraId="20CDD629">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5.走廊、通道：地板每天至少保洁2次，每月至少保养1次；玻璃窗每两周抹一次；垃圾桶一天一清；消防栓、灯开关等一周抹一次。保持地面无污垢、无垃圾、无蜘蛛网。</w:t>
            </w:r>
          </w:p>
          <w:p w14:paraId="556E3848">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6.楼梯：每天至少保洁1次，保持楼梯无污垢、无垃圾、无蜘蛛网。</w:t>
            </w:r>
          </w:p>
          <w:p w14:paraId="61D763D9">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7.垃圾桶：每天至少清理1次，每周至少清洗2次，保持垃圾桶内、外表干净、无蜘蛛网，桶内无异味。</w:t>
            </w:r>
          </w:p>
          <w:p w14:paraId="12539AED">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8.扶手：每周至少擦3次，每个学期上油保养一次，保持扶手无尘迹、无蜘蛛网。</w:t>
            </w:r>
          </w:p>
          <w:p w14:paraId="7C6FCE7B">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9.大堂：</w:t>
            </w:r>
            <w:r>
              <w:rPr>
                <w:rFonts w:hint="eastAsia" w:ascii="宋体" w:hAnsi="宋体" w:eastAsia="宋体" w:cs="宋体"/>
                <w:color w:val="000000" w:themeColor="text1"/>
                <w:szCs w:val="21"/>
                <w:highlight w:val="none"/>
                <w14:textFill>
                  <w14:solidFill>
                    <w14:schemeClr w14:val="tx1"/>
                  </w14:solidFill>
                </w14:textFill>
              </w:rPr>
              <w:t>一层地板至少每天早上保洁1次、中午保洁1次，每月至少保养1次；二层地板至少每天保洁1次；玻璃每月至少清刮1次；天花板每周至少清扫1次。</w:t>
            </w:r>
          </w:p>
          <w:p w14:paraId="49487911">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10.电梯：每周至少上不锈钢油1次；每天随时检查，地毯1天1换，保持电梯光亮、无污垢、无蜘蛛网。</w:t>
            </w:r>
          </w:p>
          <w:p w14:paraId="66514F85">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地毯、窗帘、家具、设备设施：地毯每年至少清洗保养2次；窗帘每年至少清洗保养1次；家具每月至少保养1次；设备设施每周至少擦3次。保持地毯和窗帘干净清洁、无蜘蛛网；家具光亮、无蜘蛛网；设备设施干净清洁、无蜘蛛网。</w:t>
            </w:r>
          </w:p>
          <w:p w14:paraId="45A4AE9E">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12.内庭：每天至少清扫1次，每季度至少冲洗2次，保持无垃圾、无蜘蛛网。</w:t>
            </w:r>
          </w:p>
          <w:p w14:paraId="4017DD33">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13.地下车库：每周至少清扫3次，每月至少清洗2次，保持无垃圾、无沙尘、无蜘蛛网。</w:t>
            </w:r>
          </w:p>
          <w:p w14:paraId="49E876B1">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14.学校各楼栋7米以下内墙墙面（含玻璃幕墙的内墙）清洗：每个月至少清洗2次，用湿润毛巾进行擦拭，或用滚动拖把来回滚拖，清除污迹、污垢、水印和蜘蛛网等。</w:t>
            </w:r>
          </w:p>
        </w:tc>
        <w:tc>
          <w:tcPr>
            <w:tcW w:w="1770" w:type="dxa"/>
            <w:noWrap w:val="0"/>
            <w:vAlign w:val="center"/>
          </w:tcPr>
          <w:p w14:paraId="7AC3A55A">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6E265B96">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17C6ADC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787628E1">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2219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4D61CF42">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2CD27DD7">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室外卫生清洁标准（4分）</w:t>
            </w:r>
          </w:p>
        </w:tc>
        <w:tc>
          <w:tcPr>
            <w:tcW w:w="4335" w:type="dxa"/>
            <w:noWrap w:val="0"/>
            <w:vAlign w:val="center"/>
          </w:tcPr>
          <w:p w14:paraId="5D6F4237">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1.道路：每日至少清扫2次，保持道路无垃圾、无明显落叶。</w:t>
            </w:r>
          </w:p>
          <w:p w14:paraId="4FB3EA97">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2.停车场：每周至少清扫3次，每月至少清洗2次，保持无垃圾、无明显落叶。</w:t>
            </w:r>
          </w:p>
          <w:p w14:paraId="0C1427D0">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3.校内广场：每天至少清扫1次，保持无垃圾、无明显落叶。</w:t>
            </w:r>
          </w:p>
          <w:p w14:paraId="05019B25">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4.垃圾箱：每天至少清理2次，每周至少清洗2次，保持箱体内无异味、外表无明显尘迹、周边无污垢、无蜘蛛网，桶内垃圾及时清理。</w:t>
            </w:r>
          </w:p>
          <w:p w14:paraId="4FED5220">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5.路灯：每月至少清洁2次，保持灯柱无明显尘迹、灯罩处无蜘蛛网。</w:t>
            </w:r>
          </w:p>
          <w:p w14:paraId="7FDCAAAC">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6.升旗台，每天至少清洁1次，保持台面无明显尘迹、无蜘蛛网。</w:t>
            </w:r>
          </w:p>
          <w:p w14:paraId="08140B54">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7.雕塑：每天至少清洁1次，保持无明显尘迹、无锈、无蜘蛛网。</w:t>
            </w:r>
          </w:p>
          <w:p w14:paraId="4FE7D798">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8.标识标牌：每周至少清洁2次，保持无污痕、无明显尘迹、无蜘蛛网。</w:t>
            </w:r>
          </w:p>
          <w:p w14:paraId="00129332">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9.桥：每周至少清洁3次，保持栏杆无明显尘迹、无蜘蛛网。</w:t>
            </w:r>
          </w:p>
          <w:p w14:paraId="019D895A">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10.明沟：每天至少清扫2次，保持明沟无垃圾、无积水。</w:t>
            </w:r>
          </w:p>
          <w:p w14:paraId="455B12E1">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11.沉沙井：每月至少清理1次，保持无尘沙、排水通畅。</w:t>
            </w:r>
          </w:p>
          <w:p w14:paraId="3A1A49E7">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12.草坪：每天至少清扫1次，保持无垃圾、无明显落叶。</w:t>
            </w:r>
          </w:p>
        </w:tc>
        <w:tc>
          <w:tcPr>
            <w:tcW w:w="1770" w:type="dxa"/>
            <w:noWrap w:val="0"/>
            <w:vAlign w:val="center"/>
          </w:tcPr>
          <w:p w14:paraId="24791D20">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3E778B06">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180CCB9B">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65666CD1">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04EB7C2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1383FF74">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水域景观池、水景保洁标准（4分）</w:t>
            </w:r>
          </w:p>
        </w:tc>
        <w:tc>
          <w:tcPr>
            <w:tcW w:w="4335" w:type="dxa"/>
            <w:noWrap w:val="0"/>
            <w:vAlign w:val="center"/>
          </w:tcPr>
          <w:p w14:paraId="016711F1">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1.3-5号宿舍楼前水景（泉眼）：每周至少清洗5次，即时对水池漂浮物、杂物进行清理；保持无水垢、青苔，打捞漂浮垃圾，保持水体干净。</w:t>
            </w:r>
          </w:p>
          <w:p w14:paraId="0BC290A9">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2.文体中心前水景：每月至少清洗4次，即时对水池漂浮物、杂物进行清理；保持无水垢、青苔，打捞漂浮垃圾，保持水体干净。</w:t>
            </w:r>
          </w:p>
          <w:p w14:paraId="4118055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3.膳食中心前水景：每月至少清洗4次，即时对水池漂浮物、杂物进行清理；保持无水垢、青苔，打捞漂浮垃圾，保持水体干净。</w:t>
            </w:r>
          </w:p>
          <w:p w14:paraId="7DE63178">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4.教学中心西侧水景：每月至少清洗4次，即时对水池漂浮物、杂物进行清理；保持无水垢、青苔，打捞漂浮垃圾，保持水体干净。</w:t>
            </w:r>
          </w:p>
          <w:p w14:paraId="65573F04">
            <w:pPr>
              <w:adjustRightInd w:val="0"/>
              <w:snapToGrid w:val="0"/>
              <w:spacing w:line="360" w:lineRule="exac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5.信息中心南侧水景：每天至少清洗1次，即时对水池漂浮物、杂物进行清理；保持无水垢、青苔，打捞漂浮垃圾，保持水体干净。</w:t>
            </w:r>
          </w:p>
          <w:p w14:paraId="6A592AF6">
            <w:pPr>
              <w:pStyle w:val="2"/>
              <w:keepNext w:val="0"/>
              <w:keepLines w:val="0"/>
              <w:pageBreakBefore w:val="0"/>
              <w:kinsoku/>
              <w:wordWrap/>
              <w:overflowPunct/>
              <w:topLinePunct w:val="0"/>
              <w:autoSpaceDE/>
              <w:autoSpaceDN/>
              <w:bidi w:val="0"/>
              <w:spacing w:line="360" w:lineRule="exact"/>
              <w:ind w:firstLine="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6.网球场水景：</w:t>
            </w:r>
            <w:r>
              <w:rPr>
                <w:rFonts w:hint="eastAsia" w:ascii="宋体" w:hAnsi="宋体" w:eastAsia="宋体" w:cs="宋体"/>
                <w:color w:val="000000" w:themeColor="text1"/>
                <w:kern w:val="0"/>
                <w:szCs w:val="21"/>
                <w:highlight w:val="none"/>
                <w14:textFill>
                  <w14:solidFill>
                    <w14:schemeClr w14:val="tx1"/>
                  </w14:solidFill>
                </w14:textFill>
              </w:rPr>
              <w:t>每月至少清洗4次，即时对水池漂浮物、杂物进行清理；保持无水垢、青苔，打捞漂浮垃圾，保持水体干净。</w:t>
            </w:r>
          </w:p>
          <w:p w14:paraId="45D6CB0C">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.学校垃圾（厨余餐余垃圾、生活垃圾、园林垃圾）清运：即时清运，日产日清。</w:t>
            </w:r>
          </w:p>
          <w:p w14:paraId="2CE15AA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学校园的“除四害”及马蜂、蛇、白蚁、红火蚁等防范工作，协助下水道、化粪池清理及现场的清洁：按照学校与相关单位的协议要求及学校实际情况开展工作，全年防控，达到《国家爱国卫生运动委员会除害标准》规定的除害工作管理目标。</w:t>
            </w:r>
          </w:p>
        </w:tc>
        <w:tc>
          <w:tcPr>
            <w:tcW w:w="1770" w:type="dxa"/>
            <w:noWrap w:val="0"/>
            <w:vAlign w:val="center"/>
          </w:tcPr>
          <w:p w14:paraId="4FADF122">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70C849F5">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5B41D8EB">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4076CCC1">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7A13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6FDDFB4B">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021AC783">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2.5米墙面清洗质量标准（3分）</w:t>
            </w:r>
          </w:p>
        </w:tc>
        <w:tc>
          <w:tcPr>
            <w:tcW w:w="4335" w:type="dxa"/>
            <w:noWrap w:val="0"/>
            <w:vAlign w:val="center"/>
          </w:tcPr>
          <w:p w14:paraId="44E59AB5">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学校各楼栋玻璃幕墙的外墙清洗：每年至少清洗2次，保持玻璃幕墙清洗后无灰尘、污垢、污渍、水迹、手印等印迹，玻璃幕墙与金属结构框之间的缝隙不得有污垢存在，玻璃幕墙拼接处的硅硐密封胶缝表面应无污垢，室外金属结构框的立面、平面上不得有污垢、污渍、灰尘、水迹手印等其它印迹，玻璃幕墙处理的达到无尘、无垢、光洁明亮，玻璃幕墙干刮处理后墙面等无损坏现象。</w:t>
            </w:r>
          </w:p>
          <w:p w14:paraId="17CA38F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2.学校各楼栋的室外2.5米墙体清洗：每年至少清洗2次，严格按照安全生产要求、操作规范、清洁标准进行施工，可以进行洒水冲洗，以达到所清洗建筑表面目视无明显污渍、灰垢、水印，无蜘蛛网。</w:t>
            </w:r>
          </w:p>
          <w:p w14:paraId="077B1314">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3.学校各楼栋2.5米以下内墙墙面（含玻璃幕墙的内墙）清洗：每年至少清洗2次，用湿润毛巾进行擦拭，或用滚动拖把来回滚拖，清除污迹、污垢、水印和蜘蛛网等。</w:t>
            </w:r>
          </w:p>
        </w:tc>
        <w:tc>
          <w:tcPr>
            <w:tcW w:w="1770" w:type="dxa"/>
            <w:noWrap w:val="0"/>
            <w:vAlign w:val="center"/>
          </w:tcPr>
          <w:p w14:paraId="72741D57">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1D97BED2">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2D96A4D6">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779902DB">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27E4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restart"/>
            <w:noWrap w:val="0"/>
            <w:vAlign w:val="center"/>
          </w:tcPr>
          <w:p w14:paraId="2FCDF74E">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安全保卫服务（20分）</w:t>
            </w:r>
          </w:p>
        </w:tc>
        <w:tc>
          <w:tcPr>
            <w:tcW w:w="1020" w:type="dxa"/>
            <w:noWrap w:val="0"/>
            <w:vAlign w:val="center"/>
          </w:tcPr>
          <w:p w14:paraId="62F6F9EE">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门岗岗位职责标准（4分）</w:t>
            </w:r>
          </w:p>
        </w:tc>
        <w:tc>
          <w:tcPr>
            <w:tcW w:w="4335" w:type="dxa"/>
            <w:noWrap w:val="0"/>
            <w:vAlign w:val="center"/>
          </w:tcPr>
          <w:p w14:paraId="0524940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1.熟悉党校校园的常驻人口、车辆等情况。</w:t>
            </w:r>
          </w:p>
          <w:p w14:paraId="1D6901A8">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严格实行访客出入登记制度。检查进入党校校园的外来人员，要问清楚进入的理由，并办理登记手续，经检验无误和征询被访人同意后准予进入；不准拾荒、小摊贩、推销人员及其他闲杂人员进入，对进出的劳务人员实行临时出入证管理。</w:t>
            </w:r>
          </w:p>
          <w:p w14:paraId="39350DD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严格进出车辆管理和疏导，保持出入口有序畅通。检查进入党校校园的各种车辆，对在党校校园有停车位的车辆和党校公务车辆凭通行证出入，对进入党校校园的外来车辆，要问清楚进入的理由，并办理登记手续，经检验无误后，在有空余车位的情况下发牌准予进入，凭牌、卡出入党校校园。</w:t>
            </w:r>
          </w:p>
          <w:p w14:paraId="2657575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4.阻止大型车辆进入党校校园（特种车辆和特殊情况除外）；禁止载有易燃、易爆、有毒、有害及其它危险物品的车辆进入党校校园。</w:t>
            </w:r>
          </w:p>
          <w:p w14:paraId="7F0E8EB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5.检查进出党校门口的物资。党校院外物资送入党校校园的，要认真登记检查，防止危险物品带入党校校园：如有党校校园物资、设备运出要凭党校的放行条放行。</w:t>
            </w:r>
          </w:p>
          <w:p w14:paraId="30BD0BB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6.对党校大门口周围交通管理及安全秩序维护，不准机动车和非机动车在门口停放，确保大门区域出入畅通。</w:t>
            </w:r>
          </w:p>
          <w:p w14:paraId="53FD7B6F">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7.做好大门周围环境卫生，保持大门区域清洁。</w:t>
            </w:r>
          </w:p>
        </w:tc>
        <w:tc>
          <w:tcPr>
            <w:tcW w:w="1770" w:type="dxa"/>
            <w:noWrap w:val="0"/>
            <w:vAlign w:val="center"/>
          </w:tcPr>
          <w:p w14:paraId="5A46385F">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088AB34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2F936DE1">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2648A66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0911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75D1235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792B8ED3">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保安人员岗位职责标准（3分）</w:t>
            </w:r>
          </w:p>
        </w:tc>
        <w:tc>
          <w:tcPr>
            <w:tcW w:w="4335" w:type="dxa"/>
            <w:noWrap w:val="0"/>
            <w:vAlign w:val="center"/>
          </w:tcPr>
          <w:p w14:paraId="4EB6A7E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1.对来访人员进行验证确认、登记，杜绝闲杂人员进入。</w:t>
            </w:r>
          </w:p>
          <w:p w14:paraId="09582754">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2.安保岗位要不定期进行巡查。</w:t>
            </w:r>
          </w:p>
          <w:p w14:paraId="235E94B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3.维护好党校校园秩序，保障秩序良好，道路通畅，车辆停放有序。</w:t>
            </w:r>
          </w:p>
          <w:p w14:paraId="2331629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4.及时发现和处理各种安全和事故隐患，不发生安全方面的问题。</w:t>
            </w:r>
          </w:p>
        </w:tc>
        <w:tc>
          <w:tcPr>
            <w:tcW w:w="1770" w:type="dxa"/>
            <w:noWrap w:val="0"/>
            <w:vAlign w:val="center"/>
          </w:tcPr>
          <w:p w14:paraId="0A1152D2">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4A6C868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6C3D69BD">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74232272">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5235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7FE1CB9F">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5D82F61B">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巡逻岗位职责标准（4分）</w:t>
            </w:r>
          </w:p>
        </w:tc>
        <w:tc>
          <w:tcPr>
            <w:tcW w:w="4335" w:type="dxa"/>
            <w:noWrap w:val="0"/>
            <w:vAlign w:val="center"/>
          </w:tcPr>
          <w:p w14:paraId="4A6ACF8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1.熟悉党校校园的常驻人口、车辆等情况。</w:t>
            </w:r>
          </w:p>
          <w:p w14:paraId="7019E7C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外围巡逻：早、中班巡逻次数不少于10次，夜班巡逻次数不少于8次，巡逻人员要认真巡查各楼宇、围墙、安全防范设备、停放车辆变化情况并做好记录。楼内巡逻：根据各楼栋功能、使用情况制定巡逻次数，各楼栋每天晚上结束使用前进行清场巡逻后实施封闭。</w:t>
            </w:r>
          </w:p>
          <w:p w14:paraId="4F40054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3.指挥引导车辆有序停放，保障道路畅通。</w:t>
            </w:r>
          </w:p>
          <w:p w14:paraId="0CFF540C">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4.每日查看消防设施，每月检查消防设施一次并做记录。</w:t>
            </w:r>
          </w:p>
          <w:p w14:paraId="1EC8F18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5.防止各类不利于党校校园治安秩序，特别是盗窃、火灾、打架斗殴等事故和危害党校校园稳定事件的发生，一旦发现立即报告和处置。</w:t>
            </w:r>
          </w:p>
          <w:p w14:paraId="0BE5E84C">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6.与门岗协作，互通党校校园安保情况和处理有关问题。</w:t>
            </w:r>
          </w:p>
          <w:p w14:paraId="38FD4E6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7.对临靠党校辖区岸边的垂钓等船只及时劝离和报告相关部门。</w:t>
            </w:r>
          </w:p>
        </w:tc>
        <w:tc>
          <w:tcPr>
            <w:tcW w:w="1770" w:type="dxa"/>
            <w:noWrap w:val="0"/>
            <w:vAlign w:val="center"/>
          </w:tcPr>
          <w:p w14:paraId="3430B034">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5FD1ADE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617C5594">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2E6A90B9">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154E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07112FCF">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119AC75C">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消控队员岗位职责标准（4分）</w:t>
            </w:r>
          </w:p>
        </w:tc>
        <w:tc>
          <w:tcPr>
            <w:tcW w:w="4335" w:type="dxa"/>
            <w:noWrap w:val="0"/>
            <w:vAlign w:val="center"/>
          </w:tcPr>
          <w:p w14:paraId="46508161">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1.遵守消防控制室的各项安全操作规程和各项消防安全管理制度。</w:t>
            </w:r>
          </w:p>
          <w:p w14:paraId="4A7A895F">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2.实行每日24小时值班制度，每班不得少于2人，确保及时发现并准确处置火灾和故障报警。    </w:t>
            </w:r>
          </w:p>
          <w:p w14:paraId="370B8DBB">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3.消防控制室自动消防系统的操作人员，必须经过公安消防机构培训合格后，持证上岗，证件存放在消防控制室内备查。</w:t>
            </w:r>
          </w:p>
          <w:p w14:paraId="71FDCB12">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4.按时上岗，坚守岗位，不得脱岗、替岗，认真做好交接班工作，接班人员未到岗前交班人员不得擅自离岗。</w:t>
            </w:r>
          </w:p>
          <w:p w14:paraId="0516E3DF">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5.值班人员应认真做好值班记录，突发火警、故障及其他特殊情况等信息，及时处置并报告党校，并将相关书面资料存档备案。</w:t>
            </w:r>
          </w:p>
          <w:p w14:paraId="16902D4E">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6.配备相应的通讯联络工具。</w:t>
            </w:r>
          </w:p>
          <w:p w14:paraId="2773991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7.消防控制室工作人员要爱护消防控制室的设施，保持控制室内的卫生。</w:t>
            </w:r>
          </w:p>
          <w:p w14:paraId="18E561BB">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8.严禁无关人员进入消防控制室，随意触动设备。</w:t>
            </w:r>
          </w:p>
          <w:p w14:paraId="76719AA1">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9.消防控制室内严禁存放易燃易爆危险物品和堆放与设备运行无关的物品或杂物，严禁与消防控制室无关的电气线路和管道穿过。</w:t>
            </w:r>
          </w:p>
          <w:p w14:paraId="4DBCBD9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10.消防控制室内严禁吸烟或动用明火。</w:t>
            </w:r>
          </w:p>
        </w:tc>
        <w:tc>
          <w:tcPr>
            <w:tcW w:w="1770" w:type="dxa"/>
            <w:noWrap w:val="0"/>
            <w:vAlign w:val="center"/>
          </w:tcPr>
          <w:p w14:paraId="5CDE0B69">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62E4D753">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39FABA2B">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77C1CAE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1113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742" w:type="dxa"/>
            <w:vMerge w:val="continue"/>
            <w:noWrap w:val="0"/>
            <w:vAlign w:val="center"/>
          </w:tcPr>
          <w:p w14:paraId="4034082B">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0451F5F3">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大型活动、重大会议、重要接待安保标准（5分）</w:t>
            </w:r>
          </w:p>
        </w:tc>
        <w:tc>
          <w:tcPr>
            <w:tcW w:w="4335" w:type="dxa"/>
            <w:noWrap w:val="0"/>
            <w:vAlign w:val="center"/>
          </w:tcPr>
          <w:p w14:paraId="50F0BF7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1.信息研判。（1）配合公安机关、国家安全机关制定安保方案。（2）配合公安机关，国家安全机关对重点人员、特殊人员进行暗查、暗访，防止别有意图者在活动现场恶意破坏。</w:t>
            </w:r>
          </w:p>
          <w:p w14:paraId="755B82B9">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线路规划。做好应急处置工作，制定应急预案。（1）与党校积极主动沟通，做好线路规划。（2）协助党校与公安、特警、武警、警卫局等单位协同配合，勘查行进路线，标注隐蔽的角落、曲折的小路等潜在的事故多发地，设置通行速度最快、最安全的路线。三是安排专人负责引导活动车队按照行进路线出入，引导好车辆交通秩序。</w:t>
            </w:r>
          </w:p>
          <w:p w14:paraId="1C827D91">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现场控制。落实相关人员、车辆、设备等要素，灵活应对现场不断发展变化的新情况。（1）提前与党校进行对接，明确入场时间和结束时间、明确进场人员的身份类型和数量、明确入场凭证类型，如车辆通行证、工作牌以及统一标志的着装等。（2）提前制作安全提示牌并放置于活动现场的醒目位置，安排工作人员在各个安检通道进行警戒观察，设置缓冲区分批放入，必要时可组织“人墙”进行物理隔离。（3）活动现场的指挥人员应掌握各个岗位工作人员的姓名、位置和联系方式，实现岗责统一，同时为门岗、内勤、巡逻等小组的负责人配备对讲机，便于消息的及时传达。（4）在消控室、配电室、发电机房等重点部位都应安排工作人员全程值守，防止遭到人为破坏。</w:t>
            </w:r>
          </w:p>
          <w:p w14:paraId="38D2E66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视频监控。（1）对活动现场进行全程观察，及时向现场控制指挥人员报告会场情况。（2）认真观察视频监控图像，密切关注举止异常的行人和车辆。（3）对可疑人员和车辆进行实时跟进，排查出其运行轨迹后告知党校的相关部门。</w:t>
            </w:r>
          </w:p>
          <w:p w14:paraId="73EB450C">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应急处置。（1）与公安、消防、卫生等相关部门联系组建应急小组，进行伤员救治、人员疏散、爆炸物转移、消防灭火等演习。（2）活动当日，应急小组应当在活动现场随时待命，以便遇到突发状况时能够迅速到达现场处置。</w:t>
            </w:r>
          </w:p>
        </w:tc>
        <w:tc>
          <w:tcPr>
            <w:tcW w:w="1770" w:type="dxa"/>
            <w:noWrap w:val="0"/>
            <w:vAlign w:val="center"/>
          </w:tcPr>
          <w:p w14:paraId="49770398">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2DA6F39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170241C4">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652B0BEF">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2095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restart"/>
            <w:noWrap w:val="0"/>
            <w:vAlign w:val="center"/>
          </w:tcPr>
          <w:p w14:paraId="770B454A">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绿化养护服务</w:t>
            </w:r>
          </w:p>
          <w:p w14:paraId="77BE3B6B">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（15分）</w:t>
            </w:r>
          </w:p>
        </w:tc>
        <w:tc>
          <w:tcPr>
            <w:tcW w:w="1020" w:type="dxa"/>
            <w:noWrap w:val="0"/>
            <w:vAlign w:val="center"/>
          </w:tcPr>
          <w:p w14:paraId="6FF4A39E">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总体标准（2分）</w:t>
            </w:r>
          </w:p>
        </w:tc>
        <w:tc>
          <w:tcPr>
            <w:tcW w:w="4335" w:type="dxa"/>
            <w:noWrap w:val="0"/>
            <w:vAlign w:val="center"/>
          </w:tcPr>
          <w:p w14:paraId="7066BD1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绿化养护技术措施完善，管理得当，植物配置科学合理，枝杆、叶子健壮无虫害，绿植造型线条简洁整齐。</w:t>
            </w:r>
          </w:p>
        </w:tc>
        <w:tc>
          <w:tcPr>
            <w:tcW w:w="1770" w:type="dxa"/>
            <w:noWrap w:val="0"/>
            <w:vAlign w:val="center"/>
          </w:tcPr>
          <w:p w14:paraId="224F7FB7">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1D798CF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40E70005">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2738DEE3">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5E3A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64552809">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314CE36B">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关键节点的养护标准（2分）</w:t>
            </w:r>
          </w:p>
        </w:tc>
        <w:tc>
          <w:tcPr>
            <w:tcW w:w="4335" w:type="dxa"/>
            <w:noWrap w:val="0"/>
            <w:vAlign w:val="center"/>
          </w:tcPr>
          <w:p w14:paraId="33B481E8">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广场、膳食中心、3-5号宿舍楼接待总台、6号宿舍楼接待总台、8-11号专家楼周围区域要达到城市园林绿化一级养护标准。</w:t>
            </w:r>
          </w:p>
        </w:tc>
        <w:tc>
          <w:tcPr>
            <w:tcW w:w="1770" w:type="dxa"/>
            <w:noWrap w:val="0"/>
            <w:vAlign w:val="center"/>
          </w:tcPr>
          <w:p w14:paraId="6DEF6697">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544D78D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0C8DEEA3">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199F6890">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01A8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52161102">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54460A6A">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乔、灌木养护标准（1分）</w:t>
            </w:r>
          </w:p>
        </w:tc>
        <w:tc>
          <w:tcPr>
            <w:tcW w:w="4335" w:type="dxa"/>
            <w:noWrap w:val="0"/>
            <w:vAlign w:val="center"/>
          </w:tcPr>
          <w:p w14:paraId="3FF8ACD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1.叶子健壮：叶色正常，叶大而肥厚、在正常的条件下不黄叶，不焦叶、不卷叶、不落叶，叶上无虫尿虫网灰尘；被啃咬的叶片最严重的每株在5％以下（包括5％）。</w:t>
            </w:r>
          </w:p>
          <w:p w14:paraId="3347C087">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枝、干健壮：无明显枯枝、死枝、枝条粗壮，过冬前新梢木质化；无蛀干害虫的活卵活虫；介壳虫最严重处主枝干上100平方厘米1头活虫以下（包括1头），较细的枝条30厘米的一段上在5头活虫以下（包括5头）；株数都在2％以下（包括2％）；树冠完整：分支点合适，主侧枝分布匀称和数量适宜、内膛不乱、通风透光。</w:t>
            </w:r>
          </w:p>
          <w:p w14:paraId="32204CBC">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3.花灌木开花及时，株形丰满，花后修剪及时合理。</w:t>
            </w:r>
          </w:p>
          <w:p w14:paraId="0DA2A081">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4.行道树树冠基本完整，主侧枝分布匀称，树冠通风透光，树干上无钉拴刻画的现象，缺株在1%以下。</w:t>
            </w:r>
          </w:p>
          <w:p w14:paraId="569A558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5.树木上的寄生植物不超过3处，每处不超过0.5㎡。</w:t>
            </w:r>
          </w:p>
          <w:p w14:paraId="103A3F29">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及时修剪,保持树型美观。行道树修剪枝下高标准为：胸径5cm～9cm的小乔木，不低于2m；胸径10cm～19cm的中等乔木，不低于2.5m；胸径20cm～30cm的大乔木，不低于3m；胸径35cm以上特大乔木，不低于3.5m。球状灌木、带状绿篱徒长枝不超过5 cm，能及时很好地解决树木与电缆、建筑物、交通等之间的矛盾。</w:t>
            </w:r>
          </w:p>
          <w:p w14:paraId="12D9AB5F">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7.绿化生产垃圾重点地区路段能做到随产随清，其它地区和路段做到日产日清；绿地整洁，无砖石瓦块、筐和塑料袋等废弃物，并做到经常保洁。</w:t>
            </w:r>
          </w:p>
          <w:p w14:paraId="08454C32">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8.对于生长过程中严重歪斜的树木要及时采取扶正、加固措施，并及时松土，修树盘。</w:t>
            </w:r>
          </w:p>
          <w:p w14:paraId="21C89E5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9.每年立冬前10天开始对乔木用生石灰水按相关标准涂白（棕榈科植物除外）消灭过冬虫害。</w:t>
            </w:r>
          </w:p>
          <w:p w14:paraId="5D3152D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10.加强自然绿地的巡查，防止松毛虫、寄生藤的产生和蔓延，基本无病虫危害迹象。</w:t>
            </w:r>
          </w:p>
          <w:p w14:paraId="0910B4E4">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11.常年保持所有灌木及乔木的树盆完整，使之泥土松弛、透水、无杂草。</w:t>
            </w:r>
          </w:p>
          <w:p w14:paraId="3DE28A7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12.其他养护要求按城市园林绿化二级养护标准执行。</w:t>
            </w:r>
          </w:p>
        </w:tc>
        <w:tc>
          <w:tcPr>
            <w:tcW w:w="1770" w:type="dxa"/>
            <w:noWrap w:val="0"/>
            <w:vAlign w:val="center"/>
          </w:tcPr>
          <w:p w14:paraId="5117578E">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58645A7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331AF38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021CE314">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0A2B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6E074F24">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3081969F">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草坪及其他植被养护</w:t>
            </w:r>
          </w:p>
          <w:p w14:paraId="25C0F04E">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标准（1分）</w:t>
            </w:r>
          </w:p>
        </w:tc>
        <w:tc>
          <w:tcPr>
            <w:tcW w:w="4335" w:type="dxa"/>
            <w:noWrap w:val="0"/>
            <w:vAlign w:val="center"/>
          </w:tcPr>
          <w:p w14:paraId="5B56FFB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1.草坪覆盖率要基本达到100％。</w:t>
            </w:r>
          </w:p>
          <w:p w14:paraId="0963834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2.草坪内杂草控制在10％以内。</w:t>
            </w:r>
          </w:p>
          <w:p w14:paraId="0EAF2567">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3.生长茂盛，颜色正常（青绿色），不枯黄。</w:t>
            </w:r>
          </w:p>
          <w:p w14:paraId="71460FA8">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4.保持草坪四季常绿，每年修剪6次以上，草长不超过8厘米。</w:t>
            </w:r>
          </w:p>
          <w:p w14:paraId="570ACCF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5.无病虫害迹象。</w:t>
            </w:r>
          </w:p>
          <w:p w14:paraId="18B7715F">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6.绿地、草坪内无堆物堆料、搭棚或侵占等。</w:t>
            </w:r>
          </w:p>
          <w:p w14:paraId="616D71A4">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7.根据草坪种类、季节、天气、土质、生长周期等情况，实施淋水、施肥、修剪和灭虫，草坪虫害以预防为主，虫害面积不超过草坪面积1%。</w:t>
            </w:r>
          </w:p>
          <w:p w14:paraId="12946EC9">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8.草坪因施工或其他原因出现窝坑的，要及时填平，保证无明显窝坑。</w:t>
            </w:r>
          </w:p>
          <w:p w14:paraId="0EEA3CC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9.及时清除杂草，每平方米范围内杂草不超过2株（或杂草占有率不超过单块面积的2%）。</w:t>
            </w:r>
          </w:p>
          <w:p w14:paraId="30DAD71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10.草坪内的点缀植树要保持良好的生长形态，养护要求按照乔木、灌木按城市园林绿化二级养护标准实行。</w:t>
            </w:r>
          </w:p>
          <w:p w14:paraId="7348ACDB">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11.在现有绿地范围内，如有局部裸地现象，要因地适宜及时补种，保证裸地面积不超过0.5%。</w:t>
            </w:r>
          </w:p>
          <w:p w14:paraId="77705BE8">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12.垂直绿化要根据不同植物的攀援特点，及时采取相要的牵引、设置网架等技术措施，视攀援植物生长习性，覆盖率不得低于90%。开花的攀援植物要适时开花，且花繁色艳。   </w:t>
            </w:r>
          </w:p>
          <w:p w14:paraId="33F05D2E">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13.其他养护要求按城市园林绿化二级养护标准执行。</w:t>
            </w:r>
          </w:p>
        </w:tc>
        <w:tc>
          <w:tcPr>
            <w:tcW w:w="1770" w:type="dxa"/>
            <w:noWrap w:val="0"/>
            <w:vAlign w:val="center"/>
          </w:tcPr>
          <w:p w14:paraId="39E83D9B">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6A2B48F0">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5FC83470">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43272266">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1D15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4086AB63">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3594C371">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盆景（盆栽花、球形灌木）养护标准（1分）</w:t>
            </w:r>
          </w:p>
        </w:tc>
        <w:tc>
          <w:tcPr>
            <w:tcW w:w="4335" w:type="dxa"/>
            <w:noWrap w:val="0"/>
            <w:vAlign w:val="center"/>
          </w:tcPr>
          <w:p w14:paraId="38E81652">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1.经常修剪、保持原有造型，无明显病虫害。</w:t>
            </w:r>
          </w:p>
          <w:p w14:paraId="2C184A0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2.淋水不允许把泥土冲出盆外，保持花盆外观无污迹，盆景摆放处1平方米范围内无泥土污垢。</w:t>
            </w:r>
          </w:p>
          <w:p w14:paraId="5E4E4745">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3.保持盆土疏松，无杂草及垃圾物。</w:t>
            </w:r>
          </w:p>
          <w:p w14:paraId="69EC848F">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4.根据党校需求，保证可随时根据党校的需要移动盆景，不能损坏花盆、损伤枝干。</w:t>
            </w:r>
          </w:p>
          <w:p w14:paraId="33AF34B5">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5.施放无臭味的生态肥料，淋水范围要加以控制，保持盆景生长旺盛。</w:t>
            </w:r>
          </w:p>
          <w:p w14:paraId="58CEC78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6.罗汉松、树桩盆景及其他盆栽花的养护按城市园林绿化一级养护标准执行。</w:t>
            </w:r>
          </w:p>
        </w:tc>
        <w:tc>
          <w:tcPr>
            <w:tcW w:w="1770" w:type="dxa"/>
            <w:noWrap w:val="0"/>
            <w:vAlign w:val="center"/>
          </w:tcPr>
          <w:p w14:paraId="13583419">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500B654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0428650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16823B63">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2AE6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546C277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125E1538">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绿篱（片植）带养护标准（1分）</w:t>
            </w:r>
          </w:p>
        </w:tc>
        <w:tc>
          <w:tcPr>
            <w:tcW w:w="4335" w:type="dxa"/>
            <w:noWrap w:val="0"/>
            <w:vAlign w:val="center"/>
          </w:tcPr>
          <w:p w14:paraId="07A1586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1.及时修剪，徒枝长不超过5厘米，植物面干净、整洁、平整、层次清晰，造型新颖，杂草率低于1%。</w:t>
            </w:r>
          </w:p>
          <w:p w14:paraId="5D339751">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2.耐修剪植物，其叶面缝隙小于5厘米。</w:t>
            </w:r>
          </w:p>
          <w:p w14:paraId="2B3AD5CE">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3.半耐修剪植物，其叶面缝隙为交叉层，不能直接露出植物根部及泥土。</w:t>
            </w:r>
          </w:p>
          <w:p w14:paraId="462D33D5">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4.不用修剪的植物按乔木、灌木二级养护标准执行。</w:t>
            </w:r>
          </w:p>
          <w:p w14:paraId="6D38DA19">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5.其他养护要求按城市园林绿化二级养护标准执行。</w:t>
            </w:r>
          </w:p>
        </w:tc>
        <w:tc>
          <w:tcPr>
            <w:tcW w:w="1770" w:type="dxa"/>
            <w:noWrap w:val="0"/>
            <w:vAlign w:val="center"/>
          </w:tcPr>
          <w:p w14:paraId="2D1622F7">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2529AA7F">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085F2A50">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4967E12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63F6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30F85680">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3D7C0D28">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竹类养护标准（1分）</w:t>
            </w:r>
          </w:p>
        </w:tc>
        <w:tc>
          <w:tcPr>
            <w:tcW w:w="4335" w:type="dxa"/>
            <w:noWrap w:val="0"/>
            <w:vAlign w:val="center"/>
          </w:tcPr>
          <w:p w14:paraId="53DEDAA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1.对季节性出现的病虫害，要做到提前防治，防止大面积病虫害的出现。       </w:t>
            </w:r>
          </w:p>
          <w:p w14:paraId="50FEF2B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2.因天气或不可预测出现竹子倒伏的情况，要及时加派人手扶正，并加固支架，防止二次倒伏。</w:t>
            </w:r>
          </w:p>
          <w:p w14:paraId="438AC1E2">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3.根据天气适当浇水，保持所有竹林下泥土松弛、透水、无杂草。</w:t>
            </w:r>
          </w:p>
          <w:p w14:paraId="27B5F29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4.对掉落的叶子只能适当保留覆盖表土为宜，其余要及时清理。</w:t>
            </w:r>
          </w:p>
          <w:p w14:paraId="4DE372D4">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5.砍除老竹，病竹，倒伏竹，保留适当密度，使竹林通风透光，使之健壮。</w:t>
            </w:r>
          </w:p>
          <w:p w14:paraId="0F8C04E9">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6.其他养护要求按城市绿化二级养护标准执行。</w:t>
            </w:r>
          </w:p>
        </w:tc>
        <w:tc>
          <w:tcPr>
            <w:tcW w:w="1770" w:type="dxa"/>
            <w:noWrap w:val="0"/>
            <w:vAlign w:val="center"/>
          </w:tcPr>
          <w:p w14:paraId="52EFBA81">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6E1B790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6D681153">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3DAF5F79">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01B4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0A2E4AB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2272C74A">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植物补种标准（1分）</w:t>
            </w:r>
          </w:p>
        </w:tc>
        <w:tc>
          <w:tcPr>
            <w:tcW w:w="4335" w:type="dxa"/>
            <w:noWrap w:val="0"/>
            <w:vAlign w:val="center"/>
          </w:tcPr>
          <w:p w14:paraId="53A77C84">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自然原因造成地被植物长势不良、泥土裸露，党校要求对绿化植被进行补植的，中标人要负责种植及养护（绿化改造项目除外），苗木由党校提供。对新种植苗木经党校验收合格的，两年养护期后由中标人接收、养护。</w:t>
            </w:r>
          </w:p>
        </w:tc>
        <w:tc>
          <w:tcPr>
            <w:tcW w:w="1770" w:type="dxa"/>
            <w:noWrap w:val="0"/>
            <w:vAlign w:val="center"/>
          </w:tcPr>
          <w:p w14:paraId="0552AB7A">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2454A5F1">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22646CDA">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75E073F9">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69B9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4453DE9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6E861463">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水景沿岸水生植物养护标准（1分）</w:t>
            </w:r>
          </w:p>
        </w:tc>
        <w:tc>
          <w:tcPr>
            <w:tcW w:w="4335" w:type="dxa"/>
            <w:noWrap w:val="0"/>
            <w:vAlign w:val="center"/>
          </w:tcPr>
          <w:p w14:paraId="3E93D1D4">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定期修剪人工种植的植物和及时清除野生乱长的植物、对沿岸景观植物及时进行施肥等日常养护。</w:t>
            </w:r>
          </w:p>
        </w:tc>
        <w:tc>
          <w:tcPr>
            <w:tcW w:w="1770" w:type="dxa"/>
            <w:noWrap w:val="0"/>
            <w:vAlign w:val="center"/>
          </w:tcPr>
          <w:p w14:paraId="315083A3">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6796AC13">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70735C7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2DDCDE09">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7277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2EACD429">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38B07ADF">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校园的景观石，水景景观服务标准（1分）</w:t>
            </w:r>
          </w:p>
        </w:tc>
        <w:tc>
          <w:tcPr>
            <w:tcW w:w="4335" w:type="dxa"/>
            <w:noWrap w:val="0"/>
            <w:vAlign w:val="center"/>
          </w:tcPr>
          <w:p w14:paraId="75247A19">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定期对党校校园的景观石进行维护保养，修剪沿岸人工种植的植物，及时清除野生乱长的植物、对沿岸景观植物及时进行施肥等日常养护。</w:t>
            </w:r>
          </w:p>
        </w:tc>
        <w:tc>
          <w:tcPr>
            <w:tcW w:w="1770" w:type="dxa"/>
            <w:noWrap w:val="0"/>
            <w:vAlign w:val="center"/>
          </w:tcPr>
          <w:p w14:paraId="14D594DB">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39B92759">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1352880C">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3BD7F416">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638CC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10FA8DF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4D900924">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室内阴生植物购置配送及养护标准（1分）</w:t>
            </w:r>
          </w:p>
        </w:tc>
        <w:tc>
          <w:tcPr>
            <w:tcW w:w="4335" w:type="dxa"/>
            <w:noWrap w:val="0"/>
            <w:vAlign w:val="center"/>
          </w:tcPr>
          <w:p w14:paraId="46F8EF5E">
            <w:pPr>
              <w:keepNext w:val="0"/>
              <w:keepLines w:val="0"/>
              <w:pageBreakBefore w:val="0"/>
              <w:numPr>
                <w:ilvl w:val="0"/>
                <w:numId w:val="10"/>
              </w:numPr>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范围包括各大中心。</w:t>
            </w:r>
          </w:p>
          <w:p w14:paraId="4337C2F9">
            <w:pPr>
              <w:keepNext w:val="0"/>
              <w:keepLines w:val="0"/>
              <w:pageBreakBefore w:val="0"/>
              <w:numPr>
                <w:ilvl w:val="0"/>
                <w:numId w:val="10"/>
              </w:numPr>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根据植物生长特性，淋水以土壤湿润为主，不允许把泥土冲出盆外，保持花盆外观无污迹，接水盆内无积水，防治蚊虫滋生。</w:t>
            </w:r>
          </w:p>
          <w:p w14:paraId="5B3A21C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3.保持植物清洁，叶面无灰尘、无病黄叶。</w:t>
            </w:r>
          </w:p>
          <w:p w14:paraId="19C9490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4.植物要求施肥、松土，保持盆内土壤疏松透气。</w:t>
            </w:r>
          </w:p>
          <w:p w14:paraId="03D8F2F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5.按党校要求，中标人对新购置的植物按党校要求进行摆放，并对已摆设的植物位置进行调整，如有临时搬抬任务，中标人要及时安排人员完成搬抬工作。</w:t>
            </w:r>
          </w:p>
          <w:p w14:paraId="3F38CCF4">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6.在排除不可抗拒因素影响条件下，要保证植物长势良好的生长周期为5个月以上。</w:t>
            </w:r>
          </w:p>
        </w:tc>
        <w:tc>
          <w:tcPr>
            <w:tcW w:w="1770" w:type="dxa"/>
            <w:noWrap w:val="0"/>
            <w:vAlign w:val="center"/>
          </w:tcPr>
          <w:p w14:paraId="3ACFC032">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0B5D7CD2">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62BD4521">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66EB0BC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6172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23C5E1A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29401791">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日常绿化苗木、花草、阴生植物及其它植被的采购与种植（1分）</w:t>
            </w:r>
          </w:p>
        </w:tc>
        <w:tc>
          <w:tcPr>
            <w:tcW w:w="4335" w:type="dxa"/>
            <w:noWrap w:val="0"/>
            <w:vAlign w:val="center"/>
          </w:tcPr>
          <w:p w14:paraId="0649ECE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根据党校年度绿化工作计划和临时绿化工作安排，中标人要对党校拟需采购植被的品种、数量、规格、价格及完成时限等拟定实施方案，交党校审核并实施采购，中标人实施种植工作。</w:t>
            </w:r>
          </w:p>
        </w:tc>
        <w:tc>
          <w:tcPr>
            <w:tcW w:w="1770" w:type="dxa"/>
            <w:noWrap w:val="0"/>
            <w:vAlign w:val="center"/>
          </w:tcPr>
          <w:p w14:paraId="6CF0BBBF">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11641BF6">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60381462">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3781D2E4">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1D90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0479804D">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57D8C5B5">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苗木、农药、化肥等材料的采购（1分）</w:t>
            </w:r>
          </w:p>
        </w:tc>
        <w:tc>
          <w:tcPr>
            <w:tcW w:w="4335" w:type="dxa"/>
            <w:noWrap w:val="0"/>
            <w:vAlign w:val="center"/>
          </w:tcPr>
          <w:p w14:paraId="420B255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1.协助党校编制计划、预算和采购清单。</w:t>
            </w:r>
          </w:p>
          <w:p w14:paraId="6BF6B8E2">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2.做好日常各类记录，经统计汇总后及时向党校报备。</w:t>
            </w:r>
          </w:p>
        </w:tc>
        <w:tc>
          <w:tcPr>
            <w:tcW w:w="1770" w:type="dxa"/>
            <w:noWrap w:val="0"/>
            <w:vAlign w:val="center"/>
          </w:tcPr>
          <w:p w14:paraId="032290C2">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6A7316BB">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0D45C745">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50675D2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37AE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restart"/>
            <w:noWrap w:val="0"/>
            <w:vAlign w:val="center"/>
          </w:tcPr>
          <w:p w14:paraId="3BCECED1">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文体中心室内场馆（含校史馆、漓江书院）和网球场、室外足球场</w:t>
            </w:r>
            <w:r>
              <w:rPr>
                <w:rFonts w:hint="eastAsia" w:ascii="宋体" w:hAnsi="宋体" w:eastAsia="宋体" w:cs="宋体"/>
                <w:b/>
                <w:bCs/>
                <w:color w:val="000000" w:themeColor="text1"/>
                <w:kern w:val="0"/>
                <w:szCs w:val="21"/>
                <w:highlight w:val="none"/>
                <w14:textFill>
                  <w14:solidFill>
                    <w14:schemeClr w14:val="tx1"/>
                  </w14:solidFill>
                </w14:textFill>
              </w:rPr>
              <w:t>管理服务（15分）</w:t>
            </w:r>
          </w:p>
        </w:tc>
        <w:tc>
          <w:tcPr>
            <w:tcW w:w="1020" w:type="dxa"/>
            <w:noWrap w:val="0"/>
            <w:vAlign w:val="center"/>
          </w:tcPr>
          <w:p w14:paraId="362C300B">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前台管理服务要求（2分）</w:t>
            </w:r>
          </w:p>
        </w:tc>
        <w:tc>
          <w:tcPr>
            <w:tcW w:w="4335" w:type="dxa"/>
            <w:noWrap w:val="0"/>
            <w:vAlign w:val="center"/>
          </w:tcPr>
          <w:p w14:paraId="454EC2A1">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1.制度完善（人员出入、档案资料、物品借用、场地预约、场馆工作人员考勤等管理制度）。</w:t>
            </w:r>
          </w:p>
          <w:p w14:paraId="699475E9">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2.负责借用物品的管理。</w:t>
            </w:r>
          </w:p>
          <w:p w14:paraId="431B135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3.保管好服务档案资料，确保及时提供各类档案资料。</w:t>
            </w:r>
          </w:p>
          <w:p w14:paraId="2219A402">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p>
        </w:tc>
        <w:tc>
          <w:tcPr>
            <w:tcW w:w="1770" w:type="dxa"/>
            <w:noWrap w:val="0"/>
            <w:vAlign w:val="center"/>
          </w:tcPr>
          <w:p w14:paraId="312CDAB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不达标的，每个内容扣0.5分，扣完为止。</w:t>
            </w:r>
          </w:p>
        </w:tc>
        <w:tc>
          <w:tcPr>
            <w:tcW w:w="660" w:type="dxa"/>
            <w:noWrap w:val="0"/>
            <w:vAlign w:val="center"/>
          </w:tcPr>
          <w:p w14:paraId="1A08354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5AA33065">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2BEAAF52">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17DD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3791DC1A">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7388C738">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前台管理服务标准（2分）</w:t>
            </w:r>
          </w:p>
        </w:tc>
        <w:tc>
          <w:tcPr>
            <w:tcW w:w="4335" w:type="dxa"/>
            <w:noWrap w:val="0"/>
            <w:vAlign w:val="center"/>
          </w:tcPr>
          <w:p w14:paraId="1BEB3C8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上岗准备：前台服务员统一着装，佩戴工作牌，做好仪容仪表的自我检查；检查备用的篮球、气排球、桌球、羽毛球拍及羽毛球、网球拍及网球、乒乓球拍及乒乓球等，确保数量充足、完好、功能正常，并摆放整齐；做好前台的清洁工作。</w:t>
            </w:r>
          </w:p>
          <w:p w14:paraId="1AC3CBE8">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提供前台服务，引导学员到达相应区域；做好出入管理工作，及时处理学员遇到的困难和提出的要求，提供相应的服务和协助；提供场馆使用查询服务，告知学员在场馆活动的注意事项，做好场地预定工作；做好体育用品（篮球、气排球、桌球、足球、羽毛球拍及羽毛球、网球拍及网球、乒乓球拍及乒乓球等）的借出和归还工作。</w:t>
            </w:r>
          </w:p>
        </w:tc>
        <w:tc>
          <w:tcPr>
            <w:tcW w:w="1770" w:type="dxa"/>
            <w:noWrap w:val="0"/>
            <w:vAlign w:val="center"/>
          </w:tcPr>
          <w:p w14:paraId="338FB25F">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不达标的，每个内容扣0.5分，扣完为止。</w:t>
            </w:r>
          </w:p>
        </w:tc>
        <w:tc>
          <w:tcPr>
            <w:tcW w:w="660" w:type="dxa"/>
            <w:noWrap w:val="0"/>
            <w:vAlign w:val="center"/>
          </w:tcPr>
          <w:p w14:paraId="16B3F6DD">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4203CAE5">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5E06244F">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0F5B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796863F5">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5402FB90">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室内场馆（健身房、篮球场、羽毛球场、气排球场、网球场、乒乓球场、桌球室等）管理服务标准（3分）</w:t>
            </w:r>
          </w:p>
        </w:tc>
        <w:tc>
          <w:tcPr>
            <w:tcW w:w="4335" w:type="dxa"/>
            <w:noWrap w:val="0"/>
            <w:vAlign w:val="center"/>
          </w:tcPr>
          <w:p w14:paraId="26E2FBC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室内场馆管理：体育设施设备管理、保养、检修制度完备、记录齐全；配合做好配电房及供电系统管理，严格按照国家规范运行，制定切实可行的供电应急预案，设备状态标识明显、统一；负责体育设施设备的维护维修，做好记录并存档。</w:t>
            </w:r>
          </w:p>
          <w:p w14:paraId="513ECF27">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室内场馆服务：（1）上岗准备：场馆员统一着装，佩戴工作牌，做好仪容仪表的自我检查；确保设施设备完好、功能正常检查各种健身器材和设备并摆放整齐；做好各场馆的清洁工作，做好场馆通风，确保空气清新。（2）提供场馆服务，对初次到来的学员应主动为其介绍设备的性能和操作方法；细心观察场内情况，及时提醒学员应注意的事项；检查各场馆设施设备的安全状况，及时擦拭健身设备、地面上的汗渍。（3）及时清洁、检查、擦拭、整理健身房设施设备，做好迎接下一批学员的准备。</w:t>
            </w:r>
          </w:p>
        </w:tc>
        <w:tc>
          <w:tcPr>
            <w:tcW w:w="1770" w:type="dxa"/>
            <w:noWrap w:val="0"/>
            <w:vAlign w:val="center"/>
          </w:tcPr>
          <w:p w14:paraId="527232A6">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5ACCB525">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7D014BEF">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6EEA46B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46E4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0CA163AC">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19AD430E">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bidi="ar"/>
                <w14:textFill>
                  <w14:solidFill>
                    <w14:schemeClr w14:val="tx1"/>
                  </w14:solidFill>
                </w14:textFill>
              </w:rPr>
              <w:t>场馆保洁服务标准</w:t>
            </w:r>
            <w:r>
              <w:rPr>
                <w:rFonts w:hint="eastAsia" w:ascii="宋体" w:hAnsi="宋体" w:eastAsia="宋体" w:cs="宋体"/>
                <w:b/>
                <w:bCs/>
                <w:color w:val="000000" w:themeColor="text1"/>
                <w:kern w:val="0"/>
                <w:szCs w:val="21"/>
                <w:highlight w:val="none"/>
                <w14:textFill>
                  <w14:solidFill>
                    <w14:schemeClr w14:val="tx1"/>
                  </w14:solidFill>
                </w14:textFill>
              </w:rPr>
              <w:t>（2分）</w:t>
            </w:r>
          </w:p>
        </w:tc>
        <w:tc>
          <w:tcPr>
            <w:tcW w:w="4335" w:type="dxa"/>
            <w:noWrap w:val="0"/>
            <w:vAlign w:val="center"/>
          </w:tcPr>
          <w:p w14:paraId="43295D48">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1.每年对场馆外墙距离垂直位置2.5米以下部分至少清洁2次以上，场馆楼面杂草每年至少清理6次以上，保持楼面无杂草，确保建筑外观完好、整洁。</w:t>
            </w:r>
          </w:p>
          <w:p w14:paraId="7D8C900C">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2.7号楼所有场馆及公共区域的清洁保洁工作，并对以上区域通过巡检的方式使环境卫生达到既定要求，巡检需有记录。 </w:t>
            </w:r>
          </w:p>
          <w:p w14:paraId="41D1997D">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各场馆及场馆内设备设施进行清洁；垃圾定期收集。要求：设备实施每小时根据使用者需求及使用情况至少巡检清洁1次，开馆前、闭馆后确保各场馆及场馆内设备设施整洁、干净，无尘土、痰迹、汗渍、碎纸、烟头及垃圾杂物。</w:t>
            </w:r>
          </w:p>
          <w:p w14:paraId="0E628AE0">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4.公共区域、走廊保洁：（1）地面：表面洁净、无尘土、污迹、烟头、纸屑、油迹及垃圾。（2）墙面：无尘土、污迹、蜘蛛网。（3）照明灯具：无积灰。（4）各房间门、通道门：无尘土、污迹。</w:t>
            </w:r>
          </w:p>
          <w:p w14:paraId="58578003">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5.公共卫生间保洁：（1）卫生间:无异味，每天至少冲洗 2 次以上。（2）地面：无尘土、碎纸、垃圾、烟头、无积水，无尿迹、污迹。（3）洗手池：池壁无污垢，无痰迹及头发等不洁物。（4）水龙头：无印迹、污垢，光亮、洁净。（5）洗手池台面：无水迹、无尘土、无污物。（6）镜面：无水点、水迹、尘土、污迹。（7）便器：内外洁净、无污垢黄迹；墙面：无尘土、污迹、蜘蛛网。（8）顶板：无尘土、污迹、蜘蛛网。 </w:t>
            </w:r>
          </w:p>
          <w:p w14:paraId="18F8C159">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6.楼梯保洁：（1）地面：无尘土、痰迹、碎纸、烟头及垃圾杂物。（2）墙面：无污迹、蜘蛛网。（3）消防设备：表面无尘土。（4）楼梯：地面无尘土、烟头、痰迹及垃圾杂物，扶手无尘土。</w:t>
            </w:r>
          </w:p>
          <w:p w14:paraId="0BF5B3C0">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其他说明：（1）建筑物及周边区域等保持清洁无积尘、纸屑、树叶、烟头等杂物。（2）负责洗手间马桶、排水管道的清理疏通。（3）墙体清洁。（4）公共玻璃门、窗、玻璃隔断保持无污迹、灰尘。（5）定期维护保养不同材质地面，保持干净、光亮。（6）室内外金属护栏、把手定期擦拭保养，确保无锈迹、污渍、汗渍。（7）场馆开放期间保证所有卫生间全天清洁卫生、无异味，地面无积水，及时更换卫生纸、擦手纸、洗手液、消毒洗手液。</w:t>
            </w:r>
          </w:p>
        </w:tc>
        <w:tc>
          <w:tcPr>
            <w:tcW w:w="1770" w:type="dxa"/>
            <w:noWrap w:val="0"/>
            <w:vAlign w:val="center"/>
          </w:tcPr>
          <w:p w14:paraId="25620C64">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19C4314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5FFD055D">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553ECCD5">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39C4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6AC901FF">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65207F42">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网球场、室外足球场</w:t>
            </w:r>
            <w:r>
              <w:rPr>
                <w:rFonts w:hint="eastAsia" w:ascii="宋体" w:hAnsi="宋体" w:eastAsia="宋体" w:cs="宋体"/>
                <w:b/>
                <w:bCs/>
                <w:color w:val="000000" w:themeColor="text1"/>
                <w:szCs w:val="21"/>
                <w:highlight w:val="none"/>
                <w:lang w:bidi="ar"/>
                <w14:textFill>
                  <w14:solidFill>
                    <w14:schemeClr w14:val="tx1"/>
                  </w14:solidFill>
                </w14:textFill>
              </w:rPr>
              <w:t>保洁服务标准</w:t>
            </w:r>
            <w:r>
              <w:rPr>
                <w:rFonts w:hint="eastAsia" w:ascii="宋体" w:hAnsi="宋体" w:eastAsia="宋体" w:cs="宋体"/>
                <w:b/>
                <w:bCs/>
                <w:color w:val="000000" w:themeColor="text1"/>
                <w:kern w:val="0"/>
                <w:szCs w:val="21"/>
                <w:highlight w:val="none"/>
                <w14:textFill>
                  <w14:solidFill>
                    <w14:schemeClr w14:val="tx1"/>
                  </w14:solidFill>
                </w14:textFill>
              </w:rPr>
              <w:t>（2分）</w:t>
            </w:r>
          </w:p>
        </w:tc>
        <w:tc>
          <w:tcPr>
            <w:tcW w:w="4335" w:type="dxa"/>
            <w:noWrap w:val="0"/>
            <w:vAlign w:val="center"/>
          </w:tcPr>
          <w:p w14:paraId="62F3B2D2">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1.网球场、室外足球场管理</w:t>
            </w:r>
          </w:p>
          <w:p w14:paraId="0A07DBCE">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体育设施设备管理、保养、检修制度完备、记录齐全；配合做好配电房及供电系统管理，严格按照国家规范运行，制定切实可行的供电应急预案，设备状态标识明显、统一；负责体育设施设备的维护维修，做好记录并存档。</w:t>
            </w:r>
          </w:p>
          <w:p w14:paraId="39BF5040">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2.室外网球场、足球场服务</w:t>
            </w:r>
          </w:p>
          <w:p w14:paraId="32F708D1">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上岗准备：场馆员统一着装，佩戴工作牌，做好仪容仪表的自我检查；确保设施设备完好、功能正常检查各种健身器材和设备并摆放整齐；做好各场馆的清洁工作。</w:t>
            </w:r>
          </w:p>
          <w:p w14:paraId="046DFA38">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提供场馆服务，对初次到来的学员应主动为其介绍设备的性能和操作方法；细心观察场馆情况，及时提醒客人应注意的事项；检查各场馆设施设备的安全状况，及时擦拭健身设备、地面上的污渍。</w:t>
            </w:r>
          </w:p>
          <w:p w14:paraId="52C4C720">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及时清洁、检查、擦拭、整理健身房设施设备，做好迎接下一批客人的准备。</w:t>
            </w:r>
          </w:p>
        </w:tc>
        <w:tc>
          <w:tcPr>
            <w:tcW w:w="1770" w:type="dxa"/>
            <w:noWrap w:val="0"/>
            <w:vAlign w:val="center"/>
          </w:tcPr>
          <w:p w14:paraId="6827FDB2">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6C71D164">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227135BE">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5B0A5A1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23CA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2" w:type="dxa"/>
            <w:vMerge w:val="continue"/>
            <w:noWrap w:val="0"/>
            <w:vAlign w:val="center"/>
          </w:tcPr>
          <w:p w14:paraId="4BBEC38A">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07BD01B4">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 xml:space="preserve">服务档案管理 </w:t>
            </w:r>
          </w:p>
          <w:p w14:paraId="4C8E7D9D">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标准（2分）</w:t>
            </w:r>
          </w:p>
        </w:tc>
        <w:tc>
          <w:tcPr>
            <w:tcW w:w="4335" w:type="dxa"/>
            <w:noWrap w:val="0"/>
            <w:vAlign w:val="center"/>
          </w:tcPr>
          <w:p w14:paraId="5CD389DE">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1.分类有序的保管档案、资料，保证各类档案、资料完整，便于查询。原始资料实行电脑储存与纸质保存并行，包括所聘请的全部员工的资料需报备党校，实行双档制。</w:t>
            </w:r>
          </w:p>
          <w:p w14:paraId="13F46BA4">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2.中标人每月向党校提交上一月</w:t>
            </w:r>
            <w:r>
              <w:rPr>
                <w:rFonts w:hint="eastAsia" w:ascii="宋体" w:hAnsi="宋体" w:eastAsia="宋体" w:cs="宋体"/>
                <w:color w:val="000000" w:themeColor="text1"/>
                <w:szCs w:val="21"/>
                <w:highlight w:val="none"/>
                <w:lang w:bidi="ar"/>
                <w14:textFill>
                  <w14:solidFill>
                    <w14:schemeClr w14:val="tx1"/>
                  </w14:solidFill>
                </w14:textFill>
              </w:rPr>
              <w:t>7号楼</w:t>
            </w:r>
            <w:r>
              <w:rPr>
                <w:rFonts w:hint="eastAsia" w:ascii="宋体" w:hAnsi="宋体" w:eastAsia="宋体" w:cs="宋体"/>
                <w:color w:val="000000" w:themeColor="text1"/>
                <w:szCs w:val="21"/>
                <w:highlight w:val="none"/>
                <w14:textFill>
                  <w14:solidFill>
                    <w14:schemeClr w14:val="tx1"/>
                  </w14:solidFill>
                </w14:textFill>
              </w:rPr>
              <w:t>运行报告，内容包括体育中心运行总体情况、设备故障记录、设备保养、维修记录、设备更换配件记录、设备清洁记录、游泳池水质检测记录、投药记录（含药品种类、名称、每月投放数量、每天投放次数）。</w:t>
            </w:r>
          </w:p>
        </w:tc>
        <w:tc>
          <w:tcPr>
            <w:tcW w:w="1770" w:type="dxa"/>
            <w:noWrap w:val="0"/>
            <w:vAlign w:val="center"/>
          </w:tcPr>
          <w:p w14:paraId="3A64EEEB">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7A231FAF">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6A407112">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612B3819">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43AF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5" w:hRule="atLeast"/>
          <w:jc w:val="center"/>
        </w:trPr>
        <w:tc>
          <w:tcPr>
            <w:tcW w:w="742" w:type="dxa"/>
            <w:vMerge w:val="continue"/>
            <w:noWrap w:val="0"/>
            <w:vAlign w:val="center"/>
          </w:tcPr>
          <w:p w14:paraId="352BE181">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1020" w:type="dxa"/>
            <w:noWrap w:val="0"/>
            <w:vAlign w:val="center"/>
          </w:tcPr>
          <w:p w14:paraId="3105DDF2">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bidi="ar"/>
                <w14:textFill>
                  <w14:solidFill>
                    <w14:schemeClr w14:val="tx1"/>
                  </w14:solidFill>
                </w14:textFill>
              </w:rPr>
              <w:t>其他</w:t>
            </w:r>
            <w:r>
              <w:rPr>
                <w:rFonts w:hint="eastAsia" w:ascii="宋体" w:hAnsi="宋体" w:eastAsia="宋体" w:cs="宋体"/>
                <w:b/>
                <w:bCs/>
                <w:color w:val="000000" w:themeColor="text1"/>
                <w:kern w:val="0"/>
                <w:szCs w:val="21"/>
                <w:highlight w:val="none"/>
                <w14:textFill>
                  <w14:solidFill>
                    <w14:schemeClr w14:val="tx1"/>
                  </w14:solidFill>
                </w14:textFill>
              </w:rPr>
              <w:t>（2分）</w:t>
            </w:r>
          </w:p>
        </w:tc>
        <w:tc>
          <w:tcPr>
            <w:tcW w:w="4335" w:type="dxa"/>
            <w:noWrap w:val="0"/>
            <w:vAlign w:val="center"/>
          </w:tcPr>
          <w:p w14:paraId="6F7EF21D">
            <w:pPr>
              <w:keepNext w:val="0"/>
              <w:keepLines w:val="0"/>
              <w:pageBreakBefore w:val="0"/>
              <w:kinsoku/>
              <w:wordWrap/>
              <w:overflowPunct/>
              <w:topLinePunct w:val="0"/>
              <w:autoSpaceDE/>
              <w:autoSpaceDN/>
              <w:bidi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1.固定资产、流动资产和易耗品要有专人负责，摆放有序。</w:t>
            </w:r>
          </w:p>
          <w:p w14:paraId="0A76B83C">
            <w:pPr>
              <w:keepNext w:val="0"/>
              <w:keepLines w:val="0"/>
              <w:pageBreakBefore w:val="0"/>
              <w:kinsoku/>
              <w:wordWrap/>
              <w:overflowPunct/>
              <w:topLinePunct w:val="0"/>
              <w:autoSpaceDE/>
              <w:autoSpaceDN/>
              <w:bidi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2.建有各类资产、易耗品的进、出、存三级帐，使用登记及时率和准确率达100%。</w:t>
            </w:r>
          </w:p>
          <w:p w14:paraId="29C08C63">
            <w:pPr>
              <w:keepNext w:val="0"/>
              <w:keepLines w:val="0"/>
              <w:pageBreakBefore w:val="0"/>
              <w:kinsoku/>
              <w:wordWrap/>
              <w:overflowPunct/>
              <w:topLinePunct w:val="0"/>
              <w:autoSpaceDE/>
              <w:autoSpaceDN/>
              <w:bidi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3.提倡节约观念，控制物资消耗。</w:t>
            </w:r>
          </w:p>
          <w:p w14:paraId="243D1BCA">
            <w:pPr>
              <w:keepNext w:val="0"/>
              <w:keepLines w:val="0"/>
              <w:pageBreakBefore w:val="0"/>
              <w:kinsoku/>
              <w:wordWrap/>
              <w:overflowPunct/>
              <w:topLinePunct w:val="0"/>
              <w:autoSpaceDE/>
              <w:autoSpaceDN/>
              <w:bidi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4.按月、季度进行物资消耗统计和仓库盘点等工作，完成率达100%。</w:t>
            </w:r>
          </w:p>
          <w:p w14:paraId="6310BD3E">
            <w:pPr>
              <w:keepNext w:val="0"/>
              <w:keepLines w:val="0"/>
              <w:pageBreakBefore w:val="0"/>
              <w:kinsoku/>
              <w:wordWrap/>
              <w:overflowPunct/>
              <w:topLinePunct w:val="0"/>
              <w:autoSpaceDE/>
              <w:autoSpaceDN/>
              <w:bidi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5.做好负责区域内固定资产、流动资产的日常巡查记录，发现损坏及时报修。</w:t>
            </w:r>
          </w:p>
        </w:tc>
        <w:tc>
          <w:tcPr>
            <w:tcW w:w="1770" w:type="dxa"/>
            <w:noWrap w:val="0"/>
            <w:vAlign w:val="center"/>
          </w:tcPr>
          <w:p w14:paraId="3077112A">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200F8123">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5F4FFA9A">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363CFC77">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78E0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2" w:type="dxa"/>
            <w:noWrap w:val="0"/>
            <w:vAlign w:val="center"/>
          </w:tcPr>
          <w:p w14:paraId="5A4FE325">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水电、土建、设施维修服务（25分）</w:t>
            </w:r>
          </w:p>
        </w:tc>
        <w:tc>
          <w:tcPr>
            <w:tcW w:w="1020" w:type="dxa"/>
            <w:noWrap w:val="0"/>
            <w:vAlign w:val="center"/>
          </w:tcPr>
          <w:p w14:paraId="3723EC86">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b/>
                <w:bCs/>
                <w:color w:val="000000" w:themeColor="text1"/>
                <w:szCs w:val="21"/>
                <w:highlight w:val="none"/>
                <w:lang w:bidi="ar"/>
                <w14:textFill>
                  <w14:solidFill>
                    <w14:schemeClr w14:val="tx1"/>
                  </w14:solidFill>
                </w14:textFill>
              </w:rPr>
            </w:pPr>
          </w:p>
        </w:tc>
        <w:tc>
          <w:tcPr>
            <w:tcW w:w="4335" w:type="dxa"/>
            <w:noWrap w:val="0"/>
            <w:vAlign w:val="center"/>
          </w:tcPr>
          <w:p w14:paraId="668DB25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1.负责、配合学校水、电、暖</w:t>
            </w:r>
            <w:r>
              <w:rPr>
                <w:rFonts w:hint="eastAsia" w:ascii="宋体" w:hAnsi="宋体" w:eastAsia="宋体" w:cs="宋体"/>
                <w:color w:val="000000" w:themeColor="text1"/>
                <w:szCs w:val="21"/>
                <w:highlight w:val="none"/>
                <w:lang w:bidi="ar"/>
                <w14:textFill>
                  <w14:solidFill>
                    <w14:schemeClr w14:val="tx1"/>
                  </w14:solidFill>
                </w14:textFill>
              </w:rPr>
              <w:t>房屋各部分及公共设施等、设施（包括电梯、中央空调、热水系统、高低压配电箱、供水加压系统、智能系统）的维护</w:t>
            </w:r>
            <w:r>
              <w:rPr>
                <w:rFonts w:hint="eastAsia" w:ascii="宋体" w:hAnsi="宋体" w:eastAsia="宋体" w:cs="宋体"/>
                <w:color w:val="000000" w:themeColor="text1"/>
                <w:szCs w:val="21"/>
                <w:highlight w:val="none"/>
                <w14:textFill>
                  <w14:solidFill>
                    <w14:schemeClr w14:val="tx1"/>
                  </w14:solidFill>
                </w14:textFill>
              </w:rPr>
              <w:t>维修工作。掌握水电暖设备、设施规格、型号、性能和熟知校园供水、供电、供暖网线。（我校因实际需要，规划建设了从大化变电站至我校的10KV供电专线，其中部分高压线路及高压变电箱设置于我校校园内。根据供电部门要求，进入我校范围内的线路及设备，由我校按供电部门规章自行管理。）</w:t>
            </w:r>
          </w:p>
          <w:p w14:paraId="2703CB2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2.负责水电暖每日巡查工作。重点检查教学中心、行政中心、宿舍楼及公共场所的水电暖设施，发现问题，及时处理，杜绝“跑、冒、滴、漏”和长明灯现象，保证水、电、暖正常供应。</w:t>
            </w:r>
          </w:p>
          <w:p w14:paraId="0855401F">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3.负责学校大型活动的接电、保电工作。对学校的重大活动如春季、秋季学期主体班开班仪式、全市重要会议或自治区、国家级会议等应该事先作好充分的准备，确保顺利进行。</w:t>
            </w:r>
          </w:p>
          <w:p w14:paraId="5B2CCB1F">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4.负责学校消防设施设备的维修。根据季节调整好校园路灯的照明时间，做到节能。</w:t>
            </w:r>
          </w:p>
          <w:p w14:paraId="6BFA1E5C">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5.负责查明水、电、暖供应异常的原因，并报告部门领导。配合外请人员对学校水、电、暖设备设施进行的维修，做好验收。</w:t>
            </w:r>
          </w:p>
          <w:p w14:paraId="3ABD10C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6.负责每月查抄学校管辖内的房屋、食堂水电表等工作。</w:t>
            </w:r>
          </w:p>
          <w:p w14:paraId="74E8CD94">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7.维修要及时，一般维修在一个工作日内完成，紧急维修随叫随到。依据派工单领取维修材料,维修情况要及时反馈给部门领导。</w:t>
            </w:r>
          </w:p>
          <w:p w14:paraId="149E3D9C">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8.勤俭节约，修旧利废，合理使用水、电、暖耗材。</w:t>
            </w:r>
          </w:p>
          <w:p w14:paraId="70F1FC6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9.负责水电暖设备设施的防鼠、冬季防冻工作。</w:t>
            </w:r>
          </w:p>
          <w:p w14:paraId="2DED0BAC">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10.负责水电暖工具、器材的管理，因工作失职造成的损失应承担责任。</w:t>
            </w:r>
          </w:p>
          <w:p w14:paraId="24E0F09B">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11.爱岗敬业，学习业务知识，严格遵守操作规程，确保工作安全。</w:t>
            </w:r>
          </w:p>
          <w:p w14:paraId="7B68A15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12.服从学校安排,完成学校安排的各项临时性工作。</w:t>
            </w:r>
          </w:p>
          <w:p w14:paraId="77A295F2">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13.保持24小时联系通畅，随叫随到。</w:t>
            </w:r>
          </w:p>
        </w:tc>
        <w:tc>
          <w:tcPr>
            <w:tcW w:w="1770" w:type="dxa"/>
            <w:noWrap w:val="0"/>
            <w:vAlign w:val="center"/>
          </w:tcPr>
          <w:p w14:paraId="52C22141">
            <w:pPr>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不达标的，每个内容扣0.5分，扣完为止。</w:t>
            </w:r>
          </w:p>
        </w:tc>
        <w:tc>
          <w:tcPr>
            <w:tcW w:w="660" w:type="dxa"/>
            <w:noWrap w:val="0"/>
            <w:vAlign w:val="center"/>
          </w:tcPr>
          <w:p w14:paraId="69BE0056">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660" w:type="dxa"/>
            <w:noWrap w:val="0"/>
            <w:vAlign w:val="center"/>
          </w:tcPr>
          <w:p w14:paraId="67A13B73">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c>
          <w:tcPr>
            <w:tcW w:w="752" w:type="dxa"/>
            <w:noWrap w:val="0"/>
            <w:vAlign w:val="center"/>
          </w:tcPr>
          <w:p w14:paraId="731EB326">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p>
        </w:tc>
      </w:tr>
      <w:tr w14:paraId="2CBF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867" w:type="dxa"/>
            <w:gridSpan w:val="4"/>
            <w:noWrap/>
            <w:vAlign w:val="center"/>
          </w:tcPr>
          <w:p w14:paraId="7F2A9024">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扣分合计</w:t>
            </w:r>
          </w:p>
        </w:tc>
        <w:tc>
          <w:tcPr>
            <w:tcW w:w="660" w:type="dxa"/>
            <w:noWrap/>
            <w:vAlign w:val="center"/>
          </w:tcPr>
          <w:p w14:paraId="5F743CDE">
            <w:pPr>
              <w:keepNext w:val="0"/>
              <w:keepLines w:val="0"/>
              <w:pageBreakBefore w:val="0"/>
              <w:widowControl/>
              <w:kinsoku/>
              <w:wordWrap/>
              <w:overflowPunct/>
              <w:topLinePunct w:val="0"/>
              <w:autoSpaceDE/>
              <w:autoSpaceDN/>
              <w:bidi w:val="0"/>
              <w:spacing w:line="36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w:t>
            </w:r>
          </w:p>
        </w:tc>
        <w:tc>
          <w:tcPr>
            <w:tcW w:w="660" w:type="dxa"/>
            <w:noWrap/>
            <w:vAlign w:val="center"/>
          </w:tcPr>
          <w:p w14:paraId="1DFC24E0">
            <w:pPr>
              <w:keepNext w:val="0"/>
              <w:keepLines w:val="0"/>
              <w:pageBreakBefore w:val="0"/>
              <w:widowControl/>
              <w:kinsoku/>
              <w:wordWrap/>
              <w:overflowPunct/>
              <w:topLinePunct w:val="0"/>
              <w:autoSpaceDE/>
              <w:autoSpaceDN/>
              <w:bidi w:val="0"/>
              <w:spacing w:line="36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w:t>
            </w:r>
          </w:p>
        </w:tc>
        <w:tc>
          <w:tcPr>
            <w:tcW w:w="752" w:type="dxa"/>
            <w:noWrap/>
            <w:vAlign w:val="center"/>
          </w:tcPr>
          <w:p w14:paraId="07F648E5">
            <w:pPr>
              <w:keepNext w:val="0"/>
              <w:keepLines w:val="0"/>
              <w:pageBreakBefore w:val="0"/>
              <w:widowControl/>
              <w:kinsoku/>
              <w:wordWrap/>
              <w:overflowPunct/>
              <w:topLinePunct w:val="0"/>
              <w:autoSpaceDE/>
              <w:autoSpaceDN/>
              <w:bidi w:val="0"/>
              <w:spacing w:line="36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p>
        </w:tc>
      </w:tr>
      <w:tr w14:paraId="7F41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097" w:type="dxa"/>
            <w:gridSpan w:val="3"/>
            <w:tcBorders>
              <w:bottom w:val="single" w:color="auto" w:sz="4" w:space="0"/>
            </w:tcBorders>
            <w:noWrap/>
            <w:vAlign w:val="center"/>
          </w:tcPr>
          <w:p w14:paraId="436215C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总分</w:t>
            </w:r>
          </w:p>
        </w:tc>
        <w:tc>
          <w:tcPr>
            <w:tcW w:w="1770" w:type="dxa"/>
            <w:tcBorders>
              <w:bottom w:val="single" w:color="auto" w:sz="4" w:space="0"/>
            </w:tcBorders>
            <w:noWrap/>
            <w:vAlign w:val="center"/>
          </w:tcPr>
          <w:p w14:paraId="0133D7B8">
            <w:pPr>
              <w:keepNext w:val="0"/>
              <w:keepLines w:val="0"/>
              <w:pageBreakBefore w:val="0"/>
              <w:widowControl/>
              <w:kinsoku/>
              <w:wordWrap/>
              <w:overflowPunct/>
              <w:topLinePunct w:val="0"/>
              <w:autoSpaceDE/>
              <w:autoSpaceDN/>
              <w:bidi w:val="0"/>
              <w:spacing w:line="360" w:lineRule="exact"/>
              <w:ind w:firstLine="422" w:firstLineChars="200"/>
              <w:jc w:val="center"/>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　</w:t>
            </w:r>
          </w:p>
        </w:tc>
        <w:tc>
          <w:tcPr>
            <w:tcW w:w="660" w:type="dxa"/>
            <w:tcBorders>
              <w:bottom w:val="single" w:color="auto" w:sz="4" w:space="0"/>
            </w:tcBorders>
            <w:noWrap/>
            <w:vAlign w:val="center"/>
          </w:tcPr>
          <w:p w14:paraId="09F5051A">
            <w:pPr>
              <w:keepNext w:val="0"/>
              <w:keepLines w:val="0"/>
              <w:pageBreakBefore w:val="0"/>
              <w:widowControl/>
              <w:kinsoku/>
              <w:wordWrap/>
              <w:overflowPunct/>
              <w:topLinePunct w:val="0"/>
              <w:autoSpaceDE/>
              <w:autoSpaceDN/>
              <w:bidi w:val="0"/>
              <w:spacing w:line="36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w:t>
            </w:r>
          </w:p>
        </w:tc>
        <w:tc>
          <w:tcPr>
            <w:tcW w:w="660" w:type="dxa"/>
            <w:tcBorders>
              <w:bottom w:val="single" w:color="auto" w:sz="4" w:space="0"/>
            </w:tcBorders>
            <w:noWrap/>
            <w:vAlign w:val="center"/>
          </w:tcPr>
          <w:p w14:paraId="1067AE0E">
            <w:pPr>
              <w:keepNext w:val="0"/>
              <w:keepLines w:val="0"/>
              <w:pageBreakBefore w:val="0"/>
              <w:widowControl/>
              <w:kinsoku/>
              <w:wordWrap/>
              <w:overflowPunct/>
              <w:topLinePunct w:val="0"/>
              <w:autoSpaceDE/>
              <w:autoSpaceDN/>
              <w:bidi w:val="0"/>
              <w:spacing w:line="36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w:t>
            </w:r>
          </w:p>
        </w:tc>
        <w:tc>
          <w:tcPr>
            <w:tcW w:w="752" w:type="dxa"/>
            <w:tcBorders>
              <w:bottom w:val="single" w:color="auto" w:sz="4" w:space="0"/>
            </w:tcBorders>
            <w:noWrap/>
            <w:vAlign w:val="center"/>
          </w:tcPr>
          <w:p w14:paraId="44EE24E0">
            <w:pPr>
              <w:keepNext w:val="0"/>
              <w:keepLines w:val="0"/>
              <w:pageBreakBefore w:val="0"/>
              <w:widowControl/>
              <w:kinsoku/>
              <w:wordWrap/>
              <w:overflowPunct/>
              <w:topLinePunct w:val="0"/>
              <w:autoSpaceDE/>
              <w:autoSpaceDN/>
              <w:bidi w:val="0"/>
              <w:spacing w:line="36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p>
        </w:tc>
      </w:tr>
    </w:tbl>
    <w:p w14:paraId="631AFC89">
      <w:pPr>
        <w:adjustRightInd w:val="0"/>
        <w:snapToGrid w:val="0"/>
        <w:spacing w:line="440" w:lineRule="exact"/>
        <w:ind w:firstLine="422"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（三）服务违约</w:t>
      </w:r>
    </w:p>
    <w:p w14:paraId="257B404C">
      <w:pPr>
        <w:adjustRightInd w:val="0"/>
        <w:snapToGrid w:val="0"/>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1.中标人必须按岗位设置方案，配齐人员，如有人员缺岗，要及时补充。</w:t>
      </w:r>
    </w:p>
    <w:p w14:paraId="029797FB">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2.中标人因自身原因导致事故的发生，造成的一切损失由中标人负责赔偿。如有发生二次以上事故（含二次）的党校可要求解除合同。</w:t>
      </w:r>
    </w:p>
    <w:p w14:paraId="3B2121AC">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中标人承接党校的工作任务，在约定完成的时限内须按照党校的工作方式和技术规范进行服务（除因不可抗力未能按时按质完成服务外）。如因自身原因不能完成工作的，党校有权外请人员完成，所需费用从服务费中扣除。</w:t>
      </w:r>
    </w:p>
    <w:p w14:paraId="008AA95C">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4.中标人派驻本项目的负责人如果出现工作推诿、执行力不强、工作长期达不到党校要求、造成较大工作失误及其他严重事故的，党校有权要求中标人撤换项目负责人，并承担相应责任。</w:t>
      </w:r>
    </w:p>
    <w:p w14:paraId="3541D111">
      <w:pPr>
        <w:adjustRightInd w:val="0"/>
        <w:snapToGrid w:val="0"/>
        <w:spacing w:line="400" w:lineRule="exact"/>
        <w:ind w:firstLine="422"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（四）安全管理</w:t>
      </w:r>
    </w:p>
    <w:p w14:paraId="660645EC">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人工作人员须遵守纪律、按工作流程服务，无论操作失当还是个人主观因素造成党校财产损失的，中标人须照价赔偿并给予处罚；中标人工作人员必须遵守相关安全法规，遵守党校的安全管理制度，熟知、掌握本工种的安全规程和操作规范，增强安全意识，做好自身安全防护，出现事故均由中标人负责。在服务工作中由于中标人管理不严对第三方造成伤害的，中标人承担全部责任。</w:t>
      </w:r>
    </w:p>
    <w:p w14:paraId="1409E193">
      <w:pPr>
        <w:adjustRightInd w:val="0"/>
        <w:snapToGrid w:val="0"/>
        <w:spacing w:line="400" w:lineRule="exact"/>
        <w:ind w:firstLine="422"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7</w:t>
      </w:r>
      <w:r>
        <w:rPr>
          <w:rFonts w:hint="eastAsia" w:ascii="宋体" w:hAnsi="宋体" w:eastAsia="宋体" w:cs="宋体"/>
          <w:b/>
          <w:bCs/>
          <w:color w:val="000000" w:themeColor="text1"/>
          <w:szCs w:val="21"/>
          <w:highlight w:val="none"/>
          <w14:textFill>
            <w14:solidFill>
              <w14:schemeClr w14:val="tx1"/>
            </w14:solidFill>
          </w14:textFill>
        </w:rPr>
        <w:t>、设备设施提供（标书内容涉及到由中标人准备或者具备的除外）</w:t>
      </w:r>
    </w:p>
    <w:p w14:paraId="518F7023">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）中标人在服务过程中所需要的易耗品由党校提供。</w:t>
      </w:r>
    </w:p>
    <w:p w14:paraId="1F8D0300">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）中标人在养护过程中所需的苗木、肥料、农药由党校提供。</w:t>
      </w:r>
    </w:p>
    <w:p w14:paraId="1C320387">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）中标人开展工作所需的办公用品及岗位设置的配备由中标人负责。</w:t>
      </w:r>
    </w:p>
    <w:p w14:paraId="1F01B044">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）党校提供使用的巡逻车、浇水车、喷药车、小四轮等车辆在使用过程中所产生的费用（油费）、年审、购买保险等费用由党校负责，如有人为损坏也要报备党校后自行修理。</w:t>
      </w:r>
    </w:p>
    <w:p w14:paraId="61314BE5">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）所有由党校提供的物资的使用和消耗，如出现人为或不正常损坏或损耗，由投标人负责照价赔偿。</w:t>
      </w:r>
    </w:p>
    <w:p w14:paraId="3EC3DEF8">
      <w:pPr>
        <w:adjustRightInd w:val="0"/>
        <w:snapToGrid w:val="0"/>
        <w:spacing w:line="400" w:lineRule="exact"/>
        <w:ind w:firstLine="422"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8</w:t>
      </w:r>
      <w:r>
        <w:rPr>
          <w:rFonts w:hint="eastAsia" w:ascii="宋体" w:hAnsi="宋体" w:eastAsia="宋体" w:cs="宋体"/>
          <w:b/>
          <w:bCs/>
          <w:color w:val="000000" w:themeColor="text1"/>
          <w:szCs w:val="21"/>
          <w:highlight w:val="none"/>
          <w14:textFill>
            <w14:solidFill>
              <w14:schemeClr w14:val="tx1"/>
            </w14:solidFill>
          </w14:textFill>
        </w:rPr>
        <w:t>、中标人要求</w:t>
      </w:r>
    </w:p>
    <w:p w14:paraId="30A2399D">
      <w:pPr>
        <w:adjustRightInd w:val="0"/>
        <w:snapToGrid w:val="0"/>
        <w:spacing w:line="40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Cs w:val="21"/>
          <w:highlight w:val="none"/>
          <w14:textFill>
            <w14:solidFill>
              <w14:schemeClr w14:val="tx1"/>
            </w14:solidFill>
          </w14:textFill>
        </w:rPr>
        <w:t>）中标人必须根据《劳动合同法》合法用工，给每位服务人员购买社会保险，党校不再支付相关需要费用。</w:t>
      </w:r>
      <w:r>
        <w:rPr>
          <w:rFonts w:hint="eastAsia" w:ascii="宋体" w:hAnsi="宋体" w:eastAsia="宋体" w:cs="宋体"/>
          <w:color w:val="000000" w:themeColor="text1"/>
          <w:szCs w:val="21"/>
          <w:highlight w:val="none"/>
          <w14:textFill>
            <w14:solidFill>
              <w14:schemeClr w14:val="tx1"/>
            </w14:solidFill>
          </w14:textFill>
        </w:rPr>
        <w:t>党校与服务人员不发生任何劳动和雇佣关系，服务人员由投标人自行管理，并遵守国家相关劳动法律法规，涉及劳务纠纷和劳动事故全部由投标人承担责任。</w:t>
      </w:r>
    </w:p>
    <w:p w14:paraId="1ED322FA">
      <w:pPr>
        <w:adjustRightInd w:val="0"/>
        <w:snapToGrid w:val="0"/>
        <w:spacing w:line="400" w:lineRule="exact"/>
        <w:ind w:firstLine="420" w:firstLineChars="200"/>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Cs w:val="21"/>
          <w:highlight w:val="none"/>
          <w14:textFill>
            <w14:solidFill>
              <w14:schemeClr w14:val="tx1"/>
            </w14:solidFill>
          </w14:textFill>
        </w:rPr>
        <w:t>）员工服装款式面料风格须报经党校确认同意。</w:t>
      </w:r>
    </w:p>
    <w:p w14:paraId="183869B5">
      <w:pPr>
        <w:adjustRightInd w:val="0"/>
        <w:snapToGrid w:val="0"/>
        <w:spacing w:line="400" w:lineRule="exact"/>
        <w:ind w:firstLine="420" w:firstLineChars="200"/>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Cs w:val="21"/>
          <w:highlight w:val="none"/>
          <w14:textFill>
            <w14:solidFill>
              <w14:schemeClr w14:val="tx1"/>
            </w14:solidFill>
          </w14:textFill>
        </w:rPr>
        <w:t>）服务人员的工资每年应有的福利费、奖金、加班费等均由投标人负责。工资水平应优于当地最低工资标准。</w:t>
      </w:r>
    </w:p>
    <w:p w14:paraId="45A74A05">
      <w:pPr>
        <w:adjustRightInd w:val="0"/>
        <w:snapToGrid w:val="0"/>
        <w:spacing w:line="400" w:lineRule="exact"/>
        <w:ind w:firstLine="420" w:firstLineChars="200"/>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Cs w:val="21"/>
          <w:highlight w:val="none"/>
          <w14:textFill>
            <w14:solidFill>
              <w14:schemeClr w14:val="tx1"/>
            </w14:solidFill>
          </w14:textFill>
        </w:rPr>
        <w:t>）根据党校提供的工作岗位要求，由投标人制订的《岗位说明书》、《岗位流程》、《岗位服务标准》、《岗位服务控制程序》、《安全管理制度》、《人员编制表》等相关规章制度必须在投标书中具体体现，并提供相应的岗位培训制度。</w:t>
      </w:r>
    </w:p>
    <w:p w14:paraId="0446A4E8">
      <w:pPr>
        <w:adjustRightInd w:val="0"/>
        <w:snapToGrid w:val="0"/>
        <w:spacing w:line="400" w:lineRule="exact"/>
        <w:ind w:firstLine="420" w:firstLineChars="200"/>
        <w:rPr>
          <w:rStyle w:val="345"/>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Cs w:val="21"/>
          <w:highlight w:val="none"/>
          <w14:textFill>
            <w14:solidFill>
              <w14:schemeClr w14:val="tx1"/>
            </w14:solidFill>
          </w14:textFill>
        </w:rPr>
        <w:t>）中标人必须对项目技术文件以及学校机密或商业秘密保密，保密范围包括技术情报、数据资料。</w:t>
      </w:r>
    </w:p>
    <w:p w14:paraId="51917C8F">
      <w:pPr>
        <w:jc w:val="center"/>
        <w:outlineLvl w:val="0"/>
        <w:rPr>
          <w:rStyle w:val="252"/>
          <w:rFonts w:hint="eastAsia" w:ascii="宋体" w:hAnsi="宋体" w:eastAsia="宋体" w:cs="宋体"/>
          <w:color w:val="000000" w:themeColor="text1"/>
          <w:sz w:val="32"/>
          <w:szCs w:val="32"/>
          <w:highlight w:val="none"/>
          <w14:textFill>
            <w14:solidFill>
              <w14:schemeClr w14:val="tx1"/>
            </w14:solidFill>
          </w14:textFill>
        </w:rPr>
      </w:pPr>
    </w:p>
    <w:p w14:paraId="6C8D28C4">
      <w:pPr>
        <w:jc w:val="center"/>
        <w:outlineLvl w:val="0"/>
        <w:rPr>
          <w:rStyle w:val="252"/>
          <w:rFonts w:hint="eastAsia" w:ascii="宋体" w:hAnsi="宋体" w:eastAsia="宋体" w:cs="宋体"/>
          <w:color w:val="000000" w:themeColor="text1"/>
          <w:sz w:val="32"/>
          <w:szCs w:val="32"/>
          <w:highlight w:val="none"/>
          <w14:textFill>
            <w14:solidFill>
              <w14:schemeClr w14:val="tx1"/>
            </w14:solidFill>
          </w14:textFill>
        </w:rPr>
      </w:pPr>
    </w:p>
    <w:p w14:paraId="4D8A457F">
      <w:pPr>
        <w:jc w:val="center"/>
        <w:outlineLvl w:val="0"/>
        <w:rPr>
          <w:rStyle w:val="252"/>
          <w:rFonts w:hint="eastAsia" w:ascii="宋体" w:hAnsi="宋体" w:eastAsia="宋体" w:cs="宋体"/>
          <w:color w:val="000000" w:themeColor="text1"/>
          <w:sz w:val="32"/>
          <w:szCs w:val="32"/>
          <w:highlight w:val="none"/>
          <w14:textFill>
            <w14:solidFill>
              <w14:schemeClr w14:val="tx1"/>
            </w14:solidFill>
          </w14:textFill>
        </w:rPr>
      </w:pPr>
    </w:p>
    <w:p w14:paraId="562BD410">
      <w:pPr>
        <w:jc w:val="center"/>
        <w:outlineLvl w:val="0"/>
        <w:rPr>
          <w:rStyle w:val="252"/>
          <w:rFonts w:hint="eastAsia" w:ascii="宋体" w:hAnsi="宋体" w:eastAsia="宋体" w:cs="宋体"/>
          <w:color w:val="000000" w:themeColor="text1"/>
          <w:sz w:val="32"/>
          <w:szCs w:val="32"/>
          <w:highlight w:val="none"/>
          <w14:textFill>
            <w14:solidFill>
              <w14:schemeClr w14:val="tx1"/>
            </w14:solidFill>
          </w14:textFill>
        </w:rPr>
      </w:pPr>
    </w:p>
    <w:p w14:paraId="6823102E">
      <w:pPr>
        <w:jc w:val="center"/>
        <w:outlineLvl w:val="0"/>
        <w:rPr>
          <w:rStyle w:val="252"/>
          <w:rFonts w:hint="eastAsia" w:ascii="宋体" w:hAnsi="宋体" w:eastAsia="宋体" w:cs="宋体"/>
          <w:color w:val="000000" w:themeColor="text1"/>
          <w:sz w:val="32"/>
          <w:szCs w:val="32"/>
          <w:highlight w:val="none"/>
          <w14:textFill>
            <w14:solidFill>
              <w14:schemeClr w14:val="tx1"/>
            </w14:solidFill>
          </w14:textFill>
        </w:rPr>
      </w:pPr>
    </w:p>
    <w:p w14:paraId="783A8D3F">
      <w:pPr>
        <w:jc w:val="center"/>
        <w:outlineLvl w:val="0"/>
        <w:rPr>
          <w:rStyle w:val="252"/>
          <w:rFonts w:hint="eastAsia" w:ascii="宋体" w:hAnsi="宋体" w:eastAsia="宋体" w:cs="宋体"/>
          <w:color w:val="000000" w:themeColor="text1"/>
          <w:sz w:val="32"/>
          <w:szCs w:val="32"/>
          <w:highlight w:val="none"/>
          <w14:textFill>
            <w14:solidFill>
              <w14:schemeClr w14:val="tx1"/>
            </w14:solidFill>
          </w14:textFill>
        </w:rPr>
      </w:pPr>
    </w:p>
    <w:p w14:paraId="079630D3">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584D29C2">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474777AC">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7EC05812">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4BB2F712">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299D965C">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7397DFF7">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1999A61F">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4E30168D">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55179973">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7B41A825">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7A779083">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6BF82BA6">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24CB0080">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6A8AB76C">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051AD3D0">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7973DA46">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44AD29BD">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6F5D4F0D">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40408060">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6F34499F">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7BB433C6">
      <w:pPr>
        <w:pStyle w:val="2"/>
        <w:rPr>
          <w:rStyle w:val="252"/>
          <w:rFonts w:hint="eastAsia" w:ascii="宋体" w:hAnsi="宋体" w:eastAsia="宋体" w:cs="宋体"/>
          <w:color w:val="000000" w:themeColor="text1"/>
          <w:sz w:val="32"/>
          <w:szCs w:val="32"/>
          <w:highlight w:val="none"/>
          <w14:textFill>
            <w14:solidFill>
              <w14:schemeClr w14:val="tx1"/>
            </w14:solidFill>
          </w14:textFill>
        </w:rPr>
      </w:pPr>
    </w:p>
    <w:p w14:paraId="4066ED1C">
      <w:pPr>
        <w:rPr>
          <w:rFonts w:hint="eastAsia" w:ascii="宋体" w:hAnsi="宋体" w:eastAsia="宋体" w:cs="宋体"/>
          <w:color w:val="000000" w:themeColor="text1"/>
          <w:highlight w:val="none"/>
          <w14:textFill>
            <w14:solidFill>
              <w14:schemeClr w14:val="tx1"/>
            </w14:solidFill>
          </w14:textFill>
        </w:rPr>
      </w:pPr>
    </w:p>
    <w:p w14:paraId="1EA5B58E">
      <w:pPr>
        <w:rPr>
          <w:rFonts w:hint="eastAsia" w:ascii="宋体" w:hAnsi="宋体" w:eastAsia="宋体" w:cs="宋体"/>
          <w:color w:val="000000" w:themeColor="text1"/>
          <w:highlight w:val="none"/>
          <w14:textFill>
            <w14:solidFill>
              <w14:schemeClr w14:val="tx1"/>
            </w14:solidFill>
          </w14:textFill>
        </w:rPr>
      </w:pPr>
    </w:p>
    <w:p w14:paraId="41BFF67C">
      <w:pPr>
        <w:rPr>
          <w:rFonts w:hint="eastAsia" w:ascii="宋体" w:hAnsi="宋体" w:eastAsia="宋体" w:cs="宋体"/>
          <w:color w:val="000000" w:themeColor="text1"/>
          <w:highlight w:val="none"/>
          <w14:textFill>
            <w14:solidFill>
              <w14:schemeClr w14:val="tx1"/>
            </w14:solidFill>
          </w14:textFill>
        </w:rPr>
      </w:pPr>
    </w:p>
    <w:p w14:paraId="1D76E622">
      <w:pPr>
        <w:jc w:val="center"/>
        <w:outlineLvl w:val="0"/>
        <w:rPr>
          <w:rStyle w:val="252"/>
          <w:rFonts w:hint="eastAsia" w:ascii="宋体" w:hAnsi="宋体" w:eastAsia="宋体" w:cs="宋体"/>
          <w:color w:val="000000" w:themeColor="text1"/>
          <w:sz w:val="32"/>
          <w:szCs w:val="32"/>
          <w:highlight w:val="none"/>
          <w14:textFill>
            <w14:solidFill>
              <w14:schemeClr w14:val="tx1"/>
            </w14:solidFill>
          </w14:textFill>
        </w:rPr>
      </w:pPr>
      <w:bookmarkStart w:id="210" w:name="_Toc7544"/>
      <w:r>
        <w:rPr>
          <w:rStyle w:val="252"/>
          <w:rFonts w:hint="eastAsia" w:ascii="宋体" w:hAnsi="宋体" w:eastAsia="宋体" w:cs="宋体"/>
          <w:color w:val="000000" w:themeColor="text1"/>
          <w:sz w:val="32"/>
          <w:szCs w:val="32"/>
          <w:highlight w:val="none"/>
          <w14:textFill>
            <w14:solidFill>
              <w14:schemeClr w14:val="tx1"/>
            </w14:solidFill>
          </w14:textFill>
        </w:rPr>
        <w:t>第四章  评标办法</w:t>
      </w:r>
      <w:bookmarkEnd w:id="205"/>
      <w:bookmarkEnd w:id="206"/>
      <w:bookmarkEnd w:id="207"/>
      <w:bookmarkEnd w:id="210"/>
    </w:p>
    <w:p w14:paraId="0BD204E8">
      <w:pPr>
        <w:spacing w:line="360" w:lineRule="auto"/>
        <w:ind w:firstLine="426"/>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一、评标原则</w:t>
      </w:r>
    </w:p>
    <w:p w14:paraId="7F2A710C">
      <w:pPr>
        <w:pStyle w:val="216"/>
        <w:spacing w:line="360" w:lineRule="auto"/>
        <w:ind w:firstLine="420"/>
        <w:contextualSpacing/>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（一）评委会组成：本招标采购项目的评标委员会由采购人代表、</w:t>
      </w:r>
      <w:r>
        <w:rPr>
          <w:rFonts w:hint="eastAsia" w:ascii="宋体" w:hAnsi="宋体" w:eastAsia="宋体" w:cs="宋体"/>
          <w:bCs/>
          <w:color w:val="000000" w:themeColor="text1"/>
          <w:szCs w:val="21"/>
          <w:highlight w:val="none"/>
          <w:lang w:eastAsia="zh-CN"/>
          <w14:textFill>
            <w14:solidFill>
              <w14:schemeClr w14:val="tx1"/>
            </w14:solidFill>
          </w14:textFill>
        </w:rPr>
        <w:t>评审专家</w:t>
      </w:r>
      <w:r>
        <w:rPr>
          <w:rFonts w:hint="eastAsia" w:ascii="宋体" w:hAnsi="宋体" w:eastAsia="宋体" w:cs="宋体"/>
          <w:bCs/>
          <w:color w:val="000000" w:themeColor="text1"/>
          <w:szCs w:val="21"/>
          <w:highlight w:val="none"/>
          <w14:textFill>
            <w14:solidFill>
              <w14:schemeClr w14:val="tx1"/>
            </w14:solidFill>
          </w14:textFill>
        </w:rPr>
        <w:t>组成。其中，</w:t>
      </w:r>
      <w:r>
        <w:rPr>
          <w:rFonts w:hint="eastAsia" w:ascii="宋体" w:hAnsi="宋体" w:eastAsia="宋体" w:cs="宋体"/>
          <w:bCs/>
          <w:color w:val="000000" w:themeColor="text1"/>
          <w:szCs w:val="21"/>
          <w:highlight w:val="none"/>
          <w:lang w:eastAsia="zh-CN"/>
          <w14:textFill>
            <w14:solidFill>
              <w14:schemeClr w14:val="tx1"/>
            </w14:solidFill>
          </w14:textFill>
        </w:rPr>
        <w:t>评审专家</w:t>
      </w:r>
      <w:r>
        <w:rPr>
          <w:rFonts w:hint="eastAsia" w:ascii="宋体" w:hAnsi="宋体" w:eastAsia="宋体" w:cs="宋体"/>
          <w:bCs/>
          <w:color w:val="000000" w:themeColor="text1"/>
          <w:szCs w:val="21"/>
          <w:highlight w:val="none"/>
          <w14:textFill>
            <w14:solidFill>
              <w14:schemeClr w14:val="tx1"/>
            </w14:solidFill>
          </w14:textFill>
        </w:rPr>
        <w:t>不得少于成员总数的三分之二。</w:t>
      </w:r>
    </w:p>
    <w:p w14:paraId="1225256B">
      <w:pPr>
        <w:pStyle w:val="216"/>
        <w:spacing w:line="360" w:lineRule="auto"/>
        <w:ind w:firstLine="420"/>
        <w:contextualSpacing/>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（二）评标依据：评委将以</w:t>
      </w:r>
      <w:r>
        <w:rPr>
          <w:rFonts w:hint="eastAsia" w:ascii="宋体" w:hAnsi="宋体" w:eastAsia="宋体" w:cs="宋体"/>
          <w:color w:val="000000" w:themeColor="text1"/>
          <w:highlight w:val="none"/>
          <w14:textFill>
            <w14:solidFill>
              <w14:schemeClr w14:val="tx1"/>
            </w14:solidFill>
          </w14:textFill>
        </w:rPr>
        <w:t>招标文件、投标文件</w:t>
      </w:r>
      <w:r>
        <w:rPr>
          <w:rFonts w:hint="eastAsia" w:ascii="宋体" w:hAnsi="宋体" w:eastAsia="宋体" w:cs="宋体"/>
          <w:bCs/>
          <w:color w:val="000000" w:themeColor="text1"/>
          <w:szCs w:val="21"/>
          <w:highlight w:val="none"/>
          <w14:textFill>
            <w14:solidFill>
              <w14:schemeClr w14:val="tx1"/>
            </w14:solidFill>
          </w14:textFill>
        </w:rPr>
        <w:t>为评标依据，对投标人的投标</w:t>
      </w:r>
      <w:r>
        <w:rPr>
          <w:rFonts w:hint="eastAsia" w:ascii="宋体" w:hAnsi="宋体" w:eastAsia="宋体" w:cs="宋体"/>
          <w:color w:val="000000" w:themeColor="text1"/>
          <w:szCs w:val="21"/>
          <w:highlight w:val="none"/>
          <w14:textFill>
            <w14:solidFill>
              <w14:schemeClr w14:val="tx1"/>
            </w14:solidFill>
          </w14:textFill>
        </w:rPr>
        <w:t>报价、</w:t>
      </w:r>
      <w:r>
        <w:rPr>
          <w:rFonts w:hint="eastAsia" w:ascii="宋体" w:hAnsi="宋体" w:eastAsia="宋体" w:cs="宋体"/>
          <w:color w:val="000000" w:themeColor="text1"/>
          <w:szCs w:val="21"/>
          <w:highlight w:val="none"/>
          <w:lang w:eastAsia="zh-CN"/>
          <w14:textFill>
            <w14:solidFill>
              <w14:schemeClr w14:val="tx1"/>
            </w14:solidFill>
          </w14:textFill>
        </w:rPr>
        <w:t>服务方案</w:t>
      </w:r>
      <w:r>
        <w:rPr>
          <w:rFonts w:hint="eastAsia" w:ascii="宋体" w:hAnsi="宋体" w:eastAsia="宋体" w:cs="宋体"/>
          <w:color w:val="000000" w:themeColor="text1"/>
          <w:szCs w:val="21"/>
          <w:highlight w:val="none"/>
          <w14:textFill>
            <w14:solidFill>
              <w14:schemeClr w14:val="tx1"/>
            </w14:solidFill>
          </w14:textFill>
        </w:rPr>
        <w:t>、履约能力等方面内容按百分制打分。</w:t>
      </w:r>
    </w:p>
    <w:p w14:paraId="2316B82E">
      <w:pPr>
        <w:pStyle w:val="216"/>
        <w:spacing w:line="360" w:lineRule="auto"/>
        <w:ind w:firstLine="420"/>
        <w:contextualSpacing/>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（三）评标方式：以封闭方式进行。</w:t>
      </w:r>
    </w:p>
    <w:p w14:paraId="79E46A41">
      <w:pPr>
        <w:spacing w:line="360" w:lineRule="auto"/>
        <w:ind w:firstLine="42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（四）采购人和采购代理机构、评标委员会成员要严格遵守政府采购相关法律制度，依法履行各自职责，公正、客观、审慎地组织和参与评审工作。</w:t>
      </w:r>
    </w:p>
    <w:p w14:paraId="21100EBA">
      <w:pPr>
        <w:spacing w:line="360" w:lineRule="auto"/>
        <w:ind w:firstLine="487"/>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二、评定方法</w:t>
      </w:r>
    </w:p>
    <w:p w14:paraId="57B45262">
      <w:pPr>
        <w:pStyle w:val="216"/>
        <w:spacing w:line="360" w:lineRule="auto"/>
        <w:ind w:firstLine="420"/>
        <w:contextualSpacing/>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（一）对进入详评的，采用百分制综合评分法。</w:t>
      </w:r>
    </w:p>
    <w:p w14:paraId="3D703EA2">
      <w:pPr>
        <w:pStyle w:val="216"/>
        <w:spacing w:line="360" w:lineRule="auto"/>
        <w:ind w:firstLine="420"/>
        <w:contextualSpacing/>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（二）计分办法（按四舍五入取至百分位）：</w:t>
      </w:r>
    </w:p>
    <w:p w14:paraId="32A7520F">
      <w:pPr>
        <w:pStyle w:val="18"/>
        <w:spacing w:line="360" w:lineRule="auto"/>
        <w:rPr>
          <w:rFonts w:hint="eastAsia" w:ascii="宋体" w:hAnsi="宋体" w:eastAsia="宋体" w:cs="宋体"/>
          <w:b/>
          <w:bCs/>
          <w:color w:val="000000" w:themeColor="text1"/>
          <w:kern w:val="0"/>
          <w:szCs w:val="21"/>
          <w:highlight w:val="none"/>
          <w14:textFill>
            <w14:solidFill>
              <w14:schemeClr w14:val="tx1"/>
            </w14:solidFill>
          </w14:textFill>
        </w:rPr>
      </w:pPr>
      <w:bookmarkStart w:id="211" w:name="_Toc7653"/>
      <w:r>
        <w:rPr>
          <w:rFonts w:hint="eastAsia" w:ascii="宋体" w:hAnsi="宋体" w:eastAsia="宋体" w:cs="宋体"/>
          <w:b/>
          <w:bCs/>
          <w:color w:val="000000" w:themeColor="text1"/>
          <w:kern w:val="0"/>
          <w:szCs w:val="21"/>
          <w:highlight w:val="none"/>
          <w14:textFill>
            <w14:solidFill>
              <w14:schemeClr w14:val="tx1"/>
            </w14:solidFill>
          </w14:textFill>
        </w:rPr>
        <w:t>1</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w:t>
      </w:r>
      <w:r>
        <w:rPr>
          <w:rFonts w:hint="eastAsia" w:ascii="宋体" w:hAnsi="宋体" w:eastAsia="宋体" w:cs="宋体"/>
          <w:b/>
          <w:bCs/>
          <w:color w:val="000000" w:themeColor="text1"/>
          <w:kern w:val="0"/>
          <w:szCs w:val="21"/>
          <w:highlight w:val="none"/>
          <w14:textFill>
            <w14:solidFill>
              <w14:schemeClr w14:val="tx1"/>
            </w14:solidFill>
          </w14:textFill>
        </w:rPr>
        <w:t>价格分…………………………………………………………………………………………………</w:t>
      </w:r>
      <w:r>
        <w:rPr>
          <w:rFonts w:hint="eastAsia" w:ascii="宋体" w:hAnsi="宋体" w:eastAsia="宋体" w:cs="宋体"/>
          <w:b/>
          <w:bCs/>
          <w:color w:val="000000" w:themeColor="text1"/>
          <w:kern w:val="0"/>
          <w:szCs w:val="21"/>
          <w:highlight w:val="none"/>
          <w:lang w:eastAsia="zh-CN"/>
          <w14:textFill>
            <w14:solidFill>
              <w14:schemeClr w14:val="tx1"/>
            </w14:solidFill>
          </w14:textFill>
        </w:rPr>
        <w:t>满分</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30</w:t>
      </w:r>
      <w:r>
        <w:rPr>
          <w:rFonts w:hint="eastAsia" w:ascii="宋体" w:hAnsi="宋体" w:eastAsia="宋体" w:cs="宋体"/>
          <w:b/>
          <w:color w:val="000000" w:themeColor="text1"/>
          <w:szCs w:val="21"/>
          <w:highlight w:val="none"/>
          <w14:textFill>
            <w14:solidFill>
              <w14:schemeClr w14:val="tx1"/>
            </w14:solidFill>
          </w14:textFill>
        </w:rPr>
        <w:t>分</w:t>
      </w:r>
    </w:p>
    <w:p w14:paraId="435BB808">
      <w:pPr>
        <w:pStyle w:val="18"/>
        <w:spacing w:line="360" w:lineRule="auto"/>
        <w:ind w:firstLine="42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）价格分采用低价优先法计算，即满足招标文件要求且评标报价最低的评标报价为评标基准价，其价格分为</w:t>
      </w:r>
      <w:r>
        <w:rPr>
          <w:rFonts w:hint="eastAsia" w:ascii="宋体" w:hAnsi="宋体" w:eastAsia="宋体" w:cs="宋体"/>
          <w:color w:val="000000" w:themeColor="text1"/>
          <w:kern w:val="0"/>
          <w:szCs w:val="21"/>
          <w:highlight w:val="none"/>
          <w:lang w:val="en-US" w:eastAsia="zh-CN"/>
          <w14:textFill>
            <w14:solidFill>
              <w14:schemeClr w14:val="tx1"/>
            </w14:solidFill>
          </w14:textFill>
        </w:rPr>
        <w:t>30</w:t>
      </w:r>
      <w:r>
        <w:rPr>
          <w:rFonts w:hint="eastAsia" w:ascii="宋体" w:hAnsi="宋体" w:eastAsia="宋体" w:cs="宋体"/>
          <w:color w:val="000000" w:themeColor="text1"/>
          <w:kern w:val="0"/>
          <w:szCs w:val="21"/>
          <w:highlight w:val="none"/>
          <w14:textFill>
            <w14:solidFill>
              <w14:schemeClr w14:val="tx1"/>
            </w14:solidFill>
          </w14:textFill>
        </w:rPr>
        <w:t>分。</w:t>
      </w:r>
    </w:p>
    <w:p w14:paraId="488AD22A">
      <w:pPr>
        <w:pStyle w:val="18"/>
        <w:spacing w:line="360" w:lineRule="auto"/>
        <w:ind w:firstLine="42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Cs w:val="21"/>
          <w:highlight w:val="none"/>
          <w14:textFill>
            <w14:solidFill>
              <w14:schemeClr w14:val="tx1"/>
            </w14:solidFill>
          </w14:textFill>
        </w:rPr>
        <w:t>）价格分计算公式：</w:t>
      </w:r>
    </w:p>
    <w:p w14:paraId="0EDAE3CA">
      <w:pPr>
        <w:pStyle w:val="18"/>
        <w:spacing w:line="360" w:lineRule="auto"/>
        <w:ind w:firstLine="3087" w:firstLineChars="147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 最低投标人</w:t>
      </w:r>
      <w:r>
        <w:rPr>
          <w:rFonts w:hint="eastAsia" w:ascii="宋体" w:hAnsi="宋体" w:eastAsia="宋体" w:cs="宋体"/>
          <w:color w:val="000000" w:themeColor="text1"/>
          <w:szCs w:val="21"/>
          <w:highlight w:val="none"/>
          <w14:textFill>
            <w14:solidFill>
              <w14:schemeClr w14:val="tx1"/>
            </w14:solidFill>
          </w14:textFill>
        </w:rPr>
        <w:t>评标报价</w:t>
      </w:r>
      <w:r>
        <w:rPr>
          <w:rFonts w:hint="eastAsia" w:ascii="宋体" w:hAnsi="宋体" w:eastAsia="宋体" w:cs="宋体"/>
          <w:bCs/>
          <w:color w:val="000000" w:themeColor="text1"/>
          <w:szCs w:val="21"/>
          <w:highlight w:val="none"/>
          <w14:textFill>
            <w14:solidFill>
              <w14:schemeClr w14:val="tx1"/>
            </w14:solidFill>
          </w14:textFill>
        </w:rPr>
        <w:t xml:space="preserve">金额          </w:t>
      </w:r>
    </w:p>
    <w:p w14:paraId="4CE170F0">
      <w:pPr>
        <w:pStyle w:val="18"/>
        <w:spacing w:line="360" w:lineRule="auto"/>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22002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3.25pt;margin-top:11.75pt;height:0.05pt;width:156pt;z-index:251659264;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KWp87WAAAACQEAAA8AAAAAAAAAAQAgAAAAIgAAAGRycy9kb3ducmV2LnhtbFBL&#10;AQIUABQAAAAIAIdO4kAywhOQ+AEAAPIDAAAOAAAAAAAAAAEAIAAAACUBAABkcnMvZTJvRG9jLnht&#10;bFBLBQYAAAAABgAGAFkBAACPBQAAAAA=&#10;">
                <v:fill on="f" focussize="0,0"/>
                <v:stroke color="#000000" joinstyle="round"/>
                <v:imagedata o:title=""/>
                <o:lock v:ext="edit" aspectratio="f"/>
              </v:line>
            </w:pict>
          </mc:Fallback>
        </mc:AlternateContent>
      </w:r>
      <w:r>
        <w:rPr>
          <w:rFonts w:hint="eastAsia" w:ascii="宋体" w:hAnsi="宋体" w:eastAsia="宋体" w:cs="宋体"/>
          <w:bCs/>
          <w:color w:val="000000" w:themeColor="text1"/>
          <w:szCs w:val="21"/>
          <w:highlight w:val="none"/>
          <w14:textFill>
            <w14:solidFill>
              <w14:schemeClr w14:val="tx1"/>
            </w14:solidFill>
          </w14:textFill>
        </w:rPr>
        <w:t>某投标人价格分 =                                         ×</w:t>
      </w:r>
      <w:r>
        <w:rPr>
          <w:rFonts w:hint="eastAsia" w:ascii="宋体" w:hAnsi="宋体" w:eastAsia="宋体" w:cs="宋体"/>
          <w:bCs/>
          <w:color w:val="000000" w:themeColor="text1"/>
          <w:szCs w:val="21"/>
          <w:highlight w:val="none"/>
          <w:lang w:val="en-US" w:eastAsia="zh-CN"/>
          <w14:textFill>
            <w14:solidFill>
              <w14:schemeClr w14:val="tx1"/>
            </w14:solidFill>
          </w14:textFill>
        </w:rPr>
        <w:t>30</w:t>
      </w:r>
      <w:r>
        <w:rPr>
          <w:rFonts w:hint="eastAsia" w:ascii="宋体" w:hAnsi="宋体" w:eastAsia="宋体" w:cs="宋体"/>
          <w:bCs/>
          <w:color w:val="000000" w:themeColor="text1"/>
          <w:szCs w:val="21"/>
          <w:highlight w:val="none"/>
          <w14:textFill>
            <w14:solidFill>
              <w14:schemeClr w14:val="tx1"/>
            </w14:solidFill>
          </w14:textFill>
        </w:rPr>
        <w:t>分</w:t>
      </w:r>
    </w:p>
    <w:p w14:paraId="2B6E88F6">
      <w:pPr>
        <w:pStyle w:val="18"/>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                           某投标人</w:t>
      </w:r>
      <w:r>
        <w:rPr>
          <w:rFonts w:hint="eastAsia" w:ascii="宋体" w:hAnsi="宋体" w:eastAsia="宋体" w:cs="宋体"/>
          <w:color w:val="000000" w:themeColor="text1"/>
          <w:szCs w:val="21"/>
          <w:highlight w:val="none"/>
          <w14:textFill>
            <w14:solidFill>
              <w14:schemeClr w14:val="tx1"/>
            </w14:solidFill>
          </w14:textFill>
        </w:rPr>
        <w:t>评标报价</w:t>
      </w:r>
      <w:r>
        <w:rPr>
          <w:rFonts w:hint="eastAsia" w:ascii="宋体" w:hAnsi="宋体" w:eastAsia="宋体" w:cs="宋体"/>
          <w:bCs/>
          <w:color w:val="000000" w:themeColor="text1"/>
          <w:szCs w:val="21"/>
          <w:highlight w:val="none"/>
          <w14:textFill>
            <w14:solidFill>
              <w14:schemeClr w14:val="tx1"/>
            </w14:solidFill>
          </w14:textFill>
        </w:rPr>
        <w:t xml:space="preserve">金额  </w:t>
      </w:r>
    </w:p>
    <w:p w14:paraId="70997C43">
      <w:pPr>
        <w:pStyle w:val="18"/>
        <w:spacing w:line="360" w:lineRule="auto"/>
        <w:ind w:firstLine="420" w:firstLineChars="200"/>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        </w:t>
      </w:r>
    </w:p>
    <w:p w14:paraId="6AD05EF7">
      <w:pPr>
        <w:widowControl/>
        <w:spacing w:line="380" w:lineRule="exact"/>
        <w:rPr>
          <w:rFonts w:hint="eastAsia" w:ascii="宋体" w:hAnsi="宋体" w:eastAsia="宋体" w:cs="宋体"/>
          <w:b/>
          <w:bCs/>
          <w:color w:val="000000" w:themeColor="text1"/>
          <w:kern w:val="0"/>
          <w:szCs w:val="21"/>
          <w:highlight w:val="none"/>
          <w:lang w:bidi="zh-CN"/>
          <w14:textFill>
            <w14:solidFill>
              <w14:schemeClr w14:val="tx1"/>
            </w14:solidFill>
          </w14:textFill>
        </w:rPr>
      </w:pPr>
      <w:r>
        <w:rPr>
          <w:rFonts w:hint="eastAsia" w:ascii="宋体" w:hAnsi="宋体" w:eastAsia="宋体" w:cs="宋体"/>
          <w:b/>
          <w:bCs/>
          <w:color w:val="000000" w:themeColor="text1"/>
          <w:kern w:val="0"/>
          <w:szCs w:val="21"/>
          <w:highlight w:val="none"/>
          <w:lang w:bidi="zh-CN"/>
          <w14:textFill>
            <w14:solidFill>
              <w14:schemeClr w14:val="tx1"/>
            </w14:solidFill>
          </w14:textFill>
        </w:rPr>
        <w:t>2</w:t>
      </w:r>
      <w:r>
        <w:rPr>
          <w:rFonts w:hint="eastAsia" w:ascii="宋体" w:hAnsi="宋体" w:eastAsia="宋体" w:cs="宋体"/>
          <w:b/>
          <w:bCs/>
          <w:color w:val="000000" w:themeColor="text1"/>
          <w:kern w:val="0"/>
          <w:szCs w:val="21"/>
          <w:highlight w:val="none"/>
          <w:lang w:val="en-US" w:bidi="zh-CN"/>
          <w14:textFill>
            <w14:solidFill>
              <w14:schemeClr w14:val="tx1"/>
            </w14:solidFill>
          </w14:textFill>
        </w:rPr>
        <w:t>.</w:t>
      </w:r>
      <w:r>
        <w:rPr>
          <w:rFonts w:hint="eastAsia" w:ascii="宋体" w:hAnsi="宋体" w:eastAsia="宋体" w:cs="宋体"/>
          <w:b/>
          <w:bCs/>
          <w:color w:val="000000" w:themeColor="text1"/>
          <w:kern w:val="0"/>
          <w:szCs w:val="21"/>
          <w:highlight w:val="none"/>
          <w:lang w:bidi="zh-CN"/>
          <w14:textFill>
            <w14:solidFill>
              <w14:schemeClr w14:val="tx1"/>
            </w14:solidFill>
          </w14:textFill>
        </w:rPr>
        <w:t>服务方案分……………………………………………………………………………………………</w:t>
      </w:r>
      <w:r>
        <w:rPr>
          <w:rFonts w:hint="eastAsia" w:ascii="宋体" w:hAnsi="宋体" w:eastAsia="宋体" w:cs="宋体"/>
          <w:b/>
          <w:bCs/>
          <w:color w:val="000000" w:themeColor="text1"/>
          <w:kern w:val="0"/>
          <w:szCs w:val="21"/>
          <w:highlight w:val="none"/>
          <w14:textFill>
            <w14:solidFill>
              <w14:schemeClr w14:val="tx1"/>
            </w14:solidFill>
          </w14:textFill>
        </w:rPr>
        <w:t>满分</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30</w:t>
      </w:r>
      <w:r>
        <w:rPr>
          <w:rFonts w:hint="eastAsia" w:ascii="宋体" w:hAnsi="宋体" w:eastAsia="宋体" w:cs="宋体"/>
          <w:b/>
          <w:bCs/>
          <w:color w:val="000000" w:themeColor="text1"/>
          <w:kern w:val="0"/>
          <w:szCs w:val="21"/>
          <w:highlight w:val="none"/>
          <w:lang w:bidi="zh-CN"/>
          <w14:textFill>
            <w14:solidFill>
              <w14:schemeClr w14:val="tx1"/>
            </w14:solidFill>
          </w14:textFill>
        </w:rPr>
        <w:t>分</w:t>
      </w:r>
    </w:p>
    <w:p w14:paraId="725BE265">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（1）服务实施方案分（满分12分）</w:t>
      </w:r>
    </w:p>
    <w:p w14:paraId="5D060CFB">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①卫生保洁管理方案分（满分3分）</w:t>
      </w:r>
    </w:p>
    <w:p w14:paraId="6EBB68E6">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一档：1分，提供卫生保洁方案，但内容不够深化、全面；</w:t>
      </w:r>
    </w:p>
    <w:p w14:paraId="709EA18C">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二档：2分，提供卫生保洁方案、管理措施及工作计划，方案满足招标文件要求；</w:t>
      </w:r>
    </w:p>
    <w:p w14:paraId="1C3FE0A6">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三档：3分，在满足二档的基础上,卫生保洁方案、管理措施及工作计划明确，方案合理完善，保洁工具配备齐全,工作标准有针对性且优于招标文件要求。</w:t>
      </w:r>
    </w:p>
    <w:p w14:paraId="63CC342F">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②安全保卫服务方案分（满分3分）</w:t>
      </w:r>
    </w:p>
    <w:p w14:paraId="24014679">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一档：1分，提供安全保卫服务方案，但内容不够深化、全面；</w:t>
      </w:r>
    </w:p>
    <w:p w14:paraId="0BCE8D42">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二档：2分，提供安全保卫服务方案、管理措施及工作计划，</w:t>
      </w:r>
      <w:r>
        <w:rPr>
          <w:rFonts w:hint="eastAsia" w:ascii="宋体" w:hAnsi="宋体" w:eastAsia="宋体" w:cs="宋体"/>
          <w:color w:val="000000" w:themeColor="text1"/>
          <w:kern w:val="0"/>
          <w:szCs w:val="21"/>
          <w:highlight w:val="none"/>
          <w14:textFill>
            <w14:solidFill>
              <w14:schemeClr w14:val="tx1"/>
            </w14:solidFill>
          </w14:textFill>
        </w:rPr>
        <w:t>方案较完整详细，</w:t>
      </w:r>
      <w:r>
        <w:rPr>
          <w:rFonts w:hint="eastAsia" w:ascii="宋体" w:hAnsi="宋体" w:eastAsia="宋体" w:cs="宋体"/>
          <w:color w:val="000000" w:themeColor="text1"/>
          <w:szCs w:val="21"/>
          <w:highlight w:val="none"/>
          <w14:textFill>
            <w14:solidFill>
              <w14:schemeClr w14:val="tx1"/>
            </w14:solidFill>
          </w14:textFill>
        </w:rPr>
        <w:t>满足招标文件要求；</w:t>
      </w:r>
    </w:p>
    <w:p w14:paraId="403DA8EC">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三档：3分，在满足二档的基础上，安全保卫服务方案、管理措施及工作计划明确，方案合理完善，工具配备齐全,工作有针对性且优于招标文件要求。</w:t>
      </w:r>
    </w:p>
    <w:p w14:paraId="4525C1B9">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③绿化养护服务方案分（满分3分）</w:t>
      </w:r>
    </w:p>
    <w:p w14:paraId="6151BC17">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一档：1分，提供绿化养护服务方案，但内容不够深化、全面；</w:t>
      </w:r>
    </w:p>
    <w:p w14:paraId="05AD0F06">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二档：2分，提供绿化养护服务方案、管理措施及工作计划，</w:t>
      </w:r>
      <w:r>
        <w:rPr>
          <w:rFonts w:hint="eastAsia" w:ascii="宋体" w:hAnsi="宋体" w:eastAsia="宋体" w:cs="宋体"/>
          <w:color w:val="000000" w:themeColor="text1"/>
          <w:kern w:val="0"/>
          <w:szCs w:val="21"/>
          <w:highlight w:val="none"/>
          <w14:textFill>
            <w14:solidFill>
              <w14:schemeClr w14:val="tx1"/>
            </w14:solidFill>
          </w14:textFill>
        </w:rPr>
        <w:t>方案较完整详细，</w:t>
      </w:r>
      <w:r>
        <w:rPr>
          <w:rFonts w:hint="eastAsia" w:ascii="宋体" w:hAnsi="宋体" w:eastAsia="宋体" w:cs="宋体"/>
          <w:color w:val="000000" w:themeColor="text1"/>
          <w:szCs w:val="21"/>
          <w:highlight w:val="none"/>
          <w14:textFill>
            <w14:solidFill>
              <w14:schemeClr w14:val="tx1"/>
            </w14:solidFill>
          </w14:textFill>
        </w:rPr>
        <w:t>满足招标文件要求；</w:t>
      </w:r>
    </w:p>
    <w:p w14:paraId="3D4D4DFD">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三档：3分，在满足二档的基础上，绿化养护服务方案、管理措施及工作计划明确，管理方案合理完善,工具配备齐全,有针对性且优于招标文件要求。</w:t>
      </w:r>
    </w:p>
    <w:p w14:paraId="2B14F6B4">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④水电土建、设备及设施维护管理方案分（包括电梯、中央空调、热水系统、高低压配电箱、供水加压系统、智能系统）（满分3分）</w:t>
      </w:r>
    </w:p>
    <w:p w14:paraId="1D6F2FF6">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一档：1分，提供水电土建、设备及设施维护管理方案分服务方案，但内容不够深化、全面。</w:t>
      </w:r>
    </w:p>
    <w:p w14:paraId="61AE30D7">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二档：2分，在满足一档的基础上,提供水电土建、设备及设施维护管理方案全面、完整,方案满足招标文件要求。</w:t>
      </w:r>
    </w:p>
    <w:p w14:paraId="5239287B">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三档：3分，在满足二档的基础上，根据实际情况制定完善、可行性强的服务方案，工具配备齐全,有针对性且优于招标文件要求。</w:t>
      </w:r>
    </w:p>
    <w:p w14:paraId="2C1EE4A1">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（2）应急服务方案分（满分</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分）</w:t>
      </w:r>
    </w:p>
    <w:p w14:paraId="404B2859">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一档（1分）：提供的应急处置方案预案包括但不限定于安全、消防、设备故障处置措施，法定节假日、重大会议或活动、其他应急活动等措施；</w:t>
      </w:r>
    </w:p>
    <w:p w14:paraId="7AE97069">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二档（4分）：提供的应急处置方案预案包括但不限定于安全、消防、设备故障处置措施，法定节假日、重大会议或活动、其他应急活动等措施，内容具有服务思路、流程介绍，有应急管理措施；</w:t>
      </w:r>
    </w:p>
    <w:p w14:paraId="5BF552D0">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三档（</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分）：提供的应急处置方案预案包括但不限定于安全、消防、设备故障处置措施，法定节假日、重大会议或活动、其他应急活动等措施，内容能结合本项目实际情况，制定可行的应急预案，包含应急工作流程介绍、有效应急管理措施并优于招标文件要求。</w:t>
      </w:r>
    </w:p>
    <w:p w14:paraId="077D6005">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（3）机构设立、运作流程及工作计划、管理方案分（满分5分）</w:t>
      </w:r>
    </w:p>
    <w:p w14:paraId="66569A88">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一档（1分）：提供的管理方案中机构设置不够合理、运作不够流畅、工作计划、管理方式不够科学；</w:t>
      </w:r>
    </w:p>
    <w:p w14:paraId="225D4C19">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二档（3分）：机构设置合理、运作流畅、工作计划、管理方式科学，投标人实行标准化管理；</w:t>
      </w:r>
    </w:p>
    <w:p w14:paraId="329F9362">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档（5分）：机构设置合理、运作流畅、工作计划详细、管理方式科学，有内部管理构架、管理运作机制、激励机制、监督机制、自我约束机制、信息反馈处理机制，标准体系结构合理，投标人实行标准化管理。</w:t>
      </w:r>
    </w:p>
    <w:p w14:paraId="54DA20AE">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（4）管理规章制度分（满分5分）</w:t>
      </w:r>
    </w:p>
    <w:p w14:paraId="2C8BC4C5">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管理规章制度的种类包括但不仅限于：档案管理制度、内部管理制度、各岗位职责、管理维护运作制度及标准、管理人员考核制度及标准、消防安全管理规章制度等。</w:t>
      </w:r>
    </w:p>
    <w:p w14:paraId="70A4744A">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一档（1分）：建立有相关的规章管理制度，规章制度</w:t>
      </w:r>
      <w:r>
        <w:rPr>
          <w:rFonts w:hint="eastAsia" w:ascii="宋体" w:hAnsi="宋体" w:eastAsia="宋体" w:cs="宋体"/>
          <w:color w:val="000000" w:themeColor="text1"/>
          <w:kern w:val="0"/>
          <w:szCs w:val="21"/>
          <w:highlight w:val="none"/>
          <w14:textFill>
            <w14:solidFill>
              <w14:schemeClr w14:val="tx1"/>
            </w14:solidFill>
          </w14:textFill>
        </w:rPr>
        <w:t>内容简单或</w:t>
      </w:r>
      <w:r>
        <w:rPr>
          <w:rFonts w:hint="eastAsia" w:ascii="宋体" w:hAnsi="宋体" w:eastAsia="宋体" w:cs="宋体"/>
          <w:color w:val="000000" w:themeColor="text1"/>
          <w:szCs w:val="21"/>
          <w:highlight w:val="none"/>
          <w14:textFill>
            <w14:solidFill>
              <w14:schemeClr w14:val="tx1"/>
            </w14:solidFill>
          </w14:textFill>
        </w:rPr>
        <w:t>种类有缺项；</w:t>
      </w:r>
    </w:p>
    <w:p w14:paraId="7F5CDC15">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二档（3分)：规章制度种类不缺项，内容详细、有一定针对性，设置比较合理、运作比较流畅、管理方式比较科学，规章管理制度满足项目服务需求；</w:t>
      </w:r>
    </w:p>
    <w:p w14:paraId="7975DA40">
      <w:pPr>
        <w:spacing w:line="400" w:lineRule="exact"/>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三档（5分）：在二档的基础上，</w:t>
      </w:r>
      <w:r>
        <w:rPr>
          <w:rFonts w:hint="eastAsia" w:ascii="宋体" w:hAnsi="宋体" w:eastAsia="宋体" w:cs="宋体"/>
          <w:color w:val="000000" w:themeColor="text1"/>
          <w:kern w:val="0"/>
          <w:szCs w:val="21"/>
          <w:highlight w:val="none"/>
          <w14:textFill>
            <w14:solidFill>
              <w14:schemeClr w14:val="tx1"/>
            </w14:solidFill>
          </w14:textFill>
        </w:rPr>
        <w:t>提供的管理制度完整性更齐全规范，内容更详细清晰，科学合理性更强、针对性更强，机构设置合理、运作流畅、管理方式科学，</w:t>
      </w:r>
      <w:r>
        <w:rPr>
          <w:rFonts w:hint="eastAsia" w:ascii="宋体" w:hAnsi="宋体" w:eastAsia="宋体" w:cs="宋体"/>
          <w:color w:val="000000" w:themeColor="text1"/>
          <w:szCs w:val="21"/>
          <w:highlight w:val="none"/>
          <w14:textFill>
            <w14:solidFill>
              <w14:schemeClr w14:val="tx1"/>
            </w14:solidFill>
          </w14:textFill>
        </w:rPr>
        <w:t>且优于采购文件要求。</w:t>
      </w:r>
    </w:p>
    <w:p w14:paraId="2C6752C8">
      <w:pPr>
        <w:spacing w:line="400" w:lineRule="exact"/>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履约能力分……………………………………………………………………………………………满分</w:t>
      </w:r>
      <w:r>
        <w:rPr>
          <w:rFonts w:hint="eastAsia" w:ascii="宋体" w:hAnsi="宋体" w:eastAsia="宋体" w:cs="宋体"/>
          <w:b/>
          <w:bCs/>
          <w:color w:val="000000" w:themeColor="text1"/>
          <w:szCs w:val="21"/>
          <w:highlight w:val="none"/>
          <w:lang w:val="en-US" w:eastAsia="zh-CN"/>
          <w14:textFill>
            <w14:solidFill>
              <w14:schemeClr w14:val="tx1"/>
            </w14:solidFill>
          </w14:textFill>
        </w:rPr>
        <w:t>27</w:t>
      </w:r>
      <w:r>
        <w:rPr>
          <w:rFonts w:hint="eastAsia" w:ascii="宋体" w:hAnsi="宋体" w:eastAsia="宋体" w:cs="宋体"/>
          <w:b/>
          <w:bCs/>
          <w:color w:val="000000" w:themeColor="text1"/>
          <w:szCs w:val="21"/>
          <w:highlight w:val="none"/>
          <w14:textFill>
            <w14:solidFill>
              <w14:schemeClr w14:val="tx1"/>
            </w14:solidFill>
          </w14:textFill>
        </w:rPr>
        <w:t>分</w:t>
      </w:r>
    </w:p>
    <w:p w14:paraId="5D259C0B">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（1）人员配置分(满分</w:t>
      </w:r>
      <w:r>
        <w:rPr>
          <w:rFonts w:hint="eastAsia" w:ascii="宋体" w:hAnsi="宋体" w:eastAsia="宋体" w:cs="宋体"/>
          <w:color w:val="000000" w:themeColor="text1"/>
          <w:szCs w:val="21"/>
          <w:highlight w:val="none"/>
          <w:lang w:val="en-US" w:eastAsia="zh-CN"/>
          <w14:textFill>
            <w14:solidFill>
              <w14:schemeClr w14:val="tx1"/>
            </w14:solidFill>
          </w14:textFill>
        </w:rPr>
        <w:t>15</w:t>
      </w:r>
      <w:r>
        <w:rPr>
          <w:rFonts w:hint="eastAsia" w:ascii="宋体" w:hAnsi="宋体" w:eastAsia="宋体" w:cs="宋体"/>
          <w:color w:val="000000" w:themeColor="text1"/>
          <w:szCs w:val="21"/>
          <w:highlight w:val="none"/>
          <w14:textFill>
            <w14:solidFill>
              <w14:schemeClr w14:val="tx1"/>
            </w14:solidFill>
          </w14:textFill>
        </w:rPr>
        <w:t>分)</w:t>
      </w:r>
    </w:p>
    <w:p w14:paraId="099E59A9">
      <w:pPr>
        <w:spacing w:line="400" w:lineRule="exact"/>
        <w:ind w:firstLine="420" w:firstLineChars="20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①</w:t>
      </w:r>
      <w:r>
        <w:rPr>
          <w:rFonts w:hint="eastAsia" w:ascii="宋体" w:hAnsi="宋体" w:eastAsia="宋体" w:cs="宋体"/>
          <w:color w:val="000000" w:themeColor="text1"/>
          <w:szCs w:val="21"/>
          <w:highlight w:val="none"/>
          <w:lang w:eastAsia="zh-CN"/>
          <w14:textFill>
            <w14:solidFill>
              <w14:schemeClr w14:val="tx1"/>
            </w14:solidFill>
          </w14:textFill>
        </w:rPr>
        <w:t>拟派的项目经理具有</w:t>
      </w:r>
      <w:bookmarkStart w:id="212" w:name="OLE_LINK7"/>
      <w:r>
        <w:rPr>
          <w:rFonts w:hint="eastAsia" w:ascii="宋体" w:hAnsi="宋体" w:eastAsia="宋体" w:cs="宋体"/>
          <w:color w:val="000000" w:themeColor="text1"/>
          <w:szCs w:val="21"/>
          <w:highlight w:val="none"/>
          <w:lang w:val="en-US" w:eastAsia="zh-CN"/>
          <w14:textFill>
            <w14:solidFill>
              <w14:schemeClr w14:val="tx1"/>
            </w14:solidFill>
          </w14:textFill>
        </w:rPr>
        <w:t>人社部门颁发</w:t>
      </w:r>
      <w:bookmarkEnd w:id="212"/>
      <w:r>
        <w:rPr>
          <w:rFonts w:hint="eastAsia" w:ascii="宋体" w:hAnsi="宋体" w:eastAsia="宋体" w:cs="宋体"/>
          <w:color w:val="000000" w:themeColor="text1"/>
          <w:szCs w:val="21"/>
          <w:highlight w:val="none"/>
          <w:lang w:val="en-US" w:eastAsia="zh-CN"/>
          <w14:textFill>
            <w14:solidFill>
              <w14:schemeClr w14:val="tx1"/>
            </w14:solidFill>
          </w14:textFill>
        </w:rPr>
        <w:t>中级经济师及</w:t>
      </w:r>
      <w:r>
        <w:rPr>
          <w:rFonts w:hint="eastAsia" w:ascii="宋体" w:hAnsi="宋体" w:eastAsia="宋体" w:cs="宋体"/>
          <w:color w:val="000000" w:themeColor="text1"/>
          <w:szCs w:val="21"/>
          <w:highlight w:val="none"/>
          <w:lang w:eastAsia="zh-CN"/>
          <w14:textFill>
            <w14:solidFill>
              <w14:schemeClr w14:val="tx1"/>
            </w14:solidFill>
          </w14:textFill>
        </w:rPr>
        <w:t>以上职称，得</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分；</w:t>
      </w:r>
      <w:r>
        <w:rPr>
          <w:rFonts w:hint="eastAsia" w:ascii="宋体" w:hAnsi="宋体" w:eastAsia="宋体" w:cs="宋体"/>
          <w:color w:val="000000" w:themeColor="text1"/>
          <w:highlight w:val="none"/>
          <w:lang w:val="en-US" w:eastAsia="zh-CN"/>
          <w14:textFill>
            <w14:solidFill>
              <w14:schemeClr w14:val="tx1"/>
            </w14:solidFill>
          </w14:textFill>
        </w:rPr>
        <w:t>具有本科及以上学历，得1分；</w:t>
      </w:r>
      <w:r>
        <w:rPr>
          <w:rFonts w:hint="eastAsia" w:ascii="宋体" w:hAnsi="宋体" w:eastAsia="宋体" w:cs="宋体"/>
          <w:color w:val="000000" w:themeColor="text1"/>
          <w:highlight w:val="none"/>
          <w:lang w:eastAsia="zh-CN"/>
          <w14:textFill>
            <w14:solidFill>
              <w14:schemeClr w14:val="tx1"/>
            </w14:solidFill>
          </w14:textFill>
        </w:rPr>
        <w:t>本项满分</w:t>
      </w:r>
      <w:r>
        <w:rPr>
          <w:rFonts w:hint="eastAsia" w:ascii="宋体" w:hAnsi="宋体" w:eastAsia="宋体" w:cs="宋体"/>
          <w:color w:val="000000" w:themeColor="text1"/>
          <w:highlight w:val="none"/>
          <w:lang w:val="en-US" w:eastAsia="zh-CN"/>
          <w14:textFill>
            <w14:solidFill>
              <w14:schemeClr w14:val="tx1"/>
            </w14:solidFill>
          </w14:textFill>
        </w:rPr>
        <w:t>2分。</w:t>
      </w:r>
      <w:r>
        <w:rPr>
          <w:rFonts w:hint="eastAsia" w:ascii="宋体" w:hAnsi="宋体" w:eastAsia="宋体" w:cs="宋体"/>
          <w:color w:val="000000" w:themeColor="text1"/>
          <w:szCs w:val="21"/>
          <w:highlight w:val="none"/>
          <w:lang w:val="en-US" w:eastAsia="zh-CN"/>
          <w14:textFill>
            <w14:solidFill>
              <w14:schemeClr w14:val="tx1"/>
            </w14:solidFill>
          </w14:textFill>
        </w:rPr>
        <w:t>（提供投标人为其缴纳的截止投标前三个月内任意一个月的社保证明及证书扫描件</w:t>
      </w:r>
      <w:r>
        <w:rPr>
          <w:rFonts w:hint="eastAsia" w:ascii="宋体" w:hAnsi="宋体" w:eastAsia="宋体" w:cs="宋体"/>
          <w:color w:val="000000" w:themeColor="text1"/>
          <w:sz w:val="21"/>
          <w:szCs w:val="21"/>
          <w:highlight w:val="none"/>
          <w14:textFill>
            <w14:solidFill>
              <w14:schemeClr w14:val="tx1"/>
            </w14:solidFill>
          </w14:textFill>
        </w:rPr>
        <w:t>并加盖投标人CA签章</w:t>
      </w:r>
      <w:r>
        <w:rPr>
          <w:rFonts w:hint="eastAsia" w:ascii="宋体" w:hAnsi="宋体" w:eastAsia="宋体" w:cs="宋体"/>
          <w:color w:val="000000" w:themeColor="text1"/>
          <w:szCs w:val="21"/>
          <w:highlight w:val="none"/>
          <w:lang w:val="en-US" w:eastAsia="zh-CN"/>
          <w14:textFill>
            <w14:solidFill>
              <w14:schemeClr w14:val="tx1"/>
            </w14:solidFill>
          </w14:textFill>
        </w:rPr>
        <w:t>，否则不得分。）</w:t>
      </w:r>
    </w:p>
    <w:p w14:paraId="0716B4A3">
      <w:pPr>
        <w:pStyle w:val="2"/>
        <w:rPr>
          <w:rFonts w:hint="eastAsia" w:ascii="宋体" w:hAnsi="宋体" w:eastAsia="宋体" w:cs="宋体"/>
          <w:color w:val="000000" w:themeColor="text1"/>
          <w:highlight w:val="none"/>
          <w:lang w:val="en-US" w:eastAsia="zh-CN"/>
          <w14:textFill>
            <w14:solidFill>
              <w14:schemeClr w14:val="tx1"/>
            </w14:solidFill>
          </w14:textFill>
        </w:rPr>
      </w:pPr>
      <w:bookmarkStart w:id="213" w:name="OLE_LINK6"/>
      <w:r>
        <w:rPr>
          <w:rFonts w:hint="eastAsia" w:ascii="宋体" w:hAnsi="宋体" w:eastAsia="宋体" w:cs="宋体"/>
          <w:color w:val="000000" w:themeColor="text1"/>
          <w:highlight w:val="none"/>
          <w:lang w:val="en-US" w:eastAsia="zh-CN"/>
          <w14:textFill>
            <w14:solidFill>
              <w14:schemeClr w14:val="tx1"/>
            </w14:solidFill>
          </w14:textFill>
        </w:rPr>
        <w:t>②</w:t>
      </w:r>
      <w:bookmarkEnd w:id="213"/>
      <w:r>
        <w:rPr>
          <w:rFonts w:hint="eastAsia" w:ascii="宋体" w:hAnsi="宋体" w:eastAsia="宋体" w:cs="宋体"/>
          <w:color w:val="000000" w:themeColor="text1"/>
          <w:szCs w:val="21"/>
          <w:highlight w:val="none"/>
          <w:lang w:eastAsia="zh-CN"/>
          <w14:textFill>
            <w14:solidFill>
              <w14:schemeClr w14:val="tx1"/>
            </w14:solidFill>
          </w14:textFill>
        </w:rPr>
        <w:t>拟派的</w:t>
      </w:r>
      <w:r>
        <w:rPr>
          <w:rFonts w:hint="eastAsia" w:ascii="宋体" w:hAnsi="宋体" w:eastAsia="宋体" w:cs="宋体"/>
          <w:color w:val="000000" w:themeColor="text1"/>
          <w:szCs w:val="21"/>
          <w:highlight w:val="none"/>
          <w:lang w:val="en-US" w:eastAsia="zh-CN"/>
          <w14:textFill>
            <w14:solidFill>
              <w14:schemeClr w14:val="tx1"/>
            </w14:solidFill>
          </w14:textFill>
        </w:rPr>
        <w:t>项目副经理</w:t>
      </w:r>
      <w:r>
        <w:rPr>
          <w:rFonts w:hint="eastAsia" w:ascii="宋体" w:hAnsi="宋体" w:eastAsia="宋体" w:cs="宋体"/>
          <w:color w:val="000000" w:themeColor="text1"/>
          <w:szCs w:val="21"/>
          <w:highlight w:val="none"/>
          <w:lang w:eastAsia="zh-CN"/>
          <w14:textFill>
            <w14:solidFill>
              <w14:schemeClr w14:val="tx1"/>
            </w14:solidFill>
          </w14:textFill>
        </w:rPr>
        <w:t>具有</w:t>
      </w:r>
      <w:r>
        <w:rPr>
          <w:rFonts w:hint="eastAsia" w:ascii="宋体" w:hAnsi="宋体" w:eastAsia="宋体" w:cs="宋体"/>
          <w:color w:val="000000" w:themeColor="text1"/>
          <w:szCs w:val="21"/>
          <w:highlight w:val="none"/>
          <w:lang w:val="en-US" w:eastAsia="zh-CN"/>
          <w14:textFill>
            <w14:solidFill>
              <w14:schemeClr w14:val="tx1"/>
            </w14:solidFill>
          </w14:textFill>
        </w:rPr>
        <w:t>人社部门颁发中级经济师及</w:t>
      </w:r>
      <w:r>
        <w:rPr>
          <w:rFonts w:hint="eastAsia" w:ascii="宋体" w:hAnsi="宋体" w:eastAsia="宋体" w:cs="宋体"/>
          <w:color w:val="000000" w:themeColor="text1"/>
          <w:szCs w:val="21"/>
          <w:highlight w:val="none"/>
          <w:lang w:eastAsia="zh-CN"/>
          <w14:textFill>
            <w14:solidFill>
              <w14:schemeClr w14:val="tx1"/>
            </w14:solidFill>
          </w14:textFill>
        </w:rPr>
        <w:t>以上职称，得</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分；</w:t>
      </w:r>
      <w:r>
        <w:rPr>
          <w:rFonts w:hint="eastAsia" w:ascii="宋体" w:hAnsi="宋体" w:eastAsia="宋体" w:cs="宋体"/>
          <w:color w:val="000000" w:themeColor="text1"/>
          <w:highlight w:val="none"/>
          <w:lang w:val="en-US" w:eastAsia="zh-CN"/>
          <w14:textFill>
            <w14:solidFill>
              <w14:schemeClr w14:val="tx1"/>
            </w14:solidFill>
          </w14:textFill>
        </w:rPr>
        <w:t>具有本科及以上学历，得1分；本项</w:t>
      </w:r>
      <w:r>
        <w:rPr>
          <w:rFonts w:hint="eastAsia" w:ascii="宋体" w:hAnsi="宋体" w:eastAsia="宋体" w:cs="宋体"/>
          <w:color w:val="000000" w:themeColor="text1"/>
          <w:szCs w:val="21"/>
          <w:highlight w:val="none"/>
          <w:lang w:val="en-US" w:eastAsia="zh-CN"/>
          <w14:textFill>
            <w14:solidFill>
              <w14:schemeClr w14:val="tx1"/>
            </w14:solidFill>
          </w14:textFill>
        </w:rPr>
        <w:t>满分2分。（提供投标人为其缴纳的截止投标前三个月内任意一个月的社保证明及证书扫描件</w:t>
      </w:r>
      <w:r>
        <w:rPr>
          <w:rFonts w:hint="eastAsia" w:ascii="宋体" w:hAnsi="宋体" w:eastAsia="宋体" w:cs="宋体"/>
          <w:color w:val="000000" w:themeColor="text1"/>
          <w:sz w:val="21"/>
          <w:szCs w:val="21"/>
          <w:highlight w:val="none"/>
          <w14:textFill>
            <w14:solidFill>
              <w14:schemeClr w14:val="tx1"/>
            </w14:solidFill>
          </w14:textFill>
        </w:rPr>
        <w:t>并加盖投标人CA签章</w:t>
      </w:r>
      <w:r>
        <w:rPr>
          <w:rFonts w:hint="eastAsia" w:ascii="宋体" w:hAnsi="宋体" w:eastAsia="宋体" w:cs="宋体"/>
          <w:color w:val="000000" w:themeColor="text1"/>
          <w:szCs w:val="21"/>
          <w:highlight w:val="none"/>
          <w:lang w:val="en-US" w:eastAsia="zh-CN"/>
          <w14:textFill>
            <w14:solidFill>
              <w14:schemeClr w14:val="tx1"/>
            </w14:solidFill>
          </w14:textFill>
        </w:rPr>
        <w:t>，否则不得分。）</w:t>
      </w:r>
    </w:p>
    <w:p w14:paraId="6F0BD996">
      <w:pPr>
        <w:pStyle w:val="2"/>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③</w:t>
      </w:r>
      <w:r>
        <w:rPr>
          <w:rFonts w:hint="eastAsia" w:ascii="宋体" w:hAnsi="宋体" w:eastAsia="宋体" w:cs="宋体"/>
          <w:color w:val="000000" w:themeColor="text1"/>
          <w:szCs w:val="21"/>
          <w:highlight w:val="none"/>
          <w14:textFill>
            <w14:solidFill>
              <w14:schemeClr w14:val="tx1"/>
            </w14:solidFill>
          </w14:textFill>
        </w:rPr>
        <w:t>拟投入的绿化主管持有</w:t>
      </w:r>
      <w:r>
        <w:rPr>
          <w:rFonts w:hint="eastAsia" w:ascii="宋体" w:hAnsi="宋体" w:eastAsia="宋体" w:cs="宋体"/>
          <w:color w:val="000000" w:themeColor="text1"/>
          <w:szCs w:val="21"/>
          <w:highlight w:val="none"/>
          <w:lang w:val="en-US" w:eastAsia="zh-CN"/>
          <w14:textFill>
            <w14:solidFill>
              <w14:schemeClr w14:val="tx1"/>
            </w14:solidFill>
          </w14:textFill>
        </w:rPr>
        <w:t>人社部门颁发的</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高级工程师（专业：风景园林类或市政绿化类）</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得2分，满分2分；</w:t>
      </w:r>
      <w:r>
        <w:rPr>
          <w:rFonts w:hint="eastAsia" w:ascii="宋体" w:hAnsi="宋体" w:eastAsia="宋体" w:cs="宋体"/>
          <w:color w:val="000000" w:themeColor="text1"/>
          <w:sz w:val="21"/>
          <w:szCs w:val="21"/>
          <w:highlight w:val="none"/>
          <w14:textFill>
            <w14:solidFill>
              <w14:schemeClr w14:val="tx1"/>
            </w14:solidFill>
          </w14:textFill>
        </w:rPr>
        <w:t>（提供证书扫描件并加盖投标人CA签章，否则不得分。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4F51059">
      <w:pPr>
        <w:spacing w:line="400" w:lineRule="exact"/>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④</w:t>
      </w:r>
      <w:r>
        <w:rPr>
          <w:rFonts w:hint="eastAsia" w:ascii="宋体" w:hAnsi="宋体" w:eastAsia="宋体" w:cs="宋体"/>
          <w:color w:val="000000" w:themeColor="text1"/>
          <w:szCs w:val="21"/>
          <w:highlight w:val="none"/>
          <w14:textFill>
            <w14:solidFill>
              <w14:schemeClr w14:val="tx1"/>
            </w14:solidFill>
          </w14:textFill>
        </w:rPr>
        <w:t>拟投入的人员中具</w:t>
      </w:r>
      <w:r>
        <w:rPr>
          <w:rFonts w:hint="eastAsia" w:ascii="宋体" w:hAnsi="宋体" w:eastAsia="宋体" w:cs="宋体"/>
          <w:color w:val="000000" w:themeColor="text1"/>
          <w:szCs w:val="21"/>
          <w:highlight w:val="none"/>
          <w:lang w:val="en-US" w:eastAsia="zh-CN"/>
          <w14:textFill>
            <w14:solidFill>
              <w14:schemeClr w14:val="tx1"/>
            </w14:solidFill>
          </w14:textFill>
        </w:rPr>
        <w:t>备供电部门2024年1月1日以来配调受令</w:t>
      </w:r>
      <w:r>
        <w:rPr>
          <w:rFonts w:hint="eastAsia" w:ascii="宋体" w:hAnsi="宋体" w:eastAsia="宋体" w:cs="宋体"/>
          <w:color w:val="000000" w:themeColor="text1"/>
          <w:szCs w:val="21"/>
          <w:highlight w:val="none"/>
          <w14:textFill>
            <w14:solidFill>
              <w14:schemeClr w14:val="tx1"/>
            </w14:solidFill>
          </w14:textFill>
        </w:rPr>
        <w:t>资格的,得2分,满分2分；</w:t>
      </w:r>
      <w:r>
        <w:rPr>
          <w:rFonts w:hint="eastAsia" w:ascii="宋体" w:hAnsi="宋体" w:eastAsia="宋体" w:cs="宋体"/>
          <w:color w:val="000000" w:themeColor="text1"/>
          <w:sz w:val="21"/>
          <w:szCs w:val="21"/>
          <w:highlight w:val="none"/>
          <w14:textFill>
            <w14:solidFill>
              <w14:schemeClr w14:val="tx1"/>
            </w14:solidFill>
          </w14:textFill>
        </w:rPr>
        <w:t>（提供</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相关证明材料</w:t>
      </w:r>
      <w:r>
        <w:rPr>
          <w:rFonts w:hint="eastAsia" w:ascii="宋体" w:hAnsi="宋体" w:eastAsia="宋体" w:cs="宋体"/>
          <w:color w:val="000000" w:themeColor="text1"/>
          <w:sz w:val="21"/>
          <w:szCs w:val="21"/>
          <w:highlight w:val="none"/>
          <w14:textFill>
            <w14:solidFill>
              <w14:schemeClr w14:val="tx1"/>
            </w14:solidFill>
          </w14:textFill>
        </w:rPr>
        <w:t>扫描件并加盖投标人CA签章，否则不得分。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4C33E04">
      <w:pPr>
        <w:spacing w:line="400" w:lineRule="exact"/>
        <w:ind w:firstLine="420" w:firstLineChars="20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⑤</w:t>
      </w:r>
      <w:r>
        <w:rPr>
          <w:rFonts w:hint="eastAsia" w:ascii="宋体" w:hAnsi="宋体" w:eastAsia="宋体" w:cs="宋体"/>
          <w:color w:val="000000" w:themeColor="text1"/>
          <w:szCs w:val="21"/>
          <w:highlight w:val="none"/>
          <w14:textFill>
            <w14:solidFill>
              <w14:schemeClr w14:val="tx1"/>
            </w14:solidFill>
          </w14:textFill>
        </w:rPr>
        <w:t>拟投入本项目的人员具有</w:t>
      </w:r>
      <w:r>
        <w:rPr>
          <w:rFonts w:hint="eastAsia" w:ascii="宋体" w:hAnsi="宋体" w:eastAsia="宋体" w:cs="宋体"/>
          <w:color w:val="000000" w:themeColor="text1"/>
          <w:szCs w:val="21"/>
          <w:highlight w:val="none"/>
          <w:lang w:val="en-US" w:eastAsia="zh-CN"/>
          <w14:textFill>
            <w14:solidFill>
              <w14:schemeClr w14:val="tx1"/>
            </w14:solidFill>
          </w14:textFill>
        </w:rPr>
        <w:t>红十字会</w:t>
      </w:r>
      <w:r>
        <w:rPr>
          <w:rFonts w:hint="eastAsia" w:ascii="宋体" w:hAnsi="宋体" w:eastAsia="宋体" w:cs="宋体"/>
          <w:color w:val="000000" w:themeColor="text1"/>
          <w:szCs w:val="21"/>
          <w:highlight w:val="none"/>
          <w14:textFill>
            <w14:solidFill>
              <w14:schemeClr w14:val="tx1"/>
            </w14:solidFill>
          </w14:textFill>
        </w:rPr>
        <w:t>颁发的</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红十字</w:t>
      </w:r>
      <w:r>
        <w:rPr>
          <w:rFonts w:hint="eastAsia" w:ascii="宋体" w:hAnsi="宋体" w:eastAsia="宋体" w:cs="宋体"/>
          <w:color w:val="000000" w:themeColor="text1"/>
          <w:szCs w:val="21"/>
          <w:highlight w:val="none"/>
          <w14:textFill>
            <w14:solidFill>
              <w14:schemeClr w14:val="tx1"/>
            </w14:solidFill>
          </w14:textFill>
        </w:rPr>
        <w:t>救护</w:t>
      </w:r>
      <w:r>
        <w:rPr>
          <w:rFonts w:hint="eastAsia" w:ascii="宋体" w:hAnsi="宋体" w:eastAsia="宋体" w:cs="宋体"/>
          <w:color w:val="000000" w:themeColor="text1"/>
          <w:szCs w:val="21"/>
          <w:highlight w:val="none"/>
          <w:lang w:val="en-US" w:eastAsia="zh-CN"/>
          <w14:textFill>
            <w14:solidFill>
              <w14:schemeClr w14:val="tx1"/>
            </w14:solidFill>
          </w14:textFill>
        </w:rPr>
        <w:t>员</w:t>
      </w:r>
      <w:r>
        <w:rPr>
          <w:rFonts w:hint="eastAsia" w:ascii="宋体" w:hAnsi="宋体" w:eastAsia="宋体" w:cs="宋体"/>
          <w:color w:val="000000" w:themeColor="text1"/>
          <w:szCs w:val="21"/>
          <w:highlight w:val="none"/>
          <w14:textFill>
            <w14:solidFill>
              <w14:schemeClr w14:val="tx1"/>
            </w14:solidFill>
          </w14:textFill>
        </w:rPr>
        <w:t>证</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的</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每提供1人得</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分</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满分2分；</w:t>
      </w:r>
      <w:r>
        <w:rPr>
          <w:rFonts w:hint="eastAsia" w:ascii="宋体" w:hAnsi="宋体" w:eastAsia="宋体" w:cs="宋体"/>
          <w:color w:val="000000" w:themeColor="text1"/>
          <w:sz w:val="21"/>
          <w:szCs w:val="21"/>
          <w:highlight w:val="none"/>
          <w14:textFill>
            <w14:solidFill>
              <w14:schemeClr w14:val="tx1"/>
            </w14:solidFill>
          </w14:textFill>
        </w:rPr>
        <w:t>（提供</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相关证明材料</w:t>
      </w:r>
      <w:r>
        <w:rPr>
          <w:rFonts w:hint="eastAsia" w:ascii="宋体" w:hAnsi="宋体" w:eastAsia="宋体" w:cs="宋体"/>
          <w:color w:val="000000" w:themeColor="text1"/>
          <w:sz w:val="21"/>
          <w:szCs w:val="21"/>
          <w:highlight w:val="none"/>
          <w14:textFill>
            <w14:solidFill>
              <w14:schemeClr w14:val="tx1"/>
            </w14:solidFill>
          </w14:textFill>
        </w:rPr>
        <w:t>扫描件并加盖投标人CA签章，否则不得分。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2F1689F">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⑥拟投入的</w:t>
      </w:r>
      <w:r>
        <w:rPr>
          <w:rFonts w:hint="eastAsia" w:ascii="宋体" w:hAnsi="宋体" w:eastAsia="宋体" w:cs="宋体"/>
          <w:color w:val="000000" w:themeColor="text1"/>
          <w:highlight w:val="none"/>
          <w14:textFill>
            <w14:solidFill>
              <w14:schemeClr w14:val="tx1"/>
            </w14:solidFill>
          </w14:textFill>
        </w:rPr>
        <w:t>水电、土建维修</w:t>
      </w:r>
      <w:r>
        <w:rPr>
          <w:rFonts w:hint="eastAsia" w:ascii="宋体" w:hAnsi="宋体" w:eastAsia="宋体" w:cs="宋体"/>
          <w:color w:val="000000" w:themeColor="text1"/>
          <w:highlight w:val="none"/>
          <w:lang w:val="en-US" w:eastAsia="zh-CN"/>
          <w14:textFill>
            <w14:solidFill>
              <w14:schemeClr w14:val="tx1"/>
            </w14:solidFill>
          </w14:textFill>
        </w:rPr>
        <w:t>主管具有专科及以上学历</w:t>
      </w:r>
      <w:r>
        <w:rPr>
          <w:rFonts w:hint="eastAsia" w:ascii="宋体" w:hAnsi="宋体" w:eastAsia="宋体" w:cs="宋体"/>
          <w:color w:val="000000" w:themeColor="text1"/>
          <w:szCs w:val="21"/>
          <w:highlight w:val="none"/>
          <w14:textFill>
            <w14:solidFill>
              <w14:schemeClr w14:val="tx1"/>
            </w14:solidFill>
          </w14:textFill>
        </w:rPr>
        <w:t>得1分,满分</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（提供证书扫描件并加盖投标人CA签章，否则不得分。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DB3EAE4">
      <w:pPr>
        <w:spacing w:line="400" w:lineRule="exact"/>
        <w:ind w:firstLine="420" w:firstLineChars="20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⑦</w:t>
      </w:r>
      <w:r>
        <w:rPr>
          <w:rFonts w:hint="eastAsia" w:ascii="宋体" w:hAnsi="宋体" w:eastAsia="宋体" w:cs="宋体"/>
          <w:color w:val="000000" w:themeColor="text1"/>
          <w:szCs w:val="21"/>
          <w:highlight w:val="none"/>
          <w:lang w:eastAsia="zh-CN"/>
          <w14:textFill>
            <w14:solidFill>
              <w14:schemeClr w14:val="tx1"/>
            </w14:solidFill>
          </w14:textFill>
        </w:rPr>
        <w:t>拟投入保安人员中为退伍军人的，每一个加</w:t>
      </w:r>
      <w:r>
        <w:rPr>
          <w:rFonts w:hint="eastAsia" w:ascii="宋体" w:hAnsi="宋体" w:eastAsia="宋体" w:cs="宋体"/>
          <w:color w:val="000000" w:themeColor="text1"/>
          <w:szCs w:val="21"/>
          <w:highlight w:val="none"/>
          <w:lang w:val="en-US" w:eastAsia="zh-CN"/>
          <w14:textFill>
            <w14:solidFill>
              <w14:schemeClr w14:val="tx1"/>
            </w14:solidFill>
          </w14:textFill>
        </w:rPr>
        <w:t>0.5分，满分4分</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（提供证书扫描件并加盖投标人CA签章，否则不得分。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645A2B2">
      <w:pPr>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（2）业绩分(满分</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分)</w:t>
      </w:r>
    </w:p>
    <w:p w14:paraId="358A4DFB">
      <w:pPr>
        <w:spacing w:line="38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投标人自202</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年1月1日以来同类服务项目业绩[无不良记录，以中标(成交)通知书或采购合同复印件为准(并能清晰反映所提供的服务名称、种类、金额)，否则将不予计分；同一个编号的项目有两个或两个以上的分标中标的只算一次]，每提供一项得1.5分，满分为9分。</w:t>
      </w:r>
    </w:p>
    <w:p w14:paraId="39DE6C67">
      <w:pPr>
        <w:pStyle w:val="2"/>
        <w:rPr>
          <w:rFonts w:hint="eastAsia" w:ascii="宋体" w:hAnsi="宋体" w:eastAsia="宋体" w:cs="宋体"/>
          <w:color w:val="000000" w:themeColor="text1"/>
          <w:szCs w:val="21"/>
          <w:highlight w:val="none"/>
          <w:lang w:val="en-US" w:eastAsia="zh-CN"/>
          <w14:textFill>
            <w14:solidFill>
              <w14:schemeClr w14:val="tx1"/>
            </w14:solidFill>
          </w14:textFill>
        </w:rPr>
      </w:pPr>
    </w:p>
    <w:p w14:paraId="03614E7E">
      <w:pPr>
        <w:pStyle w:val="2"/>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企业能力分（满分3分）</w:t>
      </w:r>
    </w:p>
    <w:p w14:paraId="04ED1D45">
      <w:pPr>
        <w:spacing w:line="38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投标人通过GB/T 19001-2016（ISO9001：2015）质量管理体系认证（认证范围涵盖物业管理服务）、GB/T24001-2016（ISO14001：2015）环境管理体系认证（认证范围涵盖物业管理服务）、GB/T45001-2020(ISO 45001:2018)职业健康安全管理体系认证（认证范围涵盖物业管理服务）</w:t>
      </w:r>
      <w:r>
        <w:rPr>
          <w:rFonts w:hint="eastAsia" w:ascii="宋体" w:hAnsi="宋体" w:eastAsia="宋体" w:cs="宋体"/>
          <w:color w:val="000000" w:themeColor="text1"/>
          <w:szCs w:val="21"/>
          <w:highlight w:val="none"/>
          <w:lang w:eastAsia="zh-CN"/>
          <w14:textFill>
            <w14:solidFill>
              <w14:schemeClr w14:val="tx1"/>
            </w14:solidFill>
          </w14:textFill>
        </w:rPr>
        <w:t>，每通过一项加</w:t>
      </w:r>
      <w:r>
        <w:rPr>
          <w:rFonts w:hint="eastAsia" w:ascii="宋体" w:hAnsi="宋体" w:eastAsia="宋体" w:cs="宋体"/>
          <w:color w:val="000000" w:themeColor="text1"/>
          <w:szCs w:val="21"/>
          <w:highlight w:val="none"/>
          <w:lang w:val="en-US" w:eastAsia="zh-CN"/>
          <w14:textFill>
            <w14:solidFill>
              <w14:schemeClr w14:val="tx1"/>
            </w14:solidFill>
          </w14:textFill>
        </w:rPr>
        <w:t>1分，满分3分。</w:t>
      </w:r>
    </w:p>
    <w:p w14:paraId="1EE5D657">
      <w:pPr>
        <w:spacing w:line="400" w:lineRule="exact"/>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4</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设备配置分……………………………………………………………………………………………满分</w:t>
      </w:r>
      <w:r>
        <w:rPr>
          <w:rFonts w:hint="eastAsia" w:ascii="宋体" w:hAnsi="宋体" w:eastAsia="宋体" w:cs="宋体"/>
          <w:b/>
          <w:bCs/>
          <w:color w:val="000000" w:themeColor="text1"/>
          <w:szCs w:val="21"/>
          <w:highlight w:val="none"/>
          <w:lang w:val="en-US" w:eastAsia="zh-CN"/>
          <w14:textFill>
            <w14:solidFill>
              <w14:schemeClr w14:val="tx1"/>
            </w14:solidFill>
          </w14:textFill>
        </w:rPr>
        <w:t>7</w:t>
      </w:r>
      <w:r>
        <w:rPr>
          <w:rFonts w:hint="eastAsia" w:ascii="宋体" w:hAnsi="宋体" w:eastAsia="宋体" w:cs="宋体"/>
          <w:b/>
          <w:bCs/>
          <w:color w:val="000000" w:themeColor="text1"/>
          <w:szCs w:val="21"/>
          <w:highlight w:val="none"/>
          <w14:textFill>
            <w14:solidFill>
              <w14:schemeClr w14:val="tx1"/>
            </w14:solidFill>
          </w14:textFill>
        </w:rPr>
        <w:t>分</w:t>
      </w:r>
    </w:p>
    <w:p w14:paraId="20014F31">
      <w:pPr>
        <w:spacing w:line="400" w:lineRule="exact"/>
        <w:ind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（1）投标人承诺拟投入该项目道路清扫车一台加2分,满分2分；</w:t>
      </w:r>
    </w:p>
    <w:p w14:paraId="71D9B3F2">
      <w:pPr>
        <w:spacing w:line="400" w:lineRule="exact"/>
        <w:ind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（2）投标人承诺拟投入该项目园林设备(割草机、绿篱机),每一台加0.5分,满分2分；</w:t>
      </w:r>
    </w:p>
    <w:p w14:paraId="3795012E">
      <w:pPr>
        <w:spacing w:line="400" w:lineRule="exact"/>
        <w:ind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（3）投标人承诺拟投入该项目安保通讯设备至少20台的加1分,满分1分；</w:t>
      </w:r>
    </w:p>
    <w:p w14:paraId="4A5DB81E">
      <w:pPr>
        <w:spacing w:line="400" w:lineRule="exact"/>
        <w:ind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（4）投标人承诺拟投入该项目高压疏通清洗机的加1分，满分1分；</w:t>
      </w:r>
    </w:p>
    <w:p w14:paraId="60027AA8">
      <w:pPr>
        <w:spacing w:line="400" w:lineRule="exact"/>
        <w:ind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（5）投标人承诺拟投入该项目巡逻车辆的加1分,满分1分。</w:t>
      </w:r>
    </w:p>
    <w:p w14:paraId="4979D5A4">
      <w:pPr>
        <w:spacing w:line="400" w:lineRule="exact"/>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5</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服务承诺分……………………………………………………………………………………………满分6分</w:t>
      </w:r>
    </w:p>
    <w:p w14:paraId="22F24643">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一档（2分）：提供的服务承诺简单，不够全面、详细；</w:t>
      </w:r>
    </w:p>
    <w:p w14:paraId="5E6B2EFE">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二档（4分）：提供的服务承诺较清晰、完整，措施具体有效，应急措施合理，能较好地为采购人服务的；</w:t>
      </w:r>
    </w:p>
    <w:p w14:paraId="6D2EFA40">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三档（6分）：对项目总体有深刻认识，表达清晰、完整、严谨、合理，措施先进、具体、有效、成熟。投标人服务承诺详细、具体，应急措施合理，具有一定技术专业能力，能很好地为采购人服务的。</w:t>
      </w:r>
    </w:p>
    <w:p w14:paraId="6B8A6AD9">
      <w:pPr>
        <w:spacing w:line="360" w:lineRule="auto"/>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6</w:t>
      </w:r>
      <w:r>
        <w:rPr>
          <w:rFonts w:hint="eastAsia" w:ascii="宋体" w:hAnsi="宋体" w:eastAsia="宋体" w:cs="宋体"/>
          <w:b/>
          <w:color w:val="000000" w:themeColor="text1"/>
          <w:szCs w:val="21"/>
          <w:highlight w:val="none"/>
          <w14:textFill>
            <w14:solidFill>
              <w14:schemeClr w14:val="tx1"/>
            </w14:solidFill>
          </w14:textFill>
        </w:rPr>
        <w:t>.综合得分＝1+2+3</w:t>
      </w:r>
      <w:r>
        <w:rPr>
          <w:rFonts w:hint="eastAsia" w:ascii="宋体" w:hAnsi="宋体" w:eastAsia="宋体" w:cs="宋体"/>
          <w:b/>
          <w:color w:val="000000" w:themeColor="text1"/>
          <w:szCs w:val="21"/>
          <w:highlight w:val="none"/>
          <w:lang w:val="en-US" w:eastAsia="zh-CN"/>
          <w14:textFill>
            <w14:solidFill>
              <w14:schemeClr w14:val="tx1"/>
            </w14:solidFill>
          </w14:textFill>
        </w:rPr>
        <w:t>+4+5</w:t>
      </w:r>
      <w:r>
        <w:rPr>
          <w:rFonts w:hint="eastAsia" w:ascii="宋体" w:hAnsi="宋体" w:eastAsia="宋体" w:cs="宋体"/>
          <w:bCs/>
          <w:color w:val="000000" w:themeColor="text1"/>
          <w:szCs w:val="21"/>
          <w:highlight w:val="none"/>
          <w14:textFill>
            <w14:solidFill>
              <w14:schemeClr w14:val="tx1"/>
            </w14:solidFill>
          </w14:textFill>
        </w:rPr>
        <w:t xml:space="preserve">     </w:t>
      </w:r>
    </w:p>
    <w:p w14:paraId="32339B58">
      <w:pPr>
        <w:pStyle w:val="216"/>
        <w:tabs>
          <w:tab w:val="left" w:pos="4214"/>
        </w:tabs>
        <w:spacing w:line="36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三、推荐及确定中标候选供应商原则</w:t>
      </w:r>
    </w:p>
    <w:p w14:paraId="0BD1A566">
      <w:pPr>
        <w:pStyle w:val="216"/>
        <w:tabs>
          <w:tab w:val="left" w:pos="4214"/>
        </w:tabs>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（1）评标委员会根据综合得分由高到低排列次序，若得分相同时，按评标价由低到高顺序排列；得分相同且评标价也相同的由评标委员会按照抽签的方式决定排次次序。</w:t>
      </w:r>
    </w:p>
    <w:p w14:paraId="3E603D12">
      <w:pPr>
        <w:pStyle w:val="216"/>
        <w:tabs>
          <w:tab w:val="left" w:pos="4214"/>
        </w:tabs>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（2）评标委员会可推荐前三名为中标候选人，采购人应当确定评标委员会推荐排名第一的中标候选人为中标人。</w:t>
      </w:r>
    </w:p>
    <w:p w14:paraId="437B9971">
      <w:pPr>
        <w:pStyle w:val="216"/>
        <w:tabs>
          <w:tab w:val="left" w:pos="4214"/>
        </w:tabs>
        <w:spacing w:line="360" w:lineRule="exact"/>
        <w:ind w:firstLine="42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19C21361">
      <w:pPr>
        <w:keepNext w:val="0"/>
        <w:keepLines w:val="0"/>
        <w:pageBreakBefore w:val="0"/>
        <w:widowControl w:val="0"/>
        <w:kinsoku/>
        <w:wordWrap/>
        <w:overflowPunct/>
        <w:topLinePunct w:val="0"/>
        <w:autoSpaceDE/>
        <w:autoSpaceDN/>
        <w:bidi w:val="0"/>
        <w:adjustRightInd/>
        <w:snapToGrid/>
        <w:spacing w:line="360" w:lineRule="exact"/>
        <w:ind w:firstLine="426"/>
        <w:jc w:val="left"/>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四、特别说明</w:t>
      </w:r>
    </w:p>
    <w:p w14:paraId="61352C11">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14:textFill>
            <w14:solidFill>
              <w14:schemeClr w14:val="tx1"/>
            </w14:solidFill>
          </w14:textFill>
        </w:rPr>
        <w:t>评审时，</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评审委员会</w:t>
      </w:r>
      <w:r>
        <w:rPr>
          <w:rFonts w:hint="eastAsia" w:ascii="宋体" w:hAnsi="宋体" w:eastAsia="宋体" w:cs="宋体"/>
          <w:b/>
          <w:bCs/>
          <w:color w:val="000000" w:themeColor="text1"/>
          <w:sz w:val="21"/>
          <w:szCs w:val="21"/>
          <w:highlight w:val="none"/>
          <w:lang w:val="en-US"/>
          <w14:textFill>
            <w14:solidFill>
              <w14:schemeClr w14:val="tx1"/>
            </w14:solidFill>
          </w14:textFill>
        </w:rPr>
        <w:t>根据《关于推动解决政府采购异常低价问题的通知》</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14:textFill>
            <w14:solidFill>
              <w14:schemeClr w14:val="tx1"/>
            </w14:solidFill>
          </w14:textFill>
        </w:rPr>
        <w:t>财库〔2026〕2号</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）相关规定</w:t>
      </w:r>
      <w:r>
        <w:rPr>
          <w:rFonts w:hint="eastAsia" w:ascii="宋体" w:hAnsi="宋体" w:eastAsia="宋体" w:cs="宋体"/>
          <w:b/>
          <w:bCs/>
          <w:color w:val="000000" w:themeColor="text1"/>
          <w:sz w:val="21"/>
          <w:szCs w:val="21"/>
          <w:highlight w:val="none"/>
          <w:lang w:val="en-US"/>
          <w14:textFill>
            <w14:solidFill>
              <w14:schemeClr w14:val="tx1"/>
            </w14:solidFill>
          </w14:textFill>
        </w:rPr>
        <w:t>启动异常低价投标（响应）审查程序</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启动异常低价投标（响应）审查后，</w:t>
      </w:r>
      <w:r>
        <w:rPr>
          <w:rStyle w:val="342"/>
          <w:rFonts w:hint="eastAsia" w:ascii="宋体" w:hAnsi="宋体" w:eastAsia="宋体" w:cs="宋体"/>
          <w:b/>
          <w:bCs/>
          <w:color w:val="000000" w:themeColor="text1"/>
          <w:szCs w:val="21"/>
          <w:highlight w:val="none"/>
          <w14:textFill>
            <w14:solidFill>
              <w14:schemeClr w14:val="tx1"/>
            </w14:solidFill>
          </w14:textFill>
        </w:rPr>
        <w:t>应当要求供应商在</w:t>
      </w:r>
      <w:r>
        <w:rPr>
          <w:rStyle w:val="342"/>
          <w:rFonts w:hint="eastAsia" w:ascii="宋体" w:hAnsi="宋体" w:eastAsia="宋体" w:cs="宋体"/>
          <w:b/>
          <w:bCs/>
          <w:color w:val="000000" w:themeColor="text1"/>
          <w:szCs w:val="21"/>
          <w:highlight w:val="none"/>
          <w:lang w:val="en-US" w:eastAsia="zh-CN"/>
          <w14:textFill>
            <w14:solidFill>
              <w14:schemeClr w14:val="tx1"/>
            </w14:solidFill>
          </w14:textFill>
        </w:rPr>
        <w:t>评审委员会</w:t>
      </w:r>
      <w:r>
        <w:rPr>
          <w:rStyle w:val="342"/>
          <w:rFonts w:hint="eastAsia" w:ascii="宋体" w:hAnsi="宋体" w:eastAsia="宋体" w:cs="宋体"/>
          <w:b/>
          <w:bCs/>
          <w:color w:val="000000" w:themeColor="text1"/>
          <w:szCs w:val="21"/>
          <w:highlight w:val="none"/>
          <w:lang w:val="en-US"/>
          <w14:textFill>
            <w14:solidFill>
              <w14:schemeClr w14:val="tx1"/>
            </w14:solidFill>
          </w14:textFill>
        </w:rPr>
        <w:t>要求的时间内</w:t>
      </w:r>
      <w:r>
        <w:rPr>
          <w:rFonts w:hint="eastAsia" w:ascii="宋体" w:hAnsi="宋体" w:eastAsia="宋体" w:cs="宋体"/>
          <w:b/>
          <w:bCs/>
          <w:color w:val="000000" w:themeColor="text1"/>
          <w:szCs w:val="21"/>
          <w:highlight w:val="none"/>
          <w14:textFill>
            <w14:solidFill>
              <w14:schemeClr w14:val="tx1"/>
            </w14:solidFill>
          </w14:textFill>
        </w:rPr>
        <w:t>对投标（响应）价格作出解释，</w:t>
      </w:r>
      <w:r>
        <w:rPr>
          <w:rFonts w:hint="eastAsia" w:ascii="宋体" w:hAnsi="宋体" w:eastAsia="宋体" w:cs="宋体"/>
          <w:b/>
          <w:bCs/>
          <w:color w:val="000000" w:themeColor="text1"/>
          <w:szCs w:val="21"/>
          <w:highlight w:val="none"/>
          <w:shd w:val="clear" w:color="auto" w:fill="FFFFFF"/>
          <w14:textFill>
            <w14:solidFill>
              <w14:schemeClr w14:val="tx1"/>
            </w14:solidFill>
          </w14:textFill>
        </w:rPr>
        <w:t>提供项目具体成本测算等与报价合理性相关的书面说明及必要的证明材料（包括但不限于原材料成本、人工成本、制造费用等）。</w:t>
      </w:r>
      <w:r>
        <w:rPr>
          <w:rFonts w:hint="eastAsia" w:ascii="宋体" w:hAnsi="宋体" w:eastAsia="宋体" w:cs="宋体"/>
          <w:b/>
          <w:bCs/>
          <w:color w:val="000000" w:themeColor="text1"/>
          <w:szCs w:val="21"/>
          <w:highlight w:val="none"/>
          <w14:textFill>
            <w14:solidFill>
              <w14:schemeClr w14:val="tx1"/>
            </w14:solidFill>
          </w14:textFill>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ascii="宋体" w:hAnsi="宋体" w:eastAsia="宋体" w:cs="宋体"/>
          <w:b/>
          <w:bCs/>
          <w:color w:val="000000" w:themeColor="text1"/>
          <w:szCs w:val="21"/>
          <w:highlight w:val="none"/>
          <w:lang w:eastAsia="zh-CN"/>
          <w14:textFill>
            <w14:solidFill>
              <w14:schemeClr w14:val="tx1"/>
            </w14:solidFill>
          </w14:textFill>
        </w:rPr>
        <w:t>。</w:t>
      </w:r>
    </w:p>
    <w:p w14:paraId="16556625">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为避免因未能及时提供说明而导致被评审委员会作为无效投标情形，</w:t>
      </w:r>
      <w:r>
        <w:rPr>
          <w:rFonts w:hint="eastAsia" w:ascii="宋体" w:hAnsi="宋体" w:eastAsia="宋体" w:cs="宋体"/>
          <w:b/>
          <w:bCs/>
          <w:color w:val="000000" w:themeColor="text1"/>
          <w:szCs w:val="21"/>
          <w:highlight w:val="none"/>
          <w:shd w:val="clear" w:color="auto" w:fill="FFFFFF"/>
          <w14:textFill>
            <w14:solidFill>
              <w14:schemeClr w14:val="tx1"/>
            </w14:solidFill>
          </w14:textFill>
        </w:rPr>
        <w:t>供应商可提前准备或随投标（响应）文件一并提交相关书面说明及必要的证明材料。</w:t>
      </w:r>
    </w:p>
    <w:bookmarkEnd w:id="211"/>
    <w:p w14:paraId="27E6A325">
      <w:pPr>
        <w:pStyle w:val="216"/>
        <w:spacing w:line="390" w:lineRule="exact"/>
        <w:contextualSpacing/>
        <w:rPr>
          <w:rFonts w:hint="eastAsia" w:ascii="宋体" w:hAnsi="宋体" w:eastAsia="宋体" w:cs="宋体"/>
          <w:b/>
          <w:bCs/>
          <w:color w:val="000000" w:themeColor="text1"/>
          <w:sz w:val="32"/>
          <w:szCs w:val="32"/>
          <w:highlight w:val="none"/>
          <w14:textFill>
            <w14:solidFill>
              <w14:schemeClr w14:val="tx1"/>
            </w14:solidFill>
          </w14:textFill>
        </w:rPr>
      </w:pPr>
    </w:p>
    <w:p w14:paraId="49F610F4">
      <w:pPr>
        <w:pStyle w:val="216"/>
        <w:spacing w:line="390" w:lineRule="exact"/>
        <w:contextualSpacing/>
        <w:rPr>
          <w:rFonts w:hint="eastAsia" w:ascii="宋体" w:hAnsi="宋体" w:eastAsia="宋体" w:cs="宋体"/>
          <w:b/>
          <w:bCs/>
          <w:color w:val="000000" w:themeColor="text1"/>
          <w:sz w:val="32"/>
          <w:szCs w:val="32"/>
          <w:highlight w:val="none"/>
          <w14:textFill>
            <w14:solidFill>
              <w14:schemeClr w14:val="tx1"/>
            </w14:solidFill>
          </w14:textFill>
        </w:rPr>
      </w:pPr>
    </w:p>
    <w:p w14:paraId="656B23D5">
      <w:pPr>
        <w:pStyle w:val="216"/>
        <w:spacing w:line="390" w:lineRule="exact"/>
        <w:contextualSpacing/>
        <w:rPr>
          <w:rFonts w:hint="eastAsia" w:ascii="宋体" w:hAnsi="宋体" w:eastAsia="宋体" w:cs="宋体"/>
          <w:b/>
          <w:bCs/>
          <w:color w:val="000000" w:themeColor="text1"/>
          <w:sz w:val="32"/>
          <w:szCs w:val="32"/>
          <w:highlight w:val="none"/>
          <w14:textFill>
            <w14:solidFill>
              <w14:schemeClr w14:val="tx1"/>
            </w14:solidFill>
          </w14:textFill>
        </w:rPr>
      </w:pPr>
    </w:p>
    <w:p w14:paraId="57E61EED">
      <w:pPr>
        <w:pStyle w:val="216"/>
        <w:spacing w:line="390" w:lineRule="exact"/>
        <w:contextualSpacing/>
        <w:rPr>
          <w:rFonts w:hint="eastAsia" w:ascii="宋体" w:hAnsi="宋体" w:eastAsia="宋体" w:cs="宋体"/>
          <w:b/>
          <w:bCs/>
          <w:color w:val="000000" w:themeColor="text1"/>
          <w:sz w:val="32"/>
          <w:szCs w:val="32"/>
          <w:highlight w:val="none"/>
          <w14:textFill>
            <w14:solidFill>
              <w14:schemeClr w14:val="tx1"/>
            </w14:solidFill>
          </w14:textFill>
        </w:rPr>
      </w:pPr>
    </w:p>
    <w:p w14:paraId="3F9FEBA2">
      <w:pPr>
        <w:pStyle w:val="203"/>
        <w:rPr>
          <w:rFonts w:hint="eastAsia" w:ascii="宋体" w:hAnsi="宋体" w:eastAsia="宋体" w:cs="宋体"/>
          <w:b/>
          <w:bCs/>
          <w:color w:val="000000" w:themeColor="text1"/>
          <w:sz w:val="32"/>
          <w:szCs w:val="32"/>
          <w:highlight w:val="none"/>
          <w14:textFill>
            <w14:solidFill>
              <w14:schemeClr w14:val="tx1"/>
            </w14:solidFill>
          </w14:textFill>
        </w:rPr>
      </w:pPr>
    </w:p>
    <w:p w14:paraId="22217E3F">
      <w:pPr>
        <w:rPr>
          <w:rFonts w:hint="eastAsia" w:ascii="宋体" w:hAnsi="宋体" w:eastAsia="宋体" w:cs="宋体"/>
          <w:b/>
          <w:bCs/>
          <w:color w:val="000000" w:themeColor="text1"/>
          <w:sz w:val="32"/>
          <w:szCs w:val="32"/>
          <w:highlight w:val="none"/>
          <w14:textFill>
            <w14:solidFill>
              <w14:schemeClr w14:val="tx1"/>
            </w14:solidFill>
          </w14:textFill>
        </w:rPr>
      </w:pPr>
    </w:p>
    <w:p w14:paraId="5CADBC1A">
      <w:pPr>
        <w:pStyle w:val="2"/>
        <w:rPr>
          <w:rFonts w:hint="eastAsia" w:ascii="宋体" w:hAnsi="宋体" w:eastAsia="宋体" w:cs="宋体"/>
          <w:b/>
          <w:bCs/>
          <w:color w:val="000000" w:themeColor="text1"/>
          <w:sz w:val="32"/>
          <w:szCs w:val="32"/>
          <w:highlight w:val="none"/>
          <w14:textFill>
            <w14:solidFill>
              <w14:schemeClr w14:val="tx1"/>
            </w14:solidFill>
          </w14:textFill>
        </w:rPr>
      </w:pPr>
    </w:p>
    <w:p w14:paraId="6ACBBDD4">
      <w:pPr>
        <w:pStyle w:val="2"/>
        <w:rPr>
          <w:rFonts w:hint="eastAsia" w:ascii="宋体" w:hAnsi="宋体" w:eastAsia="宋体" w:cs="宋体"/>
          <w:b/>
          <w:bCs/>
          <w:color w:val="000000" w:themeColor="text1"/>
          <w:sz w:val="32"/>
          <w:szCs w:val="32"/>
          <w:highlight w:val="none"/>
          <w14:textFill>
            <w14:solidFill>
              <w14:schemeClr w14:val="tx1"/>
            </w14:solidFill>
          </w14:textFill>
        </w:rPr>
      </w:pPr>
    </w:p>
    <w:p w14:paraId="01E1F92B">
      <w:pPr>
        <w:pStyle w:val="2"/>
        <w:rPr>
          <w:rFonts w:hint="eastAsia" w:ascii="宋体" w:hAnsi="宋体" w:eastAsia="宋体" w:cs="宋体"/>
          <w:b/>
          <w:bCs/>
          <w:color w:val="000000" w:themeColor="text1"/>
          <w:sz w:val="32"/>
          <w:szCs w:val="32"/>
          <w:highlight w:val="none"/>
          <w14:textFill>
            <w14:solidFill>
              <w14:schemeClr w14:val="tx1"/>
            </w14:solidFill>
          </w14:textFill>
        </w:rPr>
      </w:pPr>
    </w:p>
    <w:p w14:paraId="29BF27A5">
      <w:pPr>
        <w:pStyle w:val="2"/>
        <w:rPr>
          <w:rFonts w:hint="eastAsia" w:ascii="宋体" w:hAnsi="宋体" w:eastAsia="宋体" w:cs="宋体"/>
          <w:b/>
          <w:bCs/>
          <w:color w:val="000000" w:themeColor="text1"/>
          <w:sz w:val="32"/>
          <w:szCs w:val="32"/>
          <w:highlight w:val="none"/>
          <w14:textFill>
            <w14:solidFill>
              <w14:schemeClr w14:val="tx1"/>
            </w14:solidFill>
          </w14:textFill>
        </w:rPr>
      </w:pPr>
    </w:p>
    <w:p w14:paraId="14DA0F58">
      <w:pPr>
        <w:pStyle w:val="2"/>
        <w:rPr>
          <w:rFonts w:hint="eastAsia" w:ascii="宋体" w:hAnsi="宋体" w:eastAsia="宋体" w:cs="宋体"/>
          <w:b/>
          <w:bCs/>
          <w:color w:val="000000" w:themeColor="text1"/>
          <w:sz w:val="32"/>
          <w:szCs w:val="32"/>
          <w:highlight w:val="none"/>
          <w14:textFill>
            <w14:solidFill>
              <w14:schemeClr w14:val="tx1"/>
            </w14:solidFill>
          </w14:textFill>
        </w:rPr>
      </w:pPr>
    </w:p>
    <w:p w14:paraId="638D23C6">
      <w:pPr>
        <w:pStyle w:val="2"/>
        <w:rPr>
          <w:rFonts w:hint="eastAsia" w:ascii="宋体" w:hAnsi="宋体" w:eastAsia="宋体" w:cs="宋体"/>
          <w:b/>
          <w:bCs/>
          <w:color w:val="000000" w:themeColor="text1"/>
          <w:sz w:val="32"/>
          <w:szCs w:val="32"/>
          <w:highlight w:val="none"/>
          <w14:textFill>
            <w14:solidFill>
              <w14:schemeClr w14:val="tx1"/>
            </w14:solidFill>
          </w14:textFill>
        </w:rPr>
      </w:pPr>
    </w:p>
    <w:p w14:paraId="6EA4CD92">
      <w:pPr>
        <w:pStyle w:val="2"/>
        <w:rPr>
          <w:rFonts w:hint="eastAsia" w:ascii="宋体" w:hAnsi="宋体" w:eastAsia="宋体" w:cs="宋体"/>
          <w:b/>
          <w:bCs/>
          <w:color w:val="000000" w:themeColor="text1"/>
          <w:sz w:val="32"/>
          <w:szCs w:val="32"/>
          <w:highlight w:val="none"/>
          <w14:textFill>
            <w14:solidFill>
              <w14:schemeClr w14:val="tx1"/>
            </w14:solidFill>
          </w14:textFill>
        </w:rPr>
      </w:pPr>
    </w:p>
    <w:p w14:paraId="0CC435C3">
      <w:pPr>
        <w:pStyle w:val="2"/>
        <w:rPr>
          <w:rFonts w:hint="eastAsia" w:ascii="宋体" w:hAnsi="宋体" w:eastAsia="宋体" w:cs="宋体"/>
          <w:b/>
          <w:bCs/>
          <w:color w:val="000000" w:themeColor="text1"/>
          <w:sz w:val="32"/>
          <w:szCs w:val="32"/>
          <w:highlight w:val="none"/>
          <w14:textFill>
            <w14:solidFill>
              <w14:schemeClr w14:val="tx1"/>
            </w14:solidFill>
          </w14:textFill>
        </w:rPr>
      </w:pPr>
    </w:p>
    <w:p w14:paraId="62ACF3AD">
      <w:pPr>
        <w:pStyle w:val="2"/>
        <w:rPr>
          <w:rFonts w:hint="eastAsia" w:ascii="宋体" w:hAnsi="宋体" w:eastAsia="宋体" w:cs="宋体"/>
          <w:b/>
          <w:bCs/>
          <w:color w:val="000000" w:themeColor="text1"/>
          <w:sz w:val="32"/>
          <w:szCs w:val="32"/>
          <w:highlight w:val="none"/>
          <w14:textFill>
            <w14:solidFill>
              <w14:schemeClr w14:val="tx1"/>
            </w14:solidFill>
          </w14:textFill>
        </w:rPr>
      </w:pPr>
    </w:p>
    <w:p w14:paraId="1BC629A3">
      <w:pPr>
        <w:pStyle w:val="2"/>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0AF54DEB">
      <w:pPr>
        <w:pStyle w:val="216"/>
        <w:spacing w:line="390" w:lineRule="exact"/>
        <w:contextualSpacing/>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附表</w:t>
      </w:r>
    </w:p>
    <w:p w14:paraId="1BAD0F53">
      <w:pPr>
        <w:widowControl/>
        <w:spacing w:before="156" w:after="156" w:line="400" w:lineRule="exact"/>
        <w:jc w:val="center"/>
        <w:rPr>
          <w:rFonts w:hint="eastAsia" w:ascii="宋体" w:hAnsi="宋体" w:eastAsia="宋体" w:cs="宋体"/>
          <w:b/>
          <w:bCs/>
          <w:color w:val="000000" w:themeColor="text1"/>
          <w:sz w:val="30"/>
          <w:szCs w:val="30"/>
          <w:highlight w:val="none"/>
          <w14:textFill>
            <w14:solidFill>
              <w14:schemeClr w14:val="tx1"/>
            </w14:solidFill>
          </w14:textFill>
        </w:rPr>
      </w:pPr>
      <w:bookmarkStart w:id="214" w:name="_Toc28361_WPSOffice_Level2"/>
      <w:r>
        <w:rPr>
          <w:rFonts w:hint="eastAsia" w:ascii="宋体" w:hAnsi="宋体" w:eastAsia="宋体" w:cs="宋体"/>
          <w:b/>
          <w:bCs/>
          <w:color w:val="000000" w:themeColor="text1"/>
          <w:sz w:val="30"/>
          <w:szCs w:val="30"/>
          <w:highlight w:val="none"/>
          <w14:textFill>
            <w14:solidFill>
              <w14:schemeClr w14:val="tx1"/>
            </w14:solidFill>
          </w14:textFill>
        </w:rPr>
        <w:t>统计上大中小微型企业划分标准</w:t>
      </w:r>
      <w:bookmarkEnd w:id="214"/>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4E47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C4A40D1">
            <w:pPr>
              <w:widowControl/>
              <w:spacing w:line="240" w:lineRule="exact"/>
              <w:jc w:val="center"/>
              <w:rPr>
                <w:rFonts w:hint="eastAsia" w:ascii="宋体" w:hAnsi="宋体" w:eastAsia="宋体" w:cs="宋体"/>
                <w:b/>
                <w:bCs/>
                <w:color w:val="000000" w:themeColor="text1"/>
                <w:sz w:val="18"/>
                <w:szCs w:val="21"/>
                <w:highlight w:val="none"/>
                <w14:textFill>
                  <w14:solidFill>
                    <w14:schemeClr w14:val="tx1"/>
                  </w14:solidFill>
                </w14:textFill>
              </w:rPr>
            </w:pPr>
            <w:r>
              <w:rPr>
                <w:rFonts w:hint="eastAsia" w:ascii="宋体" w:hAnsi="宋体" w:eastAsia="宋体" w:cs="宋体"/>
                <w:b/>
                <w:bCs/>
                <w:color w:val="000000" w:themeColor="text1"/>
                <w:sz w:val="18"/>
                <w:szCs w:val="21"/>
                <w:highlight w:val="none"/>
                <w14:textFill>
                  <w14:solidFill>
                    <w14:schemeClr w14:val="tx1"/>
                  </w14:solidFill>
                </w14:textFill>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FAC89D7">
            <w:pPr>
              <w:widowControl/>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67F59DB">
            <w:pPr>
              <w:widowControl/>
              <w:jc w:val="center"/>
              <w:rPr>
                <w:rFonts w:hint="eastAsia" w:ascii="宋体" w:hAnsi="宋体" w:eastAsia="宋体" w:cs="宋体"/>
                <w:b/>
                <w:bCs/>
                <w:color w:val="000000" w:themeColor="text1"/>
                <w:sz w:val="18"/>
                <w:szCs w:val="18"/>
                <w:highlight w:val="none"/>
                <w:lang w:eastAsia="zh-CN"/>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计量</w:t>
            </w:r>
          </w:p>
          <w:p w14:paraId="1D20CBFE">
            <w:pPr>
              <w:widowControl/>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ADE7E41">
            <w:pPr>
              <w:widowControl/>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69EC5D4">
            <w:pPr>
              <w:widowControl/>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6660FF6">
            <w:pPr>
              <w:widowControl/>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D2647FF">
            <w:pPr>
              <w:widowControl/>
              <w:jc w:val="center"/>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微型</w:t>
            </w:r>
          </w:p>
        </w:tc>
      </w:tr>
      <w:tr w14:paraId="2413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7DBA1A02">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39658C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D245C9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967845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0462B8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5572AB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236B28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w:t>
            </w:r>
          </w:p>
        </w:tc>
      </w:tr>
      <w:tr w14:paraId="1C4E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9076B8B">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工业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81562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9A31EC2">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5BADFD1">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19F1F70">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EB74441">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E92F836">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4832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257E42A">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43E8ED">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FC03EA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A67FCC0">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3F6509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BD791D1">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F4A2C81">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w:t>
            </w:r>
          </w:p>
        </w:tc>
      </w:tr>
      <w:tr w14:paraId="6892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980B011">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DA38734">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1498E5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5FB996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FCB7A11">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04FB9E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C16E4D5">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w:t>
            </w:r>
          </w:p>
        </w:tc>
      </w:tr>
      <w:tr w14:paraId="30C7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0C2310A">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CF032C5">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D3DB85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7C9D82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3A6D86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2638C0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9DDDEE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Z＜300</w:t>
            </w:r>
          </w:p>
        </w:tc>
      </w:tr>
      <w:tr w14:paraId="047E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2227312">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C26399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F512541">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CEE230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D401E1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506219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822465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X＜5</w:t>
            </w:r>
          </w:p>
        </w:tc>
      </w:tr>
      <w:tr w14:paraId="32BD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D184306">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C6731E7">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AE77DE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29B366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AF126E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984D707">
            <w:pPr>
              <w:widowControl/>
              <w:ind w:left="-1" w:hanging="1"/>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00AB7B2">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w:t>
            </w:r>
          </w:p>
        </w:tc>
      </w:tr>
      <w:tr w14:paraId="2A88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8E72591">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2DCC0A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9AAE64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493D9C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049CFE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F6856C8">
            <w:pPr>
              <w:widowControl/>
              <w:ind w:left="-1" w:hanging="1"/>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3D60FB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1FA0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E31B9F7">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C8AB13D">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BCBB01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B8AA352">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37BCBE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ED8467A">
            <w:pPr>
              <w:widowControl/>
              <w:ind w:left="-1" w:hanging="1"/>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E2E34C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50EF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3250935">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交通运输业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157472C">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F41A6B0">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30D2F66">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EA0439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97B14D5">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65969D2">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6991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3AAE590">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DD24310">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3799A1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4F0102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ED79315">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2338BF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BF7F8A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w:t>
            </w:r>
          </w:p>
        </w:tc>
      </w:tr>
      <w:tr w14:paraId="24AD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E35D6D7">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仓储业※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2D3955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88741E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A80343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39C5E14">
            <w:pPr>
              <w:widowControl/>
              <w:ind w:left="1" w:hanging="108"/>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F9B38D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3153A6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122C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FC4C255">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F3FEECD">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6C37E94">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18E44E5">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E2A5340">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FC6B15C">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7B5C39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12A1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6602DCF">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3D0408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5E5560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B97E4F0">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1D8765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2C76AA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FE54F2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6F50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69AF6A2">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548B27C">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AF1C4F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916E44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9037B34">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975AC4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AE74DB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3C6D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E80E17F">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3B3C771">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A94DF3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2A45780">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A8D4C63">
            <w:pPr>
              <w:widowControl/>
              <w:ind w:left="1" w:hanging="108"/>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D79A3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CBA407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55C0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291DCFD">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8C63540">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402C90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30F29E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90FE794">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88F1CA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1E7F46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6224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261E4DD">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4DCDD5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61D3D5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2B29174">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BD34589">
            <w:pPr>
              <w:widowControl/>
              <w:ind w:left="1" w:hanging="108"/>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B187D5B">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84A3B6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7368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819B7E6">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C778883">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CA59E05">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9C46FA2">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00AFDA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D466C9C">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065A42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36DC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80CCF4F">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信息传输业※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02E2AF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32C7B4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BA2445C">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544CE40">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45E8C66">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0F3EDF2">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5001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4CFD122">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C112285">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D62404C">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E8A296B">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7206D5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86E5D1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004370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4D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8AE3E45">
            <w:pPr>
              <w:widowControl/>
              <w:spacing w:line="240" w:lineRule="exact"/>
              <w:jc w:val="left"/>
              <w:rPr>
                <w:rFonts w:hint="eastAsia" w:ascii="宋体" w:hAnsi="宋体" w:eastAsia="宋体" w:cs="宋体"/>
                <w:color w:val="000000" w:themeColor="text1"/>
                <w:spacing w:val="-12"/>
                <w:sz w:val="18"/>
                <w:szCs w:val="18"/>
                <w:highlight w:val="none"/>
                <w14:textFill>
                  <w14:solidFill>
                    <w14:schemeClr w14:val="tx1"/>
                  </w14:solidFill>
                </w14:textFill>
              </w:rPr>
            </w:pPr>
            <w:r>
              <w:rPr>
                <w:rFonts w:hint="eastAsia" w:ascii="宋体" w:hAnsi="宋体" w:eastAsia="宋体" w:cs="宋体"/>
                <w:color w:val="000000" w:themeColor="text1"/>
                <w:spacing w:val="-12"/>
                <w:sz w:val="18"/>
                <w:szCs w:val="18"/>
                <w:highlight w:val="none"/>
                <w14:textFill>
                  <w14:solidFill>
                    <w14:schemeClr w14:val="tx1"/>
                  </w14:solidFill>
                </w14:textFill>
              </w:rPr>
              <w:t>软件和信息技术服</w:t>
            </w:r>
            <w:r>
              <w:rPr>
                <w:rFonts w:hint="eastAsia" w:ascii="宋体" w:hAnsi="宋体" w:eastAsia="宋体" w:cs="宋体"/>
                <w:color w:val="000000" w:themeColor="text1"/>
                <w:sz w:val="18"/>
                <w:szCs w:val="18"/>
                <w:highlight w:val="none"/>
                <w14:textFill>
                  <w14:solidFill>
                    <w14:schemeClr w14:val="tx1"/>
                  </w14:solidFill>
                </w14:textFill>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163117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4F969C0">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6C5F9E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C919347">
            <w:pPr>
              <w:widowControl/>
              <w:ind w:left="1" w:hanging="108"/>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E5E3235">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7486F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220A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2067D98">
            <w:pPr>
              <w:widowControl/>
              <w:jc w:val="left"/>
              <w:rPr>
                <w:rFonts w:hint="eastAsia" w:ascii="宋体" w:hAnsi="宋体" w:eastAsia="宋体" w:cs="宋体"/>
                <w:color w:val="000000" w:themeColor="text1"/>
                <w:spacing w:val="-12"/>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A52D4A0">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04A17B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7C089F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EEC5BF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CC94812">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7BC832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w:t>
            </w:r>
          </w:p>
        </w:tc>
      </w:tr>
      <w:tr w14:paraId="3194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F970C42">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084630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9C235B4">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2B20FA4">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A1EA8F6">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879329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86887A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4014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E1B02FD">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6B7EC8F">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9ED04A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4508FA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CCA608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DA7BC4C">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97F195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Z＜2000</w:t>
            </w:r>
          </w:p>
        </w:tc>
      </w:tr>
      <w:tr w14:paraId="6523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FAA4A84">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65A54C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4C0544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617114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73098BD">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73B32B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D2B8C3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w:t>
            </w:r>
          </w:p>
        </w:tc>
      </w:tr>
      <w:tr w14:paraId="3BDD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07B26F1">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E57A60C">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2BB113B">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49815A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B0F1557">
            <w:pPr>
              <w:widowControl/>
              <w:ind w:left="1" w:hanging="108"/>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67F7FA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7807B6F">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Y＜500</w:t>
            </w:r>
          </w:p>
        </w:tc>
      </w:tr>
      <w:tr w14:paraId="1AB3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F1F0D97">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8B2DB5A">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982DE0E">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0DED4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1B63AD1">
            <w:pPr>
              <w:widowControl/>
              <w:ind w:left="1" w:hanging="108"/>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1B54B08">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EE3572">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4B2F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0EA7FD4">
            <w:pPr>
              <w:widowControl/>
              <w:jc w:val="left"/>
              <w:rPr>
                <w:rFonts w:hint="eastAsia" w:ascii="宋体" w:hAnsi="宋体" w:eastAsia="宋体" w:cs="宋体"/>
                <w:color w:val="000000" w:themeColor="text1"/>
                <w:sz w:val="18"/>
                <w:szCs w:val="18"/>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7CDEB99">
            <w:pPr>
              <w:widowControl/>
              <w:spacing w:line="240" w:lineRule="exact"/>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81E904">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D3D23B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F3D9D3C">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D90C425">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D4AA4C1">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Z＜100</w:t>
            </w:r>
          </w:p>
        </w:tc>
      </w:tr>
      <w:tr w14:paraId="2EFF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5F1EFAE4">
            <w:pPr>
              <w:widowControl/>
              <w:spacing w:line="240" w:lineRule="exact"/>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其他未列明行业 ※</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6D3A267">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AC48A49">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EC15CA6">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9A2DF3B">
            <w:pPr>
              <w:widowControl/>
              <w:ind w:left="1" w:hanging="108"/>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5124D33">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5D4190C">
            <w:pPr>
              <w:widowControl/>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bl>
    <w:p w14:paraId="74D1E9A5">
      <w:pPr>
        <w:widowControl/>
        <w:spacing w:line="540" w:lineRule="exact"/>
        <w:rPr>
          <w:rFonts w:hint="eastAsia" w:ascii="宋体" w:hAnsi="宋体" w:eastAsia="宋体" w:cs="宋体"/>
          <w:color w:val="000000" w:themeColor="text1"/>
          <w:spacing w:val="8"/>
          <w:sz w:val="24"/>
          <w:highlight w:val="none"/>
          <w14:textFill>
            <w14:solidFill>
              <w14:schemeClr w14:val="tx1"/>
            </w14:solidFill>
          </w14:textFill>
        </w:rPr>
      </w:pPr>
    </w:p>
    <w:p w14:paraId="532494C4">
      <w:pPr>
        <w:widowControl/>
        <w:spacing w:line="540" w:lineRule="exact"/>
        <w:rPr>
          <w:rFonts w:hint="eastAsia" w:ascii="宋体" w:hAnsi="宋体" w:eastAsia="宋体" w:cs="宋体"/>
          <w:color w:val="000000" w:themeColor="text1"/>
          <w:spacing w:val="8"/>
          <w:sz w:val="24"/>
          <w:highlight w:val="none"/>
          <w14:textFill>
            <w14:solidFill>
              <w14:schemeClr w14:val="tx1"/>
            </w14:solidFill>
          </w14:textFill>
        </w:rPr>
      </w:pPr>
      <w:r>
        <w:rPr>
          <w:rFonts w:hint="eastAsia" w:ascii="宋体" w:hAnsi="宋体" w:eastAsia="宋体" w:cs="宋体"/>
          <w:color w:val="000000" w:themeColor="text1"/>
          <w:spacing w:val="8"/>
          <w:sz w:val="24"/>
          <w:highlight w:val="none"/>
          <w14:textFill>
            <w14:solidFill>
              <w14:schemeClr w14:val="tx1"/>
            </w14:solidFill>
          </w14:textFill>
        </w:rPr>
        <w:t>说明：</w:t>
      </w:r>
    </w:p>
    <w:p w14:paraId="1C6000BA">
      <w:pPr>
        <w:pStyle w:val="216"/>
        <w:spacing w:line="380" w:lineRule="exact"/>
        <w:ind w:firstLine="512"/>
        <w:contextualSpacing/>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1.大型、中型和小型企业须同时满足所列指标的下限，否则下划一档；微型企业只须满足所列指标中的一项即可。</w:t>
      </w:r>
    </w:p>
    <w:p w14:paraId="6F18D62C">
      <w:pPr>
        <w:pStyle w:val="216"/>
        <w:spacing w:line="380" w:lineRule="exact"/>
        <w:ind w:firstLine="512"/>
        <w:contextualSpacing/>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2.附表中各行业的范围以《国民经济行业分类》（GB/T</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4754-2017）为准。带</w:t>
      </w:r>
      <w:r>
        <w:rPr>
          <w:rFonts w:hint="eastAsia" w:ascii="宋体" w:hAnsi="宋体" w:eastAsia="宋体" w:cs="宋体"/>
          <w:color w:val="000000" w:themeColor="text1"/>
          <w:sz w:val="18"/>
          <w:szCs w:val="18"/>
          <w:highlight w:val="none"/>
          <w14:textFill>
            <w14:solidFill>
              <w14:schemeClr w14:val="tx1"/>
            </w14:solidFill>
          </w14:textFill>
        </w:rPr>
        <w:t>※</w:t>
      </w:r>
      <w:r>
        <w:rPr>
          <w:rFonts w:hint="eastAsia" w:ascii="宋体" w:hAnsi="宋体" w:eastAsia="宋体" w:cs="宋体"/>
          <w:color w:val="000000" w:themeColor="text1"/>
          <w:spacing w:val="8"/>
          <w:sz w:val="24"/>
          <w:szCs w:val="24"/>
          <w:highlight w:val="none"/>
          <w14:textFill>
            <w14:solidFill>
              <w14:schemeClr w14:val="tx1"/>
            </w14:solidFill>
          </w14:textFill>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9502DB4">
      <w:pPr>
        <w:pStyle w:val="216"/>
        <w:spacing w:line="380" w:lineRule="exact"/>
        <w:ind w:firstLine="512"/>
        <w:contextualSpacing/>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3FF389A">
      <w:pPr>
        <w:jc w:val="center"/>
        <w:outlineLvl w:val="0"/>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br w:type="page" w:clear="all"/>
      </w:r>
      <w:bookmarkStart w:id="215" w:name="_Toc30385"/>
      <w:bookmarkStart w:id="216" w:name="_Toc30753"/>
      <w:bookmarkStart w:id="217" w:name="_Toc14595"/>
      <w:r>
        <w:rPr>
          <w:rFonts w:hint="eastAsia" w:ascii="宋体" w:hAnsi="宋体" w:eastAsia="宋体" w:cs="宋体"/>
          <w:b/>
          <w:bCs/>
          <w:color w:val="000000" w:themeColor="text1"/>
          <w:sz w:val="32"/>
          <w:szCs w:val="32"/>
          <w:highlight w:val="none"/>
          <w14:textFill>
            <w14:solidFill>
              <w14:schemeClr w14:val="tx1"/>
            </w14:solidFill>
          </w14:textFill>
        </w:rPr>
        <w:t>第五章  采购合同（合同主要条款及格式）</w:t>
      </w:r>
      <w:bookmarkEnd w:id="215"/>
      <w:bookmarkEnd w:id="216"/>
      <w:bookmarkEnd w:id="217"/>
    </w:p>
    <w:p w14:paraId="7223D7B1">
      <w:pPr>
        <w:keepLines w:val="0"/>
        <w:pageBreakBefore w:val="0"/>
        <w:widowControl w:val="0"/>
        <w:bidi w:val="0"/>
        <w:spacing w:line="36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r>
        <w:rPr>
          <w:rFonts w:hint="eastAsia" w:ascii="宋体" w:hAnsi="宋体" w:eastAsia="宋体" w:cs="宋体"/>
          <w:color w:val="000000" w:themeColor="text1"/>
          <w:highlight w:val="none"/>
          <w:lang w:val="en-US" w:eastAsia="zh-CN"/>
          <w14:textFill>
            <w14:solidFill>
              <w14:schemeClr w14:val="tx1"/>
            </w14:solidFill>
          </w14:textFill>
        </w:rPr>
        <w:t xml:space="preserve">中国共产党桂林市委员会党校物业服务采购  </w:t>
      </w:r>
      <w:r>
        <w:rPr>
          <w:rFonts w:hint="eastAsia" w:ascii="宋体" w:hAnsi="宋体" w:eastAsia="宋体" w:cs="宋体"/>
          <w:color w:val="000000" w:themeColor="text1"/>
          <w:highlight w:val="none"/>
          <w14:textFill>
            <w14:solidFill>
              <w14:schemeClr w14:val="tx1"/>
            </w14:solidFill>
          </w14:textFill>
        </w:rPr>
        <w:t xml:space="preserve">   </w:t>
      </w:r>
    </w:p>
    <w:p w14:paraId="3C41B26D">
      <w:pPr>
        <w:keepLines w:val="0"/>
        <w:pageBreakBefore w:val="0"/>
        <w:widowControl w:val="0"/>
        <w:bidi w:val="0"/>
        <w:spacing w:line="36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项目编号：</w:t>
      </w:r>
      <w:r>
        <w:rPr>
          <w:rFonts w:hint="eastAsia" w:ascii="宋体" w:hAnsi="宋体" w:eastAsia="宋体" w:cs="宋体"/>
          <w:color w:val="000000" w:themeColor="text1"/>
          <w:highlight w:val="none"/>
          <w:lang w:eastAsia="zh-CN"/>
          <w14:textFill>
            <w14:solidFill>
              <w14:schemeClr w14:val="tx1"/>
            </w14:solidFill>
          </w14:textFill>
        </w:rPr>
        <w:t xml:space="preserve"> GLZC2026-G3-990258-GLSZ</w:t>
      </w:r>
    </w:p>
    <w:p w14:paraId="1D9C4B0A">
      <w:pPr>
        <w:keepLines w:val="0"/>
        <w:pageBreakBefore w:val="0"/>
        <w:widowControl w:val="0"/>
        <w:bidi w:val="0"/>
        <w:spacing w:line="360" w:lineRule="exact"/>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甲方：</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（采购人）</w:t>
      </w:r>
    </w:p>
    <w:p w14:paraId="6C532081">
      <w:pPr>
        <w:keepLines w:val="0"/>
        <w:pageBreakBefore w:val="0"/>
        <w:widowControl w:val="0"/>
        <w:bidi w:val="0"/>
        <w:spacing w:line="36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乙方：</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中标人</w:t>
      </w:r>
      <w:r>
        <w:rPr>
          <w:rFonts w:hint="eastAsia" w:ascii="宋体" w:hAnsi="宋体" w:eastAsia="宋体" w:cs="宋体"/>
          <w:color w:val="000000" w:themeColor="text1"/>
          <w:highlight w:val="none"/>
          <w14:textFill>
            <w14:solidFill>
              <w14:schemeClr w14:val="tx1"/>
            </w14:solidFill>
          </w14:textFill>
        </w:rPr>
        <w:t>）</w:t>
      </w:r>
    </w:p>
    <w:p w14:paraId="01828CF0">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根据《中华人民共和国政府采购法》《中华人民共和国政府采购法实施条例》</w:t>
      </w:r>
      <w:r>
        <w:rPr>
          <w:rFonts w:hint="eastAsia" w:ascii="宋体" w:hAnsi="宋体" w:eastAsia="宋体" w:cs="宋体"/>
          <w:color w:val="000000" w:themeColor="text1"/>
          <w:sz w:val="21"/>
          <w:szCs w:val="21"/>
          <w:highlight w:val="none"/>
          <w:lang w:val="en-US" w:eastAsia="zh-CN"/>
          <w14:textFill>
            <w14:solidFill>
              <w14:schemeClr w14:val="tx1"/>
            </w14:solidFill>
          </w14:textFill>
        </w:rPr>
        <w:t>《中华人民共和国民法典》</w:t>
      </w:r>
      <w:r>
        <w:rPr>
          <w:rFonts w:hint="eastAsia" w:ascii="宋体" w:hAnsi="宋体" w:eastAsia="宋体" w:cs="宋体"/>
          <w:color w:val="000000" w:themeColor="text1"/>
          <w:sz w:val="21"/>
          <w:szCs w:val="21"/>
          <w:highlight w:val="none"/>
          <w14:textFill>
            <w14:solidFill>
              <w14:schemeClr w14:val="tx1"/>
            </w14:solidFill>
          </w14:textFill>
        </w:rPr>
        <w:t>等法律、法规规定，按照招、投标文件规定条款和</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承诺、甲乙双方签订本采购合同。</w:t>
      </w:r>
    </w:p>
    <w:p w14:paraId="37F387EF">
      <w:pPr>
        <w:keepNext w:val="0"/>
        <w:keepLines w:val="0"/>
        <w:pageBreakBefore w:val="0"/>
        <w:widowControl w:val="0"/>
        <w:numPr>
          <w:ilvl w:val="0"/>
          <w:numId w:val="11"/>
        </w:numPr>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18" w:name="_Toc8779"/>
      <w:bookmarkStart w:id="219" w:name="_Toc6252"/>
      <w:bookmarkStart w:id="220" w:name="_Toc7497"/>
      <w:bookmarkStart w:id="221" w:name="_Toc16758"/>
      <w:bookmarkStart w:id="222" w:name="_Toc25378"/>
      <w:bookmarkStart w:id="223" w:name="_Toc6636"/>
      <w:r>
        <w:rPr>
          <w:rFonts w:hint="eastAsia" w:ascii="宋体" w:hAnsi="宋体" w:eastAsia="宋体" w:cs="宋体"/>
          <w:b/>
          <w:color w:val="000000" w:themeColor="text1"/>
          <w:sz w:val="21"/>
          <w:szCs w:val="21"/>
          <w:highlight w:val="none"/>
          <w14:textFill>
            <w14:solidFill>
              <w14:schemeClr w14:val="tx1"/>
            </w14:solidFill>
          </w14:textFill>
        </w:rPr>
        <w:t>合同标的及合同金额</w:t>
      </w:r>
      <w:bookmarkEnd w:id="218"/>
      <w:bookmarkEnd w:id="219"/>
      <w:bookmarkEnd w:id="220"/>
      <w:bookmarkEnd w:id="221"/>
      <w:bookmarkEnd w:id="222"/>
      <w:bookmarkEnd w:id="223"/>
    </w:p>
    <w:p w14:paraId="76CA61C1">
      <w:pPr>
        <w:keepNext w:val="0"/>
        <w:keepLines w:val="0"/>
        <w:pageBreakBefore w:val="0"/>
        <w:widowControl w:val="0"/>
        <w:bidi w:val="0"/>
        <w:spacing w:line="360" w:lineRule="exact"/>
        <w:ind w:firstLine="41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根据《中标通知书》的中标内容，合同的总金额为：</w:t>
      </w:r>
      <w:r>
        <w:rPr>
          <w:rFonts w:hint="eastAsia" w:ascii="宋体" w:hAnsi="宋体" w:eastAsia="宋体" w:cs="宋体"/>
          <w:color w:val="000000" w:themeColor="text1"/>
          <w:sz w:val="21"/>
          <w:szCs w:val="21"/>
          <w:highlight w:val="none"/>
          <w:u w:val="single"/>
          <w14:textFill>
            <w14:solidFill>
              <w14:schemeClr w14:val="tx1"/>
            </w14:solidFill>
          </w14:textFill>
        </w:rPr>
        <w:t>人民币    （大写）    元</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（小写）     </w:t>
      </w:r>
      <w:r>
        <w:rPr>
          <w:rFonts w:hint="eastAsia" w:ascii="宋体" w:hAnsi="宋体" w:eastAsia="宋体" w:cs="宋体"/>
          <w:color w:val="000000" w:themeColor="text1"/>
          <w:sz w:val="21"/>
          <w:szCs w:val="21"/>
          <w:highlight w:val="none"/>
          <w14:textFill>
            <w14:solidFill>
              <w14:schemeClr w14:val="tx1"/>
            </w14:solidFill>
          </w14:textFill>
        </w:rPr>
        <w:t>）</w:t>
      </w:r>
    </w:p>
    <w:p w14:paraId="0900F051">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24" w:name="_Toc21444"/>
      <w:bookmarkStart w:id="225" w:name="_Toc27194"/>
      <w:bookmarkStart w:id="226" w:name="_Toc10163"/>
      <w:bookmarkStart w:id="227" w:name="_Toc5581"/>
      <w:bookmarkStart w:id="228" w:name="_Toc25509"/>
      <w:r>
        <w:rPr>
          <w:rFonts w:hint="eastAsia" w:ascii="宋体" w:hAnsi="宋体" w:eastAsia="宋体" w:cs="宋体"/>
          <w:b/>
          <w:color w:val="000000" w:themeColor="text1"/>
          <w:sz w:val="21"/>
          <w:szCs w:val="21"/>
          <w:highlight w:val="none"/>
          <w14:textFill>
            <w14:solidFill>
              <w14:schemeClr w14:val="tx1"/>
            </w14:solidFill>
          </w14:textFill>
        </w:rPr>
        <w:t>第二条  服务保证</w:t>
      </w:r>
      <w:bookmarkEnd w:id="224"/>
      <w:bookmarkEnd w:id="225"/>
      <w:bookmarkEnd w:id="226"/>
      <w:bookmarkEnd w:id="227"/>
      <w:bookmarkEnd w:id="228"/>
    </w:p>
    <w:p w14:paraId="1475DEB5">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中标人应按招标文件、投标文件和承诺规定的服务内容向采购人提供相应服务。</w:t>
      </w:r>
    </w:p>
    <w:p w14:paraId="6B5BBD5C">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29" w:name="_Toc15633"/>
      <w:bookmarkStart w:id="230" w:name="_Toc4692"/>
      <w:bookmarkStart w:id="231" w:name="_Toc21062"/>
      <w:bookmarkStart w:id="232" w:name="_Toc23736"/>
      <w:bookmarkStart w:id="233" w:name="_Toc3158"/>
      <w:r>
        <w:rPr>
          <w:rFonts w:hint="eastAsia" w:ascii="宋体" w:hAnsi="宋体" w:eastAsia="宋体" w:cs="宋体"/>
          <w:b/>
          <w:color w:val="000000" w:themeColor="text1"/>
          <w:sz w:val="21"/>
          <w:szCs w:val="21"/>
          <w:highlight w:val="none"/>
          <w14:textFill>
            <w14:solidFill>
              <w14:schemeClr w14:val="tx1"/>
            </w14:solidFill>
          </w14:textFill>
        </w:rPr>
        <w:t>第三条  服务期限</w:t>
      </w:r>
      <w:bookmarkEnd w:id="229"/>
      <w:bookmarkEnd w:id="230"/>
      <w:bookmarkEnd w:id="231"/>
      <w:bookmarkEnd w:id="232"/>
      <w:bookmarkEnd w:id="233"/>
    </w:p>
    <w:p w14:paraId="6BC30041">
      <w:pPr>
        <w:spacing w:line="360" w:lineRule="auto"/>
        <w:ind w:firstLine="411"/>
        <w:rPr>
          <w:rFonts w:hint="eastAsia" w:ascii="宋体" w:hAnsi="宋体" w:eastAsia="宋体" w:cs="宋体"/>
          <w:color w:val="000000" w:themeColor="text1"/>
          <w:sz w:val="21"/>
          <w:szCs w:val="21"/>
          <w:highlight w:val="none"/>
          <w:u w:val="single"/>
          <w:lang w:val="en-U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服务期限</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p>
    <w:p w14:paraId="72706994">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34" w:name="_Toc637"/>
      <w:bookmarkStart w:id="235" w:name="_Toc6659"/>
      <w:bookmarkStart w:id="236" w:name="_Toc29589"/>
      <w:bookmarkStart w:id="237" w:name="_Toc30222"/>
      <w:bookmarkStart w:id="238" w:name="_Toc14959"/>
      <w:bookmarkStart w:id="239" w:name="_Toc5212"/>
      <w:r>
        <w:rPr>
          <w:rFonts w:hint="eastAsia" w:ascii="宋体" w:hAnsi="宋体" w:eastAsia="宋体" w:cs="宋体"/>
          <w:b/>
          <w:color w:val="000000" w:themeColor="text1"/>
          <w:sz w:val="21"/>
          <w:szCs w:val="21"/>
          <w:highlight w:val="none"/>
          <w14:textFill>
            <w14:solidFill>
              <w14:schemeClr w14:val="tx1"/>
            </w14:solidFill>
          </w14:textFill>
        </w:rPr>
        <w:t>第四条  交付</w:t>
      </w:r>
      <w:bookmarkEnd w:id="234"/>
      <w:bookmarkEnd w:id="235"/>
      <w:bookmarkEnd w:id="236"/>
      <w:bookmarkEnd w:id="237"/>
      <w:bookmarkEnd w:id="238"/>
      <w:bookmarkEnd w:id="239"/>
    </w:p>
    <w:p w14:paraId="246B700C">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1.服务开始时间：合同</w:t>
      </w:r>
      <w:r>
        <w:rPr>
          <w:rFonts w:hint="eastAsia" w:ascii="宋体" w:hAnsi="宋体" w:eastAsia="宋体" w:cs="宋体"/>
          <w:color w:val="000000" w:themeColor="text1"/>
          <w:sz w:val="21"/>
          <w:szCs w:val="21"/>
          <w:highlight w:val="none"/>
          <w:lang w:eastAsia="zh-CN"/>
          <w14:textFill>
            <w14:solidFill>
              <w14:schemeClr w14:val="tx1"/>
            </w14:solidFill>
          </w14:textFill>
        </w:rPr>
        <w:t>约定的服务</w:t>
      </w:r>
      <w:r>
        <w:rPr>
          <w:rFonts w:hint="eastAsia" w:ascii="宋体" w:hAnsi="宋体" w:eastAsia="宋体" w:cs="宋体"/>
          <w:color w:val="000000" w:themeColor="text1"/>
          <w:sz w:val="21"/>
          <w:szCs w:val="21"/>
          <w:highlight w:val="none"/>
          <w14:textFill>
            <w14:solidFill>
              <w14:schemeClr w14:val="tx1"/>
            </w14:solidFill>
          </w14:textFill>
        </w:rPr>
        <w:t>之日起；服务地点：采购人指定地点。</w:t>
      </w:r>
    </w:p>
    <w:p w14:paraId="3465ED32">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2.乙方提供不符合招投标文件和本合同规定的服务，甲方有权拒绝接受。</w:t>
      </w:r>
    </w:p>
    <w:p w14:paraId="56CB97B6">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40" w:name="_Toc14077"/>
      <w:bookmarkStart w:id="241" w:name="_Toc30204"/>
      <w:bookmarkStart w:id="242" w:name="_Toc30545"/>
      <w:bookmarkStart w:id="243" w:name="_Toc26776"/>
      <w:bookmarkStart w:id="244" w:name="_Toc9756"/>
      <w:bookmarkStart w:id="245" w:name="_Toc4426"/>
      <w:r>
        <w:rPr>
          <w:rFonts w:hint="eastAsia" w:ascii="宋体" w:hAnsi="宋体" w:eastAsia="宋体" w:cs="宋体"/>
          <w:b/>
          <w:color w:val="000000" w:themeColor="text1"/>
          <w:sz w:val="21"/>
          <w:szCs w:val="21"/>
          <w:highlight w:val="none"/>
          <w14:textFill>
            <w14:solidFill>
              <w14:schemeClr w14:val="tx1"/>
            </w14:solidFill>
          </w14:textFill>
        </w:rPr>
        <w:t>第五条  税费</w:t>
      </w:r>
      <w:bookmarkEnd w:id="240"/>
      <w:bookmarkEnd w:id="241"/>
      <w:bookmarkEnd w:id="242"/>
      <w:bookmarkEnd w:id="243"/>
      <w:bookmarkEnd w:id="244"/>
      <w:bookmarkEnd w:id="245"/>
    </w:p>
    <w:p w14:paraId="2ABB2685">
      <w:pPr>
        <w:keepNext w:val="0"/>
        <w:keepLines w:val="0"/>
        <w:pageBreakBefore w:val="0"/>
        <w:widowControl w:val="0"/>
        <w:bidi w:val="0"/>
        <w:spacing w:line="360" w:lineRule="exact"/>
        <w:ind w:firstLine="41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本合同执行中相关的一切税费均由乙方负担。</w:t>
      </w:r>
    </w:p>
    <w:p w14:paraId="7049EEE4">
      <w:pPr>
        <w:keepNext w:val="0"/>
        <w:keepLines w:val="0"/>
        <w:pageBreakBefore w:val="0"/>
        <w:bidi w:val="0"/>
        <w:spacing w:line="400" w:lineRule="exact"/>
        <w:ind w:firstLine="422"/>
        <w:rPr>
          <w:rFonts w:hint="eastAsia" w:ascii="宋体" w:hAnsi="宋体" w:eastAsia="宋体" w:cs="宋体"/>
          <w:b/>
          <w:color w:val="000000" w:themeColor="text1"/>
          <w:sz w:val="21"/>
          <w:szCs w:val="21"/>
          <w:highlight w:val="none"/>
          <w14:textFill>
            <w14:solidFill>
              <w14:schemeClr w14:val="tx1"/>
            </w14:solidFill>
          </w14:textFill>
        </w:rPr>
      </w:pPr>
      <w:bookmarkStart w:id="246" w:name="_Toc5332"/>
      <w:bookmarkStart w:id="247" w:name="_Toc25212"/>
      <w:bookmarkStart w:id="248" w:name="_Toc7785"/>
      <w:bookmarkStart w:id="249" w:name="_Toc30852"/>
      <w:bookmarkStart w:id="250" w:name="_Toc3777"/>
      <w:r>
        <w:rPr>
          <w:rFonts w:hint="eastAsia" w:ascii="宋体" w:hAnsi="宋体" w:eastAsia="宋体" w:cs="宋体"/>
          <w:b/>
          <w:color w:val="000000" w:themeColor="text1"/>
          <w:sz w:val="21"/>
          <w:szCs w:val="21"/>
          <w:highlight w:val="none"/>
          <w14:textFill>
            <w14:solidFill>
              <w14:schemeClr w14:val="tx1"/>
            </w14:solidFill>
          </w14:textFill>
        </w:rPr>
        <w:t>第六条  付款方式</w:t>
      </w:r>
      <w:bookmarkEnd w:id="246"/>
      <w:bookmarkEnd w:id="247"/>
      <w:bookmarkEnd w:id="248"/>
      <w:bookmarkEnd w:id="249"/>
      <w:bookmarkEnd w:id="250"/>
    </w:p>
    <w:p w14:paraId="019A7BD7">
      <w:pPr>
        <w:keepNext w:val="0"/>
        <w:keepLines w:val="0"/>
        <w:pageBreakBefore w:val="0"/>
        <w:numPr>
          <w:ilvl w:val="0"/>
          <w:numId w:val="0"/>
        </w:numPr>
        <w:kinsoku/>
        <w:wordWrap/>
        <w:overflowPunct/>
        <w:topLinePunct w:val="0"/>
        <w:bidi w:val="0"/>
        <w:adjustRightInd w:val="0"/>
        <w:snapToGrid w:val="0"/>
        <w:spacing w:line="400" w:lineRule="exact"/>
        <w:ind w:firstLine="420" w:firstLineChars="200"/>
        <w:textAlignment w:val="auto"/>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bookmarkStart w:id="251" w:name="_Toc9369"/>
      <w:bookmarkStart w:id="252" w:name="_Toc20654"/>
      <w:bookmarkStart w:id="253" w:name="_Toc16945"/>
      <w:bookmarkStart w:id="254" w:name="_Toc23778"/>
      <w:bookmarkStart w:id="255" w:name="_Toc26898"/>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按月支付，即每月支付合同款的1/</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24</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本项目无预付款，由中标人在月末向中国共产党桂林市委员会党校书面申请支付当月的服务管理费（如签订合同当月服务不到一个月的按照日平均费用×服务天数计算），经考评合格，双方认可后，党校及时付款。中标人开具合法发票给中国共产党桂林市委员会党校,60日内付款。特殊情况除外。</w:t>
      </w:r>
    </w:p>
    <w:p w14:paraId="5C162F32">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56" w:name="_Toc8293"/>
      <w:r>
        <w:rPr>
          <w:rFonts w:hint="eastAsia" w:ascii="宋体" w:hAnsi="宋体" w:eastAsia="宋体" w:cs="宋体"/>
          <w:b/>
          <w:color w:val="000000" w:themeColor="text1"/>
          <w:sz w:val="21"/>
          <w:szCs w:val="21"/>
          <w:highlight w:val="none"/>
          <w14:textFill>
            <w14:solidFill>
              <w14:schemeClr w14:val="tx1"/>
            </w14:solidFill>
          </w14:textFill>
        </w:rPr>
        <w:t>第七条  违约责任</w:t>
      </w:r>
      <w:bookmarkEnd w:id="251"/>
      <w:bookmarkEnd w:id="252"/>
      <w:bookmarkEnd w:id="253"/>
      <w:bookmarkEnd w:id="254"/>
      <w:bookmarkEnd w:id="255"/>
      <w:bookmarkEnd w:id="256"/>
    </w:p>
    <w:p w14:paraId="12F0DD25">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乙方所提供的服务质量不合格的，应及时更换，更换不及时的按逾期处罚，乙方应向甲方支付合同金额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违约金并赔偿甲方经济损失。</w:t>
      </w:r>
    </w:p>
    <w:p w14:paraId="637C84F7">
      <w:pPr>
        <w:keepNext w:val="0"/>
        <w:keepLines w:val="0"/>
        <w:pageBreakBefore w:val="0"/>
        <w:widowControl w:val="0"/>
        <w:bidi w:val="0"/>
        <w:spacing w:line="360" w:lineRule="exact"/>
        <w:ind w:firstLine="41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 乙方提供的服务如果侵犯了第三方合法权益而引发的任何纠纷或诉讼，均由乙方负责交涉并承担全部责任。</w:t>
      </w:r>
    </w:p>
    <w:p w14:paraId="0B9880E5">
      <w:pPr>
        <w:keepNext w:val="0"/>
        <w:keepLines w:val="0"/>
        <w:pageBreakBefore w:val="0"/>
        <w:widowControl w:val="0"/>
        <w:bidi w:val="0"/>
        <w:spacing w:line="360" w:lineRule="exact"/>
        <w:ind w:firstLine="41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 </w:t>
      </w:r>
      <w:r>
        <w:rPr>
          <w:rFonts w:hint="eastAsia" w:ascii="宋体" w:hAnsi="宋体" w:eastAsia="宋体" w:cs="宋体"/>
          <w:color w:val="000000" w:themeColor="text1"/>
          <w:sz w:val="21"/>
          <w:szCs w:val="21"/>
          <w:highlight w:val="none"/>
          <w:lang w:val="en-US" w:eastAsia="zh-CN"/>
          <w14:textFill>
            <w14:solidFill>
              <w14:schemeClr w14:val="tx1"/>
            </w14:solidFill>
          </w14:textFill>
        </w:rPr>
        <w:t>乙</w:t>
      </w:r>
      <w:r>
        <w:rPr>
          <w:rFonts w:hint="eastAsia" w:ascii="宋体" w:hAnsi="宋体" w:eastAsia="宋体" w:cs="宋体"/>
          <w:color w:val="000000" w:themeColor="text1"/>
          <w:sz w:val="21"/>
          <w:szCs w:val="21"/>
          <w:highlight w:val="none"/>
          <w14:textFill>
            <w14:solidFill>
              <w14:schemeClr w14:val="tx1"/>
            </w14:solidFill>
          </w14:textFill>
        </w:rPr>
        <w:t>方无故延期服务交付的，每天向</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eastAsia" w:ascii="宋体" w:hAnsi="宋体" w:eastAsia="宋体" w:cs="宋体"/>
          <w:color w:val="000000" w:themeColor="text1"/>
          <w:sz w:val="21"/>
          <w:szCs w:val="21"/>
          <w:highlight w:val="none"/>
          <w14:textFill>
            <w14:solidFill>
              <w14:schemeClr w14:val="tx1"/>
            </w14:solidFill>
          </w14:textFill>
        </w:rPr>
        <w:t>方偿付违约合同金额</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违约金，但违约金累计不得超过合同金额</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，超过</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天</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eastAsia" w:ascii="宋体" w:hAnsi="宋体" w:eastAsia="宋体" w:cs="宋体"/>
          <w:color w:val="000000" w:themeColor="text1"/>
          <w:sz w:val="21"/>
          <w:szCs w:val="21"/>
          <w:highlight w:val="none"/>
          <w14:textFill>
            <w14:solidFill>
              <w14:schemeClr w14:val="tx1"/>
            </w14:solidFill>
          </w14:textFill>
        </w:rPr>
        <w:t>方有权解除合同，违约方承担因此给对方造成经济损失；甲方不能按期付款的，每天向乙方偿付延合同金额</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滞纳金，但滞纳金累计不得超过合同金额</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14:paraId="30749B6E">
      <w:pPr>
        <w:keepNext w:val="0"/>
        <w:keepLines w:val="0"/>
        <w:pageBreakBefore w:val="0"/>
        <w:widowControl w:val="0"/>
        <w:bidi w:val="0"/>
        <w:spacing w:line="360" w:lineRule="exact"/>
        <w:ind w:firstLine="41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 乙方未按本合同和投标文件中规定的服务承诺提供服务的，乙方应按本合同金额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向甲方支付违约金。</w:t>
      </w:r>
    </w:p>
    <w:p w14:paraId="6AC005D3">
      <w:pPr>
        <w:keepNext w:val="0"/>
        <w:keepLines w:val="0"/>
        <w:pageBreakBefore w:val="0"/>
        <w:widowControl w:val="0"/>
        <w:bidi w:val="0"/>
        <w:spacing w:line="360" w:lineRule="exact"/>
        <w:ind w:firstLine="41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 其他违约行为按照合同金额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收取违约金并赔偿经济损失。</w:t>
      </w:r>
    </w:p>
    <w:p w14:paraId="24DEA672">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57" w:name="_Toc26465"/>
      <w:bookmarkStart w:id="258" w:name="_Toc10840"/>
      <w:bookmarkStart w:id="259" w:name="_Toc3172"/>
      <w:bookmarkStart w:id="260" w:name="_Toc21774"/>
      <w:bookmarkStart w:id="261" w:name="_Toc20057"/>
      <w:bookmarkStart w:id="262" w:name="_Toc24912"/>
      <w:r>
        <w:rPr>
          <w:rFonts w:hint="eastAsia" w:ascii="宋体" w:hAnsi="宋体" w:eastAsia="宋体" w:cs="宋体"/>
          <w:b/>
          <w:color w:val="000000" w:themeColor="text1"/>
          <w:sz w:val="21"/>
          <w:szCs w:val="21"/>
          <w:highlight w:val="none"/>
          <w14:textFill>
            <w14:solidFill>
              <w14:schemeClr w14:val="tx1"/>
            </w14:solidFill>
          </w14:textFill>
        </w:rPr>
        <w:t>第八条  不可抗力事件处理</w:t>
      </w:r>
      <w:bookmarkEnd w:id="257"/>
      <w:bookmarkEnd w:id="258"/>
      <w:bookmarkEnd w:id="259"/>
      <w:bookmarkEnd w:id="260"/>
      <w:bookmarkEnd w:id="261"/>
      <w:bookmarkEnd w:id="262"/>
    </w:p>
    <w:p w14:paraId="7483534E">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1.在合同有效期内，乙方因不可抗力事件导致不能履行合同，则合同履行期可延长，其延长期与不可抗力影响期相同。</w:t>
      </w:r>
    </w:p>
    <w:p w14:paraId="245A415E">
      <w:pPr>
        <w:keepNext w:val="0"/>
        <w:keepLines w:val="0"/>
        <w:pageBreakBefore w:val="0"/>
        <w:widowControl w:val="0"/>
        <w:bidi w:val="0"/>
        <w:spacing w:line="360" w:lineRule="exact"/>
        <w:ind w:left="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2.不可抗力事件发生后，应立即通知对方，并寄送有关权威机构出具的证明。</w:t>
      </w:r>
    </w:p>
    <w:p w14:paraId="44C9E755">
      <w:pPr>
        <w:keepNext w:val="0"/>
        <w:keepLines w:val="0"/>
        <w:pageBreakBefore w:val="0"/>
        <w:widowControl w:val="0"/>
        <w:bidi w:val="0"/>
        <w:spacing w:line="360" w:lineRule="exact"/>
        <w:ind w:left="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3.不可抗力事件延续一百二十天以上，双方应通过友好协商，确定是否继续履行合同。</w:t>
      </w:r>
    </w:p>
    <w:p w14:paraId="16D089F1">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63" w:name="_Toc16239"/>
      <w:r>
        <w:rPr>
          <w:rFonts w:hint="eastAsia" w:ascii="宋体" w:hAnsi="宋体" w:eastAsia="宋体" w:cs="宋体"/>
          <w:b/>
          <w:color w:val="000000" w:themeColor="text1"/>
          <w:sz w:val="21"/>
          <w:szCs w:val="21"/>
          <w:highlight w:val="none"/>
          <w14:textFill>
            <w14:solidFill>
              <w14:schemeClr w14:val="tx1"/>
            </w14:solidFill>
          </w14:textFill>
        </w:rPr>
        <w:t>第九条  合同争议解决</w:t>
      </w:r>
      <w:bookmarkEnd w:id="263"/>
    </w:p>
    <w:p w14:paraId="7EAB0DAA">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1、因服务问题发生争议的，应邀请国家认可的相关机构进行鉴定。服务符合要求的，鉴定费由采购人承担；服务不符合要求的，鉴定费由中标人承担。</w:t>
      </w:r>
    </w:p>
    <w:p w14:paraId="21CBE557">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2、因履行本合同引起的或与本合同有关的争议，甲乙双方应首先通过友好协商解决，如果协商不能解决，可向</w:t>
      </w:r>
      <w:r>
        <w:rPr>
          <w:rFonts w:hint="eastAsia" w:ascii="宋体" w:hAnsi="宋体" w:eastAsia="宋体" w:cs="宋体"/>
          <w:color w:val="000000" w:themeColor="text1"/>
          <w:szCs w:val="21"/>
          <w:highlight w:val="none"/>
          <w:lang w:val="en-US" w:eastAsia="zh-CN"/>
          <w14:textFill>
            <w14:solidFill>
              <w14:schemeClr w14:val="tx1"/>
            </w14:solidFill>
          </w14:textFill>
        </w:rPr>
        <w:t>甲方所在地有管辖权的</w:t>
      </w:r>
      <w:r>
        <w:rPr>
          <w:rFonts w:hint="eastAsia" w:ascii="宋体" w:hAnsi="宋体" w:eastAsia="宋体" w:cs="宋体"/>
          <w:color w:val="000000" w:themeColor="text1"/>
          <w:szCs w:val="21"/>
          <w:highlight w:val="none"/>
          <w14:textFill>
            <w14:solidFill>
              <w14:schemeClr w14:val="tx1"/>
            </w14:solidFill>
          </w14:textFill>
        </w:rPr>
        <w:t>人民法院</w:t>
      </w:r>
      <w:r>
        <w:rPr>
          <w:rFonts w:hint="eastAsia" w:ascii="宋体" w:hAnsi="宋体" w:eastAsia="宋体" w:cs="宋体"/>
          <w:color w:val="000000" w:themeColor="text1"/>
          <w:sz w:val="21"/>
          <w:szCs w:val="21"/>
          <w:highlight w:val="none"/>
          <w14:textFill>
            <w14:solidFill>
              <w14:schemeClr w14:val="tx1"/>
            </w14:solidFill>
          </w14:textFill>
        </w:rPr>
        <w:t>提起诉讼。</w:t>
      </w:r>
    </w:p>
    <w:p w14:paraId="48095DDB">
      <w:pPr>
        <w:keepNext w:val="0"/>
        <w:keepLines w:val="0"/>
        <w:pageBreakBefore w:val="0"/>
        <w:widowControl w:val="0"/>
        <w:bidi w:val="0"/>
        <w:spacing w:line="360" w:lineRule="exact"/>
        <w:ind w:left="43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3、诉讼期间，本合同继续履行。</w:t>
      </w:r>
    </w:p>
    <w:p w14:paraId="008E9475">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64" w:name="_Toc12839"/>
      <w:r>
        <w:rPr>
          <w:rFonts w:hint="eastAsia" w:ascii="宋体" w:hAnsi="宋体" w:eastAsia="宋体" w:cs="宋体"/>
          <w:b/>
          <w:color w:val="000000" w:themeColor="text1"/>
          <w:sz w:val="21"/>
          <w:szCs w:val="21"/>
          <w:highlight w:val="none"/>
          <w14:textFill>
            <w14:solidFill>
              <w14:schemeClr w14:val="tx1"/>
            </w14:solidFill>
          </w14:textFill>
        </w:rPr>
        <w:t>第十条  合同生效及其它</w:t>
      </w:r>
      <w:bookmarkEnd w:id="264"/>
    </w:p>
    <w:p w14:paraId="0BB6A25A">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1.合同经甲乙双方法定代表人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负责人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自然人或相应的授权代表签字并加盖公章后生效。</w:t>
      </w:r>
    </w:p>
    <w:p w14:paraId="2B451A97">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2.合同执行中涉及采购资金和采购内容修改或补充的，需经本级</w:t>
      </w:r>
      <w:r>
        <w:rPr>
          <w:rFonts w:hint="eastAsia" w:ascii="宋体" w:hAnsi="宋体" w:eastAsia="宋体" w:cs="宋体"/>
          <w:color w:val="000000" w:themeColor="text1"/>
          <w:sz w:val="21"/>
          <w:szCs w:val="21"/>
          <w:highlight w:val="none"/>
          <w:lang w:eastAsia="zh-CN"/>
          <w14:textFill>
            <w14:solidFill>
              <w14:schemeClr w14:val="tx1"/>
            </w14:solidFill>
          </w14:textFill>
        </w:rPr>
        <w:t>财</w:t>
      </w:r>
      <w:r>
        <w:rPr>
          <w:rFonts w:hint="eastAsia" w:ascii="宋体" w:hAnsi="宋体" w:eastAsia="宋体" w:cs="宋体"/>
          <w:color w:val="000000" w:themeColor="text1"/>
          <w:sz w:val="21"/>
          <w:szCs w:val="21"/>
          <w:highlight w:val="none"/>
          <w14:textFill>
            <w14:solidFill>
              <w14:schemeClr w14:val="tx1"/>
            </w14:solidFill>
          </w14:textFill>
        </w:rPr>
        <w:t>政部门审批，并签订书面补充协议报本级财政部门备案，方可作为主合同不可分割的一部分。</w:t>
      </w:r>
    </w:p>
    <w:p w14:paraId="3861A5E5">
      <w:pPr>
        <w:keepNext w:val="0"/>
        <w:keepLines w:val="0"/>
        <w:pageBreakBefore w:val="0"/>
        <w:widowControl w:val="0"/>
        <w:bidi w:val="0"/>
        <w:spacing w:line="360" w:lineRule="exact"/>
        <w:ind w:left="43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3.本合同未尽事宜，遵照</w:t>
      </w:r>
      <w:r>
        <w:rPr>
          <w:rFonts w:hint="eastAsia" w:ascii="宋体" w:hAnsi="宋体" w:eastAsia="宋体" w:cs="宋体"/>
          <w:color w:val="000000" w:themeColor="text1"/>
          <w:sz w:val="21"/>
          <w:szCs w:val="21"/>
          <w:highlight w:val="none"/>
          <w:lang w:val="en-US" w:eastAsia="zh-CN"/>
          <w14:textFill>
            <w14:solidFill>
              <w14:schemeClr w14:val="tx1"/>
            </w14:solidFill>
          </w14:textFill>
        </w:rPr>
        <w:t>《中华人民共和国民法典》</w:t>
      </w:r>
      <w:r>
        <w:rPr>
          <w:rFonts w:hint="eastAsia" w:ascii="宋体" w:hAnsi="宋体" w:eastAsia="宋体" w:cs="宋体"/>
          <w:color w:val="000000" w:themeColor="text1"/>
          <w:sz w:val="21"/>
          <w:szCs w:val="21"/>
          <w:highlight w:val="none"/>
          <w14:textFill>
            <w14:solidFill>
              <w14:schemeClr w14:val="tx1"/>
            </w14:solidFill>
          </w14:textFill>
        </w:rPr>
        <w:t>有关条文执行。</w:t>
      </w:r>
    </w:p>
    <w:p w14:paraId="091F11C3">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65" w:name="_Toc9123"/>
      <w:r>
        <w:rPr>
          <w:rFonts w:hint="eastAsia" w:ascii="宋体" w:hAnsi="宋体" w:eastAsia="宋体" w:cs="宋体"/>
          <w:b/>
          <w:color w:val="000000" w:themeColor="text1"/>
          <w:sz w:val="21"/>
          <w:szCs w:val="21"/>
          <w:highlight w:val="none"/>
          <w14:textFill>
            <w14:solidFill>
              <w14:schemeClr w14:val="tx1"/>
            </w14:solidFill>
          </w14:textFill>
        </w:rPr>
        <w:t>第十一条  合同的变更、终止与转让</w:t>
      </w:r>
      <w:bookmarkEnd w:id="265"/>
    </w:p>
    <w:p w14:paraId="457D688D">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1.除《中华人民共和国政府采购法》第五十条规定的情形外，本合同一经签订，甲乙双方不得擅自变更，中止或终止。</w:t>
      </w:r>
    </w:p>
    <w:p w14:paraId="2E19C5BF">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2.乙方不得擅自转让(无进口资格的供应商委托进口货物除外)其应履行的合同义务。</w:t>
      </w:r>
    </w:p>
    <w:p w14:paraId="7768CFA7">
      <w:pPr>
        <w:keepNext w:val="0"/>
        <w:keepLines w:val="0"/>
        <w:pageBreakBefore w:val="0"/>
        <w:widowControl w:val="0"/>
        <w:bidi w:val="0"/>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3.如政府收回或调整采购单位办公地点，造成甲方服务点减少时，甲方有权变更合同，相应减少物业管理服务费用合同金额。</w:t>
      </w:r>
    </w:p>
    <w:p w14:paraId="36616D8E">
      <w:pPr>
        <w:keepNext w:val="0"/>
        <w:keepLines w:val="0"/>
        <w:pageBreakBefore w:val="0"/>
        <w:widowControl w:val="0"/>
        <w:bidi w:val="0"/>
        <w:spacing w:line="360" w:lineRule="exact"/>
        <w:ind w:firstLine="413"/>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266" w:name="_Toc27318"/>
      <w:r>
        <w:rPr>
          <w:rFonts w:hint="eastAsia" w:ascii="宋体" w:hAnsi="宋体" w:eastAsia="宋体" w:cs="宋体"/>
          <w:b/>
          <w:color w:val="000000" w:themeColor="text1"/>
          <w:sz w:val="21"/>
          <w:szCs w:val="21"/>
          <w:highlight w:val="none"/>
          <w14:textFill>
            <w14:solidFill>
              <w14:schemeClr w14:val="tx1"/>
            </w14:solidFill>
          </w14:textFill>
        </w:rPr>
        <w:t>第十二条  签订本合同依据</w:t>
      </w:r>
      <w:bookmarkEnd w:id="266"/>
    </w:p>
    <w:p w14:paraId="32E70EB6">
      <w:pPr>
        <w:keepNext w:val="0"/>
        <w:keepLines w:val="0"/>
        <w:pageBreakBefore w:val="0"/>
        <w:widowControl w:val="0"/>
        <w:bidi w:val="0"/>
        <w:spacing w:line="360" w:lineRule="exact"/>
        <w:ind w:left="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1.招标文件；</w:t>
      </w:r>
    </w:p>
    <w:p w14:paraId="4DD8A5DA">
      <w:pPr>
        <w:keepNext w:val="0"/>
        <w:keepLines w:val="0"/>
        <w:pageBreakBefore w:val="0"/>
        <w:widowControl w:val="0"/>
        <w:bidi w:val="0"/>
        <w:spacing w:line="360" w:lineRule="exact"/>
        <w:ind w:left="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2.乙方提供的投标（或应答）文件；</w:t>
      </w:r>
    </w:p>
    <w:p w14:paraId="5376A7D4">
      <w:pPr>
        <w:keepNext w:val="0"/>
        <w:keepLines w:val="0"/>
        <w:pageBreakBefore w:val="0"/>
        <w:widowControl w:val="0"/>
        <w:bidi w:val="0"/>
        <w:spacing w:line="360" w:lineRule="exact"/>
        <w:ind w:left="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3.服务承诺书；</w:t>
      </w:r>
    </w:p>
    <w:p w14:paraId="080FEF07">
      <w:pPr>
        <w:keepNext w:val="0"/>
        <w:keepLines w:val="0"/>
        <w:pageBreakBefore w:val="0"/>
        <w:widowControl w:val="0"/>
        <w:bidi w:val="0"/>
        <w:spacing w:line="360" w:lineRule="exact"/>
        <w:ind w:left="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4.中标通知书。</w:t>
      </w:r>
    </w:p>
    <w:p w14:paraId="3C9F9978">
      <w:pPr>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政府采购合同双方自签订之日起将自动存档于“</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”上，采购人于合同签订之日起七个工作日内将一份合同原件送本级财政部门备案</w:t>
      </w:r>
      <w:r>
        <w:rPr>
          <w:rFonts w:hint="eastAsia" w:ascii="宋体" w:hAnsi="宋体" w:eastAsia="宋体" w:cs="宋体"/>
          <w:color w:val="000000" w:themeColor="text1"/>
          <w:sz w:val="21"/>
          <w:szCs w:val="21"/>
          <w:highlight w:val="none"/>
          <w14:textFill>
            <w14:solidFill>
              <w14:schemeClr w14:val="tx1"/>
            </w14:solidFill>
          </w14:textFill>
        </w:rPr>
        <w:t>。</w:t>
      </w:r>
    </w:p>
    <w:p w14:paraId="7ABFF06E">
      <w:pPr>
        <w:keepNext w:val="0"/>
        <w:keepLines w:val="0"/>
        <w:pageBreakBefore w:val="0"/>
        <w:widowControl w:val="0"/>
        <w:bidi w:val="0"/>
        <w:spacing w:line="360" w:lineRule="exact"/>
        <w:rPr>
          <w:rFonts w:hint="eastAsia" w:ascii="宋体" w:hAnsi="宋体" w:eastAsia="宋体" w:cs="宋体"/>
          <w:color w:val="000000" w:themeColor="text1"/>
          <w:sz w:val="21"/>
          <w:szCs w:val="21"/>
          <w:highlight w:val="none"/>
          <w14:textFill>
            <w14:solidFill>
              <w14:schemeClr w14:val="tx1"/>
            </w14:solidFill>
          </w14:textFill>
        </w:rPr>
      </w:pPr>
    </w:p>
    <w:p w14:paraId="79D348CA">
      <w:pPr>
        <w:keepNext w:val="0"/>
        <w:keepLines w:val="0"/>
        <w:pageBreakBefore w:val="0"/>
        <w:widowControl w:val="0"/>
        <w:bidi w:val="0"/>
        <w:spacing w:line="360" w:lineRule="exact"/>
        <w:rPr>
          <w:rFonts w:hint="eastAsia" w:ascii="宋体" w:hAnsi="宋体" w:eastAsia="宋体" w:cs="宋体"/>
          <w:color w:val="000000" w:themeColor="text1"/>
          <w:sz w:val="21"/>
          <w:szCs w:val="21"/>
          <w:highlight w:val="none"/>
          <w14:textFill>
            <w14:solidFill>
              <w14:schemeClr w14:val="tx1"/>
            </w14:solidFill>
          </w14:textFill>
        </w:rPr>
      </w:pPr>
    </w:p>
    <w:p w14:paraId="67B5C2D4">
      <w:pPr>
        <w:keepNext w:val="0"/>
        <w:keepLines w:val="0"/>
        <w:pageBreakBefore w:val="0"/>
        <w:widowControl w:val="0"/>
        <w:bidi w:val="0"/>
        <w:spacing w:line="360" w:lineRule="exact"/>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甲方（公章）：</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乙方（公章，自然人除外）：</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4A4542E3">
      <w:pPr>
        <w:keepNext w:val="0"/>
        <w:keepLines w:val="0"/>
        <w:pageBreakBefore w:val="0"/>
        <w:widowControl w:val="0"/>
        <w:bidi w:val="0"/>
        <w:spacing w:line="360" w:lineRule="exact"/>
        <w:ind w:left="4620" w:hanging="462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法定代表人签字：</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法定代表人（负责人、自然人）签字（属自然人的应在签名处加盖大拇指指印）：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5FA09863">
      <w:pPr>
        <w:keepNext w:val="0"/>
        <w:keepLines w:val="0"/>
        <w:pageBreakBefore w:val="0"/>
        <w:widowControl w:val="0"/>
        <w:tabs>
          <w:tab w:val="left" w:pos="4680"/>
        </w:tabs>
        <w:bidi w:val="0"/>
        <w:spacing w:line="360" w:lineRule="exact"/>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委托代理人：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委托代理人：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3CF0707B">
      <w:pPr>
        <w:keepNext w:val="0"/>
        <w:keepLines w:val="0"/>
        <w:pageBreakBefore w:val="0"/>
        <w:widowControl w:val="0"/>
        <w:tabs>
          <w:tab w:val="left" w:pos="5040"/>
        </w:tabs>
        <w:bidi w:val="0"/>
        <w:spacing w:line="360" w:lineRule="exact"/>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  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电   话：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249CCE4C">
      <w:pPr>
        <w:keepNext w:val="0"/>
        <w:keepLines w:val="0"/>
        <w:pageBreakBefore w:val="0"/>
        <w:widowControl w:val="0"/>
        <w:tabs>
          <w:tab w:val="left" w:pos="5040"/>
        </w:tabs>
        <w:bidi w:val="0"/>
        <w:spacing w:line="36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开户名称：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开户名称：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54FE5295">
      <w:pPr>
        <w:keepNext w:val="0"/>
        <w:keepLines w:val="0"/>
        <w:pageBreakBefore w:val="0"/>
        <w:widowControl w:val="0"/>
        <w:tabs>
          <w:tab w:val="left" w:pos="5040"/>
        </w:tabs>
        <w:bidi w:val="0"/>
        <w:spacing w:line="36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开户银行：</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开户银行：</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5A766C53">
      <w:pPr>
        <w:keepNext w:val="0"/>
        <w:keepLines w:val="0"/>
        <w:pageBreakBefore w:val="0"/>
        <w:widowControl w:val="0"/>
        <w:tabs>
          <w:tab w:val="left" w:pos="5040"/>
        </w:tabs>
        <w:bidi w:val="0"/>
        <w:spacing w:line="36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银行账号：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银行账号：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659DAB23">
      <w:pPr>
        <w:keepNext w:val="0"/>
        <w:keepLines w:val="0"/>
        <w:pageBreakBefore w:val="0"/>
        <w:widowControl w:val="0"/>
        <w:tabs>
          <w:tab w:val="left" w:pos="5040"/>
        </w:tabs>
        <w:bidi w:val="0"/>
        <w:spacing w:line="36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    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日    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61C4005E">
      <w:pPr>
        <w:keepLines w:val="0"/>
        <w:pageBreakBefore w:val="0"/>
        <w:widowControl w:val="0"/>
        <w:bidi w:val="0"/>
        <w:spacing w:line="360" w:lineRule="exact"/>
        <w:jc w:val="both"/>
        <w:outlineLvl w:val="0"/>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br w:type="page" w:clear="all"/>
      </w:r>
      <w:bookmarkStart w:id="267" w:name="_Toc6554"/>
      <w:r>
        <w:rPr>
          <w:rFonts w:hint="eastAsia" w:ascii="宋体" w:hAnsi="宋体" w:eastAsia="宋体" w:cs="宋体"/>
          <w:b/>
          <w:bCs/>
          <w:color w:val="000000" w:themeColor="text1"/>
          <w:sz w:val="32"/>
          <w:szCs w:val="32"/>
          <w:highlight w:val="none"/>
          <w14:textFill>
            <w14:solidFill>
              <w14:schemeClr w14:val="tx1"/>
            </w14:solidFill>
          </w14:textFill>
        </w:rPr>
        <w:t>第六章  投标文件（格式）</w:t>
      </w:r>
      <w:bookmarkEnd w:id="267"/>
    </w:p>
    <w:p w14:paraId="1AAD2314">
      <w:pP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投标文件封面格式：</w:t>
      </w:r>
    </w:p>
    <w:p w14:paraId="7ECC12C9">
      <w:pPr>
        <w:jc w:val="right"/>
        <w:rPr>
          <w:rFonts w:hint="eastAsia" w:ascii="宋体" w:hAnsi="宋体" w:eastAsia="宋体" w:cs="宋体"/>
          <w:b/>
          <w:color w:val="000000" w:themeColor="text1"/>
          <w:sz w:val="32"/>
          <w:szCs w:val="32"/>
          <w:highlight w:val="none"/>
          <w14:textFill>
            <w14:solidFill>
              <w14:schemeClr w14:val="tx1"/>
            </w14:solidFill>
          </w14:textFill>
        </w:rPr>
      </w:pPr>
    </w:p>
    <w:p w14:paraId="754CE3F7">
      <w:pPr>
        <w:rPr>
          <w:rFonts w:hint="eastAsia" w:ascii="宋体" w:hAnsi="宋体" w:eastAsia="宋体" w:cs="宋体"/>
          <w:b/>
          <w:color w:val="000000" w:themeColor="text1"/>
          <w:sz w:val="44"/>
          <w:szCs w:val="44"/>
          <w:highlight w:val="none"/>
          <w14:textFill>
            <w14:solidFill>
              <w14:schemeClr w14:val="tx1"/>
            </w14:solidFill>
          </w14:textFill>
        </w:rPr>
      </w:pPr>
    </w:p>
    <w:p w14:paraId="14B5EC73">
      <w:pPr>
        <w:jc w:val="center"/>
        <w:rPr>
          <w:rFonts w:hint="eastAsia" w:ascii="宋体" w:hAnsi="宋体" w:eastAsia="宋体" w:cs="宋体"/>
          <w:b/>
          <w:color w:val="000000" w:themeColor="text1"/>
          <w:sz w:val="44"/>
          <w:szCs w:val="44"/>
          <w:highlight w:val="none"/>
          <w14:textFill>
            <w14:solidFill>
              <w14:schemeClr w14:val="tx1"/>
            </w14:solidFill>
          </w14:textFill>
        </w:rPr>
      </w:pPr>
      <w:r>
        <w:rPr>
          <w:rFonts w:hint="eastAsia" w:ascii="宋体" w:hAnsi="宋体" w:eastAsia="宋体" w:cs="宋体"/>
          <w:bCs/>
          <w:color w:val="000000" w:themeColor="text1"/>
          <w:sz w:val="72"/>
          <w:szCs w:val="72"/>
          <w:highlight w:val="none"/>
          <w14:textFill>
            <w14:solidFill>
              <w14:schemeClr w14:val="tx1"/>
            </w14:solidFill>
          </w14:textFill>
        </w:rPr>
        <w:t>投标文件</w:t>
      </w:r>
    </w:p>
    <w:p w14:paraId="5A23BB2F">
      <w:pPr>
        <w:rPr>
          <w:rFonts w:hint="eastAsia" w:ascii="宋体" w:hAnsi="宋体" w:eastAsia="宋体" w:cs="宋体"/>
          <w:b/>
          <w:color w:val="000000" w:themeColor="text1"/>
          <w:sz w:val="44"/>
          <w:szCs w:val="44"/>
          <w:highlight w:val="none"/>
          <w14:textFill>
            <w14:solidFill>
              <w14:schemeClr w14:val="tx1"/>
            </w14:solidFill>
          </w14:textFill>
        </w:rPr>
      </w:pPr>
    </w:p>
    <w:p w14:paraId="6130F534">
      <w:pPr>
        <w:rPr>
          <w:rFonts w:hint="eastAsia" w:ascii="宋体" w:hAnsi="宋体" w:eastAsia="宋体" w:cs="宋体"/>
          <w:b/>
          <w:color w:val="000000" w:themeColor="text1"/>
          <w:sz w:val="44"/>
          <w:szCs w:val="44"/>
          <w:highlight w:val="none"/>
          <w14:textFill>
            <w14:solidFill>
              <w14:schemeClr w14:val="tx1"/>
            </w14:solidFill>
          </w14:textFill>
        </w:rPr>
      </w:pPr>
    </w:p>
    <w:p w14:paraId="48630C52">
      <w:pPr>
        <w:pStyle w:val="253"/>
        <w:ind w:firstLine="883"/>
        <w:rPr>
          <w:rFonts w:hint="eastAsia" w:ascii="宋体" w:hAnsi="宋体" w:eastAsia="宋体" w:cs="宋体"/>
          <w:b/>
          <w:color w:val="000000" w:themeColor="text1"/>
          <w:sz w:val="44"/>
          <w:szCs w:val="44"/>
          <w:highlight w:val="none"/>
          <w14:textFill>
            <w14:solidFill>
              <w14:schemeClr w14:val="tx1"/>
            </w14:solidFill>
          </w14:textFill>
        </w:rPr>
      </w:pPr>
    </w:p>
    <w:p w14:paraId="16564294">
      <w:pPr>
        <w:jc w:val="center"/>
        <w:rPr>
          <w:rFonts w:hint="eastAsia" w:ascii="宋体" w:hAnsi="宋体" w:eastAsia="宋体" w:cs="宋体"/>
          <w:color w:val="000000" w:themeColor="text1"/>
          <w:sz w:val="30"/>
          <w:szCs w:val="30"/>
          <w:highlight w:val="none"/>
          <w:u w:val="single"/>
          <w14:textFill>
            <w14:solidFill>
              <w14:schemeClr w14:val="tx1"/>
            </w14:solidFill>
          </w14:textFill>
        </w:rPr>
      </w:pPr>
      <w:r>
        <w:rPr>
          <w:rFonts w:hint="eastAsia" w:ascii="宋体" w:hAnsi="宋体" w:eastAsia="宋体" w:cs="宋体"/>
          <w:bCs/>
          <w:color w:val="000000" w:themeColor="text1"/>
          <w:sz w:val="30"/>
          <w:szCs w:val="30"/>
          <w:highlight w:val="none"/>
          <w14:textFill>
            <w14:solidFill>
              <w14:schemeClr w14:val="tx1"/>
            </w14:solidFill>
          </w14:textFill>
        </w:rPr>
        <w:t>项目名称：</w:t>
      </w:r>
      <w:r>
        <w:rPr>
          <w:rFonts w:hint="eastAsia" w:ascii="宋体" w:hAnsi="宋体" w:eastAsia="宋体" w:cs="宋体"/>
          <w:bCs/>
          <w:color w:val="000000" w:themeColor="text1"/>
          <w:sz w:val="30"/>
          <w:szCs w:val="30"/>
          <w:highlight w:val="none"/>
          <w:u w:val="single"/>
          <w:lang w:val="en-US" w:eastAsia="zh-CN"/>
          <w14:textFill>
            <w14:solidFill>
              <w14:schemeClr w14:val="tx1"/>
            </w14:solidFill>
          </w14:textFill>
        </w:rPr>
        <w:t>中国共产党桂林市委员会党校物业服务采购</w:t>
      </w:r>
    </w:p>
    <w:p w14:paraId="4E09ACF1">
      <w:pPr>
        <w:jc w:val="center"/>
        <w:rPr>
          <w:rFonts w:hint="eastAsia" w:ascii="宋体" w:hAnsi="宋体" w:eastAsia="宋体" w:cs="宋体"/>
          <w:bCs/>
          <w:color w:val="000000" w:themeColor="text1"/>
          <w:sz w:val="30"/>
          <w:szCs w:val="30"/>
          <w:highlight w:val="none"/>
          <w:u w:val="single"/>
          <w:lang w:eastAsia="zh-CN"/>
          <w14:textFill>
            <w14:solidFill>
              <w14:schemeClr w14:val="tx1"/>
            </w14:solidFill>
          </w14:textFill>
        </w:rPr>
      </w:pPr>
      <w:r>
        <w:rPr>
          <w:rFonts w:hint="eastAsia" w:ascii="宋体" w:hAnsi="宋体" w:eastAsia="宋体" w:cs="宋体"/>
          <w:bCs/>
          <w:color w:val="000000" w:themeColor="text1"/>
          <w:sz w:val="30"/>
          <w:szCs w:val="30"/>
          <w:highlight w:val="none"/>
          <w14:textFill>
            <w14:solidFill>
              <w14:schemeClr w14:val="tx1"/>
            </w14:solidFill>
          </w14:textFill>
        </w:rPr>
        <w:t>项目编号：</w:t>
      </w:r>
      <w:r>
        <w:rPr>
          <w:rFonts w:hint="eastAsia" w:ascii="宋体" w:hAnsi="宋体" w:eastAsia="宋体" w:cs="宋体"/>
          <w:bCs/>
          <w:color w:val="000000" w:themeColor="text1"/>
          <w:sz w:val="30"/>
          <w:szCs w:val="30"/>
          <w:highlight w:val="none"/>
          <w:u w:val="single"/>
          <w:lang w:eastAsia="zh-CN"/>
          <w14:textFill>
            <w14:solidFill>
              <w14:schemeClr w14:val="tx1"/>
            </w14:solidFill>
          </w14:textFill>
        </w:rPr>
        <w:t xml:space="preserve"> GLZC2026-G3-990258-GLSZ</w:t>
      </w:r>
    </w:p>
    <w:p w14:paraId="2FED43CA">
      <w:pPr>
        <w:ind w:firstLine="2400"/>
        <w:rPr>
          <w:rFonts w:hint="eastAsia" w:ascii="宋体" w:hAnsi="宋体" w:eastAsia="宋体" w:cs="宋体"/>
          <w:bCs/>
          <w:color w:val="000000" w:themeColor="text1"/>
          <w:sz w:val="30"/>
          <w:szCs w:val="30"/>
          <w:highlight w:val="none"/>
          <w:u w:val="single"/>
          <w14:textFill>
            <w14:solidFill>
              <w14:schemeClr w14:val="tx1"/>
            </w14:solidFill>
          </w14:textFill>
        </w:rPr>
      </w:pPr>
    </w:p>
    <w:p w14:paraId="1F281C58">
      <w:pPr>
        <w:ind w:firstLine="741"/>
        <w:rPr>
          <w:rFonts w:hint="eastAsia" w:ascii="宋体" w:hAnsi="宋体" w:eastAsia="宋体" w:cs="宋体"/>
          <w:color w:val="000000" w:themeColor="text1"/>
          <w:highlight w:val="none"/>
          <w14:textFill>
            <w14:solidFill>
              <w14:schemeClr w14:val="tx1"/>
            </w14:solidFill>
          </w14:textFill>
        </w:rPr>
      </w:pPr>
    </w:p>
    <w:p w14:paraId="222B349C">
      <w:pPr>
        <w:spacing w:before="156" w:after="50"/>
        <w:ind w:firstLine="1260"/>
        <w:rPr>
          <w:rFonts w:hint="eastAsia" w:ascii="宋体" w:hAnsi="宋体" w:eastAsia="宋体" w:cs="宋体"/>
          <w:bCs/>
          <w:color w:val="000000" w:themeColor="text1"/>
          <w:sz w:val="28"/>
          <w:szCs w:val="28"/>
          <w:highlight w:val="none"/>
          <w14:textFill>
            <w14:solidFill>
              <w14:schemeClr w14:val="tx1"/>
            </w14:solidFill>
          </w14:textFill>
        </w:rPr>
      </w:pPr>
    </w:p>
    <w:p w14:paraId="7BDB0FF1">
      <w:pPr>
        <w:pStyle w:val="253"/>
        <w:ind w:firstLine="420"/>
        <w:rPr>
          <w:rFonts w:hint="eastAsia" w:ascii="宋体" w:hAnsi="宋体" w:eastAsia="宋体" w:cs="宋体"/>
          <w:color w:val="000000" w:themeColor="text1"/>
          <w:highlight w:val="none"/>
          <w14:textFill>
            <w14:solidFill>
              <w14:schemeClr w14:val="tx1"/>
            </w14:solidFill>
          </w14:textFill>
        </w:rPr>
      </w:pPr>
    </w:p>
    <w:p w14:paraId="6F4295C9">
      <w:pPr>
        <w:pStyle w:val="254"/>
        <w:rPr>
          <w:rFonts w:hint="eastAsia" w:ascii="宋体" w:hAnsi="宋体" w:eastAsia="宋体" w:cs="宋体"/>
          <w:color w:val="000000" w:themeColor="text1"/>
          <w:highlight w:val="none"/>
          <w14:textFill>
            <w14:solidFill>
              <w14:schemeClr w14:val="tx1"/>
            </w14:solidFill>
          </w14:textFill>
        </w:rPr>
      </w:pPr>
    </w:p>
    <w:p w14:paraId="47C89114">
      <w:pPr>
        <w:spacing w:before="156" w:after="50"/>
        <w:ind w:firstLine="1260"/>
        <w:rPr>
          <w:rFonts w:hint="eastAsia" w:ascii="宋体" w:hAnsi="宋体" w:eastAsia="宋体" w:cs="宋体"/>
          <w:bCs/>
          <w:color w:val="000000" w:themeColor="text1"/>
          <w:sz w:val="28"/>
          <w:szCs w:val="28"/>
          <w:highlight w:val="none"/>
          <w14:textFill>
            <w14:solidFill>
              <w14:schemeClr w14:val="tx1"/>
            </w14:solidFill>
          </w14:textFill>
        </w:rPr>
      </w:pPr>
    </w:p>
    <w:p w14:paraId="623DD4AC">
      <w:pPr>
        <w:spacing w:before="156" w:after="50"/>
        <w:ind w:firstLine="1260"/>
        <w:rPr>
          <w:rFonts w:hint="eastAsia" w:ascii="宋体" w:hAnsi="宋体" w:eastAsia="宋体" w:cs="宋体"/>
          <w:bCs/>
          <w:color w:val="000000" w:themeColor="text1"/>
          <w:sz w:val="28"/>
          <w:szCs w:val="28"/>
          <w:highlight w:val="none"/>
          <w14:textFill>
            <w14:solidFill>
              <w14:schemeClr w14:val="tx1"/>
            </w14:solidFill>
          </w14:textFill>
        </w:rPr>
      </w:pPr>
    </w:p>
    <w:p w14:paraId="253CC581">
      <w:pPr>
        <w:ind w:firstLine="964"/>
        <w:jc w:val="left"/>
        <w:rPr>
          <w:rFonts w:hint="eastAsia" w:ascii="宋体" w:hAnsi="宋体" w:eastAsia="宋体" w:cs="宋体"/>
          <w:b/>
          <w:color w:val="000000" w:themeColor="text1"/>
          <w:sz w:val="32"/>
          <w:szCs w:val="32"/>
          <w:highlight w:val="none"/>
          <w14:textFill>
            <w14:solidFill>
              <w14:schemeClr w14:val="tx1"/>
            </w14:solidFill>
          </w14:textFill>
        </w:rPr>
      </w:pPr>
    </w:p>
    <w:p w14:paraId="75C4C56D">
      <w:pPr>
        <w:pStyle w:val="213"/>
        <w:ind w:left="980" w:hanging="560"/>
        <w:jc w:val="center"/>
        <w:rPr>
          <w:rFonts w:hint="eastAsia" w:ascii="宋体" w:hAnsi="宋体" w:eastAsia="宋体" w:cs="宋体"/>
          <w:bCs/>
          <w:color w:val="000000" w:themeColor="text1"/>
          <w:sz w:val="28"/>
          <w:szCs w:val="28"/>
          <w:highlight w:val="none"/>
          <w:u w:val="singl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采购代理机构：</w:t>
      </w:r>
      <w:r>
        <w:rPr>
          <w:rFonts w:hint="eastAsia" w:ascii="宋体" w:hAnsi="宋体" w:eastAsia="宋体" w:cs="宋体"/>
          <w:bCs/>
          <w:color w:val="000000" w:themeColor="text1"/>
          <w:sz w:val="28"/>
          <w:szCs w:val="28"/>
          <w:highlight w:val="none"/>
          <w:u w:val="single"/>
          <w14:textFill>
            <w14:solidFill>
              <w14:schemeClr w14:val="tx1"/>
            </w14:solidFill>
          </w14:textFill>
        </w:rPr>
        <w:t>桂林市政府集中采购中心</w:t>
      </w:r>
    </w:p>
    <w:p w14:paraId="79062FBB">
      <w:pPr>
        <w:pStyle w:val="213"/>
        <w:ind w:left="980" w:hanging="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投标人（公章(CA签章)、自然人除外）：</w:t>
      </w:r>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p>
    <w:p w14:paraId="368101BD">
      <w:pPr>
        <w:pStyle w:val="216"/>
        <w:spacing w:line="320" w:lineRule="exact"/>
        <w:ind w:firstLine="42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法定代表人、负责人、自然人或相应的委托代理人签字[或盖章(CA签章)]</w:t>
      </w:r>
    </w:p>
    <w:p w14:paraId="2BD1F03E">
      <w:pPr>
        <w:pStyle w:val="213"/>
        <w:ind w:left="980" w:hanging="560"/>
        <w:rPr>
          <w:rFonts w:hint="eastAsia" w:ascii="宋体" w:hAnsi="宋体" w:eastAsia="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（属自然人的应在签名处加盖大拇指指印或个人CA签章）：</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14:paraId="0159B919">
      <w:pPr>
        <w:pStyle w:val="213"/>
        <w:ind w:left="980" w:hanging="560"/>
        <w:rPr>
          <w:rFonts w:hint="eastAsia" w:ascii="宋体" w:hAnsi="宋体" w:eastAsia="宋体" w:cs="宋体"/>
          <w:bCs/>
          <w:color w:val="000000" w:themeColor="text1"/>
          <w:sz w:val="28"/>
          <w:szCs w:val="28"/>
          <w:highlight w:val="none"/>
          <w:u w:val="singl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联系电话：</w:t>
      </w:r>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p>
    <w:p w14:paraId="0200BBEF">
      <w:pPr>
        <w:pStyle w:val="213"/>
        <w:ind w:left="980" w:hanging="560"/>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日期：</w:t>
      </w:r>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Cs/>
          <w:color w:val="000000" w:themeColor="text1"/>
          <w:sz w:val="28"/>
          <w:szCs w:val="28"/>
          <w:highlight w:val="none"/>
          <w14:textFill>
            <w14:solidFill>
              <w14:schemeClr w14:val="tx1"/>
            </w14:solidFill>
          </w14:textFill>
        </w:rPr>
        <w:t>年</w:t>
      </w:r>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Cs/>
          <w:color w:val="000000" w:themeColor="text1"/>
          <w:sz w:val="28"/>
          <w:szCs w:val="28"/>
          <w:highlight w:val="none"/>
          <w14:textFill>
            <w14:solidFill>
              <w14:schemeClr w14:val="tx1"/>
            </w14:solidFill>
          </w14:textFill>
        </w:rPr>
        <w:t>月</w:t>
      </w:r>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Cs/>
          <w:color w:val="000000" w:themeColor="text1"/>
          <w:sz w:val="28"/>
          <w:szCs w:val="28"/>
          <w:highlight w:val="none"/>
          <w14:textFill>
            <w14:solidFill>
              <w14:schemeClr w14:val="tx1"/>
            </w14:solidFill>
          </w14:textFill>
        </w:rPr>
        <w:t>日</w:t>
      </w:r>
    </w:p>
    <w:p w14:paraId="715B3A0C">
      <w:pPr>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4D216AF0">
      <w:pPr>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5471B199">
      <w:pPr>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63D8CD1D">
      <w:pPr>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19E488E0">
      <w:pPr>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446AC209">
      <w:pPr>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3715F7B9">
      <w:pPr>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63701FC8">
      <w:pPr>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投标文件目录</w:t>
      </w:r>
    </w:p>
    <w:p w14:paraId="243EF198">
      <w:pPr>
        <w:tabs>
          <w:tab w:val="left" w:pos="1305"/>
        </w:tabs>
        <w:spacing w:line="380" w:lineRule="exact"/>
        <w:ind w:firstLine="422"/>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一、资格性响应证明材料：</w:t>
      </w:r>
    </w:p>
    <w:p w14:paraId="30C6BEB0">
      <w:pPr>
        <w:tabs>
          <w:tab w:val="left" w:pos="1305"/>
        </w:tabs>
        <w:spacing w:line="38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1.投标人相应的法定代表人、负责人、自然人身份证正反面</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bCs/>
          <w:color w:val="000000" w:themeColor="text1"/>
          <w:szCs w:val="21"/>
          <w:highlight w:val="none"/>
          <w14:textFill>
            <w14:solidFill>
              <w14:schemeClr w14:val="tx1"/>
            </w14:solidFill>
          </w14:textFill>
        </w:rPr>
        <w:t>（必须提供）；</w:t>
      </w:r>
    </w:p>
    <w:p w14:paraId="4C052F1E">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2.投标人的授权委托书原件、委托代理人身份证正反面</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以及由县级以上（含县级）社会养老保险经办机构出具的投标人为委托代理人交纳的开标截止时间前</w:t>
      </w:r>
      <w:r>
        <w:rPr>
          <w:rFonts w:hint="eastAsia" w:ascii="宋体" w:hAnsi="宋体" w:eastAsia="宋体" w:cs="宋体"/>
          <w:color w:val="000000" w:themeColor="text1"/>
          <w:szCs w:val="21"/>
          <w:highlight w:val="none"/>
          <w:lang w:eastAsia="zh-CN"/>
          <w14:textFill>
            <w14:solidFill>
              <w14:schemeClr w14:val="tx1"/>
            </w14:solidFill>
          </w14:textFill>
        </w:rPr>
        <w:t>三个月内任意一个月</w:t>
      </w:r>
      <w:r>
        <w:rPr>
          <w:rFonts w:hint="eastAsia" w:ascii="宋体" w:hAnsi="宋体" w:eastAsia="宋体" w:cs="宋体"/>
          <w:color w:val="000000" w:themeColor="text1"/>
          <w:szCs w:val="21"/>
          <w:highlight w:val="none"/>
          <w:lang w:val="en-US"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证明</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，除投标人为以下</w:t>
      </w:r>
      <w:r>
        <w:rPr>
          <w:rFonts w:hint="eastAsia" w:ascii="宋体" w:hAnsi="宋体" w:eastAsia="宋体" w:cs="宋体"/>
          <w:color w:val="000000" w:themeColor="text1"/>
          <w:szCs w:val="21"/>
          <w:highlight w:val="none"/>
          <w:lang w:eastAsia="zh-CN"/>
          <w14:textFill>
            <w14:solidFill>
              <w14:schemeClr w14:val="tx1"/>
            </w14:solidFill>
          </w14:textFill>
        </w:rPr>
        <w:t>四</w:t>
      </w:r>
      <w:r>
        <w:rPr>
          <w:rFonts w:hint="eastAsia" w:ascii="宋体" w:hAnsi="宋体" w:eastAsia="宋体" w:cs="宋体"/>
          <w:color w:val="000000" w:themeColor="text1"/>
          <w:szCs w:val="21"/>
          <w:highlight w:val="none"/>
          <w14:textFill>
            <w14:solidFill>
              <w14:schemeClr w14:val="tx1"/>
            </w14:solidFill>
          </w14:textFill>
        </w:rPr>
        <w:t>种情形的：</w:t>
      </w:r>
    </w:p>
    <w:p w14:paraId="130E4FD2">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①如投标人为截标时间前60日以内成立的公司，可以提供投标人与委托代理人签订的劳动合同</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代替</w:t>
      </w:r>
      <w:r>
        <w:rPr>
          <w:rFonts w:hint="eastAsia" w:ascii="宋体" w:hAnsi="宋体" w:eastAsia="宋体" w:cs="宋体"/>
          <w:color w:val="000000" w:themeColor="text1"/>
          <w:szCs w:val="21"/>
          <w:highlight w:val="none"/>
          <w:lang w:val="en-US"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证明</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w:t>
      </w:r>
    </w:p>
    <w:p w14:paraId="63B5D83B">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②如投标人为事业单位，可以提供事业单位机构编制管理证</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或事业单位机构为其发放工资的工资条</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代替</w:t>
      </w:r>
      <w:r>
        <w:rPr>
          <w:rFonts w:hint="eastAsia" w:ascii="宋体" w:hAnsi="宋体" w:eastAsia="宋体" w:cs="宋体"/>
          <w:color w:val="000000" w:themeColor="text1"/>
          <w:szCs w:val="21"/>
          <w:highlight w:val="none"/>
          <w:lang w:val="en-US"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证明</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w:t>
      </w:r>
    </w:p>
    <w:p w14:paraId="4104285D">
      <w:pPr>
        <w:spacing w:line="40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③如委托代理人为免缴纳</w:t>
      </w:r>
      <w:r>
        <w:rPr>
          <w:rFonts w:hint="eastAsia" w:ascii="宋体" w:hAnsi="宋体" w:eastAsia="宋体" w:cs="宋体"/>
          <w:color w:val="000000" w:themeColor="text1"/>
          <w:szCs w:val="21"/>
          <w:highlight w:val="none"/>
          <w:lang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人员，提供免缴纳</w:t>
      </w:r>
      <w:r>
        <w:rPr>
          <w:rFonts w:hint="eastAsia" w:ascii="宋体" w:hAnsi="宋体" w:eastAsia="宋体" w:cs="宋体"/>
          <w:color w:val="000000" w:themeColor="text1"/>
          <w:szCs w:val="21"/>
          <w:highlight w:val="none"/>
          <w:lang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的证明材料</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及投标人与委托代理人签订的劳动合同</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代替</w:t>
      </w:r>
      <w:r>
        <w:rPr>
          <w:rFonts w:hint="eastAsia" w:ascii="宋体" w:hAnsi="宋体" w:eastAsia="宋体" w:cs="宋体"/>
          <w:color w:val="000000" w:themeColor="text1"/>
          <w:szCs w:val="21"/>
          <w:highlight w:val="none"/>
          <w:lang w:val="en-US"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证明</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w:t>
      </w:r>
    </w:p>
    <w:p w14:paraId="584196B0">
      <w:pPr>
        <w:pStyle w:val="212"/>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4BAF9D1A">
      <w:pPr>
        <w:spacing w:line="400" w:lineRule="exact"/>
        <w:ind w:firstLine="413"/>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【属自然人的应提供由县级以上（含县级）社会养老保险经办机构出具的自然人本人及委托代理人所交纳的开标截止时间前</w:t>
      </w:r>
      <w:r>
        <w:rPr>
          <w:rFonts w:hint="eastAsia" w:ascii="宋体" w:hAnsi="宋体" w:eastAsia="宋体" w:cs="宋体"/>
          <w:b/>
          <w:bCs/>
          <w:color w:val="000000" w:themeColor="text1"/>
          <w:szCs w:val="21"/>
          <w:highlight w:val="none"/>
          <w:lang w:eastAsia="zh-CN"/>
          <w14:textFill>
            <w14:solidFill>
              <w14:schemeClr w14:val="tx1"/>
            </w14:solidFill>
          </w14:textFill>
        </w:rPr>
        <w:t>三个月内任意一个月</w:t>
      </w:r>
      <w:r>
        <w:rPr>
          <w:rFonts w:hint="eastAsia" w:ascii="宋体" w:hAnsi="宋体" w:eastAsia="宋体" w:cs="宋体"/>
          <w:b/>
          <w:bCs/>
          <w:color w:val="000000" w:themeColor="text1"/>
          <w:szCs w:val="21"/>
          <w:highlight w:val="none"/>
          <w:lang w:val="en-US" w:eastAsia="zh-CN"/>
          <w14:textFill>
            <w14:solidFill>
              <w14:schemeClr w14:val="tx1"/>
            </w14:solidFill>
          </w14:textFill>
        </w:rPr>
        <w:t>养老保险</w:t>
      </w:r>
      <w:r>
        <w:rPr>
          <w:rFonts w:hint="eastAsia" w:ascii="宋体" w:hAnsi="宋体" w:eastAsia="宋体" w:cs="宋体"/>
          <w:b/>
          <w:bCs/>
          <w:color w:val="000000" w:themeColor="text1"/>
          <w:szCs w:val="21"/>
          <w:highlight w:val="none"/>
          <w14:textFill>
            <w14:solidFill>
              <w14:schemeClr w14:val="tx1"/>
            </w14:solidFill>
          </w14:textFill>
        </w:rPr>
        <w:t>证明</w:t>
      </w:r>
      <w:r>
        <w:rPr>
          <w:rFonts w:hint="eastAsia" w:ascii="宋体" w:hAnsi="宋体" w:eastAsia="宋体" w:cs="宋体"/>
          <w:b/>
          <w:bCs/>
          <w:color w:val="000000" w:themeColor="text1"/>
          <w:szCs w:val="21"/>
          <w:highlight w:val="none"/>
          <w:lang w:eastAsia="zh-CN"/>
          <w14:textFill>
            <w14:solidFill>
              <w14:schemeClr w14:val="tx1"/>
            </w14:solidFill>
          </w14:textFill>
        </w:rPr>
        <w:t>扫描件。</w:t>
      </w:r>
      <w:r>
        <w:rPr>
          <w:rFonts w:hint="eastAsia" w:ascii="宋体" w:hAnsi="宋体" w:eastAsia="宋体" w:cs="宋体"/>
          <w:b/>
          <w:bCs/>
          <w:color w:val="000000" w:themeColor="text1"/>
          <w:szCs w:val="21"/>
          <w:highlight w:val="none"/>
          <w:lang w:val="en-US" w:eastAsia="zh-CN"/>
          <w14:textFill>
            <w14:solidFill>
              <w14:schemeClr w14:val="tx1"/>
            </w14:solidFill>
          </w14:textFill>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（委托代理时必须提供；</w:t>
      </w:r>
      <w:r>
        <w:rPr>
          <w:rFonts w:hint="eastAsia" w:ascii="宋体" w:hAnsi="宋体" w:eastAsia="宋体" w:cs="宋体"/>
          <w:b/>
          <w:bCs/>
          <w:color w:val="000000" w:themeColor="text1"/>
          <w:szCs w:val="21"/>
          <w:highlight w:val="none"/>
          <w14:textFill>
            <w14:solidFill>
              <w14:schemeClr w14:val="tx1"/>
            </w14:solidFill>
          </w14:textFill>
        </w:rPr>
        <w:t>如为联合体的，授权委托书原件须由牵头人出具</w:t>
      </w:r>
      <w:r>
        <w:rPr>
          <w:rFonts w:hint="eastAsia" w:ascii="宋体" w:hAnsi="宋体" w:eastAsia="宋体" w:cs="宋体"/>
          <w:b/>
          <w:color w:val="000000" w:themeColor="text1"/>
          <w:szCs w:val="21"/>
          <w:highlight w:val="none"/>
          <w14:textFill>
            <w14:solidFill>
              <w14:schemeClr w14:val="tx1"/>
            </w14:solidFill>
          </w14:textFill>
        </w:rPr>
        <w:t>）；</w:t>
      </w:r>
    </w:p>
    <w:p w14:paraId="3215D55A">
      <w:pPr>
        <w:tabs>
          <w:tab w:val="left" w:pos="1305"/>
        </w:tabs>
        <w:spacing w:line="38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3.投标人的法人或者其他组织营业执照等证明文件</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color w:val="000000" w:themeColor="text1"/>
          <w:szCs w:val="21"/>
          <w:highlight w:val="none"/>
          <w14:textFill>
            <w14:solidFill>
              <w14:schemeClr w14:val="tx1"/>
            </w14:solidFill>
          </w14:textFill>
        </w:rPr>
        <w:t>（必须提供，自然人除外）</w:t>
      </w:r>
      <w:r>
        <w:rPr>
          <w:rFonts w:hint="eastAsia" w:ascii="宋体" w:hAnsi="宋体" w:eastAsia="宋体" w:cs="宋体"/>
          <w:color w:val="000000" w:themeColor="text1"/>
          <w:szCs w:val="21"/>
          <w:highlight w:val="none"/>
          <w14:textFill>
            <w14:solidFill>
              <w14:schemeClr w14:val="tx1"/>
            </w14:solidFill>
          </w14:textFill>
        </w:rPr>
        <w:t>；</w:t>
      </w:r>
    </w:p>
    <w:p w14:paraId="153A0138">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4.财务状况报告</w:t>
      </w:r>
      <w:r>
        <w:rPr>
          <w:rFonts w:hint="eastAsia" w:ascii="宋体" w:hAnsi="宋体" w:eastAsia="宋体" w:cs="宋体"/>
          <w:b/>
          <w:bCs/>
          <w:color w:val="000000" w:themeColor="text1"/>
          <w:szCs w:val="21"/>
          <w:highlight w:val="none"/>
          <w:lang w:eastAsia="zh-CN"/>
          <w14:textFill>
            <w14:solidFill>
              <w14:schemeClr w14:val="tx1"/>
            </w14:solidFill>
          </w14:textFill>
        </w:rPr>
        <w:t>（格式自拟，必须提供）</w:t>
      </w:r>
      <w:r>
        <w:rPr>
          <w:rFonts w:hint="eastAsia" w:ascii="宋体" w:hAnsi="宋体" w:eastAsia="宋体" w:cs="宋体"/>
          <w:color w:val="000000" w:themeColor="text1"/>
          <w:szCs w:val="21"/>
          <w:highlight w:val="none"/>
          <w14:textFill>
            <w14:solidFill>
              <w14:schemeClr w14:val="tx1"/>
            </w14:solidFill>
          </w14:textFill>
        </w:rPr>
        <w:t>；</w:t>
      </w:r>
    </w:p>
    <w:p w14:paraId="62876708">
      <w:pPr>
        <w:tabs>
          <w:tab w:val="left" w:pos="1305"/>
        </w:tabs>
        <w:spacing w:line="380" w:lineRule="exact"/>
        <w:ind w:firstLine="42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r>
        <w:rPr>
          <w:rFonts w:hint="eastAsia" w:ascii="宋体" w:hAnsi="宋体" w:eastAsia="宋体" w:cs="宋体"/>
          <w:color w:val="000000" w:themeColor="text1"/>
          <w:szCs w:val="21"/>
          <w:highlight w:val="none"/>
          <w:lang w:eastAsia="zh-CN"/>
          <w14:textFill>
            <w14:solidFill>
              <w14:schemeClr w14:val="tx1"/>
            </w14:solidFill>
          </w14:textFill>
        </w:rPr>
        <w:t>投标人参加政府采购活动前3年内在经营活动中没有重大违法记录及有关信用信息的书面声明或专项信用报告</w:t>
      </w:r>
      <w:r>
        <w:rPr>
          <w:rFonts w:hint="eastAsia" w:ascii="宋体" w:hAnsi="宋体" w:eastAsia="宋体" w:cs="宋体"/>
          <w:b/>
          <w:bCs/>
          <w:color w:val="000000" w:themeColor="text1"/>
          <w:szCs w:val="21"/>
          <w:highlight w:val="none"/>
          <w14:textFill>
            <w14:solidFill>
              <w14:schemeClr w14:val="tx1"/>
            </w14:solidFill>
          </w14:textFill>
        </w:rPr>
        <w:t>（必须提供）；</w:t>
      </w:r>
    </w:p>
    <w:p w14:paraId="54CB7DA5">
      <w:pPr>
        <w:tabs>
          <w:tab w:val="left" w:pos="1305"/>
        </w:tabs>
        <w:spacing w:line="380" w:lineRule="exact"/>
        <w:ind w:firstLine="422"/>
        <w:rPr>
          <w:rFonts w:hint="eastAsia" w:ascii="宋体" w:hAnsi="宋体" w:eastAsia="宋体" w:cs="宋体"/>
          <w:b/>
          <w:bCs/>
          <w:color w:val="000000" w:themeColor="text1"/>
          <w:szCs w:val="21"/>
          <w:highlight w:val="none"/>
          <w:u w:val="single"/>
          <w:lang w:eastAsia="zh-CN"/>
          <w14:textFill>
            <w14:solidFill>
              <w14:schemeClr w14:val="tx1"/>
            </w14:solidFill>
          </w14:textFill>
        </w:rPr>
      </w:pPr>
      <w:r>
        <w:rPr>
          <w:rFonts w:hint="eastAsia" w:ascii="宋体" w:hAnsi="宋体" w:eastAsia="宋体" w:cs="宋体"/>
          <w:b/>
          <w:bCs/>
          <w:color w:val="000000" w:themeColor="text1"/>
          <w:szCs w:val="21"/>
          <w:highlight w:val="none"/>
          <w:u w:val="single"/>
          <w14:textFill>
            <w14:solidFill>
              <w14:schemeClr w14:val="tx1"/>
            </w14:solidFill>
          </w14:textFill>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eastAsia="宋体" w:cs="宋体"/>
          <w:b/>
          <w:bCs/>
          <w:color w:val="000000" w:themeColor="text1"/>
          <w:szCs w:val="21"/>
          <w:highlight w:val="none"/>
          <w:u w:val="single"/>
          <w:lang w:eastAsia="zh-CN"/>
          <w14:textFill>
            <w14:solidFill>
              <w14:schemeClr w14:val="tx1"/>
            </w14:solidFill>
          </w14:textFill>
        </w:rPr>
        <w:t>；</w:t>
      </w:r>
    </w:p>
    <w:p w14:paraId="76341B49">
      <w:pPr>
        <w:tabs>
          <w:tab w:val="left" w:pos="1305"/>
        </w:tabs>
        <w:spacing w:line="380" w:lineRule="exact"/>
        <w:ind w:firstLine="42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6.投标人近半年内任意一个月或任一季度依法缴纳税收的证明材料【增值税发票(税收完税证明)或企业所得税完税证明或税务部门出具的免税证明</w:t>
      </w:r>
      <w:r>
        <w:rPr>
          <w:rFonts w:hint="eastAsia" w:ascii="宋体" w:hAnsi="宋体" w:eastAsia="宋体" w:cs="宋体"/>
          <w:color w:val="000000" w:themeColor="text1"/>
          <w:szCs w:val="21"/>
          <w:highlight w:val="none"/>
          <w:lang w:eastAsia="zh-CN"/>
          <w14:textFill>
            <w14:solidFill>
              <w14:schemeClr w14:val="tx1"/>
            </w14:solidFill>
          </w14:textFill>
        </w:rPr>
        <w:t>或税务部门出具的无欠税证明</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bCs/>
          <w:color w:val="000000" w:themeColor="text1"/>
          <w:szCs w:val="21"/>
          <w:highlight w:val="none"/>
          <w14:textFill>
            <w14:solidFill>
              <w14:schemeClr w14:val="tx1"/>
            </w14:solidFill>
          </w14:textFill>
        </w:rPr>
        <w:t>（必须提供）</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140DC96">
      <w:pPr>
        <w:pStyle w:val="254"/>
        <w:keepNext w:val="0"/>
        <w:keepLines w:val="0"/>
        <w:pageBreakBefore w:val="0"/>
        <w:widowControl w:val="0"/>
        <w:numPr>
          <w:ilvl w:val="0"/>
          <w:numId w:val="0"/>
        </w:numPr>
        <w:bidi w:val="0"/>
        <w:ind w:firstLine="42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7.《中小企业声明函》（见附件）</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（除监狱企业及残疾人福利性单位外，必须提供）；</w:t>
      </w:r>
    </w:p>
    <w:p w14:paraId="6B010DC9">
      <w:pPr>
        <w:pStyle w:val="254"/>
        <w:keepNext w:val="0"/>
        <w:keepLines w:val="0"/>
        <w:pageBreakBefore w:val="0"/>
        <w:widowControl w:val="0"/>
        <w:numPr>
          <w:ilvl w:val="0"/>
          <w:numId w:val="0"/>
        </w:numPr>
        <w:bidi w:val="0"/>
        <w:ind w:firstLine="42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（如供应商属于监狱企业的，则必须提供）；</w:t>
      </w:r>
    </w:p>
    <w:p w14:paraId="5FA86E9E">
      <w:pPr>
        <w:pStyle w:val="254"/>
        <w:ind w:firstLine="42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9.符合条件的残疾人福利性单位在参加政府采购活动时，应当提供《残疾人福利性单位声明函》（见附件），并对声明的真实性负责</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（如供应商属于残疾人福利性单位的，则必须提供）。</w:t>
      </w:r>
    </w:p>
    <w:p w14:paraId="6F636229">
      <w:pPr>
        <w:tabs>
          <w:tab w:val="left" w:pos="1305"/>
        </w:tabs>
        <w:spacing w:line="380" w:lineRule="exact"/>
        <w:ind w:firstLine="422"/>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二、商务、技术性响应及其他证明材料：</w:t>
      </w:r>
    </w:p>
    <w:p w14:paraId="25B4579A">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1.投标报价表</w:t>
      </w:r>
      <w:r>
        <w:rPr>
          <w:rFonts w:hint="eastAsia" w:ascii="宋体" w:hAnsi="宋体" w:eastAsia="宋体" w:cs="宋体"/>
          <w:color w:val="000000" w:themeColor="text1"/>
          <w:szCs w:val="21"/>
          <w:highlight w:val="none"/>
          <w14:textFill>
            <w14:solidFill>
              <w14:schemeClr w14:val="tx1"/>
            </w14:solidFill>
          </w14:textFill>
        </w:rPr>
        <w:t>（格式见附件）</w:t>
      </w:r>
      <w:r>
        <w:rPr>
          <w:rFonts w:hint="eastAsia" w:ascii="宋体" w:hAnsi="宋体" w:eastAsia="宋体" w:cs="宋体"/>
          <w:b/>
          <w:bCs/>
          <w:color w:val="000000" w:themeColor="text1"/>
          <w:szCs w:val="21"/>
          <w:highlight w:val="none"/>
          <w14:textFill>
            <w14:solidFill>
              <w14:schemeClr w14:val="tx1"/>
            </w14:solidFill>
          </w14:textFill>
        </w:rPr>
        <w:t>（必须提供）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p>
    <w:p w14:paraId="15DC9AC3">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lang w:eastAsia="zh-CN"/>
          <w14:textFill>
            <w14:solidFill>
              <w14:schemeClr w14:val="tx1"/>
            </w14:solidFill>
          </w14:textFill>
        </w:rPr>
        <w:t>服务响应表</w:t>
      </w:r>
      <w:r>
        <w:rPr>
          <w:rFonts w:hint="eastAsia" w:ascii="宋体" w:hAnsi="宋体" w:eastAsia="宋体" w:cs="宋体"/>
          <w:bCs/>
          <w:color w:val="000000" w:themeColor="text1"/>
          <w:szCs w:val="21"/>
          <w:highlight w:val="none"/>
          <w14:textFill>
            <w14:solidFill>
              <w14:schemeClr w14:val="tx1"/>
            </w14:solidFill>
          </w14:textFill>
        </w:rPr>
        <w:t>（格式见附件）</w:t>
      </w:r>
      <w:r>
        <w:rPr>
          <w:rFonts w:hint="eastAsia" w:ascii="宋体" w:hAnsi="宋体" w:eastAsia="宋体" w:cs="宋体"/>
          <w:b/>
          <w:color w:val="000000" w:themeColor="text1"/>
          <w:szCs w:val="21"/>
          <w:highlight w:val="none"/>
          <w14:textFill>
            <w14:solidFill>
              <w14:schemeClr w14:val="tx1"/>
            </w14:solidFill>
          </w14:textFill>
        </w:rPr>
        <w:t>（必须提供）</w:t>
      </w:r>
      <w:r>
        <w:rPr>
          <w:rFonts w:hint="eastAsia" w:ascii="宋体" w:hAnsi="宋体" w:eastAsia="宋体" w:cs="宋体"/>
          <w:color w:val="000000" w:themeColor="text1"/>
          <w:szCs w:val="21"/>
          <w:highlight w:val="none"/>
          <w14:textFill>
            <w14:solidFill>
              <w14:schemeClr w14:val="tx1"/>
            </w14:solidFill>
          </w14:textFill>
        </w:rPr>
        <w:t>；</w:t>
      </w:r>
    </w:p>
    <w:p w14:paraId="7D5C3F66">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商务响应表</w:t>
      </w:r>
      <w:r>
        <w:rPr>
          <w:rFonts w:hint="eastAsia" w:ascii="宋体" w:hAnsi="宋体" w:eastAsia="宋体" w:cs="宋体"/>
          <w:bCs/>
          <w:color w:val="000000" w:themeColor="text1"/>
          <w:szCs w:val="21"/>
          <w:highlight w:val="none"/>
          <w14:textFill>
            <w14:solidFill>
              <w14:schemeClr w14:val="tx1"/>
            </w14:solidFill>
          </w14:textFill>
        </w:rPr>
        <w:t>（格式见附件）</w:t>
      </w:r>
      <w:r>
        <w:rPr>
          <w:rFonts w:hint="eastAsia" w:ascii="宋体" w:hAnsi="宋体" w:eastAsia="宋体" w:cs="宋体"/>
          <w:b/>
          <w:color w:val="000000" w:themeColor="text1"/>
          <w:szCs w:val="21"/>
          <w:highlight w:val="none"/>
          <w14:textFill>
            <w14:solidFill>
              <w14:schemeClr w14:val="tx1"/>
            </w14:solidFill>
          </w14:textFill>
        </w:rPr>
        <w:t>（必须提供）</w:t>
      </w:r>
      <w:r>
        <w:rPr>
          <w:rFonts w:hint="eastAsia" w:ascii="宋体" w:hAnsi="宋体" w:eastAsia="宋体" w:cs="宋体"/>
          <w:bCs/>
          <w:color w:val="000000" w:themeColor="text1"/>
          <w:szCs w:val="21"/>
          <w:highlight w:val="none"/>
          <w14:textFill>
            <w14:solidFill>
              <w14:schemeClr w14:val="tx1"/>
            </w14:solidFill>
          </w14:textFill>
        </w:rPr>
        <w:t>；</w:t>
      </w:r>
    </w:p>
    <w:p w14:paraId="14E56252">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“采购需求”需提供的有效证明文件</w:t>
      </w:r>
      <w:r>
        <w:rPr>
          <w:rFonts w:hint="eastAsia" w:ascii="宋体" w:hAnsi="宋体" w:eastAsia="宋体" w:cs="宋体"/>
          <w:b/>
          <w:color w:val="000000" w:themeColor="text1"/>
          <w:szCs w:val="21"/>
          <w:highlight w:val="none"/>
          <w14:textFill>
            <w14:solidFill>
              <w14:schemeClr w14:val="tx1"/>
            </w14:solidFill>
          </w14:textFill>
        </w:rPr>
        <w:t>（按其要求提供）</w:t>
      </w:r>
      <w:r>
        <w:rPr>
          <w:rFonts w:hint="eastAsia" w:ascii="宋体" w:hAnsi="宋体" w:eastAsia="宋体" w:cs="宋体"/>
          <w:color w:val="000000" w:themeColor="text1"/>
          <w:szCs w:val="21"/>
          <w:highlight w:val="none"/>
          <w14:textFill>
            <w14:solidFill>
              <w14:schemeClr w14:val="tx1"/>
            </w14:solidFill>
          </w14:textFill>
        </w:rPr>
        <w:t>；</w:t>
      </w:r>
    </w:p>
    <w:p w14:paraId="01BA7DA2">
      <w:pPr>
        <w:numPr>
          <w:ilvl w:val="0"/>
          <w:numId w:val="0"/>
        </w:numPr>
        <w:tabs>
          <w:tab w:val="left" w:pos="1305"/>
        </w:tabs>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lang w:eastAsia="zh-CN"/>
          <w14:textFill>
            <w14:solidFill>
              <w14:schemeClr w14:val="tx1"/>
            </w14:solidFill>
          </w14:textFill>
        </w:rPr>
        <w:t>服务承诺书（由供应商根据本项目采购需求、特点及供应商自身的处理能力自行编写）</w:t>
      </w:r>
      <w:r>
        <w:rPr>
          <w:rFonts w:hint="eastAsia" w:ascii="宋体" w:hAnsi="宋体" w:eastAsia="宋体" w:cs="宋体"/>
          <w:bCs/>
          <w:color w:val="000000" w:themeColor="text1"/>
          <w:szCs w:val="21"/>
          <w:highlight w:val="none"/>
          <w14:textFill>
            <w14:solidFill>
              <w14:schemeClr w14:val="tx1"/>
            </w14:solidFill>
          </w14:textFill>
        </w:rPr>
        <w:t>（格式见附件）</w:t>
      </w:r>
      <w:r>
        <w:rPr>
          <w:rFonts w:hint="eastAsia" w:ascii="宋体" w:hAnsi="宋体" w:eastAsia="宋体" w:cs="宋体"/>
          <w:b/>
          <w:color w:val="000000" w:themeColor="text1"/>
          <w:szCs w:val="21"/>
          <w:highlight w:val="none"/>
          <w14:textFill>
            <w14:solidFill>
              <w14:schemeClr w14:val="tx1"/>
            </w14:solidFill>
          </w14:textFill>
        </w:rPr>
        <w:t>（必须提供）</w:t>
      </w:r>
      <w:r>
        <w:rPr>
          <w:rFonts w:hint="eastAsia" w:ascii="宋体" w:hAnsi="宋体" w:eastAsia="宋体" w:cs="宋体"/>
          <w:color w:val="000000" w:themeColor="text1"/>
          <w:szCs w:val="21"/>
          <w:highlight w:val="none"/>
          <w14:textFill>
            <w14:solidFill>
              <w14:schemeClr w14:val="tx1"/>
            </w14:solidFill>
          </w14:textFill>
        </w:rPr>
        <w:t>；</w:t>
      </w:r>
    </w:p>
    <w:p w14:paraId="04415380">
      <w:pPr>
        <w:tabs>
          <w:tab w:val="left" w:pos="1305"/>
        </w:tabs>
        <w:spacing w:line="400" w:lineRule="exact"/>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lang w:eastAsia="zh-CN"/>
          <w14:textFill>
            <w14:solidFill>
              <w14:schemeClr w14:val="tx1"/>
            </w14:solidFill>
          </w14:textFill>
        </w:rPr>
        <w:t>针对本项目的服务方案</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必须提供</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eastAsia="zh-CN"/>
          <w14:textFill>
            <w14:solidFill>
              <w14:schemeClr w14:val="tx1"/>
            </w14:solidFill>
          </w14:textFill>
        </w:rPr>
        <w:t>；</w:t>
      </w:r>
    </w:p>
    <w:p w14:paraId="24876586">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lang w:eastAsia="zh-CN"/>
          <w14:textFill>
            <w14:solidFill>
              <w14:schemeClr w14:val="tx1"/>
            </w14:solidFill>
          </w14:textFill>
        </w:rPr>
        <w:t>投标人</w:t>
      </w:r>
      <w:r>
        <w:rPr>
          <w:rFonts w:hint="eastAsia" w:ascii="宋体" w:hAnsi="宋体" w:eastAsia="宋体" w:cs="宋体"/>
          <w:color w:val="000000" w:themeColor="text1"/>
          <w:szCs w:val="21"/>
          <w:highlight w:val="none"/>
          <w14:textFill>
            <w14:solidFill>
              <w14:schemeClr w14:val="tx1"/>
            </w14:solidFill>
          </w14:textFill>
        </w:rPr>
        <w:t>自</w:t>
      </w:r>
      <w:r>
        <w:rPr>
          <w:rFonts w:hint="eastAsia" w:ascii="宋体" w:hAnsi="宋体" w:eastAsia="宋体" w:cs="宋体"/>
          <w:color w:val="000000" w:themeColor="text1"/>
          <w:szCs w:val="21"/>
          <w:highlight w:val="none"/>
          <w:lang w:val="en-US" w:eastAsia="zh-CN"/>
          <w14:textFill>
            <w14:solidFill>
              <w14:schemeClr w14:val="tx1"/>
            </w14:solidFill>
          </w14:textFill>
        </w:rPr>
        <w:t>2023年1月1日以来</w:t>
      </w:r>
      <w:r>
        <w:rPr>
          <w:rFonts w:hint="eastAsia" w:ascii="宋体" w:hAnsi="宋体" w:eastAsia="宋体" w:cs="宋体"/>
          <w:color w:val="000000" w:themeColor="text1"/>
          <w:highlight w:val="none"/>
          <w:lang w:eastAsia="zh-CN"/>
          <w14:textFill>
            <w14:solidFill>
              <w14:schemeClr w14:val="tx1"/>
            </w14:solidFill>
          </w14:textFill>
        </w:rPr>
        <w:t>同类业绩</w:t>
      </w:r>
      <w:r>
        <w:rPr>
          <w:rFonts w:hint="eastAsia" w:ascii="宋体" w:hAnsi="宋体" w:eastAsia="宋体" w:cs="宋体"/>
          <w:color w:val="000000" w:themeColor="text1"/>
          <w:highlight w:val="none"/>
          <w14:textFill>
            <w14:solidFill>
              <w14:schemeClr w14:val="tx1"/>
            </w14:solidFill>
          </w14:textFill>
        </w:rPr>
        <w:t>的相关证明材料</w:t>
      </w:r>
      <w:r>
        <w:rPr>
          <w:rFonts w:hint="eastAsia" w:ascii="宋体" w:hAnsi="宋体" w:eastAsia="宋体" w:cs="宋体"/>
          <w:color w:val="000000" w:themeColor="text1"/>
          <w:szCs w:val="21"/>
          <w:highlight w:val="none"/>
          <w14:textFill>
            <w14:solidFill>
              <w14:schemeClr w14:val="tx1"/>
            </w14:solidFill>
          </w14:textFill>
        </w:rPr>
        <w:t>（以中标、成交通知书或签订的采购合同</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为准，并能清晰反映所</w:t>
      </w:r>
      <w:r>
        <w:rPr>
          <w:rFonts w:hint="eastAsia" w:ascii="宋体" w:hAnsi="宋体" w:eastAsia="宋体" w:cs="宋体"/>
          <w:color w:val="000000" w:themeColor="text1"/>
          <w:szCs w:val="21"/>
          <w:highlight w:val="none"/>
          <w:lang w:val="en-US" w:eastAsia="zh-CN"/>
          <w14:textFill>
            <w14:solidFill>
              <w14:schemeClr w14:val="tx1"/>
            </w14:solidFill>
          </w14:textFill>
        </w:rPr>
        <w:t>提供</w:t>
      </w:r>
      <w:r>
        <w:rPr>
          <w:rFonts w:hint="eastAsia" w:ascii="宋体" w:hAnsi="宋体" w:eastAsia="宋体" w:cs="宋体"/>
          <w:color w:val="000000" w:themeColor="text1"/>
          <w:szCs w:val="21"/>
          <w:highlight w:val="none"/>
          <w14:textFill>
            <w14:solidFill>
              <w14:schemeClr w14:val="tx1"/>
            </w14:solidFill>
          </w14:textFill>
        </w:rPr>
        <w:t>的</w:t>
      </w:r>
      <w:r>
        <w:rPr>
          <w:rFonts w:hint="eastAsia" w:ascii="宋体" w:hAnsi="宋体" w:eastAsia="宋体" w:cs="宋体"/>
          <w:color w:val="000000" w:themeColor="text1"/>
          <w:szCs w:val="21"/>
          <w:highlight w:val="none"/>
          <w:lang w:val="en-US" w:eastAsia="zh-CN"/>
          <w14:textFill>
            <w14:solidFill>
              <w14:schemeClr w14:val="tx1"/>
            </w14:solidFill>
          </w14:textFill>
        </w:rPr>
        <w:t>服务类型</w:t>
      </w:r>
      <w:r>
        <w:rPr>
          <w:rFonts w:hint="eastAsia" w:ascii="宋体" w:hAnsi="宋体" w:eastAsia="宋体" w:cs="宋体"/>
          <w:color w:val="000000" w:themeColor="text1"/>
          <w:szCs w:val="21"/>
          <w:highlight w:val="none"/>
          <w14:textFill>
            <w14:solidFill>
              <w14:schemeClr w14:val="tx1"/>
            </w14:solidFill>
          </w14:textFill>
        </w:rPr>
        <w:t>、种类、金额</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b/>
          <w:color w:val="000000" w:themeColor="text1"/>
          <w:highlight w:val="none"/>
          <w14:textFill>
            <w14:solidFill>
              <w14:schemeClr w14:val="tx1"/>
            </w14:solidFill>
          </w14:textFill>
        </w:rPr>
        <w:t>（如有，请提供）</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p>
    <w:p w14:paraId="78DD0370">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项目实施人员一览表</w:t>
      </w:r>
      <w:r>
        <w:rPr>
          <w:rFonts w:hint="eastAsia" w:ascii="宋体" w:hAnsi="宋体" w:eastAsia="宋体" w:cs="宋体"/>
          <w:b/>
          <w:color w:val="000000" w:themeColor="text1"/>
          <w:highlight w:val="none"/>
          <w14:textFill>
            <w14:solidFill>
              <w14:schemeClr w14:val="tx1"/>
            </w14:solidFill>
          </w14:textFill>
        </w:rPr>
        <w:t>（如有，请提供）</w:t>
      </w:r>
      <w:r>
        <w:rPr>
          <w:rFonts w:hint="eastAsia" w:ascii="宋体" w:hAnsi="宋体" w:eastAsia="宋体" w:cs="宋体"/>
          <w:b/>
          <w:bCs/>
          <w:color w:val="000000" w:themeColor="text1"/>
          <w:szCs w:val="21"/>
          <w:highlight w:val="none"/>
          <w14:textFill>
            <w14:solidFill>
              <w14:schemeClr w14:val="tx1"/>
            </w14:solidFill>
          </w14:textFill>
        </w:rPr>
        <w:t>；</w:t>
      </w:r>
    </w:p>
    <w:p w14:paraId="72B45035">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投标人相关获奖证书、认证证书等</w:t>
      </w:r>
      <w:r>
        <w:rPr>
          <w:rFonts w:hint="eastAsia" w:ascii="宋体" w:hAnsi="宋体" w:eastAsia="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color w:val="000000" w:themeColor="text1"/>
          <w:szCs w:val="21"/>
          <w:highlight w:val="none"/>
          <w14:textFill>
            <w14:solidFill>
              <w14:schemeClr w14:val="tx1"/>
            </w14:solidFill>
          </w14:textFill>
        </w:rPr>
        <w:t>（如有，请提供）</w:t>
      </w:r>
      <w:r>
        <w:rPr>
          <w:rFonts w:hint="eastAsia" w:ascii="宋体" w:hAnsi="宋体" w:eastAsia="宋体" w:cs="宋体"/>
          <w:color w:val="000000" w:themeColor="text1"/>
          <w:szCs w:val="21"/>
          <w:highlight w:val="none"/>
          <w14:textFill>
            <w14:solidFill>
              <w14:schemeClr w14:val="tx1"/>
            </w14:solidFill>
          </w14:textFill>
        </w:rPr>
        <w:t>；</w:t>
      </w:r>
    </w:p>
    <w:p w14:paraId="6AF7B4A0">
      <w:pPr>
        <w:tabs>
          <w:tab w:val="left" w:pos="1305"/>
        </w:tabs>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4"/>
          <w:highlight w:val="none"/>
          <w:lang w:val="en-US" w:eastAsia="zh-CN" w:bidi="ar-SA"/>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投标人可结合本项目的评标办法视自身情况自行提交相关证明材料</w:t>
      </w:r>
      <w:r>
        <w:rPr>
          <w:rFonts w:hint="eastAsia" w:ascii="宋体" w:hAnsi="宋体" w:eastAsia="宋体" w:cs="宋体"/>
          <w:b/>
          <w:color w:val="000000" w:themeColor="text1"/>
          <w:szCs w:val="21"/>
          <w:highlight w:val="none"/>
          <w14:textFill>
            <w14:solidFill>
              <w14:schemeClr w14:val="tx1"/>
            </w14:solidFill>
          </w14:textFill>
        </w:rPr>
        <w:t>（如有，请提供）</w:t>
      </w:r>
      <w:r>
        <w:rPr>
          <w:rFonts w:hint="eastAsia" w:ascii="宋体" w:hAnsi="宋体" w:eastAsia="宋体" w:cs="宋体"/>
          <w:color w:val="000000" w:themeColor="text1"/>
          <w:szCs w:val="21"/>
          <w:highlight w:val="none"/>
          <w14:textFill>
            <w14:solidFill>
              <w14:schemeClr w14:val="tx1"/>
            </w14:solidFill>
          </w14:textFill>
        </w:rPr>
        <w:t>。</w:t>
      </w:r>
    </w:p>
    <w:p w14:paraId="60124169">
      <w:pPr>
        <w:spacing w:line="400" w:lineRule="exact"/>
        <w:ind w:firstLine="420"/>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投标人提供的以上相关证明材料属于“必须提供”的文件应加盖投标人公章（CA签章）/自然人签字或加盖个人CA签章，否则投标无效。</w:t>
      </w:r>
    </w:p>
    <w:p w14:paraId="7D222151">
      <w:pPr>
        <w:pStyle w:val="212"/>
        <w:rPr>
          <w:rFonts w:hint="eastAsia" w:ascii="宋体" w:hAnsi="宋体" w:eastAsia="宋体" w:cs="宋体"/>
          <w:color w:val="000000" w:themeColor="text1"/>
          <w:szCs w:val="21"/>
          <w:highlight w:val="none"/>
          <w14:textFill>
            <w14:solidFill>
              <w14:schemeClr w14:val="tx1"/>
            </w14:solidFill>
          </w14:textFill>
        </w:rPr>
      </w:pPr>
    </w:p>
    <w:p w14:paraId="1109773A">
      <w:pPr>
        <w:pStyle w:val="212"/>
        <w:rPr>
          <w:rFonts w:hint="eastAsia" w:ascii="宋体" w:hAnsi="宋体" w:eastAsia="宋体" w:cs="宋体"/>
          <w:color w:val="000000" w:themeColor="text1"/>
          <w:szCs w:val="21"/>
          <w:highlight w:val="none"/>
          <w14:textFill>
            <w14:solidFill>
              <w14:schemeClr w14:val="tx1"/>
            </w14:solidFill>
          </w14:textFill>
        </w:rPr>
      </w:pPr>
    </w:p>
    <w:p w14:paraId="616A4E2C">
      <w:pPr>
        <w:pStyle w:val="212"/>
        <w:rPr>
          <w:rFonts w:hint="eastAsia" w:ascii="宋体" w:hAnsi="宋体" w:eastAsia="宋体" w:cs="宋体"/>
          <w:color w:val="000000" w:themeColor="text1"/>
          <w:szCs w:val="21"/>
          <w:highlight w:val="none"/>
          <w14:textFill>
            <w14:solidFill>
              <w14:schemeClr w14:val="tx1"/>
            </w14:solidFill>
          </w14:textFill>
        </w:rPr>
      </w:pPr>
    </w:p>
    <w:p w14:paraId="0E7B7D8A">
      <w:pPr>
        <w:pStyle w:val="212"/>
        <w:rPr>
          <w:rFonts w:hint="eastAsia" w:ascii="宋体" w:hAnsi="宋体" w:eastAsia="宋体" w:cs="宋体"/>
          <w:color w:val="000000" w:themeColor="text1"/>
          <w:szCs w:val="21"/>
          <w:highlight w:val="none"/>
          <w14:textFill>
            <w14:solidFill>
              <w14:schemeClr w14:val="tx1"/>
            </w14:solidFill>
          </w14:textFill>
        </w:rPr>
      </w:pPr>
    </w:p>
    <w:p w14:paraId="074AA11E">
      <w:pPr>
        <w:pStyle w:val="212"/>
        <w:rPr>
          <w:rFonts w:hint="eastAsia" w:ascii="宋体" w:hAnsi="宋体" w:eastAsia="宋体" w:cs="宋体"/>
          <w:color w:val="000000" w:themeColor="text1"/>
          <w:szCs w:val="21"/>
          <w:highlight w:val="none"/>
          <w14:textFill>
            <w14:solidFill>
              <w14:schemeClr w14:val="tx1"/>
            </w14:solidFill>
          </w14:textFill>
        </w:rPr>
      </w:pPr>
    </w:p>
    <w:p w14:paraId="6CEF5109">
      <w:pPr>
        <w:pStyle w:val="212"/>
        <w:rPr>
          <w:rFonts w:hint="eastAsia" w:ascii="宋体" w:hAnsi="宋体" w:eastAsia="宋体" w:cs="宋体"/>
          <w:color w:val="000000" w:themeColor="text1"/>
          <w:szCs w:val="21"/>
          <w:highlight w:val="none"/>
          <w14:textFill>
            <w14:solidFill>
              <w14:schemeClr w14:val="tx1"/>
            </w14:solidFill>
          </w14:textFill>
        </w:rPr>
      </w:pPr>
    </w:p>
    <w:p w14:paraId="2ECF2DA5">
      <w:pPr>
        <w:pStyle w:val="212"/>
        <w:rPr>
          <w:rFonts w:hint="eastAsia" w:ascii="宋体" w:hAnsi="宋体" w:eastAsia="宋体" w:cs="宋体"/>
          <w:color w:val="000000" w:themeColor="text1"/>
          <w:szCs w:val="21"/>
          <w:highlight w:val="none"/>
          <w14:textFill>
            <w14:solidFill>
              <w14:schemeClr w14:val="tx1"/>
            </w14:solidFill>
          </w14:textFill>
        </w:rPr>
      </w:pPr>
    </w:p>
    <w:p w14:paraId="12D605D2">
      <w:pPr>
        <w:pStyle w:val="212"/>
        <w:rPr>
          <w:rFonts w:hint="eastAsia" w:ascii="宋体" w:hAnsi="宋体" w:eastAsia="宋体" w:cs="宋体"/>
          <w:color w:val="000000" w:themeColor="text1"/>
          <w:szCs w:val="21"/>
          <w:highlight w:val="none"/>
          <w14:textFill>
            <w14:solidFill>
              <w14:schemeClr w14:val="tx1"/>
            </w14:solidFill>
          </w14:textFill>
        </w:rPr>
      </w:pPr>
    </w:p>
    <w:p w14:paraId="051C2A44">
      <w:pPr>
        <w:pStyle w:val="212"/>
        <w:rPr>
          <w:rFonts w:hint="eastAsia" w:ascii="宋体" w:hAnsi="宋体" w:eastAsia="宋体" w:cs="宋体"/>
          <w:color w:val="000000" w:themeColor="text1"/>
          <w:szCs w:val="21"/>
          <w:highlight w:val="none"/>
          <w14:textFill>
            <w14:solidFill>
              <w14:schemeClr w14:val="tx1"/>
            </w14:solidFill>
          </w14:textFill>
        </w:rPr>
      </w:pPr>
    </w:p>
    <w:p w14:paraId="583BE8F5">
      <w:pPr>
        <w:pStyle w:val="212"/>
        <w:rPr>
          <w:rFonts w:hint="eastAsia" w:ascii="宋体" w:hAnsi="宋体" w:eastAsia="宋体" w:cs="宋体"/>
          <w:color w:val="000000" w:themeColor="text1"/>
          <w:szCs w:val="21"/>
          <w:highlight w:val="none"/>
          <w14:textFill>
            <w14:solidFill>
              <w14:schemeClr w14:val="tx1"/>
            </w14:solidFill>
          </w14:textFill>
        </w:rPr>
      </w:pPr>
    </w:p>
    <w:p w14:paraId="135D5FF9">
      <w:pPr>
        <w:pStyle w:val="212"/>
        <w:rPr>
          <w:rFonts w:hint="eastAsia" w:ascii="宋体" w:hAnsi="宋体" w:eastAsia="宋体" w:cs="宋体"/>
          <w:color w:val="000000" w:themeColor="text1"/>
          <w:szCs w:val="21"/>
          <w:highlight w:val="none"/>
          <w14:textFill>
            <w14:solidFill>
              <w14:schemeClr w14:val="tx1"/>
            </w14:solidFill>
          </w14:textFill>
        </w:rPr>
      </w:pPr>
    </w:p>
    <w:p w14:paraId="6D23F00B">
      <w:pPr>
        <w:pStyle w:val="212"/>
        <w:rPr>
          <w:rFonts w:hint="eastAsia" w:ascii="宋体" w:hAnsi="宋体" w:eastAsia="宋体" w:cs="宋体"/>
          <w:color w:val="000000" w:themeColor="text1"/>
          <w:szCs w:val="21"/>
          <w:highlight w:val="none"/>
          <w14:textFill>
            <w14:solidFill>
              <w14:schemeClr w14:val="tx1"/>
            </w14:solidFill>
          </w14:textFill>
        </w:rPr>
      </w:pPr>
    </w:p>
    <w:p w14:paraId="42024C2B">
      <w:pPr>
        <w:pStyle w:val="212"/>
        <w:rPr>
          <w:rFonts w:hint="eastAsia" w:ascii="宋体" w:hAnsi="宋体" w:eastAsia="宋体" w:cs="宋体"/>
          <w:color w:val="000000" w:themeColor="text1"/>
          <w:szCs w:val="21"/>
          <w:highlight w:val="none"/>
          <w14:textFill>
            <w14:solidFill>
              <w14:schemeClr w14:val="tx1"/>
            </w14:solidFill>
          </w14:textFill>
        </w:rPr>
      </w:pPr>
    </w:p>
    <w:p w14:paraId="35E1B07E">
      <w:pPr>
        <w:pStyle w:val="212"/>
        <w:rPr>
          <w:rFonts w:hint="eastAsia" w:ascii="宋体" w:hAnsi="宋体" w:eastAsia="宋体" w:cs="宋体"/>
          <w:color w:val="000000" w:themeColor="text1"/>
          <w:szCs w:val="21"/>
          <w:highlight w:val="none"/>
          <w14:textFill>
            <w14:solidFill>
              <w14:schemeClr w14:val="tx1"/>
            </w14:solidFill>
          </w14:textFill>
        </w:rPr>
      </w:pPr>
    </w:p>
    <w:p w14:paraId="2F132963">
      <w:pPr>
        <w:rPr>
          <w:rFonts w:hint="eastAsia" w:ascii="宋体" w:hAnsi="宋体" w:eastAsia="宋体" w:cs="宋体"/>
          <w:color w:val="000000" w:themeColor="text1"/>
          <w:szCs w:val="21"/>
          <w:highlight w:val="none"/>
          <w14:textFill>
            <w14:solidFill>
              <w14:schemeClr w14:val="tx1"/>
            </w14:solidFill>
          </w14:textFill>
        </w:rPr>
      </w:pPr>
    </w:p>
    <w:p w14:paraId="5D45B66F">
      <w:pPr>
        <w:pStyle w:val="205"/>
        <w:rPr>
          <w:rFonts w:hint="eastAsia" w:ascii="宋体" w:hAnsi="宋体" w:eastAsia="宋体" w:cs="宋体"/>
          <w:color w:val="000000" w:themeColor="text1"/>
          <w:szCs w:val="21"/>
          <w:highlight w:val="none"/>
          <w14:textFill>
            <w14:solidFill>
              <w14:schemeClr w14:val="tx1"/>
            </w14:solidFill>
          </w14:textFill>
        </w:rPr>
      </w:pPr>
    </w:p>
    <w:p w14:paraId="55681B39">
      <w:pPr>
        <w:pStyle w:val="205"/>
        <w:rPr>
          <w:rFonts w:hint="eastAsia" w:ascii="宋体" w:hAnsi="宋体" w:eastAsia="宋体" w:cs="宋体"/>
          <w:color w:val="000000" w:themeColor="text1"/>
          <w:szCs w:val="21"/>
          <w:highlight w:val="none"/>
          <w14:textFill>
            <w14:solidFill>
              <w14:schemeClr w14:val="tx1"/>
            </w14:solidFill>
          </w14:textFill>
        </w:rPr>
      </w:pPr>
    </w:p>
    <w:p w14:paraId="4DED6C05">
      <w:pPr>
        <w:pStyle w:val="205"/>
        <w:rPr>
          <w:rFonts w:hint="eastAsia" w:ascii="宋体" w:hAnsi="宋体" w:eastAsia="宋体" w:cs="宋体"/>
          <w:color w:val="000000" w:themeColor="text1"/>
          <w:szCs w:val="21"/>
          <w:highlight w:val="none"/>
          <w14:textFill>
            <w14:solidFill>
              <w14:schemeClr w14:val="tx1"/>
            </w14:solidFill>
          </w14:textFill>
        </w:rPr>
      </w:pPr>
    </w:p>
    <w:p w14:paraId="73264BDF">
      <w:pPr>
        <w:pStyle w:val="205"/>
        <w:rPr>
          <w:rFonts w:hint="eastAsia" w:ascii="宋体" w:hAnsi="宋体" w:eastAsia="宋体" w:cs="宋体"/>
          <w:color w:val="000000" w:themeColor="text1"/>
          <w:szCs w:val="21"/>
          <w:highlight w:val="none"/>
          <w14:textFill>
            <w14:solidFill>
              <w14:schemeClr w14:val="tx1"/>
            </w14:solidFill>
          </w14:textFill>
        </w:rPr>
      </w:pPr>
    </w:p>
    <w:p w14:paraId="08538C58">
      <w:pPr>
        <w:pStyle w:val="205"/>
        <w:rPr>
          <w:rFonts w:hint="eastAsia" w:ascii="宋体" w:hAnsi="宋体" w:eastAsia="宋体" w:cs="宋体"/>
          <w:color w:val="000000" w:themeColor="text1"/>
          <w:szCs w:val="21"/>
          <w:highlight w:val="none"/>
          <w14:textFill>
            <w14:solidFill>
              <w14:schemeClr w14:val="tx1"/>
            </w14:solidFill>
          </w14:textFill>
        </w:rPr>
      </w:pPr>
    </w:p>
    <w:p w14:paraId="257DA46D">
      <w:pPr>
        <w:pStyle w:val="205"/>
        <w:rPr>
          <w:rFonts w:hint="eastAsia" w:ascii="宋体" w:hAnsi="宋体" w:eastAsia="宋体" w:cs="宋体"/>
          <w:color w:val="000000" w:themeColor="text1"/>
          <w:szCs w:val="21"/>
          <w:highlight w:val="none"/>
          <w14:textFill>
            <w14:solidFill>
              <w14:schemeClr w14:val="tx1"/>
            </w14:solidFill>
          </w14:textFill>
        </w:rPr>
      </w:pPr>
    </w:p>
    <w:p w14:paraId="727B3AFF">
      <w:pPr>
        <w:pStyle w:val="205"/>
        <w:rPr>
          <w:rFonts w:hint="eastAsia" w:ascii="宋体" w:hAnsi="宋体" w:eastAsia="宋体" w:cs="宋体"/>
          <w:color w:val="000000" w:themeColor="text1"/>
          <w:szCs w:val="21"/>
          <w:highlight w:val="none"/>
          <w14:textFill>
            <w14:solidFill>
              <w14:schemeClr w14:val="tx1"/>
            </w14:solidFill>
          </w14:textFill>
        </w:rPr>
      </w:pPr>
    </w:p>
    <w:p w14:paraId="46055D17">
      <w:pPr>
        <w:pStyle w:val="205"/>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p>
    <w:p w14:paraId="0F3D766B">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一、资格性响应证明材料（格式）</w:t>
      </w:r>
    </w:p>
    <w:p w14:paraId="6938A438">
      <w:pPr>
        <w:rPr>
          <w:rFonts w:hint="eastAsia" w:ascii="宋体" w:hAnsi="宋体" w:eastAsia="宋体" w:cs="宋体"/>
          <w:b/>
          <w:bCs/>
          <w:color w:val="000000" w:themeColor="text1"/>
          <w:sz w:val="32"/>
          <w:szCs w:val="32"/>
          <w:highlight w:val="none"/>
          <w14:textFill>
            <w14:solidFill>
              <w14:schemeClr w14:val="tx1"/>
            </w14:solidFill>
          </w14:textFill>
        </w:rPr>
      </w:pPr>
    </w:p>
    <w:p w14:paraId="119EA4ED">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1.投标人相应的法定代表人、负责人、自然人身份证正反面</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（必须提供）；</w:t>
      </w:r>
    </w:p>
    <w:p w14:paraId="61E6ABF0">
      <w:pPr>
        <w:rPr>
          <w:rFonts w:hint="eastAsia" w:ascii="宋体" w:hAnsi="宋体" w:eastAsia="宋体" w:cs="宋体"/>
          <w:b/>
          <w:bCs/>
          <w:color w:val="000000" w:themeColor="text1"/>
          <w:sz w:val="32"/>
          <w:szCs w:val="32"/>
          <w:highlight w:val="none"/>
          <w14:textFill>
            <w14:solidFill>
              <w14:schemeClr w14:val="tx1"/>
            </w14:solidFill>
          </w14:textFill>
        </w:rPr>
      </w:pPr>
    </w:p>
    <w:p w14:paraId="7BD35AFA">
      <w:pPr>
        <w:rPr>
          <w:rFonts w:hint="eastAsia" w:ascii="宋体" w:hAnsi="宋体" w:eastAsia="宋体" w:cs="宋体"/>
          <w:b/>
          <w:bCs/>
          <w:color w:val="000000" w:themeColor="text1"/>
          <w:sz w:val="32"/>
          <w:szCs w:val="32"/>
          <w:highlight w:val="none"/>
          <w14:textFill>
            <w14:solidFill>
              <w14:schemeClr w14:val="tx1"/>
            </w14:solidFill>
          </w14:textFill>
        </w:rPr>
      </w:pPr>
    </w:p>
    <w:p w14:paraId="63E3539C">
      <w:pPr>
        <w:pStyle w:val="212"/>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2.投标人的授权委托书原件、委托代理人身份证正反面</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以及由县级以上（含县级）社会养老保险经办机构出具的投标人为委托代理人交纳的开标截止时间前</w:t>
      </w:r>
      <w:r>
        <w:rPr>
          <w:rFonts w:hint="eastAsia" w:ascii="宋体" w:hAnsi="宋体" w:eastAsia="宋体" w:cs="宋体"/>
          <w:b/>
          <w:bCs/>
          <w:color w:val="000000" w:themeColor="text1"/>
          <w:sz w:val="32"/>
          <w:szCs w:val="32"/>
          <w:highlight w:val="none"/>
          <w:lang w:eastAsia="zh-CN"/>
          <w14:textFill>
            <w14:solidFill>
              <w14:schemeClr w14:val="tx1"/>
            </w14:solidFill>
          </w14:textFill>
        </w:rPr>
        <w:t>三个月内任意一个月</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养老保险</w:t>
      </w:r>
      <w:r>
        <w:rPr>
          <w:rFonts w:hint="eastAsia" w:ascii="宋体" w:hAnsi="宋体" w:eastAsia="宋体" w:cs="宋体"/>
          <w:b/>
          <w:bCs/>
          <w:color w:val="000000" w:themeColor="text1"/>
          <w:sz w:val="32"/>
          <w:szCs w:val="32"/>
          <w:highlight w:val="none"/>
          <w14:textFill>
            <w14:solidFill>
              <w14:schemeClr w14:val="tx1"/>
            </w14:solidFill>
          </w14:textFill>
        </w:rPr>
        <w:t>证明</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，除投标人为以下</w:t>
      </w:r>
      <w:r>
        <w:rPr>
          <w:rFonts w:hint="eastAsia" w:ascii="宋体" w:hAnsi="宋体" w:eastAsia="宋体" w:cs="宋体"/>
          <w:b/>
          <w:bCs/>
          <w:color w:val="000000" w:themeColor="text1"/>
          <w:sz w:val="32"/>
          <w:szCs w:val="32"/>
          <w:highlight w:val="none"/>
          <w:lang w:eastAsia="zh-CN"/>
          <w14:textFill>
            <w14:solidFill>
              <w14:schemeClr w14:val="tx1"/>
            </w14:solidFill>
          </w14:textFill>
        </w:rPr>
        <w:t>四</w:t>
      </w:r>
      <w:r>
        <w:rPr>
          <w:rFonts w:hint="eastAsia" w:ascii="宋体" w:hAnsi="宋体" w:eastAsia="宋体" w:cs="宋体"/>
          <w:b/>
          <w:bCs/>
          <w:color w:val="000000" w:themeColor="text1"/>
          <w:sz w:val="32"/>
          <w:szCs w:val="32"/>
          <w:highlight w:val="none"/>
          <w14:textFill>
            <w14:solidFill>
              <w14:schemeClr w14:val="tx1"/>
            </w14:solidFill>
          </w14:textFill>
        </w:rPr>
        <w:t>种情形的：</w:t>
      </w:r>
    </w:p>
    <w:p w14:paraId="54DE8EB2">
      <w:pPr>
        <w:pStyle w:val="212"/>
        <w:ind w:firstLine="643"/>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①如投标人为截标时间前60日以内成立的公司，可以提供投标人与委托代理人签订的劳动合同</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代替</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养老保险</w:t>
      </w:r>
      <w:r>
        <w:rPr>
          <w:rFonts w:hint="eastAsia" w:ascii="宋体" w:hAnsi="宋体" w:eastAsia="宋体" w:cs="宋体"/>
          <w:b/>
          <w:bCs/>
          <w:color w:val="000000" w:themeColor="text1"/>
          <w:sz w:val="32"/>
          <w:szCs w:val="32"/>
          <w:highlight w:val="none"/>
          <w14:textFill>
            <w14:solidFill>
              <w14:schemeClr w14:val="tx1"/>
            </w14:solidFill>
          </w14:textFill>
        </w:rPr>
        <w:t>证明</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w:t>
      </w:r>
    </w:p>
    <w:p w14:paraId="56E8C058">
      <w:pPr>
        <w:pStyle w:val="212"/>
        <w:ind w:firstLine="643"/>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②如投标人为事业单位，可以提供事业单位机构编制管理证</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或事业单位机构为其发放工资的工资条</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代替</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养老保险</w:t>
      </w:r>
      <w:r>
        <w:rPr>
          <w:rFonts w:hint="eastAsia" w:ascii="宋体" w:hAnsi="宋体" w:eastAsia="宋体" w:cs="宋体"/>
          <w:b/>
          <w:bCs/>
          <w:color w:val="000000" w:themeColor="text1"/>
          <w:sz w:val="32"/>
          <w:szCs w:val="32"/>
          <w:highlight w:val="none"/>
          <w14:textFill>
            <w14:solidFill>
              <w14:schemeClr w14:val="tx1"/>
            </w14:solidFill>
          </w14:textFill>
        </w:rPr>
        <w:t>证明</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w:t>
      </w:r>
    </w:p>
    <w:p w14:paraId="5F4D5EA1">
      <w:pPr>
        <w:pStyle w:val="212"/>
        <w:ind w:firstLine="643"/>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③如委托代理人为免缴纳</w:t>
      </w:r>
      <w:r>
        <w:rPr>
          <w:rFonts w:hint="eastAsia" w:ascii="宋体" w:hAnsi="宋体" w:eastAsia="宋体" w:cs="宋体"/>
          <w:b/>
          <w:bCs/>
          <w:color w:val="000000" w:themeColor="text1"/>
          <w:sz w:val="32"/>
          <w:szCs w:val="32"/>
          <w:highlight w:val="none"/>
          <w:lang w:eastAsia="zh-CN"/>
          <w14:textFill>
            <w14:solidFill>
              <w14:schemeClr w14:val="tx1"/>
            </w14:solidFill>
          </w14:textFill>
        </w:rPr>
        <w:t>养老保险</w:t>
      </w:r>
      <w:r>
        <w:rPr>
          <w:rFonts w:hint="eastAsia" w:ascii="宋体" w:hAnsi="宋体" w:eastAsia="宋体" w:cs="宋体"/>
          <w:b/>
          <w:bCs/>
          <w:color w:val="000000" w:themeColor="text1"/>
          <w:sz w:val="32"/>
          <w:szCs w:val="32"/>
          <w:highlight w:val="none"/>
          <w14:textFill>
            <w14:solidFill>
              <w14:schemeClr w14:val="tx1"/>
            </w14:solidFill>
          </w14:textFill>
        </w:rPr>
        <w:t>人员，提供免缴纳</w:t>
      </w:r>
      <w:r>
        <w:rPr>
          <w:rFonts w:hint="eastAsia" w:ascii="宋体" w:hAnsi="宋体" w:eastAsia="宋体" w:cs="宋体"/>
          <w:b/>
          <w:bCs/>
          <w:color w:val="000000" w:themeColor="text1"/>
          <w:sz w:val="32"/>
          <w:szCs w:val="32"/>
          <w:highlight w:val="none"/>
          <w:lang w:eastAsia="zh-CN"/>
          <w14:textFill>
            <w14:solidFill>
              <w14:schemeClr w14:val="tx1"/>
            </w14:solidFill>
          </w14:textFill>
        </w:rPr>
        <w:t>养老保险</w:t>
      </w:r>
      <w:r>
        <w:rPr>
          <w:rFonts w:hint="eastAsia" w:ascii="宋体" w:hAnsi="宋体" w:eastAsia="宋体" w:cs="宋体"/>
          <w:b/>
          <w:bCs/>
          <w:color w:val="000000" w:themeColor="text1"/>
          <w:sz w:val="32"/>
          <w:szCs w:val="32"/>
          <w:highlight w:val="none"/>
          <w14:textFill>
            <w14:solidFill>
              <w14:schemeClr w14:val="tx1"/>
            </w14:solidFill>
          </w14:textFill>
        </w:rPr>
        <w:t>的证明材料</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及投标人与委托代理人签订的劳动合同</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代替</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养老保险</w:t>
      </w:r>
      <w:r>
        <w:rPr>
          <w:rFonts w:hint="eastAsia" w:ascii="宋体" w:hAnsi="宋体" w:eastAsia="宋体" w:cs="宋体"/>
          <w:b/>
          <w:bCs/>
          <w:color w:val="000000" w:themeColor="text1"/>
          <w:sz w:val="32"/>
          <w:szCs w:val="32"/>
          <w:highlight w:val="none"/>
          <w14:textFill>
            <w14:solidFill>
              <w14:schemeClr w14:val="tx1"/>
            </w14:solidFill>
          </w14:textFill>
        </w:rPr>
        <w:t>证明</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w:t>
      </w:r>
    </w:p>
    <w:p w14:paraId="190DF156">
      <w:pPr>
        <w:pStyle w:val="212"/>
        <w:ind w:firstLine="643"/>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1D16641F">
      <w:pPr>
        <w:pStyle w:val="212"/>
        <w:ind w:firstLine="64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【属自然人的应提供由县级以上（含县级）社会养老保险经办机构出具的自然人本人及委托代理人所交纳的开标截止时间前</w:t>
      </w:r>
      <w:r>
        <w:rPr>
          <w:rFonts w:hint="eastAsia" w:ascii="宋体" w:hAnsi="宋体" w:eastAsia="宋体" w:cs="宋体"/>
          <w:b/>
          <w:bCs/>
          <w:color w:val="000000" w:themeColor="text1"/>
          <w:sz w:val="32"/>
          <w:szCs w:val="32"/>
          <w:highlight w:val="none"/>
          <w:lang w:eastAsia="zh-CN"/>
          <w14:textFill>
            <w14:solidFill>
              <w14:schemeClr w14:val="tx1"/>
            </w14:solidFill>
          </w14:textFill>
        </w:rPr>
        <w:t>三个月内任意一个月</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养老保险</w:t>
      </w:r>
      <w:r>
        <w:rPr>
          <w:rFonts w:hint="eastAsia" w:ascii="宋体" w:hAnsi="宋体" w:eastAsia="宋体" w:cs="宋体"/>
          <w:b/>
          <w:bCs/>
          <w:color w:val="000000" w:themeColor="text1"/>
          <w:sz w:val="32"/>
          <w:szCs w:val="32"/>
          <w:highlight w:val="none"/>
          <w14:textFill>
            <w14:solidFill>
              <w14:schemeClr w14:val="tx1"/>
            </w14:solidFill>
          </w14:textFill>
        </w:rPr>
        <w:t>证明</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eastAsia="宋体" w:cs="宋体"/>
          <w:b/>
          <w:bCs/>
          <w:color w:val="000000" w:themeColor="text1"/>
          <w:sz w:val="32"/>
          <w:szCs w:val="32"/>
          <w:highlight w:val="none"/>
          <w14:textFill>
            <w14:solidFill>
              <w14:schemeClr w14:val="tx1"/>
            </w14:solidFill>
          </w14:textFill>
        </w:rPr>
        <w:t>】（委托代理时必须提供；如为联合体的，授权委托书原件须由牵头人出具）；</w:t>
      </w:r>
    </w:p>
    <w:p w14:paraId="693A2F9C">
      <w:pPr>
        <w:pStyle w:val="212"/>
        <w:rPr>
          <w:rFonts w:hint="eastAsia" w:ascii="宋体" w:hAnsi="宋体" w:eastAsia="宋体" w:cs="宋体"/>
          <w:color w:val="000000" w:themeColor="text1"/>
          <w:highlight w:val="none"/>
          <w14:textFill>
            <w14:solidFill>
              <w14:schemeClr w14:val="tx1"/>
            </w14:solidFill>
          </w14:textFill>
        </w:rPr>
      </w:pPr>
    </w:p>
    <w:p w14:paraId="06CF7DC6">
      <w:pPr>
        <w:pStyle w:val="212"/>
        <w:rPr>
          <w:rFonts w:hint="eastAsia" w:ascii="宋体" w:hAnsi="宋体" w:eastAsia="宋体" w:cs="宋体"/>
          <w:color w:val="000000" w:themeColor="text1"/>
          <w:highlight w:val="none"/>
          <w14:textFill>
            <w14:solidFill>
              <w14:schemeClr w14:val="tx1"/>
            </w14:solidFill>
          </w14:textFill>
        </w:rPr>
      </w:pPr>
    </w:p>
    <w:p w14:paraId="6E8FB4F5">
      <w:pPr>
        <w:rPr>
          <w:rFonts w:hint="eastAsia" w:ascii="宋体" w:hAnsi="宋体" w:eastAsia="宋体" w:cs="宋体"/>
          <w:color w:val="000000" w:themeColor="text1"/>
          <w:highlight w:val="none"/>
          <w14:textFill>
            <w14:solidFill>
              <w14:schemeClr w14:val="tx1"/>
            </w14:solidFill>
          </w14:textFill>
        </w:rPr>
      </w:pPr>
    </w:p>
    <w:p w14:paraId="2B90A250">
      <w:pPr>
        <w:jc w:val="center"/>
        <w:rPr>
          <w:rFonts w:hint="eastAsia" w:ascii="宋体" w:hAnsi="宋体" w:eastAsia="宋体" w:cs="宋体"/>
          <w:b/>
          <w:color w:val="000000" w:themeColor="text1"/>
          <w:sz w:val="32"/>
          <w:highlight w:val="none"/>
          <w14:textFill>
            <w14:solidFill>
              <w14:schemeClr w14:val="tx1"/>
            </w14:solidFill>
          </w14:textFill>
        </w:rPr>
      </w:pPr>
    </w:p>
    <w:p w14:paraId="59D26185">
      <w:pPr>
        <w:jc w:val="center"/>
        <w:rPr>
          <w:rFonts w:hint="eastAsia" w:ascii="宋体" w:hAnsi="宋体" w:eastAsia="宋体" w:cs="宋体"/>
          <w:b/>
          <w:color w:val="000000" w:themeColor="text1"/>
          <w:sz w:val="32"/>
          <w:highlight w:val="none"/>
          <w14:textFill>
            <w14:solidFill>
              <w14:schemeClr w14:val="tx1"/>
            </w14:solidFill>
          </w14:textFill>
        </w:rPr>
      </w:pPr>
    </w:p>
    <w:p w14:paraId="53C9C4FD">
      <w:pPr>
        <w:jc w:val="center"/>
        <w:rPr>
          <w:rFonts w:hint="eastAsia" w:ascii="宋体" w:hAnsi="宋体" w:eastAsia="宋体" w:cs="宋体"/>
          <w:b/>
          <w:color w:val="000000" w:themeColor="text1"/>
          <w:sz w:val="32"/>
          <w:highlight w:val="none"/>
          <w14:textFill>
            <w14:solidFill>
              <w14:schemeClr w14:val="tx1"/>
            </w14:solidFill>
          </w14:textFill>
        </w:rPr>
      </w:pPr>
    </w:p>
    <w:p w14:paraId="3269E5BF">
      <w:pPr>
        <w:jc w:val="center"/>
        <w:rPr>
          <w:rFonts w:hint="eastAsia" w:ascii="宋体" w:hAnsi="宋体" w:eastAsia="宋体" w:cs="宋体"/>
          <w:b/>
          <w:color w:val="000000" w:themeColor="text1"/>
          <w:sz w:val="32"/>
          <w:highlight w:val="none"/>
          <w14:textFill>
            <w14:solidFill>
              <w14:schemeClr w14:val="tx1"/>
            </w14:solidFill>
          </w14:textFill>
        </w:rPr>
      </w:pPr>
      <w:r>
        <w:rPr>
          <w:rFonts w:hint="eastAsia" w:ascii="宋体" w:hAnsi="宋体" w:eastAsia="宋体" w:cs="宋体"/>
          <w:b/>
          <w:color w:val="000000" w:themeColor="text1"/>
          <w:sz w:val="32"/>
          <w:highlight w:val="none"/>
          <w14:textFill>
            <w14:solidFill>
              <w14:schemeClr w14:val="tx1"/>
            </w14:solidFill>
          </w14:textFill>
        </w:rPr>
        <w:t>授权委托书（格式一）</w:t>
      </w:r>
    </w:p>
    <w:p w14:paraId="34F028F2">
      <w:pPr>
        <w:spacing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桂林市政府集中采购中心</w:t>
      </w:r>
    </w:p>
    <w:p w14:paraId="233A89DB">
      <w:pPr>
        <w:spacing w:line="400" w:lineRule="exact"/>
        <w:ind w:firstLine="52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（姓名）系</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（投标人名称）的法定代表人（负责人），现授权委托本单位在职职工</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（姓名），身份证号码：</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以我公司名义参加</w:t>
      </w:r>
      <w:r>
        <w:rPr>
          <w:rFonts w:hint="eastAsia" w:ascii="宋体" w:hAnsi="宋体" w:eastAsia="宋体" w:cs="宋体"/>
          <w:color w:val="000000" w:themeColor="text1"/>
          <w:highlight w:val="none"/>
          <w:u w:val="single"/>
          <w14:textFill>
            <w14:solidFill>
              <w14:schemeClr w14:val="tx1"/>
            </w14:solidFill>
          </w14:textFill>
        </w:rPr>
        <w:t xml:space="preserve">   （项目名称及项目编号）    </w:t>
      </w:r>
      <w:r>
        <w:rPr>
          <w:rFonts w:hint="eastAsia" w:ascii="宋体" w:hAnsi="宋体" w:eastAsia="宋体" w:cs="宋体"/>
          <w:color w:val="000000" w:themeColor="text1"/>
          <w:highlight w:val="none"/>
          <w14:textFill>
            <w14:solidFill>
              <w14:schemeClr w14:val="tx1"/>
            </w14:solidFill>
          </w14:textFill>
        </w:rPr>
        <w:t>项目的投标活动，并代表我方全权办理针对上述项目的投标、开标、评标、签约等具体事务和签署相关文件。</w:t>
      </w:r>
    </w:p>
    <w:p w14:paraId="27DC5148">
      <w:pPr>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我方对被授权人的签字事项负全部责任。</w:t>
      </w:r>
    </w:p>
    <w:p w14:paraId="48D5C101">
      <w:pPr>
        <w:spacing w:line="400" w:lineRule="exact"/>
        <w:ind w:firstLine="420"/>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授权委托代理期限：自即日起至该项目政府采购活动结束。</w:t>
      </w:r>
    </w:p>
    <w:p w14:paraId="74B1CDE7">
      <w:pPr>
        <w:spacing w:line="400" w:lineRule="exact"/>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3E992DF8">
      <w:pPr>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代理人无转委托权,特此委托。 </w:t>
      </w:r>
    </w:p>
    <w:p w14:paraId="3847947F">
      <w:pPr>
        <w:spacing w:line="400" w:lineRule="exact"/>
        <w:ind w:firstLine="525"/>
        <w:rPr>
          <w:rFonts w:hint="eastAsia" w:ascii="宋体" w:hAnsi="宋体" w:eastAsia="宋体" w:cs="宋体"/>
          <w:color w:val="000000" w:themeColor="text1"/>
          <w:szCs w:val="21"/>
          <w:highlight w:val="none"/>
          <w14:textFill>
            <w14:solidFill>
              <w14:schemeClr w14:val="tx1"/>
            </w14:solidFill>
          </w14:textFill>
        </w:rPr>
      </w:pPr>
    </w:p>
    <w:p w14:paraId="1FA427DF">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我已在下面签字，以资证明。</w:t>
      </w:r>
    </w:p>
    <w:p w14:paraId="6098932E">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21C9E519">
      <w:pPr>
        <w:spacing w:line="400" w:lineRule="exact"/>
        <w:ind w:firstLine="42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投标人[公章（CA签章）]：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CA9F758">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77574F5F">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法定代表人（负责人）签字（或个人CA签章）：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08A2148B">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53D3C04F">
      <w:pPr>
        <w:spacing w:line="400" w:lineRule="exact"/>
        <w:ind w:firstLine="60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注</w:t>
      </w:r>
      <w:r>
        <w:rPr>
          <w:rFonts w:hint="eastAsia" w:ascii="宋体" w:hAnsi="宋体" w:eastAsia="宋体" w:cs="宋体"/>
          <w:b/>
          <w:color w:val="000000" w:themeColor="text1"/>
          <w:sz w:val="24"/>
          <w:highlight w:val="none"/>
          <w14:textFill>
            <w14:solidFill>
              <w14:schemeClr w14:val="tx1"/>
            </w14:solidFill>
          </w14:textFill>
        </w:rPr>
        <w:t>：投标人的授权委托书原件、委托代理人身份证正反面</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14:textFill>
            <w14:solidFill>
              <w14:schemeClr w14:val="tx1"/>
            </w14:solidFill>
          </w14:textFill>
        </w:rPr>
        <w:t>以及由县级以上（含县级）社会养老保险经办机构出具的投标人为委托代理人交纳的开标截止时间前</w:t>
      </w:r>
      <w:r>
        <w:rPr>
          <w:rFonts w:hint="eastAsia" w:ascii="宋体" w:hAnsi="宋体" w:eastAsia="宋体" w:cs="宋体"/>
          <w:b/>
          <w:color w:val="000000" w:themeColor="text1"/>
          <w:sz w:val="24"/>
          <w:highlight w:val="none"/>
          <w:lang w:eastAsia="zh-CN"/>
          <w14:textFill>
            <w14:solidFill>
              <w14:schemeClr w14:val="tx1"/>
            </w14:solidFill>
          </w14:textFill>
        </w:rPr>
        <w:t>三个月内任意一个月</w:t>
      </w:r>
      <w:r>
        <w:rPr>
          <w:rFonts w:hint="eastAsia" w:ascii="宋体" w:hAnsi="宋体" w:eastAsia="宋体" w:cs="宋体"/>
          <w:b/>
          <w:color w:val="000000" w:themeColor="text1"/>
          <w:sz w:val="24"/>
          <w:highlight w:val="none"/>
          <w:lang w:val="en-US" w:eastAsia="zh-CN"/>
          <w14:textFill>
            <w14:solidFill>
              <w14:schemeClr w14:val="tx1"/>
            </w14:solidFill>
          </w14:textFill>
        </w:rPr>
        <w:t>养老保险</w:t>
      </w:r>
      <w:r>
        <w:rPr>
          <w:rFonts w:hint="eastAsia" w:ascii="宋体" w:hAnsi="宋体" w:eastAsia="宋体" w:cs="宋体"/>
          <w:b/>
          <w:color w:val="000000" w:themeColor="text1"/>
          <w:sz w:val="24"/>
          <w:highlight w:val="none"/>
          <w14:textFill>
            <w14:solidFill>
              <w14:schemeClr w14:val="tx1"/>
            </w14:solidFill>
          </w14:textFill>
        </w:rPr>
        <w:t>证明</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14:textFill>
            <w14:solidFill>
              <w14:schemeClr w14:val="tx1"/>
            </w14:solidFill>
          </w14:textFill>
        </w:rPr>
        <w:t>（如投标人为截标时间前60日以内成立的公司，可以提供投标人与委托代理人签订的劳动合同</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14:textFill>
            <w14:solidFill>
              <w14:schemeClr w14:val="tx1"/>
            </w14:solidFill>
          </w14:textFill>
        </w:rPr>
        <w:t>代替</w:t>
      </w:r>
      <w:r>
        <w:rPr>
          <w:rFonts w:hint="eastAsia" w:ascii="宋体" w:hAnsi="宋体" w:eastAsia="宋体" w:cs="宋体"/>
          <w:b/>
          <w:color w:val="000000" w:themeColor="text1"/>
          <w:sz w:val="24"/>
          <w:highlight w:val="none"/>
          <w:lang w:val="en-US" w:eastAsia="zh-CN"/>
          <w14:textFill>
            <w14:solidFill>
              <w14:schemeClr w14:val="tx1"/>
            </w14:solidFill>
          </w14:textFill>
        </w:rPr>
        <w:t>养老保险</w:t>
      </w:r>
      <w:r>
        <w:rPr>
          <w:rFonts w:hint="eastAsia" w:ascii="宋体" w:hAnsi="宋体" w:eastAsia="宋体" w:cs="宋体"/>
          <w:b/>
          <w:color w:val="000000" w:themeColor="text1"/>
          <w:sz w:val="24"/>
          <w:highlight w:val="none"/>
          <w14:textFill>
            <w14:solidFill>
              <w14:schemeClr w14:val="tx1"/>
            </w14:solidFill>
          </w14:textFill>
        </w:rPr>
        <w:t>证明</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14:textFill>
            <w14:solidFill>
              <w14:schemeClr w14:val="tx1"/>
            </w14:solidFill>
          </w14:textFill>
        </w:rPr>
        <w:t>；如投标人为事业单位，可以提供事业单位机构编制管理证</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14:textFill>
            <w14:solidFill>
              <w14:schemeClr w14:val="tx1"/>
            </w14:solidFill>
          </w14:textFill>
        </w:rPr>
        <w:t>或事业单位机构为其发放工资的工资条</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14:textFill>
            <w14:solidFill>
              <w14:schemeClr w14:val="tx1"/>
            </w14:solidFill>
          </w14:textFill>
        </w:rPr>
        <w:t>代替</w:t>
      </w:r>
      <w:r>
        <w:rPr>
          <w:rFonts w:hint="eastAsia" w:ascii="宋体" w:hAnsi="宋体" w:eastAsia="宋体" w:cs="宋体"/>
          <w:b/>
          <w:color w:val="000000" w:themeColor="text1"/>
          <w:sz w:val="24"/>
          <w:highlight w:val="none"/>
          <w:lang w:val="en-US" w:eastAsia="zh-CN"/>
          <w14:textFill>
            <w14:solidFill>
              <w14:schemeClr w14:val="tx1"/>
            </w14:solidFill>
          </w14:textFill>
        </w:rPr>
        <w:t>养老保险</w:t>
      </w:r>
      <w:r>
        <w:rPr>
          <w:rFonts w:hint="eastAsia" w:ascii="宋体" w:hAnsi="宋体" w:eastAsia="宋体" w:cs="宋体"/>
          <w:b/>
          <w:color w:val="000000" w:themeColor="text1"/>
          <w:sz w:val="24"/>
          <w:highlight w:val="none"/>
          <w14:textFill>
            <w14:solidFill>
              <w14:schemeClr w14:val="tx1"/>
            </w14:solidFill>
          </w14:textFill>
        </w:rPr>
        <w:t>证明</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14:textFill>
            <w14:solidFill>
              <w14:schemeClr w14:val="tx1"/>
            </w14:solidFill>
          </w14:textFill>
        </w:rPr>
        <w:t>；如委托代理人为免缴纳</w:t>
      </w:r>
      <w:r>
        <w:rPr>
          <w:rFonts w:hint="eastAsia" w:ascii="宋体" w:hAnsi="宋体" w:eastAsia="宋体" w:cs="宋体"/>
          <w:b/>
          <w:color w:val="000000" w:themeColor="text1"/>
          <w:sz w:val="24"/>
          <w:highlight w:val="none"/>
          <w:lang w:eastAsia="zh-CN"/>
          <w14:textFill>
            <w14:solidFill>
              <w14:schemeClr w14:val="tx1"/>
            </w14:solidFill>
          </w14:textFill>
        </w:rPr>
        <w:t>养老保险</w:t>
      </w:r>
      <w:r>
        <w:rPr>
          <w:rFonts w:hint="eastAsia" w:ascii="宋体" w:hAnsi="宋体" w:eastAsia="宋体" w:cs="宋体"/>
          <w:b/>
          <w:color w:val="000000" w:themeColor="text1"/>
          <w:sz w:val="24"/>
          <w:highlight w:val="none"/>
          <w14:textFill>
            <w14:solidFill>
              <w14:schemeClr w14:val="tx1"/>
            </w14:solidFill>
          </w14:textFill>
        </w:rPr>
        <w:t>人员，提供免缴纳</w:t>
      </w:r>
      <w:r>
        <w:rPr>
          <w:rFonts w:hint="eastAsia" w:ascii="宋体" w:hAnsi="宋体" w:eastAsia="宋体" w:cs="宋体"/>
          <w:b/>
          <w:color w:val="000000" w:themeColor="text1"/>
          <w:sz w:val="24"/>
          <w:highlight w:val="none"/>
          <w:lang w:eastAsia="zh-CN"/>
          <w14:textFill>
            <w14:solidFill>
              <w14:schemeClr w14:val="tx1"/>
            </w14:solidFill>
          </w14:textFill>
        </w:rPr>
        <w:t>养老保险</w:t>
      </w:r>
      <w:r>
        <w:rPr>
          <w:rFonts w:hint="eastAsia" w:ascii="宋体" w:hAnsi="宋体" w:eastAsia="宋体" w:cs="宋体"/>
          <w:b/>
          <w:color w:val="000000" w:themeColor="text1"/>
          <w:sz w:val="24"/>
          <w:highlight w:val="none"/>
          <w14:textFill>
            <w14:solidFill>
              <w14:schemeClr w14:val="tx1"/>
            </w14:solidFill>
          </w14:textFill>
        </w:rPr>
        <w:t>的证明材料</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14:textFill>
            <w14:solidFill>
              <w14:schemeClr w14:val="tx1"/>
            </w14:solidFill>
          </w14:textFill>
        </w:rPr>
        <w:t>及投标人与委托代理人签订的劳动合同</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14:textFill>
            <w14:solidFill>
              <w14:schemeClr w14:val="tx1"/>
            </w14:solidFill>
          </w14:textFill>
        </w:rPr>
        <w:t>代替</w:t>
      </w:r>
      <w:r>
        <w:rPr>
          <w:rFonts w:hint="eastAsia" w:ascii="宋体" w:hAnsi="宋体" w:eastAsia="宋体" w:cs="宋体"/>
          <w:b/>
          <w:color w:val="000000" w:themeColor="text1"/>
          <w:sz w:val="24"/>
          <w:highlight w:val="none"/>
          <w:lang w:val="en-US" w:eastAsia="zh-CN"/>
          <w14:textFill>
            <w14:solidFill>
              <w14:schemeClr w14:val="tx1"/>
            </w14:solidFill>
          </w14:textFill>
        </w:rPr>
        <w:t>养老保险</w:t>
      </w:r>
      <w:r>
        <w:rPr>
          <w:rFonts w:hint="eastAsia" w:ascii="宋体" w:hAnsi="宋体" w:eastAsia="宋体" w:cs="宋体"/>
          <w:b/>
          <w:color w:val="000000" w:themeColor="text1"/>
          <w:sz w:val="24"/>
          <w:highlight w:val="none"/>
          <w14:textFill>
            <w14:solidFill>
              <w14:schemeClr w14:val="tx1"/>
            </w14:solidFill>
          </w14:textFill>
        </w:rPr>
        <w:t>证明</w:t>
      </w:r>
      <w:r>
        <w:rPr>
          <w:rFonts w:hint="eastAsia" w:ascii="宋体" w:hAnsi="宋体" w:eastAsia="宋体" w:cs="宋体"/>
          <w:b/>
          <w:color w:val="000000" w:themeColor="text1"/>
          <w:sz w:val="24"/>
          <w:highlight w:val="none"/>
          <w:lang w:eastAsia="zh-CN"/>
          <w14:textFill>
            <w14:solidFill>
              <w14:schemeClr w14:val="tx1"/>
            </w14:solidFill>
          </w14:textFill>
        </w:rPr>
        <w:t>扫描件；</w:t>
      </w:r>
      <w:r>
        <w:rPr>
          <w:rFonts w:hint="eastAsia" w:ascii="宋体" w:hAnsi="宋体" w:eastAsia="宋体" w:cs="宋体"/>
          <w:b/>
          <w:color w:val="000000" w:themeColor="text1"/>
          <w:sz w:val="24"/>
          <w:highlight w:val="none"/>
          <w:lang w:val="en-US" w:eastAsia="zh-CN"/>
          <w14:textFill>
            <w14:solidFill>
              <w14:schemeClr w14:val="tx1"/>
            </w14:solidFill>
          </w14:textFill>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eastAsia="宋体" w:cs="宋体"/>
          <w:b/>
          <w:color w:val="000000" w:themeColor="text1"/>
          <w:sz w:val="24"/>
          <w:highlight w:val="none"/>
          <w14:textFill>
            <w14:solidFill>
              <w14:schemeClr w14:val="tx1"/>
            </w14:solidFill>
          </w14:textFill>
        </w:rPr>
        <w:t>）（委托代理时必须提供）。</w:t>
      </w:r>
    </w:p>
    <w:p w14:paraId="012522A0">
      <w:pPr>
        <w:pStyle w:val="216"/>
        <w:jc w:val="center"/>
        <w:rPr>
          <w:rFonts w:hint="eastAsia" w:ascii="宋体" w:hAnsi="宋体" w:eastAsia="宋体" w:cs="宋体"/>
          <w:b/>
          <w:color w:val="000000" w:themeColor="text1"/>
          <w:sz w:val="32"/>
          <w:highlight w:val="none"/>
          <w14:textFill>
            <w14:solidFill>
              <w14:schemeClr w14:val="tx1"/>
            </w14:solidFill>
          </w14:textFill>
        </w:rPr>
      </w:pPr>
    </w:p>
    <w:p w14:paraId="04E24D13">
      <w:pPr>
        <w:pStyle w:val="216"/>
        <w:jc w:val="center"/>
        <w:rPr>
          <w:rFonts w:hint="eastAsia" w:ascii="宋体" w:hAnsi="宋体" w:eastAsia="宋体" w:cs="宋体"/>
          <w:b/>
          <w:color w:val="000000" w:themeColor="text1"/>
          <w:sz w:val="32"/>
          <w:highlight w:val="none"/>
          <w14:textFill>
            <w14:solidFill>
              <w14:schemeClr w14:val="tx1"/>
            </w14:solidFill>
          </w14:textFill>
        </w:rPr>
      </w:pPr>
    </w:p>
    <w:p w14:paraId="48DAE9A6">
      <w:pPr>
        <w:pStyle w:val="216"/>
        <w:jc w:val="center"/>
        <w:rPr>
          <w:rFonts w:hint="eastAsia" w:ascii="宋体" w:hAnsi="宋体" w:eastAsia="宋体" w:cs="宋体"/>
          <w:b/>
          <w:color w:val="000000" w:themeColor="text1"/>
          <w:sz w:val="32"/>
          <w:highlight w:val="none"/>
          <w14:textFill>
            <w14:solidFill>
              <w14:schemeClr w14:val="tx1"/>
            </w14:solidFill>
          </w14:textFill>
        </w:rPr>
      </w:pPr>
    </w:p>
    <w:p w14:paraId="5ECC1A4B">
      <w:pPr>
        <w:pStyle w:val="216"/>
        <w:jc w:val="both"/>
        <w:rPr>
          <w:rFonts w:hint="eastAsia" w:ascii="宋体" w:hAnsi="宋体" w:eastAsia="宋体" w:cs="宋体"/>
          <w:b/>
          <w:color w:val="000000" w:themeColor="text1"/>
          <w:sz w:val="32"/>
          <w:highlight w:val="none"/>
          <w14:textFill>
            <w14:solidFill>
              <w14:schemeClr w14:val="tx1"/>
            </w14:solidFill>
          </w14:textFill>
        </w:rPr>
      </w:pPr>
    </w:p>
    <w:p w14:paraId="6D18EF0A">
      <w:pPr>
        <w:pStyle w:val="203"/>
        <w:rPr>
          <w:rFonts w:hint="eastAsia" w:ascii="宋体" w:hAnsi="宋体" w:eastAsia="宋体" w:cs="宋体"/>
          <w:b/>
          <w:color w:val="000000" w:themeColor="text1"/>
          <w:sz w:val="32"/>
          <w:highlight w:val="none"/>
          <w14:textFill>
            <w14:solidFill>
              <w14:schemeClr w14:val="tx1"/>
            </w14:solidFill>
          </w14:textFill>
        </w:rPr>
      </w:pPr>
    </w:p>
    <w:p w14:paraId="22AB6BED">
      <w:pPr>
        <w:rPr>
          <w:rFonts w:hint="eastAsia" w:ascii="宋体" w:hAnsi="宋体" w:eastAsia="宋体" w:cs="宋体"/>
          <w:b/>
          <w:color w:val="000000" w:themeColor="text1"/>
          <w:sz w:val="32"/>
          <w:highlight w:val="none"/>
          <w14:textFill>
            <w14:solidFill>
              <w14:schemeClr w14:val="tx1"/>
            </w14:solidFill>
          </w14:textFill>
        </w:rPr>
      </w:pPr>
    </w:p>
    <w:p w14:paraId="34B03368">
      <w:pPr>
        <w:rPr>
          <w:rFonts w:hint="eastAsia" w:ascii="宋体" w:hAnsi="宋体" w:eastAsia="宋体" w:cs="宋体"/>
          <w:b/>
          <w:color w:val="000000" w:themeColor="text1"/>
          <w:sz w:val="32"/>
          <w:highlight w:val="none"/>
          <w14:textFill>
            <w14:solidFill>
              <w14:schemeClr w14:val="tx1"/>
            </w14:solidFill>
          </w14:textFill>
        </w:rPr>
      </w:pPr>
    </w:p>
    <w:p w14:paraId="5C1789CB">
      <w:pPr>
        <w:pStyle w:val="216"/>
        <w:jc w:val="center"/>
        <w:rPr>
          <w:rFonts w:hint="eastAsia" w:ascii="宋体" w:hAnsi="宋体" w:eastAsia="宋体" w:cs="宋体"/>
          <w:b/>
          <w:color w:val="000000" w:themeColor="text1"/>
          <w:sz w:val="32"/>
          <w:highlight w:val="none"/>
          <w14:textFill>
            <w14:solidFill>
              <w14:schemeClr w14:val="tx1"/>
            </w14:solidFill>
          </w14:textFill>
        </w:rPr>
      </w:pPr>
      <w:r>
        <w:rPr>
          <w:rFonts w:hint="eastAsia" w:ascii="宋体" w:hAnsi="宋体" w:eastAsia="宋体" w:cs="宋体"/>
          <w:b/>
          <w:color w:val="000000" w:themeColor="text1"/>
          <w:sz w:val="32"/>
          <w:highlight w:val="none"/>
          <w14:textFill>
            <w14:solidFill>
              <w14:schemeClr w14:val="tx1"/>
            </w14:solidFill>
          </w14:textFill>
        </w:rPr>
        <w:t>授权委托书（格式二）</w:t>
      </w:r>
    </w:p>
    <w:p w14:paraId="3DB76942">
      <w:pPr>
        <w:spacing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桂林市政府集中采购中心</w:t>
      </w:r>
    </w:p>
    <w:p w14:paraId="4A603054">
      <w:pPr>
        <w:spacing w:line="400" w:lineRule="exact"/>
        <w:rPr>
          <w:rFonts w:hint="eastAsia" w:ascii="宋体" w:hAnsi="宋体" w:eastAsia="宋体" w:cs="宋体"/>
          <w:color w:val="000000" w:themeColor="text1"/>
          <w:szCs w:val="21"/>
          <w:highlight w:val="none"/>
          <w:u w:val="single"/>
          <w14:textFill>
            <w14:solidFill>
              <w14:schemeClr w14:val="tx1"/>
            </w14:solidFill>
          </w14:textFill>
        </w:rPr>
      </w:pPr>
    </w:p>
    <w:p w14:paraId="33F4BCAB">
      <w:pPr>
        <w:pStyle w:val="216"/>
        <w:spacing w:line="34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（姓名）系自然人，现授权委托</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 名），身份证号码：</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以本人名义参加</w:t>
      </w:r>
      <w:r>
        <w:rPr>
          <w:rFonts w:hint="eastAsia" w:ascii="宋体" w:hAnsi="宋体" w:eastAsia="宋体" w:cs="宋体"/>
          <w:color w:val="000000" w:themeColor="text1"/>
          <w:highlight w:val="none"/>
          <w:u w:val="single"/>
          <w14:textFill>
            <w14:solidFill>
              <w14:schemeClr w14:val="tx1"/>
            </w14:solidFill>
          </w14:textFill>
        </w:rPr>
        <w:t xml:space="preserve">      （项目名称及项目编号）        </w:t>
      </w:r>
      <w:r>
        <w:rPr>
          <w:rFonts w:hint="eastAsia" w:ascii="宋体" w:hAnsi="宋体" w:eastAsia="宋体" w:cs="宋体"/>
          <w:color w:val="000000" w:themeColor="text1"/>
          <w:highlight w:val="none"/>
          <w14:textFill>
            <w14:solidFill>
              <w14:schemeClr w14:val="tx1"/>
            </w14:solidFill>
          </w14:textFill>
        </w:rPr>
        <w:t>项目的投标活动，并代表本人全权办理针对上述项目的投标、开标、评标、签约等具体事务和签署相关文件。</w:t>
      </w:r>
    </w:p>
    <w:p w14:paraId="01FAB9E7">
      <w:pPr>
        <w:pStyle w:val="216"/>
        <w:spacing w:line="34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本人对被授权人的签字事项负全部责任。</w:t>
      </w:r>
    </w:p>
    <w:p w14:paraId="02DFB080">
      <w:pPr>
        <w:pStyle w:val="216"/>
        <w:spacing w:line="400" w:lineRule="exact"/>
        <w:ind w:firstLine="420"/>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授权委托代理期限：自即日起至该项目政府采购活动结束。</w:t>
      </w:r>
    </w:p>
    <w:p w14:paraId="28573C9A">
      <w:pPr>
        <w:pStyle w:val="216"/>
        <w:spacing w:line="340" w:lineRule="exact"/>
        <w:ind w:firstLine="420"/>
        <w:rPr>
          <w:rFonts w:hint="eastAsia" w:ascii="宋体" w:hAnsi="宋体" w:eastAsia="宋体" w:cs="宋体"/>
          <w:color w:val="000000" w:themeColor="text1"/>
          <w:highlight w:val="none"/>
          <w:u w:val="single"/>
          <w14:textFill>
            <w14:solidFill>
              <w14:schemeClr w14:val="tx1"/>
            </w14:solidFill>
          </w14:textFill>
        </w:rPr>
      </w:pPr>
    </w:p>
    <w:p w14:paraId="392C57B3">
      <w:pPr>
        <w:pStyle w:val="216"/>
        <w:spacing w:line="340" w:lineRule="exact"/>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0EE6B055">
      <w:pPr>
        <w:spacing w:line="34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代理人无转委托权,特此委托。 </w:t>
      </w:r>
    </w:p>
    <w:p w14:paraId="2373CB29">
      <w:pPr>
        <w:spacing w:line="340" w:lineRule="exact"/>
        <w:ind w:firstLine="525"/>
        <w:rPr>
          <w:rFonts w:hint="eastAsia" w:ascii="宋体" w:hAnsi="宋体" w:eastAsia="宋体" w:cs="宋体"/>
          <w:color w:val="000000" w:themeColor="text1"/>
          <w:szCs w:val="21"/>
          <w:highlight w:val="none"/>
          <w14:textFill>
            <w14:solidFill>
              <w14:schemeClr w14:val="tx1"/>
            </w14:solidFill>
          </w14:textFill>
        </w:rPr>
      </w:pPr>
    </w:p>
    <w:p w14:paraId="5DCFF0EF">
      <w:pPr>
        <w:spacing w:line="34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我已在下面签字，以资证明。</w:t>
      </w:r>
    </w:p>
    <w:p w14:paraId="1802D32E">
      <w:pPr>
        <w:spacing w:line="34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26D2FA98">
      <w:pPr>
        <w:spacing w:line="34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自然人签字并在签名处加盖大拇指指印或个人CA签章：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0BD7553D">
      <w:pPr>
        <w:spacing w:line="34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062B60B8">
      <w:pPr>
        <w:rPr>
          <w:rFonts w:hint="eastAsia" w:ascii="宋体" w:hAnsi="宋体" w:eastAsia="宋体" w:cs="宋体"/>
          <w:b/>
          <w:bCs/>
          <w:color w:val="000000" w:themeColor="text1"/>
          <w:sz w:val="32"/>
          <w:szCs w:val="32"/>
          <w:highlight w:val="none"/>
          <w14:textFill>
            <w14:solidFill>
              <w14:schemeClr w14:val="tx1"/>
            </w14:solidFill>
          </w14:textFill>
        </w:rPr>
      </w:pPr>
    </w:p>
    <w:p w14:paraId="71E40A46">
      <w:pPr>
        <w:rPr>
          <w:rFonts w:hint="eastAsia" w:ascii="宋体" w:hAnsi="宋体" w:eastAsia="宋体" w:cs="宋体"/>
          <w:b/>
          <w:bCs/>
          <w:color w:val="000000" w:themeColor="text1"/>
          <w:sz w:val="32"/>
          <w:szCs w:val="32"/>
          <w:highlight w:val="none"/>
          <w14:textFill>
            <w14:solidFill>
              <w14:schemeClr w14:val="tx1"/>
            </w14:solidFill>
          </w14:textFill>
        </w:rPr>
      </w:pPr>
    </w:p>
    <w:p w14:paraId="6089DD9C">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3.投标人的法人或者其他组织营业执照等证明文件</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（必须提供，自然人除外）；</w:t>
      </w:r>
    </w:p>
    <w:p w14:paraId="506179C2">
      <w:pPr>
        <w:tabs>
          <w:tab w:val="left" w:pos="1305"/>
        </w:tabs>
        <w:spacing w:line="400" w:lineRule="exac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注：供应商为企业（包括合伙企业），应提供</w:t>
      </w:r>
      <w:r>
        <w:rPr>
          <w:rFonts w:hint="eastAsia" w:ascii="宋体" w:hAnsi="宋体" w:eastAsia="宋体" w:cs="宋体"/>
          <w:b/>
          <w:color w:val="000000" w:themeColor="text1"/>
          <w:szCs w:val="21"/>
          <w:highlight w:val="none"/>
          <w:lang w:eastAsia="zh-CN"/>
          <w14:textFill>
            <w14:solidFill>
              <w14:schemeClr w14:val="tx1"/>
            </w14:solidFill>
          </w14:textFill>
        </w:rPr>
        <w:t>市场监管部门（登记机关）</w:t>
      </w:r>
      <w:r>
        <w:rPr>
          <w:rFonts w:hint="eastAsia" w:ascii="宋体" w:hAnsi="宋体" w:eastAsia="宋体" w:cs="宋体"/>
          <w:b/>
          <w:color w:val="000000" w:themeColor="text1"/>
          <w:szCs w:val="21"/>
          <w:highlight w:val="none"/>
          <w14:textFill>
            <w14:solidFill>
              <w14:schemeClr w14:val="tx1"/>
            </w14:solidFill>
          </w14:textFill>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FD9777A">
      <w:pPr>
        <w:spacing w:line="400" w:lineRule="exact"/>
        <w:ind w:left="420" w:firstLine="157"/>
        <w:rPr>
          <w:rFonts w:hint="eastAsia" w:ascii="宋体" w:hAnsi="宋体" w:eastAsia="宋体" w:cs="宋体"/>
          <w:b/>
          <w:color w:val="000000" w:themeColor="text1"/>
          <w:sz w:val="32"/>
          <w:szCs w:val="32"/>
          <w:highlight w:val="none"/>
          <w14:textFill>
            <w14:solidFill>
              <w14:schemeClr w14:val="tx1"/>
            </w14:solidFill>
          </w14:textFill>
        </w:rPr>
      </w:pPr>
    </w:p>
    <w:p w14:paraId="5B5E377C">
      <w:pPr>
        <w:pStyle w:val="320"/>
        <w:rPr>
          <w:rFonts w:hint="eastAsia" w:ascii="宋体" w:hAnsi="宋体" w:eastAsia="宋体" w:cs="宋体"/>
          <w:color w:val="000000" w:themeColor="text1"/>
          <w:highlight w:val="none"/>
          <w14:textFill>
            <w14:solidFill>
              <w14:schemeClr w14:val="tx1"/>
            </w14:solidFill>
          </w14:textFill>
        </w:rPr>
      </w:pPr>
    </w:p>
    <w:p w14:paraId="40E4141E">
      <w:pPr>
        <w:rPr>
          <w:rFonts w:hint="eastAsia" w:ascii="宋体" w:hAnsi="宋体" w:eastAsia="宋体" w:cs="宋体"/>
          <w:color w:val="000000" w:themeColor="text1"/>
          <w:highlight w:val="none"/>
          <w14:textFill>
            <w14:solidFill>
              <w14:schemeClr w14:val="tx1"/>
            </w14:solidFill>
          </w14:textFill>
        </w:rPr>
      </w:pPr>
    </w:p>
    <w:p w14:paraId="4B6E44E0">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4.财务状况报告</w:t>
      </w:r>
      <w:r>
        <w:rPr>
          <w:rFonts w:hint="eastAsia" w:ascii="宋体" w:hAnsi="宋体" w:eastAsia="宋体" w:cs="宋体"/>
          <w:b/>
          <w:bCs/>
          <w:color w:val="000000" w:themeColor="text1"/>
          <w:sz w:val="32"/>
          <w:szCs w:val="32"/>
          <w:highlight w:val="none"/>
          <w:lang w:eastAsia="zh-CN"/>
          <w14:textFill>
            <w14:solidFill>
              <w14:schemeClr w14:val="tx1"/>
            </w14:solidFill>
          </w14:textFill>
        </w:rPr>
        <w:t>（格式自拟，必须提供）</w:t>
      </w:r>
      <w:r>
        <w:rPr>
          <w:rFonts w:hint="eastAsia" w:ascii="宋体" w:hAnsi="宋体" w:eastAsia="宋体" w:cs="宋体"/>
          <w:b/>
          <w:bCs/>
          <w:color w:val="000000" w:themeColor="text1"/>
          <w:sz w:val="32"/>
          <w:szCs w:val="32"/>
          <w:highlight w:val="none"/>
          <w14:textFill>
            <w14:solidFill>
              <w14:schemeClr w14:val="tx1"/>
            </w14:solidFill>
          </w14:textFill>
        </w:rPr>
        <w:t>；</w:t>
      </w:r>
    </w:p>
    <w:p w14:paraId="4E58A2CD">
      <w:pPr>
        <w:pStyle w:val="216"/>
        <w:ind w:firstLine="420"/>
        <w:jc w:val="left"/>
        <w:rPr>
          <w:rFonts w:hint="eastAsia" w:ascii="宋体" w:hAnsi="宋体" w:eastAsia="宋体" w:cs="宋体"/>
          <w:color w:val="000000" w:themeColor="text1"/>
          <w:szCs w:val="21"/>
          <w:highlight w:val="none"/>
          <w14:textFill>
            <w14:solidFill>
              <w14:schemeClr w14:val="tx1"/>
            </w14:solidFill>
          </w14:textFill>
        </w:rPr>
      </w:pPr>
    </w:p>
    <w:p w14:paraId="5226B73A">
      <w:pPr>
        <w:pStyle w:val="216"/>
        <w:ind w:firstLine="420"/>
        <w:jc w:val="left"/>
        <w:rPr>
          <w:rFonts w:hint="eastAsia" w:ascii="宋体" w:hAnsi="宋体" w:eastAsia="宋体" w:cs="宋体"/>
          <w:color w:val="000000" w:themeColor="text1"/>
          <w:szCs w:val="21"/>
          <w:highlight w:val="none"/>
          <w14:textFill>
            <w14:solidFill>
              <w14:schemeClr w14:val="tx1"/>
            </w14:solidFill>
          </w14:textFill>
        </w:rPr>
      </w:pPr>
    </w:p>
    <w:p w14:paraId="5DBD0F98">
      <w:pPr>
        <w:pStyle w:val="216"/>
        <w:ind w:firstLine="420"/>
        <w:jc w:val="left"/>
        <w:rPr>
          <w:rFonts w:hint="eastAsia" w:ascii="宋体" w:hAnsi="宋体" w:eastAsia="宋体" w:cs="宋体"/>
          <w:color w:val="000000" w:themeColor="text1"/>
          <w:szCs w:val="21"/>
          <w:highlight w:val="none"/>
          <w14:textFill>
            <w14:solidFill>
              <w14:schemeClr w14:val="tx1"/>
            </w14:solidFill>
          </w14:textFill>
        </w:rPr>
      </w:pPr>
    </w:p>
    <w:p w14:paraId="7266D873">
      <w:pPr>
        <w:rPr>
          <w:rFonts w:hint="eastAsia" w:ascii="宋体" w:hAnsi="宋体" w:eastAsia="宋体" w:cs="宋体"/>
          <w:b/>
          <w:bCs/>
          <w:color w:val="000000" w:themeColor="text1"/>
          <w:sz w:val="32"/>
          <w:szCs w:val="32"/>
          <w:highlight w:val="none"/>
          <w14:textFill>
            <w14:solidFill>
              <w14:schemeClr w14:val="tx1"/>
            </w14:solidFill>
          </w14:textFill>
        </w:rPr>
      </w:pPr>
    </w:p>
    <w:p w14:paraId="69439556">
      <w:pPr>
        <w:rPr>
          <w:rFonts w:hint="eastAsia" w:ascii="宋体" w:hAnsi="宋体" w:eastAsia="宋体" w:cs="宋体"/>
          <w:b/>
          <w:bCs/>
          <w:color w:val="000000" w:themeColor="text1"/>
          <w:sz w:val="32"/>
          <w:szCs w:val="32"/>
          <w:highlight w:val="none"/>
          <w14:textFill>
            <w14:solidFill>
              <w14:schemeClr w14:val="tx1"/>
            </w14:solidFill>
          </w14:textFill>
        </w:rPr>
      </w:pPr>
    </w:p>
    <w:p w14:paraId="71AA6BAB">
      <w:pPr>
        <w:rPr>
          <w:rFonts w:hint="eastAsia" w:ascii="宋体" w:hAnsi="宋体" w:eastAsia="宋体" w:cs="宋体"/>
          <w:b/>
          <w:bCs/>
          <w:color w:val="000000" w:themeColor="text1"/>
          <w:sz w:val="32"/>
          <w:szCs w:val="32"/>
          <w:highlight w:val="none"/>
          <w14:textFill>
            <w14:solidFill>
              <w14:schemeClr w14:val="tx1"/>
            </w14:solidFill>
          </w14:textFill>
        </w:rPr>
      </w:pPr>
    </w:p>
    <w:p w14:paraId="2F53AE57">
      <w:pPr>
        <w:rPr>
          <w:rFonts w:hint="eastAsia" w:ascii="宋体" w:hAnsi="宋体" w:eastAsia="宋体" w:cs="宋体"/>
          <w:b/>
          <w:bCs/>
          <w:color w:val="000000" w:themeColor="text1"/>
          <w:sz w:val="32"/>
          <w:szCs w:val="32"/>
          <w:highlight w:val="none"/>
          <w14:textFill>
            <w14:solidFill>
              <w14:schemeClr w14:val="tx1"/>
            </w14:solidFill>
          </w14:textFill>
        </w:rPr>
      </w:pPr>
    </w:p>
    <w:p w14:paraId="59FBA56A">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37BF5AB5">
      <w:pPr>
        <w:rPr>
          <w:rFonts w:hint="eastAsia" w:ascii="宋体" w:hAnsi="宋体" w:eastAsia="宋体" w:cs="宋体"/>
          <w:color w:val="000000" w:themeColor="text1"/>
          <w:highlight w:val="none"/>
          <w14:textFill>
            <w14:solidFill>
              <w14:schemeClr w14:val="tx1"/>
            </w14:solidFill>
          </w14:textFill>
        </w:rPr>
      </w:pPr>
    </w:p>
    <w:p w14:paraId="0D51FD04">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5.</w:t>
      </w:r>
      <w:r>
        <w:rPr>
          <w:rFonts w:hint="eastAsia" w:ascii="宋体" w:hAnsi="宋体" w:eastAsia="宋体" w:cs="宋体"/>
          <w:b/>
          <w:bCs/>
          <w:color w:val="000000" w:themeColor="text1"/>
          <w:sz w:val="32"/>
          <w:szCs w:val="32"/>
          <w:highlight w:val="none"/>
          <w:lang w:eastAsia="zh-CN"/>
          <w14:textFill>
            <w14:solidFill>
              <w14:schemeClr w14:val="tx1"/>
            </w14:solidFill>
          </w14:textFill>
        </w:rPr>
        <w:t>投标人参加政府采购活动前3年内在经营活动中没有重大违法记录及有关信用信息的书面声明或专项信用报告</w:t>
      </w:r>
      <w:r>
        <w:rPr>
          <w:rFonts w:hint="eastAsia" w:ascii="宋体" w:hAnsi="宋体" w:eastAsia="宋体" w:cs="宋体"/>
          <w:b/>
          <w:bCs/>
          <w:color w:val="000000" w:themeColor="text1"/>
          <w:sz w:val="32"/>
          <w:szCs w:val="32"/>
          <w:highlight w:val="none"/>
          <w14:textFill>
            <w14:solidFill>
              <w14:schemeClr w14:val="tx1"/>
            </w14:solidFill>
          </w14:textFill>
        </w:rPr>
        <w:t>（必须提供）；</w:t>
      </w:r>
    </w:p>
    <w:p w14:paraId="1850B16E">
      <w:pPr>
        <w:tabs>
          <w:tab w:val="left" w:pos="1305"/>
        </w:tabs>
        <w:spacing w:line="400" w:lineRule="exact"/>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eastAsia="宋体" w:cs="宋体"/>
          <w:b/>
          <w:color w:val="000000" w:themeColor="text1"/>
          <w:szCs w:val="21"/>
          <w:highlight w:val="none"/>
          <w:lang w:eastAsia="zh-CN"/>
          <w14:textFill>
            <w14:solidFill>
              <w14:schemeClr w14:val="tx1"/>
            </w14:solidFill>
          </w14:textFill>
        </w:rPr>
        <w:t>；</w:t>
      </w:r>
    </w:p>
    <w:p w14:paraId="7998E67F">
      <w:pPr>
        <w:spacing w:line="400" w:lineRule="exact"/>
        <w:jc w:val="center"/>
        <w:rPr>
          <w:rFonts w:hint="eastAsia" w:ascii="宋体" w:hAnsi="宋体" w:eastAsia="宋体" w:cs="宋体"/>
          <w:b/>
          <w:color w:val="000000" w:themeColor="text1"/>
          <w:sz w:val="32"/>
          <w:szCs w:val="32"/>
          <w:highlight w:val="none"/>
          <w14:textFill>
            <w14:solidFill>
              <w14:schemeClr w14:val="tx1"/>
            </w14:solidFill>
          </w14:textFill>
        </w:rPr>
      </w:pPr>
    </w:p>
    <w:p w14:paraId="58077AD8">
      <w:pPr>
        <w:spacing w:line="400" w:lineRule="exact"/>
        <w:jc w:val="center"/>
        <w:rPr>
          <w:rFonts w:hint="eastAsia" w:ascii="宋体" w:hAnsi="宋体" w:eastAsia="宋体" w:cs="宋体"/>
          <w:b/>
          <w:color w:val="000000" w:themeColor="text1"/>
          <w:sz w:val="32"/>
          <w:szCs w:val="32"/>
          <w:highlight w:val="none"/>
          <w14:textFill>
            <w14:solidFill>
              <w14:schemeClr w14:val="tx1"/>
            </w14:solidFill>
          </w14:textFill>
        </w:rPr>
      </w:pPr>
    </w:p>
    <w:p w14:paraId="20864182">
      <w:pPr>
        <w:spacing w:line="400" w:lineRule="exact"/>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声   明</w:t>
      </w:r>
    </w:p>
    <w:p w14:paraId="07BC45DC">
      <w:pPr>
        <w:spacing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桂林市政府集中采购中心</w:t>
      </w:r>
    </w:p>
    <w:p w14:paraId="536E5AA2">
      <w:pPr>
        <w:spacing w:line="400" w:lineRule="exact"/>
        <w:rPr>
          <w:rFonts w:hint="eastAsia" w:ascii="宋体" w:hAnsi="宋体" w:eastAsia="宋体" w:cs="宋体"/>
          <w:color w:val="000000" w:themeColor="text1"/>
          <w:szCs w:val="21"/>
          <w:highlight w:val="none"/>
          <w:u w:val="single"/>
          <w14:textFill>
            <w14:solidFill>
              <w14:schemeClr w14:val="tx1"/>
            </w14:solidFill>
          </w14:textFill>
        </w:rPr>
      </w:pPr>
    </w:p>
    <w:p w14:paraId="749337FD">
      <w:pPr>
        <w:pStyle w:val="216"/>
        <w:spacing w:line="38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000000" w:themeColor="text1"/>
          <w:highlight w:val="none"/>
          <w:lang w:eastAsia="zh-CN"/>
          <w14:textFill>
            <w14:solidFill>
              <w14:schemeClr w14:val="tx1"/>
            </w14:solidFill>
          </w14:textFill>
        </w:rPr>
        <w:t>重大税收违法失信主体名单</w:t>
      </w:r>
      <w:r>
        <w:rPr>
          <w:rFonts w:hint="eastAsia" w:ascii="宋体" w:hAnsi="宋体" w:eastAsia="宋体" w:cs="宋体"/>
          <w:color w:val="000000" w:themeColor="text1"/>
          <w:highlight w:val="none"/>
          <w14:textFill>
            <w14:solidFill>
              <w14:schemeClr w14:val="tx1"/>
            </w14:solidFill>
          </w14:textFill>
        </w:rPr>
        <w:t>、政府采购严重违法失信行为记录名单，完全符合《中华人民共和国政府采购法》第二十二条规定的供应商资格条件，我方对此声明负全部法律责任。</w:t>
      </w:r>
    </w:p>
    <w:p w14:paraId="1CA236C5">
      <w:pPr>
        <w:spacing w:line="400" w:lineRule="exact"/>
        <w:ind w:firstLine="4515"/>
        <w:rPr>
          <w:rFonts w:hint="eastAsia" w:ascii="宋体" w:hAnsi="宋体" w:eastAsia="宋体" w:cs="宋体"/>
          <w:color w:val="000000" w:themeColor="text1"/>
          <w:szCs w:val="21"/>
          <w:highlight w:val="none"/>
          <w14:textFill>
            <w14:solidFill>
              <w14:schemeClr w14:val="tx1"/>
            </w14:solidFill>
          </w14:textFill>
        </w:rPr>
      </w:pPr>
    </w:p>
    <w:p w14:paraId="1F007330">
      <w:pPr>
        <w:spacing w:line="400" w:lineRule="exact"/>
        <w:ind w:firstLine="189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投标人[公章(CA签章)，自然人签字或个人CA签章]：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72E5762">
      <w:pPr>
        <w:spacing w:line="340" w:lineRule="exact"/>
        <w:ind w:firstLine="1680"/>
        <w:rPr>
          <w:rFonts w:hint="eastAsia" w:ascii="宋体" w:hAnsi="宋体" w:eastAsia="宋体" w:cs="宋体"/>
          <w:color w:val="000000" w:themeColor="text1"/>
          <w:szCs w:val="21"/>
          <w:highlight w:val="none"/>
          <w:u w:val="single"/>
          <w14:textFill>
            <w14:solidFill>
              <w14:schemeClr w14:val="tx1"/>
            </w14:solidFill>
          </w14:textFill>
        </w:rPr>
      </w:pPr>
    </w:p>
    <w:p w14:paraId="59D84CDA">
      <w:pPr>
        <w:spacing w:line="400" w:lineRule="exact"/>
        <w:ind w:firstLine="189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49E8A89E">
      <w:pPr>
        <w:spacing w:line="400" w:lineRule="exact"/>
        <w:ind w:firstLine="1890"/>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          期：</w:t>
      </w:r>
      <w:r>
        <w:rPr>
          <w:rFonts w:hint="eastAsia" w:ascii="宋体" w:hAnsi="宋体" w:eastAsia="宋体" w:cs="宋体"/>
          <w:color w:val="000000" w:themeColor="text1"/>
          <w:highlight w:val="none"/>
          <w:u w:val="single"/>
          <w14:textFill>
            <w14:solidFill>
              <w14:schemeClr w14:val="tx1"/>
            </w14:solidFill>
          </w14:textFill>
        </w:rPr>
        <w:t xml:space="preserve">                                                   </w:t>
      </w:r>
    </w:p>
    <w:p w14:paraId="7C251BEE">
      <w:pPr>
        <w:pStyle w:val="212"/>
        <w:rPr>
          <w:rFonts w:hint="eastAsia" w:ascii="宋体" w:hAnsi="宋体" w:eastAsia="宋体" w:cs="宋体"/>
          <w:color w:val="000000" w:themeColor="text1"/>
          <w:highlight w:val="none"/>
          <w:u w:val="single"/>
          <w14:textFill>
            <w14:solidFill>
              <w14:schemeClr w14:val="tx1"/>
            </w14:solidFill>
          </w14:textFill>
        </w:rPr>
      </w:pPr>
    </w:p>
    <w:p w14:paraId="52140376">
      <w:pPr>
        <w:pStyle w:val="212"/>
        <w:rPr>
          <w:rFonts w:hint="eastAsia" w:ascii="宋体" w:hAnsi="宋体" w:eastAsia="宋体" w:cs="宋体"/>
          <w:color w:val="000000" w:themeColor="text1"/>
          <w:highlight w:val="none"/>
          <w:u w:val="single"/>
          <w14:textFill>
            <w14:solidFill>
              <w14:schemeClr w14:val="tx1"/>
            </w14:solidFill>
          </w14:textFill>
        </w:rPr>
      </w:pPr>
    </w:p>
    <w:p w14:paraId="2E89E0A7">
      <w:pPr>
        <w:pStyle w:val="212"/>
        <w:rPr>
          <w:rFonts w:hint="eastAsia" w:ascii="宋体" w:hAnsi="宋体" w:eastAsia="宋体" w:cs="宋体"/>
          <w:color w:val="000000" w:themeColor="text1"/>
          <w:highlight w:val="none"/>
          <w:u w:val="single"/>
          <w14:textFill>
            <w14:solidFill>
              <w14:schemeClr w14:val="tx1"/>
            </w14:solidFill>
          </w14:textFill>
        </w:rPr>
      </w:pPr>
    </w:p>
    <w:p w14:paraId="5E487CCD">
      <w:pPr>
        <w:pStyle w:val="212"/>
        <w:rPr>
          <w:rFonts w:hint="eastAsia" w:ascii="宋体" w:hAnsi="宋体" w:eastAsia="宋体" w:cs="宋体"/>
          <w:color w:val="000000" w:themeColor="text1"/>
          <w:highlight w:val="none"/>
          <w:u w:val="single"/>
          <w14:textFill>
            <w14:solidFill>
              <w14:schemeClr w14:val="tx1"/>
            </w14:solidFill>
          </w14:textFill>
        </w:rPr>
      </w:pPr>
    </w:p>
    <w:p w14:paraId="4C516D31">
      <w:pPr>
        <w:pStyle w:val="212"/>
        <w:rPr>
          <w:rFonts w:hint="eastAsia" w:ascii="宋体" w:hAnsi="宋体" w:eastAsia="宋体" w:cs="宋体"/>
          <w:color w:val="000000" w:themeColor="text1"/>
          <w:highlight w:val="none"/>
          <w:u w:val="single"/>
          <w14:textFill>
            <w14:solidFill>
              <w14:schemeClr w14:val="tx1"/>
            </w14:solidFill>
          </w14:textFill>
        </w:rPr>
      </w:pPr>
    </w:p>
    <w:p w14:paraId="40B4FD22">
      <w:pPr>
        <w:pStyle w:val="212"/>
        <w:rPr>
          <w:rFonts w:hint="eastAsia" w:ascii="宋体" w:hAnsi="宋体" w:eastAsia="宋体" w:cs="宋体"/>
          <w:color w:val="000000" w:themeColor="text1"/>
          <w:highlight w:val="none"/>
          <w:u w:val="single"/>
          <w14:textFill>
            <w14:solidFill>
              <w14:schemeClr w14:val="tx1"/>
            </w14:solidFill>
          </w14:textFill>
        </w:rPr>
      </w:pPr>
    </w:p>
    <w:p w14:paraId="2127BD8A">
      <w:pPr>
        <w:ind w:left="-31"/>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6.投标人近半年内任意一个月或任一季度依法缴纳税收的证明材料【增值税发票(税收完税证明)或企业所得税完税证明或税务部门出具的免税证明</w:t>
      </w:r>
      <w:r>
        <w:rPr>
          <w:rFonts w:hint="eastAsia" w:ascii="宋体" w:hAnsi="宋体" w:eastAsia="宋体" w:cs="宋体"/>
          <w:b/>
          <w:bCs/>
          <w:color w:val="000000" w:themeColor="text1"/>
          <w:sz w:val="32"/>
          <w:szCs w:val="32"/>
          <w:highlight w:val="none"/>
          <w:lang w:eastAsia="zh-CN"/>
          <w14:textFill>
            <w14:solidFill>
              <w14:schemeClr w14:val="tx1"/>
            </w14:solidFill>
          </w14:textFill>
        </w:rPr>
        <w:t>或税务部门出具的无欠税证明</w:t>
      </w:r>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 xml:space="preserve">（必须提供）； </w:t>
      </w:r>
    </w:p>
    <w:p w14:paraId="7090E0A2">
      <w:pPr>
        <w:pStyle w:val="212"/>
        <w:ind w:left="-31"/>
        <w:rPr>
          <w:rFonts w:hint="eastAsia" w:ascii="宋体" w:hAnsi="宋体" w:eastAsia="宋体" w:cs="宋体"/>
          <w:b/>
          <w:bCs/>
          <w:color w:val="000000" w:themeColor="text1"/>
          <w:sz w:val="32"/>
          <w:szCs w:val="32"/>
          <w:highlight w:val="none"/>
          <w14:textFill>
            <w14:solidFill>
              <w14:schemeClr w14:val="tx1"/>
            </w14:solidFill>
          </w14:textFill>
        </w:rPr>
      </w:pPr>
    </w:p>
    <w:p w14:paraId="4C06E913">
      <w:pPr>
        <w:pStyle w:val="212"/>
        <w:ind w:left="-31"/>
        <w:rPr>
          <w:rFonts w:hint="eastAsia" w:ascii="宋体" w:hAnsi="宋体" w:eastAsia="宋体" w:cs="宋体"/>
          <w:b/>
          <w:bCs/>
          <w:color w:val="000000" w:themeColor="text1"/>
          <w:sz w:val="32"/>
          <w:szCs w:val="32"/>
          <w:highlight w:val="none"/>
          <w14:textFill>
            <w14:solidFill>
              <w14:schemeClr w14:val="tx1"/>
            </w14:solidFill>
          </w14:textFill>
        </w:rPr>
      </w:pPr>
    </w:p>
    <w:p w14:paraId="5BA355E6">
      <w:pPr>
        <w:pStyle w:val="212"/>
        <w:ind w:left="-31"/>
        <w:rPr>
          <w:rFonts w:hint="eastAsia" w:ascii="宋体" w:hAnsi="宋体" w:eastAsia="宋体" w:cs="宋体"/>
          <w:b/>
          <w:bCs/>
          <w:color w:val="000000" w:themeColor="text1"/>
          <w:sz w:val="32"/>
          <w:szCs w:val="32"/>
          <w:highlight w:val="none"/>
          <w14:textFill>
            <w14:solidFill>
              <w14:schemeClr w14:val="tx1"/>
            </w14:solidFill>
          </w14:textFill>
        </w:rPr>
      </w:pPr>
    </w:p>
    <w:p w14:paraId="21A42FE8">
      <w:pPr>
        <w:pStyle w:val="212"/>
        <w:ind w:left="-31"/>
        <w:rPr>
          <w:rFonts w:hint="eastAsia" w:ascii="宋体" w:hAnsi="宋体" w:eastAsia="宋体" w:cs="宋体"/>
          <w:b/>
          <w:bCs/>
          <w:color w:val="000000" w:themeColor="text1"/>
          <w:sz w:val="32"/>
          <w:szCs w:val="32"/>
          <w:highlight w:val="none"/>
          <w14:textFill>
            <w14:solidFill>
              <w14:schemeClr w14:val="tx1"/>
            </w14:solidFill>
          </w14:textFill>
        </w:rPr>
      </w:pPr>
    </w:p>
    <w:p w14:paraId="39319331">
      <w:pPr>
        <w:rPr>
          <w:rFonts w:hint="eastAsia" w:ascii="宋体" w:hAnsi="宋体" w:eastAsia="宋体" w:cs="宋体"/>
          <w:color w:val="000000" w:themeColor="text1"/>
          <w:highlight w:val="none"/>
          <w14:textFill>
            <w14:solidFill>
              <w14:schemeClr w14:val="tx1"/>
            </w14:solidFill>
          </w14:textFill>
        </w:rPr>
      </w:pPr>
    </w:p>
    <w:p w14:paraId="76DF3B22">
      <w:pPr>
        <w:pStyle w:val="212"/>
        <w:ind w:left="-31"/>
        <w:rPr>
          <w:rFonts w:hint="eastAsia" w:ascii="宋体" w:hAnsi="宋体" w:eastAsia="宋体" w:cs="宋体"/>
          <w:b/>
          <w:bCs/>
          <w:color w:val="000000" w:themeColor="text1"/>
          <w:sz w:val="32"/>
          <w:szCs w:val="32"/>
          <w:highlight w:val="none"/>
          <w14:textFill>
            <w14:solidFill>
              <w14:schemeClr w14:val="tx1"/>
            </w14:solidFill>
          </w14:textFill>
        </w:rPr>
      </w:pPr>
    </w:p>
    <w:p w14:paraId="0CF268E9">
      <w:pPr>
        <w:pStyle w:val="212"/>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7.《中小企业声明函》（见附件）（除监狱企业及残疾人福利性单位外，必须提供）；</w:t>
      </w:r>
    </w:p>
    <w:p w14:paraId="54AB513B">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0B4CF64E">
      <w:pPr>
        <w:pStyle w:val="216"/>
        <w:spacing w:line="440" w:lineRule="exact"/>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中小企业声明函</w:t>
      </w:r>
    </w:p>
    <w:p w14:paraId="3381AE96">
      <w:pPr>
        <w:pStyle w:val="216"/>
        <w:spacing w:line="440" w:lineRule="exact"/>
        <w:ind w:firstLine="444"/>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本公司（联合体）郑重声明，根据《政府采购促进中小企业发展管理办法》（财库﹝2020﹞46 号）的规定，本公司（联合体）参加（</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单 位 名 称</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）的（</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项 目 名 称</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5259DA38">
      <w:pPr>
        <w:pStyle w:val="216"/>
        <w:numPr>
          <w:ilvl w:val="0"/>
          <w:numId w:val="0"/>
        </w:numPr>
        <w:spacing w:line="440" w:lineRule="exact"/>
        <w:ind w:firstLine="444"/>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t>1.</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（标的名称） </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，属于</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（采购文件中明确的所属行业）</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 承建（承接）企业为（</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企业名称</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），从业人员</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人，营业 收入为</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万元，资产总额为</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万元，属于（</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中型企业、 小型企业、微型企业</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w:t>
      </w:r>
    </w:p>
    <w:p w14:paraId="39279C59">
      <w:pPr>
        <w:keepNext w:val="0"/>
        <w:keepLines w:val="0"/>
        <w:widowControl/>
        <w:suppressLineNumbers w:val="0"/>
        <w:ind w:firstLine="444"/>
        <w:jc w:val="left"/>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t>2.</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（标的名称） </w:t>
      </w:r>
      <w:r>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t>，属于</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（采购文件中明确的所属行业）</w:t>
      </w:r>
      <w:r>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t>；承建（承接）企业为（</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企业名称</w:t>
      </w:r>
      <w:r>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t>），从业人员</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t>人，营业收入为</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t>万元，资产总额为</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t>万元，属于（</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中型企业、 小型企业、微型企业</w:t>
      </w:r>
      <w:r>
        <w:rPr>
          <w:rFonts w:hint="eastAsia" w:ascii="宋体" w:hAnsi="宋体" w:eastAsia="宋体" w:cs="宋体"/>
          <w:color w:val="000000" w:themeColor="text1"/>
          <w:spacing w:val="6"/>
          <w:sz w:val="21"/>
          <w:szCs w:val="21"/>
          <w:highlight w:val="none"/>
          <w:u w:val="none"/>
          <w:lang w:val="en-US" w:eastAsia="zh-CN" w:bidi="ar-SA"/>
          <w14:textFill>
            <w14:solidFill>
              <w14:schemeClr w14:val="tx1"/>
            </w14:solidFill>
          </w14:textFill>
        </w:rPr>
        <w:t>）；</w:t>
      </w:r>
    </w:p>
    <w:p w14:paraId="29E14BEA">
      <w:pPr>
        <w:pStyle w:val="203"/>
        <w:ind w:left="0" w:firstLine="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2D7EE4C3">
      <w:pPr>
        <w:keepNext w:val="0"/>
        <w:keepLines w:val="0"/>
        <w:widowControl/>
        <w:suppressLineNumbers w:val="0"/>
        <w:jc w:val="left"/>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以上企业，不属于大企业的分支机构，不存在控股股东为大企业的情形，也不存在与大企业的负责人为同一人的情形。</w:t>
      </w:r>
    </w:p>
    <w:p w14:paraId="0D3ED474">
      <w:pPr>
        <w:keepNext w:val="0"/>
        <w:keepLines w:val="0"/>
        <w:widowControl/>
        <w:suppressLineNumbers w:val="0"/>
        <w:jc w:val="left"/>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 xml:space="preserve">本企业对上述声明内容的真实性负责。如有虚假，将依法承担相应责任。 </w:t>
      </w:r>
    </w:p>
    <w:p w14:paraId="69156C82">
      <w:pPr>
        <w:pStyle w:val="291"/>
        <w:spacing w:after="40" w:line="400" w:lineRule="exact"/>
        <w:ind w:firstLine="640"/>
        <w:jc w:val="both"/>
        <w:rPr>
          <w:rFonts w:hint="eastAsia" w:ascii="宋体" w:hAnsi="宋体" w:eastAsia="宋体" w:cs="宋体"/>
          <w:color w:val="000000" w:themeColor="text1"/>
          <w:sz w:val="24"/>
          <w:szCs w:val="24"/>
          <w:highlight w:val="none"/>
          <w14:textFill>
            <w14:solidFill>
              <w14:schemeClr w14:val="tx1"/>
            </w14:solidFill>
          </w14:textFill>
        </w:rPr>
      </w:pPr>
    </w:p>
    <w:p w14:paraId="7D19A6BA">
      <w:pPr>
        <w:pStyle w:val="291"/>
        <w:spacing w:line="400" w:lineRule="exact"/>
        <w:ind w:firstLine="640"/>
        <w:jc w:val="both"/>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 xml:space="preserve">                        企业名称[盖公章（CA签章）]：</w:t>
      </w:r>
    </w:p>
    <w:p w14:paraId="2BA4D8D1">
      <w:pPr>
        <w:pStyle w:val="291"/>
        <w:spacing w:line="400" w:lineRule="exact"/>
        <w:ind w:firstLine="640"/>
        <w:jc w:val="both"/>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 xml:space="preserve">                                                   日期：</w:t>
      </w:r>
    </w:p>
    <w:p w14:paraId="770DF83F">
      <w:pPr>
        <w:pStyle w:val="216"/>
        <w:numPr>
          <w:ilvl w:val="0"/>
          <w:numId w:val="0"/>
        </w:numPr>
        <w:spacing w:line="440" w:lineRule="exact"/>
        <w:ind w:firstLine="42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en-US" w:eastAsia="zh-CN" w:bidi="ar-SA"/>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注：</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从业人员、营业收入、资产总额填报上一年度数据，无上一年度数据的新成立企业可不填报。</w:t>
      </w:r>
    </w:p>
    <w:p w14:paraId="56B95FAC">
      <w:pPr>
        <w:pStyle w:val="203"/>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49692C6A">
      <w:pPr>
        <w:rPr>
          <w:rFonts w:hint="eastAsia" w:ascii="宋体" w:hAnsi="宋体" w:eastAsia="宋体" w:cs="宋体"/>
          <w:color w:val="000000" w:themeColor="text1"/>
          <w:highlight w:val="none"/>
          <w14:textFill>
            <w14:solidFill>
              <w14:schemeClr w14:val="tx1"/>
            </w14:solidFill>
          </w14:textFill>
        </w:rPr>
      </w:pPr>
    </w:p>
    <w:p w14:paraId="6A5E01BF">
      <w:pPr>
        <w:rPr>
          <w:rFonts w:hint="eastAsia" w:ascii="宋体" w:hAnsi="宋体" w:eastAsia="宋体" w:cs="宋体"/>
          <w:b/>
          <w:bCs/>
          <w:color w:val="000000" w:themeColor="text1"/>
          <w:sz w:val="32"/>
          <w:szCs w:val="32"/>
          <w:highlight w:val="none"/>
          <w14:textFill>
            <w14:solidFill>
              <w14:schemeClr w14:val="tx1"/>
            </w14:solidFill>
          </w14:textFill>
        </w:rPr>
      </w:pPr>
    </w:p>
    <w:p w14:paraId="2D0B884A">
      <w:pPr>
        <w:numPr>
          <w:ilvl w:val="0"/>
          <w:numId w:val="12"/>
        </w:num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如提供服务的供应商属于监狱企业的，应当提供由省级以上监狱管理局、戒毒管理局等（含新疆生产建设兵团）出具的属于监狱企业的证明文件, 否则不予享受优惠政策（如供应商属于监狱企业的，则必须提供）；</w:t>
      </w:r>
    </w:p>
    <w:p w14:paraId="471D14E7">
      <w:pPr>
        <w:pStyle w:val="212"/>
        <w:widowControl w:val="0"/>
        <w:numPr>
          <w:ilvl w:val="0"/>
          <w:numId w:val="0"/>
        </w:numPr>
        <w:rPr>
          <w:rFonts w:hint="eastAsia" w:ascii="宋体" w:hAnsi="宋体" w:eastAsia="宋体" w:cs="宋体"/>
          <w:color w:val="000000" w:themeColor="text1"/>
          <w:highlight w:val="none"/>
          <w:lang w:val="en-US" w:eastAsia="zh-CN"/>
          <w14:textFill>
            <w14:solidFill>
              <w14:schemeClr w14:val="tx1"/>
            </w14:solidFill>
          </w14:textFill>
        </w:rPr>
      </w:pPr>
    </w:p>
    <w:p w14:paraId="19403679">
      <w:pPr>
        <w:pStyle w:val="212"/>
        <w:widowControl w:val="0"/>
        <w:numPr>
          <w:ilvl w:val="0"/>
          <w:numId w:val="0"/>
        </w:numPr>
        <w:rPr>
          <w:rFonts w:hint="eastAsia" w:ascii="宋体" w:hAnsi="宋体" w:eastAsia="宋体" w:cs="宋体"/>
          <w:color w:val="000000" w:themeColor="text1"/>
          <w:highlight w:val="none"/>
          <w:lang w:val="en-US" w:eastAsia="zh-CN"/>
          <w14:textFill>
            <w14:solidFill>
              <w14:schemeClr w14:val="tx1"/>
            </w14:solidFill>
          </w14:textFill>
        </w:rPr>
      </w:pPr>
    </w:p>
    <w:p w14:paraId="49BC6581">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419C1506">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1541CA56">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64743471">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2965D49C">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4D5D4558">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15E803E5">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338D35BE">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9.符合条件的残疾人福利性单位在参加政府采购活动时，应当提供《残疾人福利性单位声明函》（见附件），并对声明的真实性负责（如供应商属于残疾人福利性单位的，则必须提供）。</w:t>
      </w:r>
    </w:p>
    <w:p w14:paraId="02236CC4">
      <w:pPr>
        <w:spacing w:line="588" w:lineRule="exact"/>
        <w:ind w:firstLine="444"/>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提供</w:t>
      </w:r>
      <w:r>
        <w:rPr>
          <w:rFonts w:hint="eastAsia" w:ascii="宋体" w:hAnsi="宋体" w:eastAsia="宋体" w:cs="宋体"/>
          <w:color w:val="000000" w:themeColor="text1"/>
          <w:spacing w:val="6"/>
          <w:sz w:val="21"/>
          <w:szCs w:val="21"/>
          <w:highlight w:val="none"/>
          <w14:textFill>
            <w14:solidFill>
              <w14:schemeClr w14:val="tx1"/>
            </w14:solidFill>
          </w14:textFill>
        </w:rPr>
        <w:t>的货物</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或服务</w:t>
      </w:r>
      <w:r>
        <w:rPr>
          <w:rFonts w:hint="eastAsia" w:ascii="宋体" w:hAnsi="宋体" w:eastAsia="宋体" w:cs="宋体"/>
          <w:color w:val="000000" w:themeColor="text1"/>
          <w:spacing w:val="6"/>
          <w:sz w:val="21"/>
          <w:szCs w:val="21"/>
          <w:highlight w:val="none"/>
          <w14:textFill>
            <w14:solidFill>
              <w14:schemeClr w14:val="tx1"/>
            </w14:solidFill>
          </w14:textFill>
        </w:rPr>
        <w:t>（由本单位承担工程/提供服务），或者提供其他残疾人福利性单位</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提供</w:t>
      </w:r>
      <w:r>
        <w:rPr>
          <w:rFonts w:hint="eastAsia" w:ascii="宋体" w:hAnsi="宋体" w:eastAsia="宋体" w:cs="宋体"/>
          <w:color w:val="000000" w:themeColor="text1"/>
          <w:spacing w:val="6"/>
          <w:sz w:val="21"/>
          <w:szCs w:val="21"/>
          <w:highlight w:val="none"/>
          <w14:textFill>
            <w14:solidFill>
              <w14:schemeClr w14:val="tx1"/>
            </w14:solidFill>
          </w14:textFill>
        </w:rPr>
        <w:t>的货物</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或服务</w:t>
      </w:r>
      <w:r>
        <w:rPr>
          <w:rFonts w:hint="eastAsia" w:ascii="宋体" w:hAnsi="宋体" w:eastAsia="宋体" w:cs="宋体"/>
          <w:color w:val="000000" w:themeColor="text1"/>
          <w:spacing w:val="6"/>
          <w:sz w:val="21"/>
          <w:szCs w:val="21"/>
          <w:highlight w:val="none"/>
          <w14:textFill>
            <w14:solidFill>
              <w14:schemeClr w14:val="tx1"/>
            </w14:solidFill>
          </w14:textFill>
        </w:rPr>
        <w:t>（不包括使用非残疾人福利性单位注册商标的货物）。</w:t>
      </w:r>
    </w:p>
    <w:p w14:paraId="4A9B7A11">
      <w:pPr>
        <w:spacing w:line="588" w:lineRule="exact"/>
        <w:ind w:firstLine="444"/>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本单位对上述声明的真实性负责。如有虚假，将依法承担相应责任。</w:t>
      </w:r>
    </w:p>
    <w:p w14:paraId="3D1F21A4">
      <w:pPr>
        <w:spacing w:line="588" w:lineRule="exact"/>
        <w:rPr>
          <w:rFonts w:hint="eastAsia" w:ascii="宋体" w:hAnsi="宋体" w:eastAsia="宋体" w:cs="宋体"/>
          <w:color w:val="000000" w:themeColor="text1"/>
          <w:spacing w:val="6"/>
          <w:sz w:val="21"/>
          <w:szCs w:val="21"/>
          <w:highlight w:val="none"/>
          <w14:textFill>
            <w14:solidFill>
              <w14:schemeClr w14:val="tx1"/>
            </w14:solidFill>
          </w14:textFill>
        </w:rPr>
      </w:pPr>
    </w:p>
    <w:p w14:paraId="32B7283E">
      <w:pPr>
        <w:spacing w:line="588" w:lineRule="exact"/>
        <w:ind w:firstLine="6438"/>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单</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位</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名</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称[盖公章(CA签章)]：</w:t>
      </w:r>
    </w:p>
    <w:p w14:paraId="47320424">
      <w:pPr>
        <w:pStyle w:val="21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 xml:space="preserve"> 日  期：</w:t>
      </w:r>
    </w:p>
    <w:p w14:paraId="24160E71">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7F00D7DD">
      <w:pPr>
        <w:rPr>
          <w:rFonts w:hint="eastAsia" w:ascii="宋体" w:hAnsi="宋体" w:eastAsia="宋体" w:cs="宋体"/>
          <w:b/>
          <w:bCs/>
          <w:color w:val="000000" w:themeColor="text1"/>
          <w:sz w:val="32"/>
          <w:szCs w:val="32"/>
          <w:highlight w:val="none"/>
          <w14:textFill>
            <w14:solidFill>
              <w14:schemeClr w14:val="tx1"/>
            </w14:solidFill>
          </w14:textFill>
        </w:rPr>
      </w:pPr>
    </w:p>
    <w:p w14:paraId="65965087">
      <w:pPr>
        <w:pStyle w:val="212"/>
        <w:rPr>
          <w:rFonts w:hint="eastAsia" w:ascii="宋体" w:hAnsi="宋体" w:eastAsia="宋体" w:cs="宋体"/>
          <w:color w:val="000000" w:themeColor="text1"/>
          <w:highlight w:val="none"/>
          <w14:textFill>
            <w14:solidFill>
              <w14:schemeClr w14:val="tx1"/>
            </w14:solidFill>
          </w14:textFill>
        </w:rPr>
      </w:pPr>
    </w:p>
    <w:p w14:paraId="05DB61A2">
      <w:pPr>
        <w:rPr>
          <w:rFonts w:hint="eastAsia" w:ascii="宋体" w:hAnsi="宋体" w:eastAsia="宋体" w:cs="宋体"/>
          <w:b/>
          <w:bCs/>
          <w:color w:val="000000" w:themeColor="text1"/>
          <w:sz w:val="32"/>
          <w:szCs w:val="32"/>
          <w:highlight w:val="none"/>
          <w14:textFill>
            <w14:solidFill>
              <w14:schemeClr w14:val="tx1"/>
            </w14:solidFill>
          </w14:textFill>
        </w:rPr>
      </w:pPr>
    </w:p>
    <w:p w14:paraId="3BB12F34">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1C6709CA">
      <w:pPr>
        <w:rPr>
          <w:rFonts w:hint="eastAsia" w:ascii="宋体" w:hAnsi="宋体" w:eastAsia="宋体" w:cs="宋体"/>
          <w:b/>
          <w:bCs/>
          <w:color w:val="000000" w:themeColor="text1"/>
          <w:sz w:val="32"/>
          <w:szCs w:val="32"/>
          <w:highlight w:val="none"/>
          <w14:textFill>
            <w14:solidFill>
              <w14:schemeClr w14:val="tx1"/>
            </w14:solidFill>
          </w14:textFill>
        </w:rPr>
      </w:pPr>
    </w:p>
    <w:p w14:paraId="3CE0DE76">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68BBAA70">
      <w:pPr>
        <w:rPr>
          <w:rFonts w:hint="eastAsia" w:ascii="宋体" w:hAnsi="宋体" w:eastAsia="宋体" w:cs="宋体"/>
          <w:b/>
          <w:bCs/>
          <w:color w:val="000000" w:themeColor="text1"/>
          <w:sz w:val="32"/>
          <w:szCs w:val="32"/>
          <w:highlight w:val="none"/>
          <w14:textFill>
            <w14:solidFill>
              <w14:schemeClr w14:val="tx1"/>
            </w14:solidFill>
          </w14:textFill>
        </w:rPr>
      </w:pPr>
    </w:p>
    <w:p w14:paraId="24C0C3D7">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7B64E467">
      <w:pPr>
        <w:rPr>
          <w:rFonts w:hint="eastAsia" w:ascii="宋体" w:hAnsi="宋体" w:eastAsia="宋体" w:cs="宋体"/>
          <w:b/>
          <w:bCs/>
          <w:color w:val="000000" w:themeColor="text1"/>
          <w:sz w:val="32"/>
          <w:szCs w:val="32"/>
          <w:highlight w:val="none"/>
          <w14:textFill>
            <w14:solidFill>
              <w14:schemeClr w14:val="tx1"/>
            </w14:solidFill>
          </w14:textFill>
        </w:rPr>
      </w:pPr>
    </w:p>
    <w:p w14:paraId="628A565B">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0376B013">
      <w:pPr>
        <w:rPr>
          <w:rFonts w:hint="eastAsia" w:ascii="宋体" w:hAnsi="宋体" w:eastAsia="宋体" w:cs="宋体"/>
          <w:b/>
          <w:bCs/>
          <w:color w:val="000000" w:themeColor="text1"/>
          <w:sz w:val="32"/>
          <w:szCs w:val="32"/>
          <w:highlight w:val="none"/>
          <w14:textFill>
            <w14:solidFill>
              <w14:schemeClr w14:val="tx1"/>
            </w14:solidFill>
          </w14:textFill>
        </w:rPr>
      </w:pPr>
    </w:p>
    <w:p w14:paraId="318D8B53">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4B6622E8">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353B23A7">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0370BBF0">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3A93F9F2">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17B834B9">
      <w:pPr>
        <w:pStyle w:val="212"/>
        <w:rPr>
          <w:rFonts w:hint="eastAsia" w:ascii="宋体" w:hAnsi="宋体" w:eastAsia="宋体" w:cs="宋体"/>
          <w:color w:val="000000" w:themeColor="text1"/>
          <w:highlight w:val="none"/>
          <w14:textFill>
            <w14:solidFill>
              <w14:schemeClr w14:val="tx1"/>
            </w14:solidFill>
          </w14:textFill>
        </w:rPr>
      </w:pPr>
    </w:p>
    <w:p w14:paraId="0DE82296">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二、商务、技术性响应及其他有效证明材料（格式）</w:t>
      </w:r>
    </w:p>
    <w:p w14:paraId="48ADECCC">
      <w:pPr>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1.投标报价表（格式见附件）（必须提供）</w:t>
      </w:r>
      <w:r>
        <w:rPr>
          <w:rFonts w:hint="eastAsia" w:ascii="宋体" w:hAnsi="宋体" w:eastAsia="宋体" w:cs="宋体"/>
          <w:b/>
          <w:bCs/>
          <w:color w:val="000000" w:themeColor="text1"/>
          <w:sz w:val="32"/>
          <w:szCs w:val="32"/>
          <w:highlight w:val="none"/>
          <w:lang w:eastAsia="zh-CN"/>
          <w14:textFill>
            <w14:solidFill>
              <w14:schemeClr w14:val="tx1"/>
            </w14:solidFill>
          </w14:textFill>
        </w:rPr>
        <w:t>；</w:t>
      </w:r>
    </w:p>
    <w:p w14:paraId="1D86A5DD">
      <w:pPr>
        <w:jc w:val="center"/>
        <w:rPr>
          <w:rFonts w:hint="eastAsia" w:ascii="宋体" w:hAnsi="宋体" w:eastAsia="宋体" w:cs="宋体"/>
          <w:b/>
          <w:bCs/>
          <w:color w:val="000000" w:themeColor="text1"/>
          <w:sz w:val="24"/>
          <w:highlight w:val="none"/>
          <w14:textFill>
            <w14:solidFill>
              <w14:schemeClr w14:val="tx1"/>
            </w14:solidFill>
          </w14:textFill>
        </w:rPr>
      </w:pPr>
    </w:p>
    <w:p w14:paraId="272A513C">
      <w:pPr>
        <w:pStyle w:val="203"/>
        <w:ind w:left="0" w:firstLine="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附件：</w:t>
      </w:r>
    </w:p>
    <w:p w14:paraId="5AA86B5D">
      <w:pPr>
        <w:pStyle w:val="216"/>
        <w:keepNext w:val="0"/>
        <w:keepLines w:val="0"/>
        <w:pageBreakBefore w:val="0"/>
        <w:widowControl w:val="0"/>
        <w:bidi w:val="0"/>
        <w:spacing w:line="480" w:lineRule="exact"/>
        <w:ind w:left="42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en-US" w:eastAsia="zh-CN" w:bidi="ar-SA"/>
          <w14:textFill>
            <w14:solidFill>
              <w14:schemeClr w14:val="tx1"/>
            </w14:solidFill>
          </w14:textFill>
        </w:rPr>
        <w:t>投标报价表（格式）</w:t>
      </w:r>
    </w:p>
    <w:tbl>
      <w:tblPr>
        <w:tblStyle w:val="32"/>
        <w:tblW w:w="967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570"/>
        <w:gridCol w:w="1740"/>
        <w:gridCol w:w="780"/>
        <w:gridCol w:w="855"/>
        <w:gridCol w:w="810"/>
        <w:gridCol w:w="1785"/>
        <w:gridCol w:w="1710"/>
      </w:tblGrid>
      <w:tr w14:paraId="6571A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09898F5B">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项号</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1CEB631">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采购内容名称</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75FC689">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服务内容及承诺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9456DA3">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数量①</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7338C2FF">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6A4D6D48">
            <w:pPr>
              <w:spacing w:line="3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单价②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A0AC196">
            <w:pPr>
              <w:spacing w:line="3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单项合计</w:t>
            </w:r>
            <w:r>
              <w:rPr>
                <w:rFonts w:hint="eastAsia" w:ascii="宋体" w:hAnsi="宋体" w:eastAsia="宋体" w:cs="宋体"/>
                <w:color w:val="000000" w:themeColor="text1"/>
                <w:highlight w:val="none"/>
                <w:lang w:val="en-US" w:eastAsia="zh-CN"/>
                <w14:textFill>
                  <w14:solidFill>
                    <w14:schemeClr w14:val="tx1"/>
                  </w14:solidFill>
                </w14:textFill>
              </w:rPr>
              <w:t>=数量×单价</w:t>
            </w:r>
          </w:p>
          <w:p w14:paraId="7B2163E1">
            <w:pPr>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③=</w:t>
            </w:r>
            <w:r>
              <w:rPr>
                <w:rFonts w:hint="eastAsia" w:ascii="宋体" w:hAnsi="宋体" w:eastAsia="宋体" w:cs="宋体"/>
                <w:color w:val="000000" w:themeColor="text1"/>
                <w:sz w:val="21"/>
                <w:szCs w:val="21"/>
                <w:highlight w:val="none"/>
                <w14:textFill>
                  <w14:solidFill>
                    <w14:schemeClr w14:val="tx1"/>
                  </w14:solidFill>
                </w14:textFill>
              </w:rPr>
              <w:t>①</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②</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87BB13C">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tc>
      </w:tr>
      <w:tr w14:paraId="1A91D9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3AEF80F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04F943E7">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847F61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223CFE0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4BAAD3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04676D2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5FDB8C5">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BD10066">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r>
      <w:tr w14:paraId="5D0F8A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6618ECD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0B5B7C5E">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3AE683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52C6FEF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4017239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7BDC007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F3D7B1B">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04AA3228">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r>
      <w:tr w14:paraId="18DAE1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6B35D37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A318C3E">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6AFC2B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79BED93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6A3A76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1C29896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26DE46C7">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400F5604">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r>
      <w:tr w14:paraId="494D2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7995205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5FA4A0B4">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6C2874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6A4513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9C49C3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1A12BAB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39C8824">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6E2B98F0">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r>
      <w:tr w14:paraId="735065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0BBE6444">
            <w:pPr>
              <w:spacing w:line="300" w:lineRule="exact"/>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 xml:space="preserve">投标总报价（大写）：人民币               </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6"/>
                <w:sz w:val="21"/>
                <w:szCs w:val="21"/>
                <w:highlight w:val="none"/>
                <w14:textFill>
                  <w14:solidFill>
                    <w14:schemeClr w14:val="tx1"/>
                  </w14:solidFill>
                </w14:textFill>
              </w:rPr>
              <w:t xml:space="preserve">                   ）</w:t>
            </w:r>
          </w:p>
        </w:tc>
      </w:tr>
      <w:tr w14:paraId="5F64F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49378CDF">
            <w:pPr>
              <w:spacing w:line="300" w:lineRule="exact"/>
              <w:rPr>
                <w:rFonts w:hint="eastAsia" w:ascii="宋体" w:hAnsi="宋体" w:eastAsia="宋体" w:cs="宋体"/>
                <w:b w:val="0"/>
                <w:bCs w:val="0"/>
                <w:color w:val="000000" w:themeColor="text1"/>
                <w:spacing w:val="-6"/>
                <w:sz w:val="21"/>
                <w:szCs w:val="21"/>
                <w:highlight w:val="none"/>
                <w14:textFill>
                  <w14:solidFill>
                    <w14:schemeClr w14:val="tx1"/>
                  </w14:solidFill>
                </w14:textFill>
              </w:rPr>
            </w:pPr>
            <w:r>
              <w:rPr>
                <w:rFonts w:hint="eastAsia" w:ascii="宋体" w:hAnsi="宋体" w:eastAsia="宋体" w:cs="宋体"/>
                <w:b w:val="0"/>
                <w:bCs w:val="0"/>
                <w:color w:val="000000" w:themeColor="text1"/>
                <w:spacing w:val="-6"/>
                <w:sz w:val="21"/>
                <w:szCs w:val="21"/>
                <w:highlight w:val="none"/>
                <w14:textFill>
                  <w14:solidFill>
                    <w14:schemeClr w14:val="tx1"/>
                  </w14:solidFill>
                </w14:textFill>
              </w:rPr>
              <w:t>服务时间：</w:t>
            </w:r>
          </w:p>
        </w:tc>
      </w:tr>
      <w:tr w14:paraId="6E8DA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1"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66A265D1">
            <w:pPr>
              <w:spacing w:line="34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说明：投标报价指本次招标采购范围内</w:t>
            </w:r>
            <w:r>
              <w:rPr>
                <w:rFonts w:hint="eastAsia" w:ascii="宋体" w:hAnsi="宋体" w:eastAsia="宋体" w:cs="宋体"/>
                <w:color w:val="000000" w:themeColor="text1"/>
                <w:highlight w:val="none"/>
                <w14:textFill>
                  <w14:solidFill>
                    <w14:schemeClr w14:val="tx1"/>
                  </w14:solidFill>
                </w14:textFill>
              </w:rPr>
              <w:t>所需服务的人员工资及社保、服装、工具、管理、培训、加班费、节假日奖金、税费及其他成本等所有费用</w:t>
            </w:r>
            <w:r>
              <w:rPr>
                <w:rFonts w:hint="eastAsia" w:ascii="宋体" w:hAnsi="宋体" w:eastAsia="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综合考虑在报价中</w:t>
            </w:r>
            <w:r>
              <w:rPr>
                <w:rFonts w:hint="eastAsia" w:ascii="宋体" w:hAnsi="宋体" w:eastAsia="宋体" w:cs="宋体"/>
                <w:color w:val="000000" w:themeColor="text1"/>
                <w:sz w:val="21"/>
                <w:szCs w:val="21"/>
                <w:highlight w:val="none"/>
                <w14:textFill>
                  <w14:solidFill>
                    <w14:schemeClr w14:val="tx1"/>
                  </w14:solidFill>
                </w14:textFill>
              </w:rPr>
              <w:t>。</w:t>
            </w:r>
          </w:p>
        </w:tc>
      </w:tr>
    </w:tbl>
    <w:p w14:paraId="447DC7DC">
      <w:pPr>
        <w:spacing w:line="340" w:lineRule="exact"/>
        <w:rPr>
          <w:rFonts w:hint="eastAsia" w:ascii="宋体" w:hAnsi="宋体" w:eastAsia="宋体" w:cs="宋体"/>
          <w:color w:val="000000" w:themeColor="text1"/>
          <w:szCs w:val="21"/>
          <w:highlight w:val="none"/>
          <w14:textFill>
            <w14:solidFill>
              <w14:schemeClr w14:val="tx1"/>
            </w14:solidFill>
          </w14:textFill>
        </w:rPr>
      </w:pPr>
    </w:p>
    <w:p w14:paraId="1AFE5ACF">
      <w:pPr>
        <w:spacing w:line="340" w:lineRule="exac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，自然人除外）：</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4FC44C26">
      <w:pPr>
        <w:spacing w:line="340" w:lineRule="exac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法定代表人、负责人、自然人或相应的委托代理人签字或</w:t>
      </w:r>
      <w:r>
        <w:rPr>
          <w:rFonts w:hint="eastAsia" w:ascii="宋体" w:hAnsi="宋体" w:eastAsia="宋体" w:cs="宋体"/>
          <w:color w:val="000000" w:themeColor="text1"/>
          <w:highlight w:val="none"/>
          <w:lang w:eastAsia="zh-CN"/>
          <w14:textFill>
            <w14:solidFill>
              <w14:schemeClr w14:val="tx1"/>
            </w14:solidFill>
          </w14:textFill>
        </w:rPr>
        <w:t>个人</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（属自然人的应在签名处加盖</w:t>
      </w:r>
      <w:r>
        <w:rPr>
          <w:rFonts w:hint="eastAsia" w:ascii="宋体" w:hAnsi="宋体" w:eastAsia="宋体" w:cs="宋体"/>
          <w:color w:val="000000" w:themeColor="text1"/>
          <w:highlight w:val="none"/>
          <w:lang w:eastAsia="zh-CN"/>
          <w14:textFill>
            <w14:solidFill>
              <w14:schemeClr w14:val="tx1"/>
            </w14:solidFill>
          </w14:textFill>
        </w:rPr>
        <w:t>大拇指</w:t>
      </w:r>
      <w:r>
        <w:rPr>
          <w:rFonts w:hint="eastAsia" w:ascii="宋体" w:hAnsi="宋体" w:eastAsia="宋体" w:cs="宋体"/>
          <w:color w:val="000000" w:themeColor="text1"/>
          <w:highlight w:val="none"/>
          <w14:textFill>
            <w14:solidFill>
              <w14:schemeClr w14:val="tx1"/>
            </w14:solidFill>
          </w14:textFill>
        </w:rPr>
        <w:t>指印</w:t>
      </w:r>
      <w:r>
        <w:rPr>
          <w:rFonts w:hint="eastAsia" w:ascii="宋体" w:hAnsi="宋体" w:eastAsia="宋体" w:cs="宋体"/>
          <w:color w:val="000000" w:themeColor="text1"/>
          <w:highlight w:val="none"/>
          <w:lang w:eastAsia="zh-CN"/>
          <w14:textFill>
            <w14:solidFill>
              <w14:schemeClr w14:val="tx1"/>
            </w14:solidFill>
          </w14:textFill>
        </w:rPr>
        <w:t>或个人</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0AAB30F">
      <w:pPr>
        <w:tabs>
          <w:tab w:val="left" w:pos="1305"/>
        </w:tabs>
        <w:spacing w:line="340" w:lineRule="exact"/>
        <w:rPr>
          <w:rFonts w:hint="eastAsia" w:ascii="宋体" w:hAnsi="宋体" w:eastAsia="宋体" w:cs="宋体"/>
          <w:bCs/>
          <w:color w:val="000000" w:themeColor="text1"/>
          <w:sz w:val="21"/>
          <w:szCs w:val="21"/>
          <w:highlight w:val="none"/>
          <w14:textFill>
            <w14:solidFill>
              <w14:schemeClr w14:val="tx1"/>
            </w14:solidFill>
          </w14:textFill>
        </w:rPr>
      </w:pPr>
    </w:p>
    <w:p w14:paraId="4C6E7C73">
      <w:pPr>
        <w:tabs>
          <w:tab w:val="left" w:pos="1305"/>
        </w:tabs>
        <w:spacing w:line="3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注</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1.各投标人</w:t>
      </w:r>
      <w:r>
        <w:rPr>
          <w:rFonts w:hint="eastAsia" w:ascii="宋体" w:hAnsi="宋体" w:eastAsia="宋体" w:cs="宋体"/>
          <w:color w:val="000000" w:themeColor="text1"/>
          <w:sz w:val="21"/>
          <w:szCs w:val="21"/>
          <w:highlight w:val="none"/>
          <w14:textFill>
            <w14:solidFill>
              <w14:schemeClr w14:val="tx1"/>
            </w14:solidFill>
          </w14:textFill>
        </w:rPr>
        <w:t>必须就“采购需求”中所投分标的所有内容作完整唯一报价，否则，其投标将被拒绝。投标文件只允许有一个报价。</w:t>
      </w:r>
    </w:p>
    <w:p w14:paraId="4020CCD0">
      <w:pPr>
        <w:pStyle w:val="216"/>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2.投标人应根据所投</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w:t>
      </w:r>
      <w:r>
        <w:rPr>
          <w:rFonts w:hint="eastAsia" w:ascii="宋体" w:hAnsi="宋体" w:eastAsia="宋体" w:cs="宋体"/>
          <w:color w:val="000000" w:themeColor="text1"/>
          <w:sz w:val="21"/>
          <w:szCs w:val="21"/>
          <w:highlight w:val="none"/>
          <w14:textFill>
            <w14:solidFill>
              <w14:schemeClr w14:val="tx1"/>
            </w14:solidFill>
          </w14:textFill>
        </w:rPr>
        <w:t>如实填写投标报价表</w:t>
      </w:r>
      <w:r>
        <w:rPr>
          <w:rFonts w:hint="eastAsia" w:ascii="宋体" w:hAnsi="宋体" w:eastAsia="宋体" w:cs="宋体"/>
          <w:bCs/>
          <w:color w:val="000000" w:themeColor="text1"/>
          <w:sz w:val="21"/>
          <w:szCs w:val="21"/>
          <w:highlight w:val="none"/>
          <w14:textFill>
            <w14:solidFill>
              <w14:schemeClr w14:val="tx1"/>
            </w14:solidFill>
          </w14:textFill>
        </w:rPr>
        <w:t>的各项内容。</w:t>
      </w:r>
    </w:p>
    <w:p w14:paraId="0B7A0F8E">
      <w:pPr>
        <w:ind w:firstLine="420"/>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投标报价表须由法定代表人负责人、自然人或相应的委托代理人签字或</w:t>
      </w:r>
      <w:r>
        <w:rPr>
          <w:rFonts w:hint="eastAsia" w:ascii="宋体" w:hAnsi="宋体" w:eastAsia="宋体" w:cs="宋体"/>
          <w:color w:val="000000" w:themeColor="text1"/>
          <w:highlight w:val="none"/>
          <w:lang w:eastAsia="zh-CN"/>
          <w14:textFill>
            <w14:solidFill>
              <w14:schemeClr w14:val="tx1"/>
            </w14:solidFill>
          </w14:textFill>
        </w:rPr>
        <w:t>个人</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（属自然人的应在签名处加盖</w:t>
      </w:r>
      <w:r>
        <w:rPr>
          <w:rFonts w:hint="eastAsia" w:ascii="宋体" w:hAnsi="宋体" w:eastAsia="宋体" w:cs="宋体"/>
          <w:color w:val="000000" w:themeColor="text1"/>
          <w:highlight w:val="none"/>
          <w:lang w:eastAsia="zh-CN"/>
          <w14:textFill>
            <w14:solidFill>
              <w14:schemeClr w14:val="tx1"/>
            </w14:solidFill>
          </w14:textFill>
        </w:rPr>
        <w:t>大拇指</w:t>
      </w:r>
      <w:r>
        <w:rPr>
          <w:rFonts w:hint="eastAsia" w:ascii="宋体" w:hAnsi="宋体" w:eastAsia="宋体" w:cs="宋体"/>
          <w:color w:val="000000" w:themeColor="text1"/>
          <w:highlight w:val="none"/>
          <w14:textFill>
            <w14:solidFill>
              <w14:schemeClr w14:val="tx1"/>
            </w14:solidFill>
          </w14:textFill>
        </w:rPr>
        <w:t>指印</w:t>
      </w:r>
      <w:r>
        <w:rPr>
          <w:rFonts w:hint="eastAsia" w:ascii="宋体" w:hAnsi="宋体" w:eastAsia="宋体" w:cs="宋体"/>
          <w:color w:val="000000" w:themeColor="text1"/>
          <w:highlight w:val="none"/>
          <w:lang w:eastAsia="zh-CN"/>
          <w14:textFill>
            <w14:solidFill>
              <w14:schemeClr w14:val="tx1"/>
            </w14:solidFill>
          </w14:textFill>
        </w:rPr>
        <w:t>或个人</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）并加盖投标人</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（自然人除外）。</w:t>
      </w:r>
      <w:r>
        <w:rPr>
          <w:rFonts w:hint="eastAsia" w:ascii="宋体" w:hAnsi="宋体" w:eastAsia="宋体" w:cs="宋体"/>
          <w:b/>
          <w:color w:val="000000" w:themeColor="text1"/>
          <w:highlight w:val="none"/>
          <w14:textFill>
            <w14:solidFill>
              <w14:schemeClr w14:val="tx1"/>
            </w14:solidFill>
          </w14:textFill>
        </w:rPr>
        <w:t>当本表由多页构成时，需逐页加盖投标人公章（属自然人的须逐页签字</w:t>
      </w:r>
      <w:r>
        <w:rPr>
          <w:rFonts w:hint="eastAsia" w:ascii="宋体" w:hAnsi="宋体" w:eastAsia="宋体" w:cs="宋体"/>
          <w:b/>
          <w:color w:val="000000" w:themeColor="text1"/>
          <w:highlight w:val="none"/>
          <w:lang w:eastAsia="zh-CN"/>
          <w14:textFill>
            <w14:solidFill>
              <w14:schemeClr w14:val="tx1"/>
            </w14:solidFill>
          </w14:textFill>
        </w:rPr>
        <w:t>或个人</w:t>
      </w:r>
      <w:r>
        <w:rPr>
          <w:rFonts w:hint="eastAsia" w:ascii="宋体" w:hAnsi="宋体" w:eastAsia="宋体" w:cs="宋体"/>
          <w:b/>
          <w:color w:val="000000" w:themeColor="text1"/>
          <w:highlight w:val="none"/>
          <w:lang w:val="en-US" w:eastAsia="zh-CN"/>
          <w14:textFill>
            <w14:solidFill>
              <w14:schemeClr w14:val="tx1"/>
            </w14:solidFill>
          </w14:textFill>
        </w:rPr>
        <w:t>CA签章</w:t>
      </w:r>
      <w:r>
        <w:rPr>
          <w:rFonts w:hint="eastAsia" w:ascii="宋体" w:hAnsi="宋体" w:eastAsia="宋体" w:cs="宋体"/>
          <w:b/>
          <w:color w:val="000000" w:themeColor="text1"/>
          <w:highlight w:val="none"/>
          <w14:textFill>
            <w14:solidFill>
              <w14:schemeClr w14:val="tx1"/>
            </w14:solidFill>
          </w14:textFill>
        </w:rPr>
        <w:t>）</w:t>
      </w:r>
    </w:p>
    <w:p w14:paraId="79F9805A">
      <w:pPr>
        <w:rPr>
          <w:rFonts w:hint="eastAsia" w:ascii="宋体" w:hAnsi="宋体" w:eastAsia="宋体" w:cs="宋体"/>
          <w:b/>
          <w:bCs/>
          <w:color w:val="000000" w:themeColor="text1"/>
          <w:sz w:val="32"/>
          <w:szCs w:val="32"/>
          <w:highlight w:val="none"/>
          <w14:textFill>
            <w14:solidFill>
              <w14:schemeClr w14:val="tx1"/>
            </w14:solidFill>
          </w14:textFill>
        </w:rPr>
      </w:pPr>
    </w:p>
    <w:p w14:paraId="1AD5AE3E">
      <w:pPr>
        <w:pStyle w:val="212"/>
        <w:rPr>
          <w:rFonts w:hint="eastAsia" w:ascii="宋体" w:hAnsi="宋体" w:eastAsia="宋体" w:cs="宋体"/>
          <w:color w:val="000000" w:themeColor="text1"/>
          <w:sz w:val="21"/>
          <w:szCs w:val="20"/>
          <w:highlight w:val="none"/>
          <w14:textFill>
            <w14:solidFill>
              <w14:schemeClr w14:val="tx1"/>
            </w14:solidFill>
          </w14:textFill>
        </w:rPr>
      </w:pPr>
    </w:p>
    <w:p w14:paraId="4564A448">
      <w:pPr>
        <w:rPr>
          <w:rFonts w:hint="eastAsia" w:ascii="宋体" w:hAnsi="宋体" w:eastAsia="宋体" w:cs="宋体"/>
          <w:color w:val="000000" w:themeColor="text1"/>
          <w:sz w:val="21"/>
          <w:szCs w:val="20"/>
          <w:highlight w:val="none"/>
          <w14:textFill>
            <w14:solidFill>
              <w14:schemeClr w14:val="tx1"/>
            </w14:solidFill>
          </w14:textFill>
        </w:rPr>
      </w:pPr>
    </w:p>
    <w:p w14:paraId="6D0DD5F1">
      <w:pPr>
        <w:pStyle w:val="212"/>
        <w:rPr>
          <w:rFonts w:hint="eastAsia" w:ascii="宋体" w:hAnsi="宋体" w:eastAsia="宋体" w:cs="宋体"/>
          <w:color w:val="000000" w:themeColor="text1"/>
          <w:sz w:val="21"/>
          <w:szCs w:val="20"/>
          <w:highlight w:val="none"/>
          <w14:textFill>
            <w14:solidFill>
              <w14:schemeClr w14:val="tx1"/>
            </w14:solidFill>
          </w14:textFill>
        </w:rPr>
      </w:pPr>
    </w:p>
    <w:p w14:paraId="0D91CAB9">
      <w:pPr>
        <w:rPr>
          <w:rFonts w:hint="eastAsia" w:ascii="宋体" w:hAnsi="宋体" w:eastAsia="宋体" w:cs="宋体"/>
          <w:color w:val="000000" w:themeColor="text1"/>
          <w:sz w:val="21"/>
          <w:szCs w:val="20"/>
          <w:highlight w:val="none"/>
          <w14:textFill>
            <w14:solidFill>
              <w14:schemeClr w14:val="tx1"/>
            </w14:solidFill>
          </w14:textFill>
        </w:rPr>
      </w:pPr>
    </w:p>
    <w:p w14:paraId="546D797A">
      <w:pPr>
        <w:pStyle w:val="212"/>
        <w:rPr>
          <w:rFonts w:hint="eastAsia" w:ascii="宋体" w:hAnsi="宋体" w:eastAsia="宋体" w:cs="宋体"/>
          <w:color w:val="000000" w:themeColor="text1"/>
          <w:highlight w:val="none"/>
          <w14:textFill>
            <w14:solidFill>
              <w14:schemeClr w14:val="tx1"/>
            </w14:solidFill>
          </w14:textFill>
        </w:rPr>
      </w:pPr>
    </w:p>
    <w:p w14:paraId="7349F575">
      <w:pPr>
        <w:pStyle w:val="212"/>
        <w:rPr>
          <w:rFonts w:hint="eastAsia" w:ascii="宋体" w:hAnsi="宋体" w:eastAsia="宋体" w:cs="宋体"/>
          <w:color w:val="000000" w:themeColor="text1"/>
          <w:highlight w:val="none"/>
          <w14:textFill>
            <w14:solidFill>
              <w14:schemeClr w14:val="tx1"/>
            </w14:solidFill>
          </w14:textFill>
        </w:rPr>
      </w:pPr>
    </w:p>
    <w:p w14:paraId="264533F3">
      <w:pPr>
        <w:pStyle w:val="212"/>
        <w:rPr>
          <w:rFonts w:hint="eastAsia" w:ascii="宋体" w:hAnsi="宋体" w:eastAsia="宋体" w:cs="宋体"/>
          <w:color w:val="000000" w:themeColor="text1"/>
          <w:highlight w:val="none"/>
          <w14:textFill>
            <w14:solidFill>
              <w14:schemeClr w14:val="tx1"/>
            </w14:solidFill>
          </w14:textFill>
        </w:rPr>
      </w:pPr>
    </w:p>
    <w:p w14:paraId="1F47BB19">
      <w:pPr>
        <w:pStyle w:val="212"/>
        <w:rPr>
          <w:rFonts w:hint="eastAsia" w:ascii="宋体" w:hAnsi="宋体" w:eastAsia="宋体" w:cs="宋体"/>
          <w:color w:val="000000" w:themeColor="text1"/>
          <w:highlight w:val="none"/>
          <w14:textFill>
            <w14:solidFill>
              <w14:schemeClr w14:val="tx1"/>
            </w14:solidFill>
          </w14:textFill>
        </w:rPr>
      </w:pPr>
    </w:p>
    <w:p w14:paraId="4472A859">
      <w:pPr>
        <w:pStyle w:val="212"/>
        <w:rPr>
          <w:rFonts w:hint="eastAsia" w:ascii="宋体" w:hAnsi="宋体" w:eastAsia="宋体" w:cs="宋体"/>
          <w:color w:val="000000" w:themeColor="text1"/>
          <w:highlight w:val="none"/>
          <w14:textFill>
            <w14:solidFill>
              <w14:schemeClr w14:val="tx1"/>
            </w14:solidFill>
          </w14:textFill>
        </w:rPr>
      </w:pPr>
    </w:p>
    <w:p w14:paraId="561F1B0B">
      <w:pPr>
        <w:rPr>
          <w:rFonts w:hint="eastAsia" w:ascii="宋体" w:hAnsi="宋体" w:eastAsia="宋体" w:cs="宋体"/>
          <w:color w:val="000000" w:themeColor="text1"/>
          <w:highlight w:val="none"/>
          <w14:textFill>
            <w14:solidFill>
              <w14:schemeClr w14:val="tx1"/>
            </w14:solidFill>
          </w14:textFill>
        </w:rPr>
      </w:pPr>
    </w:p>
    <w:p w14:paraId="27EFE947">
      <w:pPr>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2.</w:t>
      </w:r>
      <w:r>
        <w:rPr>
          <w:rFonts w:hint="eastAsia" w:ascii="宋体" w:hAnsi="宋体" w:eastAsia="宋体" w:cs="宋体"/>
          <w:b/>
          <w:bCs/>
          <w:color w:val="000000" w:themeColor="text1"/>
          <w:sz w:val="32"/>
          <w:szCs w:val="32"/>
          <w:highlight w:val="none"/>
          <w:lang w:eastAsia="zh-CN"/>
          <w14:textFill>
            <w14:solidFill>
              <w14:schemeClr w14:val="tx1"/>
            </w14:solidFill>
          </w14:textFill>
        </w:rPr>
        <w:t>服务响应表</w:t>
      </w:r>
      <w:r>
        <w:rPr>
          <w:rFonts w:hint="eastAsia" w:ascii="宋体" w:hAnsi="宋体" w:eastAsia="宋体" w:cs="宋体"/>
          <w:b/>
          <w:bCs/>
          <w:color w:val="000000" w:themeColor="text1"/>
          <w:sz w:val="32"/>
          <w:szCs w:val="32"/>
          <w:highlight w:val="none"/>
          <w14:textFill>
            <w14:solidFill>
              <w14:schemeClr w14:val="tx1"/>
            </w14:solidFill>
          </w14:textFill>
        </w:rPr>
        <w:t>（格式见附件）（必须提供）</w:t>
      </w:r>
      <w:r>
        <w:rPr>
          <w:rFonts w:hint="eastAsia" w:ascii="宋体" w:hAnsi="宋体" w:eastAsia="宋体" w:cs="宋体"/>
          <w:b/>
          <w:bCs/>
          <w:color w:val="000000" w:themeColor="text1"/>
          <w:sz w:val="32"/>
          <w:szCs w:val="32"/>
          <w:highlight w:val="none"/>
          <w:lang w:eastAsia="zh-CN"/>
          <w14:textFill>
            <w14:solidFill>
              <w14:schemeClr w14:val="tx1"/>
            </w14:solidFill>
          </w14:textFill>
        </w:rPr>
        <w:t>；</w:t>
      </w:r>
    </w:p>
    <w:p w14:paraId="7644C6FE">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附件：</w:t>
      </w:r>
    </w:p>
    <w:p w14:paraId="7B48160E">
      <w:pPr>
        <w:jc w:val="center"/>
        <w:rPr>
          <w:rFonts w:hint="eastAsia" w:ascii="宋体" w:hAnsi="宋体" w:eastAsia="宋体" w:cs="宋体"/>
          <w:b/>
          <w:bCs/>
          <w:color w:val="000000" w:themeColor="text1"/>
          <w:sz w:val="32"/>
          <w:highlight w:val="none"/>
          <w14:textFill>
            <w14:solidFill>
              <w14:schemeClr w14:val="tx1"/>
            </w14:solidFill>
          </w14:textFill>
        </w:rPr>
      </w:pPr>
      <w:r>
        <w:rPr>
          <w:rFonts w:hint="eastAsia" w:ascii="宋体" w:hAnsi="宋体" w:eastAsia="宋体" w:cs="宋体"/>
          <w:b/>
          <w:color w:val="000000" w:themeColor="text1"/>
          <w:sz w:val="32"/>
          <w:szCs w:val="32"/>
          <w:highlight w:val="none"/>
          <w:lang w:eastAsia="zh-CN"/>
          <w14:textFill>
            <w14:solidFill>
              <w14:schemeClr w14:val="tx1"/>
            </w14:solidFill>
          </w14:textFill>
        </w:rPr>
        <w:t>服务响应表</w:t>
      </w:r>
      <w:r>
        <w:rPr>
          <w:rFonts w:hint="eastAsia" w:ascii="宋体" w:hAnsi="宋体" w:eastAsia="宋体" w:cs="宋体"/>
          <w:b/>
          <w:bCs/>
          <w:color w:val="000000" w:themeColor="text1"/>
          <w:sz w:val="32"/>
          <w:highlight w:val="none"/>
          <w14:textFill>
            <w14:solidFill>
              <w14:schemeClr w14:val="tx1"/>
            </w14:solidFill>
          </w14:textFill>
        </w:rPr>
        <w:t>（格式）</w:t>
      </w:r>
    </w:p>
    <w:p w14:paraId="5491102C">
      <w:pPr>
        <w:pStyle w:val="212"/>
        <w:rPr>
          <w:rFonts w:hint="eastAsia" w:ascii="宋体" w:hAnsi="宋体" w:eastAsia="宋体" w:cs="宋体"/>
          <w:b/>
          <w:bCs/>
          <w:color w:val="000000" w:themeColor="text1"/>
          <w:sz w:val="24"/>
          <w:szCs w:val="21"/>
          <w:highlight w:val="none"/>
          <w:lang w:eastAsia="zh-CN"/>
          <w14:textFill>
            <w14:solidFill>
              <w14:schemeClr w14:val="tx1"/>
            </w14:solidFill>
          </w14:textFill>
        </w:rPr>
      </w:pPr>
      <w:r>
        <w:rPr>
          <w:rFonts w:hint="eastAsia" w:ascii="宋体" w:hAnsi="宋体" w:eastAsia="宋体" w:cs="宋体"/>
          <w:b/>
          <w:bCs/>
          <w:color w:val="000000" w:themeColor="text1"/>
          <w:sz w:val="24"/>
          <w:szCs w:val="21"/>
          <w:highlight w:val="none"/>
          <w:lang w:eastAsia="zh-CN"/>
          <w14:textFill>
            <w14:solidFill>
              <w14:schemeClr w14:val="tx1"/>
            </w14:solidFill>
          </w14:textFill>
        </w:rPr>
        <w:t>项目编号：</w:t>
      </w:r>
    </w:p>
    <w:p w14:paraId="137F327E">
      <w:pPr>
        <w:pStyle w:val="212"/>
        <w:rPr>
          <w:rFonts w:hint="eastAsia" w:ascii="宋体" w:hAnsi="宋体" w:eastAsia="宋体" w:cs="宋体"/>
          <w:b/>
          <w:bCs/>
          <w:color w:val="000000" w:themeColor="text1"/>
          <w:sz w:val="32"/>
          <w:highlight w:val="none"/>
          <w14:textFill>
            <w14:solidFill>
              <w14:schemeClr w14:val="tx1"/>
            </w14:solidFill>
          </w14:textFill>
        </w:rPr>
      </w:pPr>
      <w:r>
        <w:rPr>
          <w:rFonts w:hint="eastAsia" w:ascii="宋体" w:hAnsi="宋体" w:eastAsia="宋体" w:cs="宋体"/>
          <w:b/>
          <w:bCs/>
          <w:color w:val="000000" w:themeColor="text1"/>
          <w:sz w:val="24"/>
          <w:szCs w:val="21"/>
          <w:highlight w:val="none"/>
          <w:lang w:eastAsia="zh-CN"/>
          <w14:textFill>
            <w14:solidFill>
              <w14:schemeClr w14:val="tx1"/>
            </w14:solidFill>
          </w14:textFill>
        </w:rPr>
        <w:t>项目名称：</w:t>
      </w:r>
    </w:p>
    <w:p w14:paraId="79FD3F71">
      <w:pPr>
        <w:pStyle w:val="254"/>
        <w:rPr>
          <w:rFonts w:hint="eastAsia" w:ascii="宋体" w:hAnsi="宋体" w:eastAsia="宋体" w:cs="宋体"/>
          <w:color w:val="000000" w:themeColor="text1"/>
          <w:highlight w:val="none"/>
          <w14:textFill>
            <w14:solidFill>
              <w14:schemeClr w14:val="tx1"/>
            </w14:solidFill>
          </w14:textFill>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064"/>
        <w:gridCol w:w="3108"/>
        <w:gridCol w:w="2796"/>
      </w:tblGrid>
      <w:tr w14:paraId="27C8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5601E59">
            <w:pPr>
              <w:spacing w:line="400" w:lineRule="exact"/>
              <w:jc w:val="center"/>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序号</w:t>
            </w:r>
          </w:p>
        </w:tc>
        <w:tc>
          <w:tcPr>
            <w:tcW w:w="306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2FCEC11">
            <w:pPr>
              <w:spacing w:line="400" w:lineRule="exact"/>
              <w:jc w:val="center"/>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lang w:eastAsia="zh-CN"/>
                <w14:textFill>
                  <w14:solidFill>
                    <w14:schemeClr w14:val="tx1"/>
                  </w14:solidFill>
                </w14:textFill>
              </w:rPr>
              <w:t>招标文件的</w:t>
            </w:r>
            <w:r>
              <w:rPr>
                <w:rFonts w:hint="eastAsia" w:ascii="宋体" w:hAnsi="宋体" w:eastAsia="宋体" w:cs="宋体"/>
                <w:b/>
                <w:color w:val="000000" w:themeColor="text1"/>
                <w:sz w:val="21"/>
                <w:szCs w:val="21"/>
                <w:highlight w:val="none"/>
                <w14:textFill>
                  <w14:solidFill>
                    <w14:schemeClr w14:val="tx1"/>
                  </w14:solidFill>
                </w14:textFill>
              </w:rPr>
              <w:t>采购需求</w:t>
            </w:r>
          </w:p>
        </w:tc>
        <w:tc>
          <w:tcPr>
            <w:tcW w:w="310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9DBC1A3">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投标文件的响应情况</w:t>
            </w:r>
          </w:p>
        </w:tc>
        <w:tc>
          <w:tcPr>
            <w:tcW w:w="2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69CFBF8">
            <w:pPr>
              <w:spacing w:line="400" w:lineRule="exact"/>
              <w:jc w:val="center"/>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偏离情况说明</w:t>
            </w:r>
          </w:p>
        </w:tc>
      </w:tr>
      <w:tr w14:paraId="6A45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280AE629">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3064" w:type="dxa"/>
            <w:tcBorders>
              <w:top w:val="single" w:color="auto" w:sz="4" w:space="0"/>
              <w:left w:val="single" w:color="auto" w:sz="4" w:space="0"/>
              <w:bottom w:val="single" w:color="auto" w:sz="4" w:space="0"/>
              <w:right w:val="single" w:color="auto" w:sz="4" w:space="0"/>
            </w:tcBorders>
            <w:noWrap w:val="0"/>
            <w:vAlign w:val="center"/>
          </w:tcPr>
          <w:p w14:paraId="33DAD9BF">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51DE15FB">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2796" w:type="dxa"/>
            <w:tcBorders>
              <w:top w:val="single" w:color="auto" w:sz="4" w:space="0"/>
              <w:left w:val="single" w:color="auto" w:sz="4" w:space="0"/>
              <w:bottom w:val="single" w:color="auto" w:sz="4" w:space="0"/>
              <w:right w:val="single" w:color="auto" w:sz="4" w:space="0"/>
            </w:tcBorders>
            <w:noWrap w:val="0"/>
            <w:vAlign w:val="center"/>
          </w:tcPr>
          <w:p w14:paraId="43EFE497">
            <w:pPr>
              <w:spacing w:line="400" w:lineRule="exact"/>
              <w:jc w:val="left"/>
              <w:rPr>
                <w:rFonts w:hint="eastAsia" w:ascii="宋体" w:hAnsi="宋体" w:eastAsia="宋体" w:cs="宋体"/>
                <w:color w:val="000000" w:themeColor="text1"/>
                <w:highlight w:val="none"/>
                <w14:textFill>
                  <w14:solidFill>
                    <w14:schemeClr w14:val="tx1"/>
                  </w14:solidFill>
                </w14:textFill>
              </w:rPr>
            </w:pPr>
          </w:p>
        </w:tc>
      </w:tr>
      <w:tr w14:paraId="1C91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18578371">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3064" w:type="dxa"/>
            <w:tcBorders>
              <w:top w:val="single" w:color="auto" w:sz="4" w:space="0"/>
              <w:left w:val="single" w:color="auto" w:sz="4" w:space="0"/>
              <w:bottom w:val="single" w:color="auto" w:sz="4" w:space="0"/>
              <w:right w:val="single" w:color="auto" w:sz="4" w:space="0"/>
            </w:tcBorders>
            <w:noWrap w:val="0"/>
            <w:vAlign w:val="center"/>
          </w:tcPr>
          <w:p w14:paraId="6C03C4EC">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6EAB705D">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2796" w:type="dxa"/>
            <w:tcBorders>
              <w:top w:val="single" w:color="auto" w:sz="4" w:space="0"/>
              <w:left w:val="single" w:color="auto" w:sz="4" w:space="0"/>
              <w:bottom w:val="single" w:color="auto" w:sz="4" w:space="0"/>
              <w:right w:val="single" w:color="auto" w:sz="4" w:space="0"/>
            </w:tcBorders>
            <w:noWrap w:val="0"/>
            <w:vAlign w:val="center"/>
          </w:tcPr>
          <w:p w14:paraId="7DECC3D5">
            <w:pPr>
              <w:spacing w:line="400" w:lineRule="exact"/>
              <w:jc w:val="left"/>
              <w:rPr>
                <w:rFonts w:hint="eastAsia" w:ascii="宋体" w:hAnsi="宋体" w:eastAsia="宋体" w:cs="宋体"/>
                <w:color w:val="000000" w:themeColor="text1"/>
                <w:highlight w:val="none"/>
                <w14:textFill>
                  <w14:solidFill>
                    <w14:schemeClr w14:val="tx1"/>
                  </w14:solidFill>
                </w14:textFill>
              </w:rPr>
            </w:pPr>
          </w:p>
        </w:tc>
      </w:tr>
      <w:tr w14:paraId="2626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2C16C1EF">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06456AE2">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436DC5D2">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375F59DC">
            <w:pPr>
              <w:spacing w:line="400" w:lineRule="exact"/>
              <w:jc w:val="left"/>
              <w:rPr>
                <w:rFonts w:hint="eastAsia" w:ascii="宋体" w:hAnsi="宋体" w:eastAsia="宋体" w:cs="宋体"/>
                <w:color w:val="000000" w:themeColor="text1"/>
                <w:highlight w:val="none"/>
                <w14:textFill>
                  <w14:solidFill>
                    <w14:schemeClr w14:val="tx1"/>
                  </w14:solidFill>
                </w14:textFill>
              </w:rPr>
            </w:pPr>
          </w:p>
        </w:tc>
      </w:tr>
      <w:tr w14:paraId="592F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95C0849">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7671F7E2">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3564A8CC">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6AB9ADF0">
            <w:pPr>
              <w:spacing w:line="400" w:lineRule="exact"/>
              <w:jc w:val="left"/>
              <w:rPr>
                <w:rFonts w:hint="eastAsia" w:ascii="宋体" w:hAnsi="宋体" w:eastAsia="宋体" w:cs="宋体"/>
                <w:color w:val="000000" w:themeColor="text1"/>
                <w:highlight w:val="none"/>
                <w14:textFill>
                  <w14:solidFill>
                    <w14:schemeClr w14:val="tx1"/>
                  </w14:solidFill>
                </w14:textFill>
              </w:rPr>
            </w:pPr>
          </w:p>
        </w:tc>
      </w:tr>
      <w:tr w14:paraId="5477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57A492A2">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6B1565E5">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7025FC28">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5A862A9F">
            <w:pPr>
              <w:spacing w:line="400" w:lineRule="exact"/>
              <w:jc w:val="left"/>
              <w:rPr>
                <w:rFonts w:hint="eastAsia" w:ascii="宋体" w:hAnsi="宋体" w:eastAsia="宋体" w:cs="宋体"/>
                <w:color w:val="000000" w:themeColor="text1"/>
                <w:highlight w:val="none"/>
                <w14:textFill>
                  <w14:solidFill>
                    <w14:schemeClr w14:val="tx1"/>
                  </w14:solidFill>
                </w14:textFill>
              </w:rPr>
            </w:pPr>
          </w:p>
        </w:tc>
      </w:tr>
      <w:tr w14:paraId="05A8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1C6C7CC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N</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0F3A6C22">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0DE83C0E">
            <w:pPr>
              <w:spacing w:line="400" w:lineRule="exact"/>
              <w:jc w:val="left"/>
              <w:rPr>
                <w:rFonts w:hint="eastAsia" w:ascii="宋体" w:hAnsi="宋体" w:eastAsia="宋体" w:cs="宋体"/>
                <w:color w:val="000000" w:themeColor="text1"/>
                <w:highlight w:val="none"/>
                <w14:textFill>
                  <w14:solidFill>
                    <w14:schemeClr w14:val="tx1"/>
                  </w14:solidFill>
                </w14:textFill>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1C129BBA">
            <w:pPr>
              <w:spacing w:line="400" w:lineRule="exact"/>
              <w:jc w:val="left"/>
              <w:rPr>
                <w:rFonts w:hint="eastAsia" w:ascii="宋体" w:hAnsi="宋体" w:eastAsia="宋体" w:cs="宋体"/>
                <w:color w:val="000000" w:themeColor="text1"/>
                <w:highlight w:val="none"/>
                <w14:textFill>
                  <w14:solidFill>
                    <w14:schemeClr w14:val="tx1"/>
                  </w14:solidFill>
                </w14:textFill>
              </w:rPr>
            </w:pPr>
          </w:p>
        </w:tc>
      </w:tr>
    </w:tbl>
    <w:p w14:paraId="0A17797B">
      <w:pPr>
        <w:spacing w:line="400" w:lineRule="exact"/>
        <w:rPr>
          <w:rFonts w:hint="eastAsia" w:ascii="宋体" w:hAnsi="宋体" w:eastAsia="宋体" w:cs="宋体"/>
          <w:color w:val="000000" w:themeColor="text1"/>
          <w:highlight w:val="none"/>
          <w14:textFill>
            <w14:solidFill>
              <w14:schemeClr w14:val="tx1"/>
            </w14:solidFill>
          </w14:textFill>
        </w:rPr>
      </w:pPr>
    </w:p>
    <w:p w14:paraId="7958F2FA">
      <w:pPr>
        <w:spacing w:line="400" w:lineRule="exact"/>
        <w:rPr>
          <w:rFonts w:hint="eastAsia" w:ascii="宋体" w:hAnsi="宋体" w:eastAsia="宋体" w:cs="宋体"/>
          <w:color w:val="000000" w:themeColor="text1"/>
          <w:highlight w:val="none"/>
          <w14:textFill>
            <w14:solidFill>
              <w14:schemeClr w14:val="tx1"/>
            </w14:solidFill>
          </w14:textFill>
        </w:rPr>
      </w:pPr>
    </w:p>
    <w:p w14:paraId="62235AB7">
      <w:pPr>
        <w:spacing w:line="400" w:lineRule="exact"/>
        <w:ind w:firstLine="3780"/>
        <w:rPr>
          <w:rFonts w:hint="eastAsia" w:ascii="宋体" w:hAnsi="宋体" w:eastAsia="宋体" w:cs="宋体"/>
          <w:color w:val="000000" w:themeColor="text1"/>
          <w:szCs w:val="20"/>
          <w:highlight w:val="none"/>
          <w:u w:val="single"/>
          <w14:textFill>
            <w14:solidFill>
              <w14:schemeClr w14:val="tx1"/>
            </w14:solidFill>
          </w14:textFill>
        </w:rPr>
      </w:pPr>
    </w:p>
    <w:p w14:paraId="2F087DFA">
      <w:pPr>
        <w:spacing w:line="400" w:lineRule="exact"/>
        <w:ind w:firstLine="189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投标人[公章(CA签章)，自然人签字或个人CA签章]：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40955BF">
      <w:pPr>
        <w:spacing w:line="340" w:lineRule="exact"/>
        <w:rPr>
          <w:rFonts w:hint="eastAsia" w:ascii="宋体" w:hAnsi="宋体" w:eastAsia="宋体" w:cs="宋体"/>
          <w:color w:val="000000" w:themeColor="text1"/>
          <w:szCs w:val="21"/>
          <w:highlight w:val="none"/>
          <w:u w:val="single"/>
          <w14:textFill>
            <w14:solidFill>
              <w14:schemeClr w14:val="tx1"/>
            </w14:solidFill>
          </w14:textFill>
        </w:rPr>
      </w:pPr>
    </w:p>
    <w:p w14:paraId="6F005199">
      <w:pPr>
        <w:ind w:firstLine="1890"/>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日          期：</w:t>
      </w:r>
      <w:r>
        <w:rPr>
          <w:rFonts w:hint="eastAsia" w:ascii="宋体" w:hAnsi="宋体" w:eastAsia="宋体" w:cs="宋体"/>
          <w:color w:val="000000" w:themeColor="text1"/>
          <w:highlight w:val="none"/>
          <w:u w:val="single"/>
          <w14:textFill>
            <w14:solidFill>
              <w14:schemeClr w14:val="tx1"/>
            </w14:solidFill>
          </w14:textFill>
        </w:rPr>
        <w:t xml:space="preserve">                                                   </w:t>
      </w:r>
    </w:p>
    <w:p w14:paraId="2CE8E950">
      <w:pPr>
        <w:spacing w:line="360" w:lineRule="exact"/>
        <w:rPr>
          <w:rFonts w:hint="eastAsia" w:ascii="宋体" w:hAnsi="宋体" w:eastAsia="宋体" w:cs="宋体"/>
          <w:color w:val="000000" w:themeColor="text1"/>
          <w:highlight w:val="none"/>
          <w14:textFill>
            <w14:solidFill>
              <w14:schemeClr w14:val="tx1"/>
            </w14:solidFill>
          </w14:textFill>
        </w:rPr>
      </w:pPr>
    </w:p>
    <w:p w14:paraId="597693F5">
      <w:pPr>
        <w:spacing w:line="360" w:lineRule="exact"/>
        <w:rPr>
          <w:rFonts w:hint="eastAsia" w:ascii="宋体" w:hAnsi="宋体" w:eastAsia="宋体" w:cs="宋体"/>
          <w:color w:val="000000" w:themeColor="text1"/>
          <w:highlight w:val="none"/>
          <w14:textFill>
            <w14:solidFill>
              <w14:schemeClr w14:val="tx1"/>
            </w14:solidFill>
          </w14:textFill>
        </w:rPr>
      </w:pPr>
    </w:p>
    <w:p w14:paraId="340112E1">
      <w:pPr>
        <w:spacing w:line="400" w:lineRule="exact"/>
        <w:ind w:left="902" w:hanging="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w:t>
      </w:r>
      <w:r>
        <w:rPr>
          <w:rFonts w:hint="eastAsia" w:ascii="宋体" w:hAnsi="宋体" w:eastAsia="宋体" w:cs="宋体"/>
          <w:b/>
          <w:color w:val="000000" w:themeColor="text1"/>
          <w:sz w:val="24"/>
          <w:highlight w:val="none"/>
          <w14:textFill>
            <w14:solidFill>
              <w14:schemeClr w14:val="tx1"/>
            </w14:solidFill>
          </w14:textFill>
        </w:rPr>
        <w:t>1.“</w:t>
      </w:r>
      <w:r>
        <w:rPr>
          <w:rFonts w:hint="eastAsia" w:ascii="宋体" w:hAnsi="宋体" w:eastAsia="宋体" w:cs="宋体"/>
          <w:b/>
          <w:color w:val="000000" w:themeColor="text1"/>
          <w:sz w:val="24"/>
          <w:highlight w:val="none"/>
          <w:lang w:eastAsia="zh-CN"/>
          <w14:textFill>
            <w14:solidFill>
              <w14:schemeClr w14:val="tx1"/>
            </w14:solidFill>
          </w14:textFill>
        </w:rPr>
        <w:t>服务响应表</w:t>
      </w:r>
      <w:r>
        <w:rPr>
          <w:rFonts w:hint="eastAsia" w:ascii="宋体" w:hAnsi="宋体" w:eastAsia="宋体" w:cs="宋体"/>
          <w:b/>
          <w:color w:val="000000" w:themeColor="text1"/>
          <w:sz w:val="24"/>
          <w:highlight w:val="none"/>
          <w14:textFill>
            <w14:solidFill>
              <w14:schemeClr w14:val="tx1"/>
            </w14:solidFill>
          </w14:textFill>
        </w:rPr>
        <w:t>”各项内容必须如实填写。</w:t>
      </w:r>
    </w:p>
    <w:p w14:paraId="315DCF3B">
      <w:pPr>
        <w:spacing w:line="400" w:lineRule="exact"/>
        <w:ind w:firstLine="964" w:firstLineChars="4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2.当本表由多页构成时，需逐页加盖投标人公章（CA签章）（属自然人的须逐页签字或个人CA签章）。</w:t>
      </w:r>
    </w:p>
    <w:p w14:paraId="59235F70">
      <w:pPr>
        <w:pStyle w:val="216"/>
        <w:jc w:val="both"/>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3.</w:t>
      </w:r>
      <w:r>
        <w:rPr>
          <w:rFonts w:hint="eastAsia" w:ascii="宋体" w:hAnsi="宋体" w:eastAsia="宋体" w:cs="宋体"/>
          <w:b/>
          <w:color w:val="000000" w:themeColor="text1"/>
          <w:sz w:val="24"/>
          <w:szCs w:val="24"/>
          <w:highlight w:val="none"/>
          <w14:textFill>
            <w14:solidFill>
              <w14:schemeClr w14:val="tx1"/>
            </w14:solidFill>
          </w14:textFill>
        </w:rPr>
        <w:t>投标人应对照招标文件中</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第三章</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采购需求</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的</w:t>
      </w:r>
      <w:r>
        <w:rPr>
          <w:rFonts w:hint="eastAsia" w:ascii="宋体" w:hAnsi="宋体" w:eastAsia="宋体" w:cs="宋体"/>
          <w:b/>
          <w:color w:val="000000" w:themeColor="text1"/>
          <w:sz w:val="24"/>
          <w:szCs w:val="24"/>
          <w:highlight w:val="none"/>
          <w:lang w:eastAsia="zh-CN"/>
          <w14:textFill>
            <w14:solidFill>
              <w14:schemeClr w14:val="tx1"/>
            </w14:solidFill>
          </w14:textFill>
        </w:rPr>
        <w:t>全部</w:t>
      </w:r>
      <w:r>
        <w:rPr>
          <w:rFonts w:hint="eastAsia" w:ascii="宋体" w:hAnsi="宋体" w:eastAsia="宋体" w:cs="宋体"/>
          <w:b/>
          <w:color w:val="000000" w:themeColor="text1"/>
          <w:sz w:val="24"/>
          <w:szCs w:val="24"/>
          <w:highlight w:val="none"/>
          <w14:textFill>
            <w14:solidFill>
              <w14:schemeClr w14:val="tx1"/>
            </w14:solidFill>
          </w14:textFill>
        </w:rPr>
        <w:t>内容</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商务要求</w:t>
      </w:r>
      <w:r>
        <w:rPr>
          <w:rFonts w:hint="eastAsia" w:ascii="宋体" w:hAnsi="宋体" w:eastAsia="宋体" w:cs="宋体"/>
          <w:b/>
          <w:color w:val="000000" w:themeColor="text1"/>
          <w:sz w:val="24"/>
          <w:szCs w:val="24"/>
          <w:highlight w:val="none"/>
          <w:lang w:eastAsia="zh-CN"/>
          <w14:textFill>
            <w14:solidFill>
              <w14:schemeClr w14:val="tx1"/>
            </w14:solidFill>
          </w14:textFill>
        </w:rPr>
        <w:t>除外）</w:t>
      </w:r>
      <w:r>
        <w:rPr>
          <w:rFonts w:hint="eastAsia" w:ascii="宋体" w:hAnsi="宋体" w:eastAsia="宋体" w:cs="宋体"/>
          <w:b/>
          <w:color w:val="000000" w:themeColor="text1"/>
          <w:sz w:val="24"/>
          <w:szCs w:val="24"/>
          <w:highlight w:val="none"/>
          <w14:textFill>
            <w14:solidFill>
              <w14:schemeClr w14:val="tx1"/>
            </w14:solidFill>
          </w14:textFill>
        </w:rPr>
        <w:t>逐条响应，并在“偏离情况说明”栏注明“正偏离”、“负偏离”或“无偏离”。</w:t>
      </w:r>
      <w:r>
        <w:rPr>
          <w:rFonts w:hint="eastAsia" w:ascii="宋体" w:hAnsi="宋体" w:eastAsia="宋体" w:cs="宋体"/>
          <w:b/>
          <w:color w:val="000000" w:themeColor="text1"/>
          <w:sz w:val="24"/>
          <w:szCs w:val="24"/>
          <w:highlight w:val="none"/>
          <w:lang w:eastAsia="zh-CN"/>
          <w14:textFill>
            <w14:solidFill>
              <w14:schemeClr w14:val="tx1"/>
            </w14:solidFill>
          </w14:textFill>
        </w:rPr>
        <w:t>否则，投标无效。</w:t>
      </w:r>
    </w:p>
    <w:p w14:paraId="13151C9F">
      <w:pPr>
        <w:pStyle w:val="216"/>
        <w:jc w:val="center"/>
        <w:rPr>
          <w:rFonts w:hint="eastAsia" w:ascii="宋体" w:hAnsi="宋体" w:eastAsia="宋体" w:cs="宋体"/>
          <w:b/>
          <w:color w:val="000000" w:themeColor="text1"/>
          <w:sz w:val="32"/>
          <w:highlight w:val="none"/>
          <w14:textFill>
            <w14:solidFill>
              <w14:schemeClr w14:val="tx1"/>
            </w14:solidFill>
          </w14:textFill>
        </w:rPr>
      </w:pPr>
    </w:p>
    <w:p w14:paraId="40679321">
      <w:pPr>
        <w:pStyle w:val="216"/>
        <w:jc w:val="center"/>
        <w:rPr>
          <w:rFonts w:hint="eastAsia" w:ascii="宋体" w:hAnsi="宋体" w:eastAsia="宋体" w:cs="宋体"/>
          <w:b/>
          <w:color w:val="000000" w:themeColor="text1"/>
          <w:sz w:val="32"/>
          <w:highlight w:val="none"/>
          <w14:textFill>
            <w14:solidFill>
              <w14:schemeClr w14:val="tx1"/>
            </w14:solidFill>
          </w14:textFill>
        </w:rPr>
      </w:pPr>
    </w:p>
    <w:p w14:paraId="33154C5E">
      <w:pPr>
        <w:pStyle w:val="216"/>
        <w:jc w:val="center"/>
        <w:rPr>
          <w:rFonts w:hint="eastAsia" w:ascii="宋体" w:hAnsi="宋体" w:eastAsia="宋体" w:cs="宋体"/>
          <w:b/>
          <w:color w:val="000000" w:themeColor="text1"/>
          <w:sz w:val="32"/>
          <w:highlight w:val="none"/>
          <w14:textFill>
            <w14:solidFill>
              <w14:schemeClr w14:val="tx1"/>
            </w14:solidFill>
          </w14:textFill>
        </w:rPr>
      </w:pPr>
    </w:p>
    <w:p w14:paraId="25C98679">
      <w:pPr>
        <w:pStyle w:val="216"/>
        <w:jc w:val="center"/>
        <w:rPr>
          <w:rFonts w:hint="eastAsia" w:ascii="宋体" w:hAnsi="宋体" w:eastAsia="宋体" w:cs="宋体"/>
          <w:b/>
          <w:color w:val="000000" w:themeColor="text1"/>
          <w:sz w:val="32"/>
          <w:highlight w:val="none"/>
          <w14:textFill>
            <w14:solidFill>
              <w14:schemeClr w14:val="tx1"/>
            </w14:solidFill>
          </w14:textFill>
        </w:rPr>
      </w:pPr>
    </w:p>
    <w:p w14:paraId="2B60D26C">
      <w:pPr>
        <w:pStyle w:val="216"/>
        <w:jc w:val="center"/>
        <w:rPr>
          <w:rFonts w:hint="eastAsia" w:ascii="宋体" w:hAnsi="宋体" w:eastAsia="宋体" w:cs="宋体"/>
          <w:b/>
          <w:color w:val="000000" w:themeColor="text1"/>
          <w:sz w:val="32"/>
          <w:highlight w:val="none"/>
          <w14:textFill>
            <w14:solidFill>
              <w14:schemeClr w14:val="tx1"/>
            </w14:solidFill>
          </w14:textFill>
        </w:rPr>
      </w:pPr>
    </w:p>
    <w:p w14:paraId="513AC633">
      <w:pPr>
        <w:pStyle w:val="203"/>
        <w:rPr>
          <w:rFonts w:hint="eastAsia" w:ascii="宋体" w:hAnsi="宋体" w:eastAsia="宋体" w:cs="宋体"/>
          <w:b/>
          <w:color w:val="000000" w:themeColor="text1"/>
          <w:sz w:val="32"/>
          <w:highlight w:val="none"/>
          <w14:textFill>
            <w14:solidFill>
              <w14:schemeClr w14:val="tx1"/>
            </w14:solidFill>
          </w14:textFill>
        </w:rPr>
      </w:pPr>
    </w:p>
    <w:p w14:paraId="2A1D3E2A">
      <w:pPr>
        <w:rPr>
          <w:rFonts w:hint="eastAsia" w:ascii="宋体" w:hAnsi="宋体" w:eastAsia="宋体" w:cs="宋体"/>
          <w:b/>
          <w:color w:val="000000" w:themeColor="text1"/>
          <w:sz w:val="32"/>
          <w:highlight w:val="none"/>
          <w14:textFill>
            <w14:solidFill>
              <w14:schemeClr w14:val="tx1"/>
            </w14:solidFill>
          </w14:textFill>
        </w:rPr>
      </w:pPr>
    </w:p>
    <w:p w14:paraId="647F439E">
      <w:pPr>
        <w:rPr>
          <w:rFonts w:hint="eastAsia" w:ascii="宋体" w:hAnsi="宋体" w:eastAsia="宋体" w:cs="宋体"/>
          <w:b/>
          <w:color w:val="000000" w:themeColor="text1"/>
          <w:sz w:val="32"/>
          <w:highlight w:val="none"/>
          <w14:textFill>
            <w14:solidFill>
              <w14:schemeClr w14:val="tx1"/>
            </w14:solidFill>
          </w14:textFill>
        </w:rPr>
      </w:pPr>
    </w:p>
    <w:p w14:paraId="471EAEF1">
      <w:pPr>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3.商务响应表（格式见附件）（必须提供）</w:t>
      </w:r>
      <w:r>
        <w:rPr>
          <w:rFonts w:hint="eastAsia" w:ascii="宋体" w:hAnsi="宋体" w:eastAsia="宋体" w:cs="宋体"/>
          <w:b/>
          <w:bCs/>
          <w:color w:val="000000" w:themeColor="text1"/>
          <w:sz w:val="32"/>
          <w:szCs w:val="32"/>
          <w:highlight w:val="none"/>
          <w:lang w:eastAsia="zh-CN"/>
          <w14:textFill>
            <w14:solidFill>
              <w14:schemeClr w14:val="tx1"/>
            </w14:solidFill>
          </w14:textFill>
        </w:rPr>
        <w:t>；</w:t>
      </w:r>
    </w:p>
    <w:p w14:paraId="79465A83">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附件：</w:t>
      </w:r>
    </w:p>
    <w:p w14:paraId="536EC3A1">
      <w:pPr>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商务响应表（格式）</w:t>
      </w:r>
    </w:p>
    <w:p w14:paraId="7D35F26E">
      <w:pPr>
        <w:pStyle w:val="212"/>
        <w:rPr>
          <w:rFonts w:hint="eastAsia" w:ascii="宋体" w:hAnsi="宋体" w:eastAsia="宋体" w:cs="宋体"/>
          <w:b/>
          <w:bCs/>
          <w:color w:val="000000" w:themeColor="text1"/>
          <w:sz w:val="24"/>
          <w:szCs w:val="21"/>
          <w:highlight w:val="none"/>
          <w:lang w:eastAsia="zh-CN"/>
          <w14:textFill>
            <w14:solidFill>
              <w14:schemeClr w14:val="tx1"/>
            </w14:solidFill>
          </w14:textFill>
        </w:rPr>
      </w:pPr>
      <w:r>
        <w:rPr>
          <w:rFonts w:hint="eastAsia" w:ascii="宋体" w:hAnsi="宋体" w:eastAsia="宋体" w:cs="宋体"/>
          <w:b/>
          <w:bCs/>
          <w:color w:val="000000" w:themeColor="text1"/>
          <w:sz w:val="24"/>
          <w:szCs w:val="21"/>
          <w:highlight w:val="none"/>
          <w:lang w:eastAsia="zh-CN"/>
          <w14:textFill>
            <w14:solidFill>
              <w14:schemeClr w14:val="tx1"/>
            </w14:solidFill>
          </w14:textFill>
        </w:rPr>
        <w:t>项目编号：</w:t>
      </w:r>
    </w:p>
    <w:p w14:paraId="09FBBFA5">
      <w:pPr>
        <w:pStyle w:val="212"/>
        <w:rPr>
          <w:rFonts w:hint="eastAsia" w:ascii="宋体" w:hAnsi="宋体" w:eastAsia="宋体" w:cs="宋体"/>
          <w:color w:val="000000" w:themeColor="text1"/>
          <w:sz w:val="18"/>
          <w:szCs w:val="21"/>
          <w:highlight w:val="none"/>
          <w:lang w:eastAsia="zh-CN"/>
          <w14:textFill>
            <w14:solidFill>
              <w14:schemeClr w14:val="tx1"/>
            </w14:solidFill>
          </w14:textFill>
        </w:rPr>
      </w:pPr>
      <w:r>
        <w:rPr>
          <w:rFonts w:hint="eastAsia" w:ascii="宋体" w:hAnsi="宋体" w:eastAsia="宋体" w:cs="宋体"/>
          <w:b/>
          <w:bCs/>
          <w:color w:val="000000" w:themeColor="text1"/>
          <w:sz w:val="24"/>
          <w:szCs w:val="21"/>
          <w:highlight w:val="none"/>
          <w:lang w:eastAsia="zh-CN"/>
          <w14:textFill>
            <w14:solidFill>
              <w14:schemeClr w14:val="tx1"/>
            </w14:solidFill>
          </w14:textFill>
        </w:rPr>
        <w:t>项目名称：</w:t>
      </w:r>
    </w:p>
    <w:p w14:paraId="2B6785F9">
      <w:pPr>
        <w:pStyle w:val="254"/>
        <w:rPr>
          <w:rFonts w:hint="eastAsia" w:ascii="宋体" w:hAnsi="宋体" w:eastAsia="宋体" w:cs="宋体"/>
          <w:color w:val="000000" w:themeColor="text1"/>
          <w:highlight w:val="none"/>
          <w14:textFill>
            <w14:solidFill>
              <w14:schemeClr w14:val="tx1"/>
            </w14:solidFill>
          </w14:textFill>
        </w:rPr>
      </w:pPr>
    </w:p>
    <w:tbl>
      <w:tblPr>
        <w:tblStyle w:val="3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2EA92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B0DC864">
            <w:pPr>
              <w:spacing w:line="36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D05A229">
            <w:pPr>
              <w:pStyle w:val="216"/>
              <w:spacing w:line="360" w:lineRule="exact"/>
              <w:jc w:val="center"/>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招标文件的商务</w:t>
            </w:r>
            <w:r>
              <w:rPr>
                <w:rFonts w:hint="eastAsia" w:ascii="宋体" w:hAnsi="宋体" w:eastAsia="宋体" w:cs="宋体"/>
                <w:b/>
                <w:bCs/>
                <w:color w:val="000000" w:themeColor="text1"/>
                <w:szCs w:val="24"/>
                <w:highlight w:val="none"/>
                <w:lang w:eastAsia="zh-CN"/>
                <w14:textFill>
                  <w14:solidFill>
                    <w14:schemeClr w14:val="tx1"/>
                  </w14:solidFill>
                </w14:textFill>
              </w:rPr>
              <w:t>要求</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BD0105C">
            <w:pPr>
              <w:pStyle w:val="216"/>
              <w:spacing w:line="360" w:lineRule="exact"/>
              <w:jc w:val="center"/>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投标文件承诺的商务</w:t>
            </w:r>
            <w:r>
              <w:rPr>
                <w:rFonts w:hint="eastAsia" w:ascii="宋体" w:hAnsi="宋体" w:eastAsia="宋体" w:cs="宋体"/>
                <w:b/>
                <w:bCs/>
                <w:color w:val="000000" w:themeColor="text1"/>
                <w:szCs w:val="24"/>
                <w:highlight w:val="none"/>
                <w:lang w:eastAsia="zh-CN"/>
                <w14:textFill>
                  <w14:solidFill>
                    <w14:schemeClr w14:val="tx1"/>
                  </w14:solidFill>
                </w14:textFill>
              </w:rPr>
              <w:t>要求</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D4179BE">
            <w:pPr>
              <w:pStyle w:val="216"/>
              <w:spacing w:line="360" w:lineRule="exact"/>
              <w:jc w:val="center"/>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偏离情况说明</w:t>
            </w:r>
          </w:p>
        </w:tc>
      </w:tr>
      <w:tr w14:paraId="4E7A5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2A93ED8">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7F368CF2">
            <w:pPr>
              <w:spacing w:before="156"/>
              <w:jc w:val="left"/>
              <w:rPr>
                <w:rFonts w:hint="eastAsia" w:ascii="宋体" w:hAnsi="宋体" w:eastAsia="宋体" w:cs="宋体"/>
                <w:color w:val="000000" w:themeColor="text1"/>
                <w:szCs w:val="21"/>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0A6C0BE3">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C7AACBF">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r>
      <w:tr w14:paraId="7754D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235FD864">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6BFD4ACF">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1080AF10">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2978AC34">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r>
      <w:tr w14:paraId="2226A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2912C27">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22E485CE">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01AD739">
            <w:pPr>
              <w:spacing w:before="156"/>
              <w:ind w:left="43"/>
              <w:jc w:val="center"/>
              <w:rPr>
                <w:rFonts w:hint="eastAsia" w:ascii="宋体" w:hAnsi="宋体" w:eastAsia="宋体" w:cs="宋体"/>
                <w:color w:val="000000" w:themeColor="text1"/>
                <w:szCs w:val="21"/>
                <w:highlight w:val="none"/>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DAFF919">
            <w:pPr>
              <w:spacing w:before="156"/>
              <w:ind w:left="43"/>
              <w:jc w:val="center"/>
              <w:rPr>
                <w:rFonts w:hint="eastAsia" w:ascii="宋体" w:hAnsi="宋体" w:eastAsia="宋体" w:cs="宋体"/>
                <w:color w:val="000000" w:themeColor="text1"/>
                <w:szCs w:val="21"/>
                <w:highlight w:val="none"/>
                <w14:textFill>
                  <w14:solidFill>
                    <w14:schemeClr w14:val="tx1"/>
                  </w14:solidFill>
                </w14:textFill>
              </w:rPr>
            </w:pPr>
          </w:p>
        </w:tc>
      </w:tr>
      <w:tr w14:paraId="4CA3C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F66330A">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05819C40">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A469D23">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5F992578">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r>
      <w:tr w14:paraId="30735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5462EA5A">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6A6A6DAC">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AAD2F51">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72CF1E6">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r>
      <w:tr w14:paraId="1E279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73A7A86B">
            <w:pPr>
              <w:spacing w:before="15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75A5ED87">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1DD6B85">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108FF9F1">
            <w:pPr>
              <w:spacing w:before="156"/>
              <w:jc w:val="center"/>
              <w:rPr>
                <w:rFonts w:hint="eastAsia" w:ascii="宋体" w:hAnsi="宋体" w:eastAsia="宋体" w:cs="宋体"/>
                <w:color w:val="000000" w:themeColor="text1"/>
                <w:szCs w:val="21"/>
                <w:highlight w:val="none"/>
                <w14:textFill>
                  <w14:solidFill>
                    <w14:schemeClr w14:val="tx1"/>
                  </w14:solidFill>
                </w14:textFill>
              </w:rPr>
            </w:pPr>
          </w:p>
        </w:tc>
      </w:tr>
    </w:tbl>
    <w:p w14:paraId="10FF4FA0">
      <w:pPr>
        <w:spacing w:before="50" w:after="50"/>
        <w:rPr>
          <w:rFonts w:hint="eastAsia" w:ascii="宋体" w:hAnsi="宋体" w:eastAsia="宋体" w:cs="宋体"/>
          <w:color w:val="000000" w:themeColor="text1"/>
          <w:highlight w:val="none"/>
          <w14:textFill>
            <w14:solidFill>
              <w14:schemeClr w14:val="tx1"/>
            </w14:solidFill>
          </w14:textFill>
        </w:rPr>
      </w:pPr>
    </w:p>
    <w:p w14:paraId="3320A954">
      <w:pPr>
        <w:spacing w:before="50" w:after="50"/>
        <w:rPr>
          <w:rFonts w:hint="eastAsia" w:ascii="宋体" w:hAnsi="宋体" w:eastAsia="宋体" w:cs="宋体"/>
          <w:color w:val="000000" w:themeColor="text1"/>
          <w:highlight w:val="none"/>
          <w14:textFill>
            <w14:solidFill>
              <w14:schemeClr w14:val="tx1"/>
            </w14:solidFill>
          </w14:textFill>
        </w:rPr>
      </w:pPr>
    </w:p>
    <w:p w14:paraId="17974936">
      <w:pPr>
        <w:spacing w:before="50" w:after="50"/>
        <w:rPr>
          <w:rFonts w:hint="eastAsia" w:ascii="宋体" w:hAnsi="宋体" w:eastAsia="宋体" w:cs="宋体"/>
          <w:color w:val="000000" w:themeColor="text1"/>
          <w:spacing w:val="20"/>
          <w:sz w:val="24"/>
          <w:highlight w:val="none"/>
          <w14:textFill>
            <w14:solidFill>
              <w14:schemeClr w14:val="tx1"/>
            </w14:solidFill>
          </w14:textFill>
        </w:rPr>
      </w:pPr>
    </w:p>
    <w:p w14:paraId="5822A6D1">
      <w:pPr>
        <w:spacing w:line="400" w:lineRule="exact"/>
        <w:ind w:firstLine="189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投标人[公章(CA签章)，自然人签字或个人CA签章]：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1A68F466">
      <w:pPr>
        <w:spacing w:line="340" w:lineRule="exact"/>
        <w:rPr>
          <w:rFonts w:hint="eastAsia" w:ascii="宋体" w:hAnsi="宋体" w:eastAsia="宋体" w:cs="宋体"/>
          <w:color w:val="000000" w:themeColor="text1"/>
          <w:highlight w:val="none"/>
          <w14:textFill>
            <w14:solidFill>
              <w14:schemeClr w14:val="tx1"/>
            </w14:solidFill>
          </w14:textFill>
        </w:rPr>
      </w:pPr>
    </w:p>
    <w:p w14:paraId="5E258221">
      <w:pPr>
        <w:spacing w:line="400" w:lineRule="exact"/>
        <w:ind w:firstLine="1680"/>
        <w:rPr>
          <w:rFonts w:hint="eastAsia" w:ascii="宋体" w:hAnsi="宋体" w:eastAsia="宋体" w:cs="宋体"/>
          <w:color w:val="000000" w:themeColor="text1"/>
          <w:highlight w:val="none"/>
          <w14:textFill>
            <w14:solidFill>
              <w14:schemeClr w14:val="tx1"/>
            </w14:solidFill>
          </w14:textFill>
        </w:rPr>
      </w:pPr>
    </w:p>
    <w:p w14:paraId="5712ADDA">
      <w:pPr>
        <w:spacing w:line="400" w:lineRule="exact"/>
        <w:ind w:firstLine="16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日          期：</w:t>
      </w:r>
      <w:r>
        <w:rPr>
          <w:rFonts w:hint="eastAsia" w:ascii="宋体" w:hAnsi="宋体" w:eastAsia="宋体" w:cs="宋体"/>
          <w:color w:val="000000" w:themeColor="text1"/>
          <w:highlight w:val="none"/>
          <w:u w:val="single"/>
          <w14:textFill>
            <w14:solidFill>
              <w14:schemeClr w14:val="tx1"/>
            </w14:solidFill>
          </w14:textFill>
        </w:rPr>
        <w:t xml:space="preserve">                                                   </w:t>
      </w:r>
    </w:p>
    <w:p w14:paraId="5ED30227">
      <w:pPr>
        <w:ind w:firstLine="1890"/>
        <w:rPr>
          <w:rFonts w:hint="eastAsia" w:ascii="宋体" w:hAnsi="宋体" w:eastAsia="宋体" w:cs="宋体"/>
          <w:color w:val="000000" w:themeColor="text1"/>
          <w:highlight w:val="none"/>
          <w:u w:val="single"/>
          <w14:textFill>
            <w14:solidFill>
              <w14:schemeClr w14:val="tx1"/>
            </w14:solidFill>
          </w14:textFill>
        </w:rPr>
      </w:pPr>
    </w:p>
    <w:p w14:paraId="3CEEF7BC">
      <w:pPr>
        <w:ind w:firstLine="1890"/>
        <w:rPr>
          <w:rFonts w:hint="eastAsia" w:ascii="宋体" w:hAnsi="宋体" w:eastAsia="宋体" w:cs="宋体"/>
          <w:color w:val="000000" w:themeColor="text1"/>
          <w:highlight w:val="none"/>
          <w:u w:val="single"/>
          <w14:textFill>
            <w14:solidFill>
              <w14:schemeClr w14:val="tx1"/>
            </w14:solidFill>
          </w14:textFill>
        </w:rPr>
      </w:pPr>
    </w:p>
    <w:p w14:paraId="4B367B22">
      <w:pPr>
        <w:spacing w:line="400" w:lineRule="exact"/>
        <w:ind w:left="902" w:hanging="482"/>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w:t>
      </w:r>
      <w:r>
        <w:rPr>
          <w:rFonts w:hint="eastAsia" w:ascii="宋体" w:hAnsi="宋体" w:eastAsia="宋体" w:cs="宋体"/>
          <w:b/>
          <w:color w:val="000000" w:themeColor="text1"/>
          <w:sz w:val="24"/>
          <w:highlight w:val="none"/>
          <w14:textFill>
            <w14:solidFill>
              <w14:schemeClr w14:val="tx1"/>
            </w14:solidFill>
          </w14:textFill>
        </w:rPr>
        <w:t>1.“商务响应表”各项内容必须如实填写。</w:t>
      </w:r>
    </w:p>
    <w:p w14:paraId="64291B37">
      <w:pPr>
        <w:numPr>
          <w:ilvl w:val="0"/>
          <w:numId w:val="0"/>
        </w:numPr>
        <w:spacing w:line="400" w:lineRule="exact"/>
        <w:ind w:firstLine="964"/>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bidi="ar-SA"/>
          <w14:textFill>
            <w14:solidFill>
              <w14:schemeClr w14:val="tx1"/>
            </w14:solidFill>
          </w14:textFill>
        </w:rPr>
        <w:t>2.</w:t>
      </w:r>
      <w:r>
        <w:rPr>
          <w:rFonts w:hint="eastAsia" w:ascii="宋体" w:hAnsi="宋体" w:eastAsia="宋体" w:cs="宋体"/>
          <w:b/>
          <w:color w:val="000000" w:themeColor="text1"/>
          <w:sz w:val="24"/>
          <w:highlight w:val="none"/>
          <w14:textFill>
            <w14:solidFill>
              <w14:schemeClr w14:val="tx1"/>
            </w14:solidFill>
          </w14:textFill>
        </w:rPr>
        <w:t>当本表由多页构成时，需逐页加盖投标人公章（CA签章）（属自然人的须逐页签字或个人CA签章）。</w:t>
      </w:r>
    </w:p>
    <w:p w14:paraId="2C9DA1E1">
      <w:pPr>
        <w:numPr>
          <w:ilvl w:val="0"/>
          <w:numId w:val="0"/>
        </w:numPr>
        <w:spacing w:line="400" w:lineRule="exact"/>
        <w:ind w:firstLine="964"/>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bidi="ar-SA"/>
          <w14:textFill>
            <w14:solidFill>
              <w14:schemeClr w14:val="tx1"/>
            </w14:solidFill>
          </w14:textFill>
        </w:rPr>
        <w:t>3.</w:t>
      </w:r>
      <w:r>
        <w:rPr>
          <w:rFonts w:hint="eastAsia" w:ascii="宋体" w:hAnsi="宋体" w:eastAsia="宋体" w:cs="宋体"/>
          <w:b/>
          <w:color w:val="000000" w:themeColor="text1"/>
          <w:sz w:val="24"/>
          <w:highlight w:val="none"/>
          <w14:textFill>
            <w14:solidFill>
              <w14:schemeClr w14:val="tx1"/>
            </w14:solidFill>
          </w14:textFill>
        </w:rPr>
        <w:t>投标人应对照招标文件中</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第三章</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采购需求</w:t>
      </w:r>
      <w:r>
        <w:rPr>
          <w:rFonts w:hint="eastAsia" w:ascii="宋体" w:hAnsi="宋体" w:eastAsia="宋体" w:cs="宋体"/>
          <w:b/>
          <w:color w:val="000000" w:themeColor="text1"/>
          <w:sz w:val="24"/>
          <w:highlight w:val="none"/>
          <w:lang w:eastAsia="zh-CN"/>
          <w14:textFill>
            <w14:solidFill>
              <w14:schemeClr w14:val="tx1"/>
            </w14:solidFill>
          </w14:textFill>
        </w:rPr>
        <w:t>”中的“</w:t>
      </w:r>
      <w:r>
        <w:rPr>
          <w:rFonts w:hint="eastAsia" w:ascii="宋体" w:hAnsi="宋体" w:eastAsia="宋体" w:cs="宋体"/>
          <w:b/>
          <w:color w:val="000000" w:themeColor="text1"/>
          <w:sz w:val="24"/>
          <w:highlight w:val="none"/>
          <w14:textFill>
            <w14:solidFill>
              <w14:schemeClr w14:val="tx1"/>
            </w14:solidFill>
          </w14:textFill>
        </w:rPr>
        <w:t>商务要求</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的内容逐条响应，并在“偏离情况说明”栏注明“正偏离”、“负偏离”或“无偏离”。</w:t>
      </w:r>
      <w:r>
        <w:rPr>
          <w:rFonts w:hint="eastAsia" w:ascii="宋体" w:hAnsi="宋体" w:eastAsia="宋体" w:cs="宋体"/>
          <w:b/>
          <w:color w:val="000000" w:themeColor="text1"/>
          <w:sz w:val="24"/>
          <w:highlight w:val="none"/>
          <w:lang w:eastAsia="zh-CN"/>
          <w14:textFill>
            <w14:solidFill>
              <w14:schemeClr w14:val="tx1"/>
            </w14:solidFill>
          </w14:textFill>
        </w:rPr>
        <w:t>否则，投标无效。</w:t>
      </w:r>
    </w:p>
    <w:p w14:paraId="3F17E3DA">
      <w:pPr>
        <w:pStyle w:val="212"/>
        <w:rPr>
          <w:rFonts w:hint="eastAsia" w:ascii="宋体" w:hAnsi="宋体" w:eastAsia="宋体" w:cs="宋体"/>
          <w:color w:val="000000" w:themeColor="text1"/>
          <w:highlight w:val="none"/>
          <w14:textFill>
            <w14:solidFill>
              <w14:schemeClr w14:val="tx1"/>
            </w14:solidFill>
          </w14:textFill>
        </w:rPr>
      </w:pPr>
    </w:p>
    <w:p w14:paraId="2E78C94C">
      <w:pPr>
        <w:pStyle w:val="212"/>
        <w:rPr>
          <w:rFonts w:hint="eastAsia" w:ascii="宋体" w:hAnsi="宋体" w:eastAsia="宋体" w:cs="宋体"/>
          <w:color w:val="000000" w:themeColor="text1"/>
          <w:highlight w:val="none"/>
          <w14:textFill>
            <w14:solidFill>
              <w14:schemeClr w14:val="tx1"/>
            </w14:solidFill>
          </w14:textFill>
        </w:rPr>
      </w:pPr>
    </w:p>
    <w:p w14:paraId="48C8B783">
      <w:pPr>
        <w:rPr>
          <w:rFonts w:hint="eastAsia" w:ascii="宋体" w:hAnsi="宋体" w:eastAsia="宋体" w:cs="宋体"/>
          <w:color w:val="000000" w:themeColor="text1"/>
          <w:highlight w:val="none"/>
          <w14:textFill>
            <w14:solidFill>
              <w14:schemeClr w14:val="tx1"/>
            </w14:solidFill>
          </w14:textFill>
        </w:rPr>
      </w:pPr>
    </w:p>
    <w:p w14:paraId="34CA68E8">
      <w:pPr>
        <w:pStyle w:val="196"/>
        <w:rPr>
          <w:rFonts w:hint="eastAsia" w:ascii="宋体" w:hAnsi="宋体" w:eastAsia="宋体" w:cs="宋体"/>
          <w:color w:val="000000" w:themeColor="text1"/>
          <w:highlight w:val="none"/>
          <w14:textFill>
            <w14:solidFill>
              <w14:schemeClr w14:val="tx1"/>
            </w14:solidFill>
          </w14:textFill>
        </w:rPr>
      </w:pPr>
    </w:p>
    <w:p w14:paraId="2B83598D">
      <w:pPr>
        <w:rPr>
          <w:rFonts w:hint="eastAsia" w:ascii="宋体" w:hAnsi="宋体" w:eastAsia="宋体" w:cs="宋体"/>
          <w:color w:val="000000" w:themeColor="text1"/>
          <w:highlight w:val="none"/>
          <w14:textFill>
            <w14:solidFill>
              <w14:schemeClr w14:val="tx1"/>
            </w14:solidFill>
          </w14:textFill>
        </w:rPr>
      </w:pPr>
    </w:p>
    <w:p w14:paraId="2DACE003">
      <w:pPr>
        <w:rPr>
          <w:rFonts w:hint="eastAsia" w:ascii="宋体" w:hAnsi="宋体" w:eastAsia="宋体" w:cs="宋体"/>
          <w:color w:val="000000" w:themeColor="text1"/>
          <w:highlight w:val="none"/>
          <w14:textFill>
            <w14:solidFill>
              <w14:schemeClr w14:val="tx1"/>
            </w14:solidFill>
          </w14:textFill>
        </w:rPr>
      </w:pPr>
    </w:p>
    <w:p w14:paraId="1CFB2BD4">
      <w:pPr>
        <w:rPr>
          <w:rFonts w:hint="eastAsia" w:ascii="宋体" w:hAnsi="宋体" w:eastAsia="宋体" w:cs="宋体"/>
          <w:color w:val="000000" w:themeColor="text1"/>
          <w:highlight w:val="none"/>
          <w14:textFill>
            <w14:solidFill>
              <w14:schemeClr w14:val="tx1"/>
            </w14:solidFill>
          </w14:textFill>
        </w:rPr>
      </w:pPr>
    </w:p>
    <w:p w14:paraId="0F93F0CD">
      <w:pPr>
        <w:rPr>
          <w:rFonts w:hint="eastAsia" w:ascii="宋体" w:hAnsi="宋体" w:eastAsia="宋体" w:cs="宋体"/>
          <w:color w:val="000000" w:themeColor="text1"/>
          <w:highlight w:val="none"/>
          <w14:textFill>
            <w14:solidFill>
              <w14:schemeClr w14:val="tx1"/>
            </w14:solidFill>
          </w14:textFill>
        </w:rPr>
      </w:pPr>
    </w:p>
    <w:p w14:paraId="45F0A86C">
      <w:pPr>
        <w:pStyle w:val="212"/>
        <w:rPr>
          <w:rFonts w:hint="eastAsia" w:ascii="宋体" w:hAnsi="宋体" w:eastAsia="宋体" w:cs="宋体"/>
          <w:color w:val="000000" w:themeColor="text1"/>
          <w:highlight w:val="none"/>
          <w14:textFill>
            <w14:solidFill>
              <w14:schemeClr w14:val="tx1"/>
            </w14:solidFill>
          </w14:textFill>
        </w:rPr>
      </w:pPr>
    </w:p>
    <w:p w14:paraId="55F4E6CC">
      <w:pPr>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4</w:t>
      </w:r>
      <w:r>
        <w:rPr>
          <w:rFonts w:hint="eastAsia" w:ascii="宋体" w:hAnsi="宋体" w:eastAsia="宋体" w:cs="宋体"/>
          <w:b/>
          <w:bCs/>
          <w:color w:val="000000" w:themeColor="text1"/>
          <w:sz w:val="32"/>
          <w:szCs w:val="32"/>
          <w:highlight w:val="none"/>
          <w14:textFill>
            <w14:solidFill>
              <w14:schemeClr w14:val="tx1"/>
            </w14:solidFill>
          </w14:textFill>
        </w:rPr>
        <w:t>.“采购需求”需提供的有效证明文件（按其要求提供）</w:t>
      </w:r>
      <w:r>
        <w:rPr>
          <w:rFonts w:hint="eastAsia" w:ascii="宋体" w:hAnsi="宋体" w:eastAsia="宋体" w:cs="宋体"/>
          <w:b/>
          <w:bCs/>
          <w:color w:val="000000" w:themeColor="text1"/>
          <w:sz w:val="32"/>
          <w:szCs w:val="32"/>
          <w:highlight w:val="none"/>
          <w:lang w:eastAsia="zh-CN"/>
          <w14:textFill>
            <w14:solidFill>
              <w14:schemeClr w14:val="tx1"/>
            </w14:solidFill>
          </w14:textFill>
        </w:rPr>
        <w:t>；</w:t>
      </w:r>
    </w:p>
    <w:p w14:paraId="1A0DE2AE">
      <w:pPr>
        <w:rPr>
          <w:rFonts w:hint="eastAsia" w:ascii="宋体" w:hAnsi="宋体" w:eastAsia="宋体" w:cs="宋体"/>
          <w:b/>
          <w:bCs/>
          <w:color w:val="000000" w:themeColor="text1"/>
          <w:sz w:val="32"/>
          <w:szCs w:val="32"/>
          <w:highlight w:val="none"/>
          <w14:textFill>
            <w14:solidFill>
              <w14:schemeClr w14:val="tx1"/>
            </w14:solidFill>
          </w14:textFill>
        </w:rPr>
      </w:pPr>
    </w:p>
    <w:p w14:paraId="7AFE614F">
      <w:pPr>
        <w:rPr>
          <w:rFonts w:hint="eastAsia" w:ascii="宋体" w:hAnsi="宋体" w:eastAsia="宋体" w:cs="宋体"/>
          <w:b/>
          <w:bCs/>
          <w:color w:val="000000" w:themeColor="text1"/>
          <w:sz w:val="32"/>
          <w:szCs w:val="32"/>
          <w:highlight w:val="none"/>
          <w14:textFill>
            <w14:solidFill>
              <w14:schemeClr w14:val="tx1"/>
            </w14:solidFill>
          </w14:textFill>
        </w:rPr>
      </w:pPr>
    </w:p>
    <w:p w14:paraId="0E736074">
      <w:pPr>
        <w:pStyle w:val="254"/>
        <w:rPr>
          <w:rFonts w:hint="eastAsia" w:ascii="宋体" w:hAnsi="宋体" w:eastAsia="宋体" w:cs="宋体"/>
          <w:color w:val="000000" w:themeColor="text1"/>
          <w:highlight w:val="none"/>
          <w14:textFill>
            <w14:solidFill>
              <w14:schemeClr w14:val="tx1"/>
            </w14:solidFill>
          </w14:textFill>
        </w:rPr>
      </w:pPr>
    </w:p>
    <w:p w14:paraId="0C0EE3A5">
      <w:pPr>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5</w:t>
      </w:r>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highlight w:val="none"/>
          <w:lang w:eastAsia="zh-CN"/>
          <w14:textFill>
            <w14:solidFill>
              <w14:schemeClr w14:val="tx1"/>
            </w14:solidFill>
          </w14:textFill>
        </w:rPr>
        <w:t>服务承诺书（由供应商根据本项目采购需求、特点及供应商自身的处理能力自行编写）</w:t>
      </w:r>
      <w:r>
        <w:rPr>
          <w:rFonts w:hint="eastAsia" w:ascii="宋体" w:hAnsi="宋体" w:eastAsia="宋体" w:cs="宋体"/>
          <w:b/>
          <w:bCs/>
          <w:color w:val="000000" w:themeColor="text1"/>
          <w:sz w:val="32"/>
          <w:szCs w:val="32"/>
          <w:highlight w:val="none"/>
          <w14:textFill>
            <w14:solidFill>
              <w14:schemeClr w14:val="tx1"/>
            </w14:solidFill>
          </w14:textFill>
        </w:rPr>
        <w:t>（格式见附件）（必须提供）</w:t>
      </w:r>
      <w:r>
        <w:rPr>
          <w:rFonts w:hint="eastAsia" w:ascii="宋体" w:hAnsi="宋体" w:eastAsia="宋体" w:cs="宋体"/>
          <w:b/>
          <w:bCs/>
          <w:color w:val="000000" w:themeColor="text1"/>
          <w:sz w:val="32"/>
          <w:szCs w:val="32"/>
          <w:highlight w:val="none"/>
          <w:lang w:eastAsia="zh-CN"/>
          <w14:textFill>
            <w14:solidFill>
              <w14:schemeClr w14:val="tx1"/>
            </w14:solidFill>
          </w14:textFill>
        </w:rPr>
        <w:t>；</w:t>
      </w:r>
    </w:p>
    <w:p w14:paraId="608C5938">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附件：</w:t>
      </w:r>
    </w:p>
    <w:p w14:paraId="56A155DC">
      <w:pPr>
        <w:ind w:firstLine="472"/>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30C2A545">
      <w:pPr>
        <w:pStyle w:val="212"/>
        <w:rPr>
          <w:rFonts w:hint="eastAsia" w:ascii="宋体" w:hAnsi="宋体" w:eastAsia="宋体" w:cs="宋体"/>
          <w:b/>
          <w:bCs/>
          <w:color w:val="000000" w:themeColor="text1"/>
          <w:sz w:val="32"/>
          <w:szCs w:val="32"/>
          <w:highlight w:val="none"/>
          <w14:textFill>
            <w14:solidFill>
              <w14:schemeClr w14:val="tx1"/>
            </w14:solidFill>
          </w14:textFill>
        </w:rPr>
      </w:pPr>
    </w:p>
    <w:p w14:paraId="6850B0D4">
      <w:pPr>
        <w:ind w:firstLine="472"/>
        <w:jc w:val="center"/>
        <w:rPr>
          <w:rFonts w:hint="eastAsia" w:ascii="宋体" w:hAnsi="宋体" w:eastAsia="宋体" w:cs="宋体"/>
          <w:b/>
          <w:bCs/>
          <w:color w:val="000000" w:themeColor="text1"/>
          <w:sz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服务承诺书</w:t>
      </w:r>
      <w:r>
        <w:rPr>
          <w:rFonts w:hint="eastAsia" w:ascii="宋体" w:hAnsi="宋体" w:eastAsia="宋体" w:cs="宋体"/>
          <w:b/>
          <w:bCs/>
          <w:color w:val="000000" w:themeColor="text1"/>
          <w:sz w:val="32"/>
          <w:highlight w:val="none"/>
          <w14:textFill>
            <w14:solidFill>
              <w14:schemeClr w14:val="tx1"/>
            </w14:solidFill>
          </w14:textFill>
        </w:rPr>
        <w:t>（格式）</w:t>
      </w:r>
    </w:p>
    <w:p w14:paraId="7C214845">
      <w:pPr>
        <w:spacing w:line="400" w:lineRule="exact"/>
        <w:rPr>
          <w:rFonts w:hint="eastAsia" w:ascii="宋体" w:hAnsi="宋体" w:eastAsia="宋体" w:cs="宋体"/>
          <w:color w:val="000000" w:themeColor="text1"/>
          <w:sz w:val="32"/>
          <w:szCs w:val="32"/>
          <w:highlight w:val="none"/>
          <w14:textFill>
            <w14:solidFill>
              <w14:schemeClr w14:val="tx1"/>
            </w14:solidFill>
          </w14:textFill>
        </w:rPr>
      </w:pPr>
    </w:p>
    <w:p w14:paraId="03448771">
      <w:pPr>
        <w:pStyle w:val="254"/>
        <w:rPr>
          <w:rFonts w:hint="eastAsia" w:ascii="宋体" w:hAnsi="宋体" w:eastAsia="宋体" w:cs="宋体"/>
          <w:color w:val="000000" w:themeColor="text1"/>
          <w:highlight w:val="none"/>
          <w14:textFill>
            <w14:solidFill>
              <w14:schemeClr w14:val="tx1"/>
            </w14:solidFill>
          </w14:textFill>
        </w:rPr>
      </w:pPr>
    </w:p>
    <w:p w14:paraId="707CF353">
      <w:pPr>
        <w:spacing w:line="400" w:lineRule="exact"/>
        <w:rPr>
          <w:rFonts w:hint="eastAsia" w:ascii="宋体" w:hAnsi="宋体" w:eastAsia="宋体" w:cs="宋体"/>
          <w:color w:val="000000" w:themeColor="text1"/>
          <w:sz w:val="32"/>
          <w:szCs w:val="32"/>
          <w:highlight w:val="none"/>
          <w14:textFill>
            <w14:solidFill>
              <w14:schemeClr w14:val="tx1"/>
            </w14:solidFill>
          </w14:textFill>
        </w:rPr>
      </w:pPr>
    </w:p>
    <w:p w14:paraId="519B186A">
      <w:pPr>
        <w:spacing w:line="400" w:lineRule="exact"/>
        <w:rPr>
          <w:rFonts w:hint="eastAsia" w:ascii="宋体" w:hAnsi="宋体" w:eastAsia="宋体" w:cs="宋体"/>
          <w:color w:val="000000" w:themeColor="text1"/>
          <w:sz w:val="32"/>
          <w:szCs w:val="32"/>
          <w:highlight w:val="none"/>
          <w14:textFill>
            <w14:solidFill>
              <w14:schemeClr w14:val="tx1"/>
            </w14:solidFill>
          </w14:textFill>
        </w:rPr>
      </w:pPr>
    </w:p>
    <w:p w14:paraId="6C9F5E05">
      <w:pPr>
        <w:spacing w:line="400" w:lineRule="exact"/>
        <w:rPr>
          <w:rFonts w:hint="eastAsia" w:ascii="宋体" w:hAnsi="宋体" w:eastAsia="宋体" w:cs="宋体"/>
          <w:color w:val="000000" w:themeColor="text1"/>
          <w:sz w:val="32"/>
          <w:szCs w:val="32"/>
          <w:highlight w:val="none"/>
          <w14:textFill>
            <w14:solidFill>
              <w14:schemeClr w14:val="tx1"/>
            </w14:solidFill>
          </w14:textFill>
        </w:rPr>
      </w:pPr>
    </w:p>
    <w:p w14:paraId="12926BE0">
      <w:pPr>
        <w:spacing w:line="400" w:lineRule="exact"/>
        <w:ind w:firstLine="189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公章</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，自然人</w:t>
      </w:r>
      <w:r>
        <w:rPr>
          <w:rFonts w:hint="eastAsia" w:ascii="宋体" w:hAnsi="宋体" w:eastAsia="宋体" w:cs="宋体"/>
          <w:color w:val="000000" w:themeColor="text1"/>
          <w:szCs w:val="21"/>
          <w:highlight w:val="none"/>
          <w:lang w:eastAsia="zh-CN"/>
          <w14:textFill>
            <w14:solidFill>
              <w14:schemeClr w14:val="tx1"/>
            </w14:solidFill>
          </w14:textFill>
        </w:rPr>
        <w:t>签字或个人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4DC63A57">
      <w:pPr>
        <w:spacing w:line="400" w:lineRule="exact"/>
        <w:rPr>
          <w:rFonts w:hint="eastAsia" w:ascii="宋体" w:hAnsi="宋体" w:eastAsia="宋体" w:cs="宋体"/>
          <w:color w:val="000000" w:themeColor="text1"/>
          <w:szCs w:val="21"/>
          <w:highlight w:val="none"/>
          <w:u w:val="single"/>
          <w14:textFill>
            <w14:solidFill>
              <w14:schemeClr w14:val="tx1"/>
            </w14:solidFill>
          </w14:textFill>
        </w:rPr>
      </w:pPr>
    </w:p>
    <w:p w14:paraId="148BB370">
      <w:pPr>
        <w:spacing w:line="340" w:lineRule="exact"/>
        <w:ind w:left="1890" w:firstLine="0"/>
        <w:rPr>
          <w:rFonts w:hint="eastAsia" w:ascii="宋体" w:hAnsi="宋体" w:eastAsia="宋体" w:cs="宋体"/>
          <w:color w:val="000000" w:themeColor="text1"/>
          <w:highlight w:val="none"/>
          <w14:textFill>
            <w14:solidFill>
              <w14:schemeClr w14:val="tx1"/>
            </w14:solidFill>
          </w14:textFill>
        </w:rPr>
      </w:pPr>
    </w:p>
    <w:p w14:paraId="18859BD1">
      <w:pPr>
        <w:spacing w:line="400" w:lineRule="exact"/>
        <w:ind w:firstLine="16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日          期：</w:t>
      </w:r>
      <w:r>
        <w:rPr>
          <w:rFonts w:hint="eastAsia" w:ascii="宋体" w:hAnsi="宋体" w:eastAsia="宋体" w:cs="宋体"/>
          <w:color w:val="000000" w:themeColor="text1"/>
          <w:highlight w:val="none"/>
          <w:u w:val="single"/>
          <w14:textFill>
            <w14:solidFill>
              <w14:schemeClr w14:val="tx1"/>
            </w14:solidFill>
          </w14:textFill>
        </w:rPr>
        <w:t xml:space="preserve">                                                   </w:t>
      </w:r>
    </w:p>
    <w:p w14:paraId="6118B5C8">
      <w:pPr>
        <w:spacing w:line="400" w:lineRule="exact"/>
        <w:ind w:firstLine="1680"/>
        <w:rPr>
          <w:rFonts w:hint="eastAsia" w:ascii="宋体" w:hAnsi="宋体" w:eastAsia="宋体" w:cs="宋体"/>
          <w:color w:val="000000" w:themeColor="text1"/>
          <w:highlight w:val="none"/>
          <w14:textFill>
            <w14:solidFill>
              <w14:schemeClr w14:val="tx1"/>
            </w14:solidFill>
          </w14:textFill>
        </w:rPr>
      </w:pPr>
    </w:p>
    <w:p w14:paraId="2636AE63">
      <w:pPr>
        <w:pStyle w:val="212"/>
        <w:rPr>
          <w:rFonts w:hint="eastAsia" w:ascii="宋体" w:hAnsi="宋体" w:eastAsia="宋体" w:cs="宋体"/>
          <w:color w:val="000000" w:themeColor="text1"/>
          <w:highlight w:val="none"/>
          <w14:textFill>
            <w14:solidFill>
              <w14:schemeClr w14:val="tx1"/>
            </w14:solidFill>
          </w14:textFill>
        </w:rPr>
      </w:pPr>
    </w:p>
    <w:p w14:paraId="2B104DFA">
      <w:pPr>
        <w:pStyle w:val="212"/>
        <w:rPr>
          <w:rFonts w:hint="eastAsia" w:ascii="宋体" w:hAnsi="宋体" w:eastAsia="宋体" w:cs="宋体"/>
          <w:color w:val="000000" w:themeColor="text1"/>
          <w:highlight w:val="none"/>
          <w14:textFill>
            <w14:solidFill>
              <w14:schemeClr w14:val="tx1"/>
            </w14:solidFill>
          </w14:textFill>
        </w:rPr>
      </w:pPr>
    </w:p>
    <w:p w14:paraId="1C62E835">
      <w:pPr>
        <w:rPr>
          <w:rFonts w:hint="eastAsia" w:ascii="宋体" w:hAnsi="宋体" w:eastAsia="宋体" w:cs="宋体"/>
          <w:color w:val="000000" w:themeColor="text1"/>
          <w:highlight w:val="none"/>
          <w14:textFill>
            <w14:solidFill>
              <w14:schemeClr w14:val="tx1"/>
            </w14:solidFill>
          </w14:textFill>
        </w:rPr>
      </w:pPr>
    </w:p>
    <w:p w14:paraId="0EF4835E">
      <w:pPr>
        <w:rPr>
          <w:rFonts w:hint="eastAsia" w:ascii="宋体" w:hAnsi="宋体" w:eastAsia="宋体" w:cs="宋体"/>
          <w:color w:val="000000" w:themeColor="text1"/>
          <w:highlight w:val="none"/>
          <w14:textFill>
            <w14:solidFill>
              <w14:schemeClr w14:val="tx1"/>
            </w14:solidFill>
          </w14:textFill>
        </w:rPr>
      </w:pPr>
    </w:p>
    <w:p w14:paraId="0C184D8A">
      <w:pPr>
        <w:rPr>
          <w:rFonts w:hint="eastAsia" w:ascii="宋体" w:hAnsi="宋体" w:eastAsia="宋体" w:cs="宋体"/>
          <w:color w:val="000000" w:themeColor="text1"/>
          <w:highlight w:val="none"/>
          <w14:textFill>
            <w14:solidFill>
              <w14:schemeClr w14:val="tx1"/>
            </w14:solidFill>
          </w14:textFill>
        </w:rPr>
      </w:pPr>
    </w:p>
    <w:p w14:paraId="23566039">
      <w:pPr>
        <w:numPr>
          <w:ilvl w:val="0"/>
          <w:numId w:val="0"/>
        </w:numPr>
        <w:tabs>
          <w:tab w:val="left" w:pos="1305"/>
        </w:tabs>
        <w:spacing w:line="400" w:lineRule="exact"/>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6</w:t>
      </w:r>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highlight w:val="none"/>
          <w:lang w:eastAsia="zh-CN"/>
          <w14:textFill>
            <w14:solidFill>
              <w14:schemeClr w14:val="tx1"/>
            </w14:solidFill>
          </w14:textFill>
        </w:rPr>
        <w:t>针对本项目的服务方案</w:t>
      </w:r>
      <w:r>
        <w:rPr>
          <w:rFonts w:hint="eastAsia" w:ascii="宋体" w:hAnsi="宋体" w:eastAsia="宋体" w:cs="宋体"/>
          <w:b/>
          <w:bCs/>
          <w:color w:val="000000" w:themeColor="text1"/>
          <w:sz w:val="32"/>
          <w:szCs w:val="32"/>
          <w:highlight w:val="none"/>
          <w14:textFill>
            <w14:solidFill>
              <w14:schemeClr w14:val="tx1"/>
            </w14:solidFill>
          </w14:textFill>
        </w:rPr>
        <w:t>（必须提供）；</w:t>
      </w:r>
    </w:p>
    <w:p w14:paraId="1E40DE9F">
      <w:pPr>
        <w:rPr>
          <w:rFonts w:hint="eastAsia" w:ascii="宋体" w:hAnsi="宋体" w:eastAsia="宋体" w:cs="宋体"/>
          <w:b/>
          <w:bCs/>
          <w:color w:val="000000" w:themeColor="text1"/>
          <w:sz w:val="32"/>
          <w:szCs w:val="32"/>
          <w:highlight w:val="none"/>
          <w14:textFill>
            <w14:solidFill>
              <w14:schemeClr w14:val="tx1"/>
            </w14:solidFill>
          </w14:textFill>
        </w:rPr>
      </w:pPr>
    </w:p>
    <w:p w14:paraId="368A6E1D">
      <w:pPr>
        <w:rPr>
          <w:rFonts w:hint="eastAsia" w:ascii="宋体" w:hAnsi="宋体" w:eastAsia="宋体" w:cs="宋体"/>
          <w:b/>
          <w:bCs/>
          <w:color w:val="000000" w:themeColor="text1"/>
          <w:sz w:val="32"/>
          <w:szCs w:val="32"/>
          <w:highlight w:val="none"/>
          <w14:textFill>
            <w14:solidFill>
              <w14:schemeClr w14:val="tx1"/>
            </w14:solidFill>
          </w14:textFill>
        </w:rPr>
      </w:pPr>
    </w:p>
    <w:p w14:paraId="5AD3CBE7">
      <w:pPr>
        <w:pStyle w:val="212"/>
        <w:numPr>
          <w:ilvl w:val="0"/>
          <w:numId w:val="0"/>
        </w:numPr>
        <w:rPr>
          <w:rFonts w:hint="eastAsia" w:ascii="宋体" w:hAnsi="宋体" w:eastAsia="宋体" w:cs="宋体"/>
          <w:b/>
          <w:bCs/>
          <w:color w:val="000000" w:themeColor="text1"/>
          <w:sz w:val="32"/>
          <w:szCs w:val="32"/>
          <w:highlight w:val="none"/>
          <w:lang w:val="en-US" w:eastAsia="zh-CN" w:bidi="ar-SA"/>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bidi="ar-SA"/>
          <w14:textFill>
            <w14:solidFill>
              <w14:schemeClr w14:val="tx1"/>
            </w14:solidFill>
          </w14:textFill>
        </w:rPr>
        <w:t>7.投标人自2023年1月1日以来同类业绩的相关证明材料（以中标、成交通知书或签订的采购合同扫描件为准，并能清晰反映所提供的服务类型、种类、金额）（如有，请提供）；</w:t>
      </w:r>
    </w:p>
    <w:p w14:paraId="51D5C7C7">
      <w:pPr>
        <w:pStyle w:val="254"/>
        <w:rPr>
          <w:rFonts w:hint="eastAsia" w:ascii="宋体" w:hAnsi="宋体" w:eastAsia="宋体" w:cs="宋体"/>
          <w:color w:val="000000" w:themeColor="text1"/>
          <w:highlight w:val="none"/>
          <w:lang w:val="en-US" w:eastAsia="zh-CN"/>
          <w14:textFill>
            <w14:solidFill>
              <w14:schemeClr w14:val="tx1"/>
            </w14:solidFill>
          </w14:textFill>
        </w:rPr>
      </w:pPr>
    </w:p>
    <w:p w14:paraId="25B5C67C">
      <w:pPr>
        <w:pStyle w:val="254"/>
        <w:rPr>
          <w:rFonts w:hint="eastAsia" w:ascii="宋体" w:hAnsi="宋体" w:eastAsia="宋体" w:cs="宋体"/>
          <w:color w:val="000000" w:themeColor="text1"/>
          <w:highlight w:val="none"/>
          <w:lang w:val="en-US" w:eastAsia="zh-CN"/>
          <w14:textFill>
            <w14:solidFill>
              <w14:schemeClr w14:val="tx1"/>
            </w14:solidFill>
          </w14:textFill>
        </w:rPr>
      </w:pPr>
    </w:p>
    <w:p w14:paraId="7B92A0E9">
      <w:pPr>
        <w:pStyle w:val="254"/>
        <w:rPr>
          <w:rFonts w:hint="eastAsia" w:ascii="宋体" w:hAnsi="宋体" w:eastAsia="宋体" w:cs="宋体"/>
          <w:color w:val="000000" w:themeColor="text1"/>
          <w:highlight w:val="none"/>
          <w:lang w:val="en-US" w:eastAsia="zh-CN"/>
          <w14:textFill>
            <w14:solidFill>
              <w14:schemeClr w14:val="tx1"/>
            </w14:solidFill>
          </w14:textFill>
        </w:rPr>
      </w:pPr>
    </w:p>
    <w:p w14:paraId="5BFFCB1D">
      <w:pPr>
        <w:pStyle w:val="254"/>
        <w:rPr>
          <w:rFonts w:hint="eastAsia" w:ascii="宋体" w:hAnsi="宋体" w:eastAsia="宋体" w:cs="宋体"/>
          <w:color w:val="000000" w:themeColor="text1"/>
          <w:highlight w:val="none"/>
          <w:lang w:val="en-US" w:eastAsia="zh-CN"/>
          <w14:textFill>
            <w14:solidFill>
              <w14:schemeClr w14:val="tx1"/>
            </w14:solidFill>
          </w14:textFill>
        </w:rPr>
      </w:pPr>
    </w:p>
    <w:p w14:paraId="262C890C">
      <w:pPr>
        <w:pStyle w:val="254"/>
        <w:rPr>
          <w:rFonts w:hint="eastAsia" w:ascii="宋体" w:hAnsi="宋体" w:eastAsia="宋体" w:cs="宋体"/>
          <w:color w:val="000000" w:themeColor="text1"/>
          <w:highlight w:val="none"/>
          <w:lang w:val="en-US" w:eastAsia="zh-CN"/>
          <w14:textFill>
            <w14:solidFill>
              <w14:schemeClr w14:val="tx1"/>
            </w14:solidFill>
          </w14:textFill>
        </w:rPr>
      </w:pPr>
    </w:p>
    <w:p w14:paraId="7E8281E3">
      <w:pPr>
        <w:pStyle w:val="254"/>
        <w:rPr>
          <w:rFonts w:hint="eastAsia" w:ascii="宋体" w:hAnsi="宋体" w:eastAsia="宋体" w:cs="宋体"/>
          <w:color w:val="000000" w:themeColor="text1"/>
          <w:highlight w:val="none"/>
          <w:lang w:val="en-US" w:eastAsia="zh-CN"/>
          <w14:textFill>
            <w14:solidFill>
              <w14:schemeClr w14:val="tx1"/>
            </w14:solidFill>
          </w14:textFill>
        </w:rPr>
      </w:pPr>
    </w:p>
    <w:p w14:paraId="3501ACF1">
      <w:pPr>
        <w:numPr>
          <w:ilvl w:val="0"/>
          <w:numId w:val="0"/>
        </w:numP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8.</w:t>
      </w:r>
      <w:r>
        <w:rPr>
          <w:rFonts w:hint="eastAsia" w:ascii="宋体" w:hAnsi="宋体" w:eastAsia="宋体" w:cs="宋体"/>
          <w:b/>
          <w:bCs/>
          <w:color w:val="000000" w:themeColor="text1"/>
          <w:sz w:val="32"/>
          <w:szCs w:val="32"/>
          <w:highlight w:val="none"/>
          <w14:textFill>
            <w14:solidFill>
              <w14:schemeClr w14:val="tx1"/>
            </w14:solidFill>
          </w14:textFill>
        </w:rPr>
        <w:t>项目实施人员一览表（如有，请提供）</w:t>
      </w:r>
      <w:r>
        <w:rPr>
          <w:rFonts w:hint="eastAsia" w:ascii="宋体" w:hAnsi="宋体" w:eastAsia="宋体" w:cs="宋体"/>
          <w:b/>
          <w:bCs/>
          <w:color w:val="000000" w:themeColor="text1"/>
          <w:sz w:val="32"/>
          <w:szCs w:val="32"/>
          <w:highlight w:val="none"/>
          <w:lang w:eastAsia="zh-CN"/>
          <w14:textFill>
            <w14:solidFill>
              <w14:schemeClr w14:val="tx1"/>
            </w14:solidFill>
          </w14:textFill>
        </w:rPr>
        <w:t>；</w:t>
      </w:r>
    </w:p>
    <w:p w14:paraId="5BDA25FA">
      <w:pPr>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 xml:space="preserve">项目实施人员一览表（格式）    </w:t>
      </w:r>
    </w:p>
    <w:tbl>
      <w:tblPr>
        <w:tblStyle w:val="32"/>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3252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DF9E056">
            <w:pPr>
              <w:spacing w:line="40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姓 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A802FFB">
            <w:pPr>
              <w:spacing w:line="40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F56AE67">
            <w:pPr>
              <w:spacing w:line="40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7069095">
            <w:pPr>
              <w:spacing w:line="40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BD121BC">
            <w:pPr>
              <w:spacing w:line="40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5B168D1">
            <w:pPr>
              <w:spacing w:line="40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22C8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742D10CA">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4BE38A66">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1FFE260C">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F28CDA6">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190E399F">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ACF14E7">
            <w:pPr>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321E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13D56FBA">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568BD35">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7FCB6769">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06678F20">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6626B352">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7D3733F8">
            <w:pPr>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3FEB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054FF408">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7DCEB21">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4F083FD7">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950B268">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1717797E">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71D886C5">
            <w:pPr>
              <w:spacing w:line="400" w:lineRule="exact"/>
              <w:rPr>
                <w:rFonts w:hint="eastAsia" w:ascii="宋体" w:hAnsi="宋体" w:eastAsia="宋体" w:cs="宋体"/>
                <w:color w:val="000000" w:themeColor="text1"/>
                <w:szCs w:val="21"/>
                <w:highlight w:val="none"/>
                <w14:textFill>
                  <w14:solidFill>
                    <w14:schemeClr w14:val="tx1"/>
                  </w14:solidFill>
                </w14:textFill>
              </w:rPr>
            </w:pPr>
          </w:p>
        </w:tc>
      </w:tr>
    </w:tbl>
    <w:p w14:paraId="6928144A">
      <w:pPr>
        <w:spacing w:line="400" w:lineRule="exact"/>
        <w:rPr>
          <w:rFonts w:hint="eastAsia" w:ascii="宋体" w:hAnsi="宋体" w:eastAsia="宋体" w:cs="宋体"/>
          <w:color w:val="000000" w:themeColor="text1"/>
          <w:szCs w:val="21"/>
          <w:highlight w:val="none"/>
          <w14:textFill>
            <w14:solidFill>
              <w14:schemeClr w14:val="tx1"/>
            </w14:solidFill>
          </w14:textFill>
        </w:rPr>
      </w:pPr>
    </w:p>
    <w:p w14:paraId="6EEA3679">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注：1.在填写时，如本表格不适合投标单位的实际情况，可根据本表格式自行制表填写。</w:t>
      </w:r>
    </w:p>
    <w:p w14:paraId="1F721E68">
      <w:pPr>
        <w:spacing w:line="400" w:lineRule="exact"/>
        <w:ind w:firstLine="3255"/>
        <w:rPr>
          <w:rFonts w:hint="eastAsia" w:ascii="宋体" w:hAnsi="宋体" w:eastAsia="宋体" w:cs="宋体"/>
          <w:color w:val="000000" w:themeColor="text1"/>
          <w:highlight w:val="none"/>
          <w14:textFill>
            <w14:solidFill>
              <w14:schemeClr w14:val="tx1"/>
            </w14:solidFill>
          </w14:textFill>
        </w:rPr>
      </w:pPr>
    </w:p>
    <w:p w14:paraId="472FD63D">
      <w:pPr>
        <w:spacing w:line="400" w:lineRule="exact"/>
        <w:ind w:firstLine="3255"/>
        <w:rPr>
          <w:rFonts w:hint="eastAsia" w:ascii="宋体" w:hAnsi="宋体" w:eastAsia="宋体" w:cs="宋体"/>
          <w:color w:val="000000" w:themeColor="text1"/>
          <w:highlight w:val="none"/>
          <w14:textFill>
            <w14:solidFill>
              <w14:schemeClr w14:val="tx1"/>
            </w14:solidFill>
          </w14:textFill>
        </w:rPr>
      </w:pPr>
    </w:p>
    <w:p w14:paraId="5619A8DC">
      <w:pPr>
        <w:spacing w:line="400" w:lineRule="exact"/>
        <w:ind w:firstLine="189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公章</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，自然人</w:t>
      </w:r>
      <w:r>
        <w:rPr>
          <w:rFonts w:hint="eastAsia" w:ascii="宋体" w:hAnsi="宋体" w:eastAsia="宋体" w:cs="宋体"/>
          <w:color w:val="000000" w:themeColor="text1"/>
          <w:szCs w:val="21"/>
          <w:highlight w:val="none"/>
          <w:lang w:eastAsia="zh-CN"/>
          <w14:textFill>
            <w14:solidFill>
              <w14:schemeClr w14:val="tx1"/>
            </w14:solidFill>
          </w14:textFill>
        </w:rPr>
        <w:t>签字或个人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EBD642E">
      <w:pPr>
        <w:spacing w:line="340" w:lineRule="exact"/>
        <w:ind w:firstLine="1680"/>
        <w:rPr>
          <w:rFonts w:hint="eastAsia" w:ascii="宋体" w:hAnsi="宋体" w:eastAsia="宋体" w:cs="宋体"/>
          <w:color w:val="000000" w:themeColor="text1"/>
          <w:szCs w:val="21"/>
          <w:highlight w:val="none"/>
          <w:u w:val="single"/>
          <w14:textFill>
            <w14:solidFill>
              <w14:schemeClr w14:val="tx1"/>
            </w14:solidFill>
          </w14:textFill>
        </w:rPr>
      </w:pPr>
    </w:p>
    <w:p w14:paraId="1FCF9700">
      <w:pPr>
        <w:spacing w:line="340" w:lineRule="exact"/>
        <w:ind w:firstLine="1890"/>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          期：</w:t>
      </w:r>
    </w:p>
    <w:p w14:paraId="6D72C638">
      <w:pPr>
        <w:spacing w:line="400" w:lineRule="exact"/>
        <w:ind w:left="840" w:firstLine="18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注：1</w:t>
      </w:r>
      <w:r>
        <w:rPr>
          <w:rFonts w:hint="eastAsia" w:ascii="宋体" w:hAnsi="宋体" w:eastAsia="宋体" w:cs="宋体"/>
          <w:b/>
          <w:color w:val="000000" w:themeColor="text1"/>
          <w:sz w:val="24"/>
          <w:highlight w:val="none"/>
          <w14:textFill>
            <w14:solidFill>
              <w14:schemeClr w14:val="tx1"/>
            </w14:solidFill>
          </w14:textFill>
        </w:rPr>
        <w:t>.当本表由多页构成时，需逐页加盖投标人公章</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lang w:val="en-US" w:eastAsia="zh-CN"/>
          <w14:textFill>
            <w14:solidFill>
              <w14:schemeClr w14:val="tx1"/>
            </w14:solidFill>
          </w14:textFill>
        </w:rPr>
        <w:t>CA签章</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（属自然人的须逐页签字</w:t>
      </w:r>
      <w:r>
        <w:rPr>
          <w:rFonts w:hint="eastAsia" w:ascii="宋体" w:hAnsi="宋体" w:eastAsia="宋体" w:cs="宋体"/>
          <w:b/>
          <w:color w:val="000000" w:themeColor="text1"/>
          <w:sz w:val="24"/>
          <w:highlight w:val="none"/>
          <w:lang w:eastAsia="zh-CN"/>
          <w14:textFill>
            <w14:solidFill>
              <w14:schemeClr w14:val="tx1"/>
            </w14:solidFill>
          </w14:textFill>
        </w:rPr>
        <w:t>或个人</w:t>
      </w:r>
      <w:r>
        <w:rPr>
          <w:rFonts w:hint="eastAsia" w:ascii="宋体" w:hAnsi="宋体" w:eastAsia="宋体" w:cs="宋体"/>
          <w:b/>
          <w:color w:val="000000" w:themeColor="text1"/>
          <w:sz w:val="24"/>
          <w:highlight w:val="none"/>
          <w:lang w:val="en-US" w:eastAsia="zh-CN"/>
          <w14:textFill>
            <w14:solidFill>
              <w14:schemeClr w14:val="tx1"/>
            </w14:solidFill>
          </w14:textFill>
        </w:rPr>
        <w:t>CA签章</w:t>
      </w:r>
      <w:r>
        <w:rPr>
          <w:rFonts w:hint="eastAsia" w:ascii="宋体" w:hAnsi="宋体" w:eastAsia="宋体" w:cs="宋体"/>
          <w:b/>
          <w:color w:val="000000" w:themeColor="text1"/>
          <w:sz w:val="24"/>
          <w:highlight w:val="none"/>
          <w14:textFill>
            <w14:solidFill>
              <w14:schemeClr w14:val="tx1"/>
            </w14:solidFill>
          </w14:textFill>
        </w:rPr>
        <w:t>）。</w:t>
      </w:r>
    </w:p>
    <w:p w14:paraId="4631CFE3">
      <w:pPr>
        <w:pStyle w:val="254"/>
        <w:rPr>
          <w:rFonts w:hint="eastAsia" w:ascii="宋体" w:hAnsi="宋体" w:eastAsia="宋体" w:cs="宋体"/>
          <w:color w:val="000000" w:themeColor="text1"/>
          <w:highlight w:val="none"/>
          <w14:textFill>
            <w14:solidFill>
              <w14:schemeClr w14:val="tx1"/>
            </w14:solidFill>
          </w14:textFill>
        </w:rPr>
      </w:pPr>
    </w:p>
    <w:p w14:paraId="0C06CE87">
      <w:pPr>
        <w:pStyle w:val="254"/>
        <w:rPr>
          <w:rFonts w:hint="eastAsia" w:ascii="宋体" w:hAnsi="宋体" w:eastAsia="宋体" w:cs="宋体"/>
          <w:color w:val="000000" w:themeColor="text1"/>
          <w:highlight w:val="none"/>
          <w14:textFill>
            <w14:solidFill>
              <w14:schemeClr w14:val="tx1"/>
            </w14:solidFill>
          </w14:textFill>
        </w:rPr>
      </w:pPr>
    </w:p>
    <w:p w14:paraId="601346F8">
      <w:pPr>
        <w:pStyle w:val="254"/>
        <w:rPr>
          <w:rFonts w:hint="eastAsia" w:ascii="宋体" w:hAnsi="宋体" w:eastAsia="宋体" w:cs="宋体"/>
          <w:color w:val="000000" w:themeColor="text1"/>
          <w:highlight w:val="none"/>
          <w14:textFill>
            <w14:solidFill>
              <w14:schemeClr w14:val="tx1"/>
            </w14:solidFill>
          </w14:textFill>
        </w:rPr>
      </w:pPr>
    </w:p>
    <w:p w14:paraId="3C57120D">
      <w:pPr>
        <w:pStyle w:val="254"/>
        <w:rPr>
          <w:rFonts w:hint="eastAsia" w:ascii="宋体" w:hAnsi="宋体" w:eastAsia="宋体" w:cs="宋体"/>
          <w:color w:val="000000" w:themeColor="text1"/>
          <w:highlight w:val="none"/>
          <w14:textFill>
            <w14:solidFill>
              <w14:schemeClr w14:val="tx1"/>
            </w14:solidFill>
          </w14:textFill>
        </w:rPr>
      </w:pPr>
    </w:p>
    <w:p w14:paraId="48809677">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9</w:t>
      </w:r>
      <w:r>
        <w:rPr>
          <w:rFonts w:hint="eastAsia" w:ascii="宋体" w:hAnsi="宋体" w:eastAsia="宋体" w:cs="宋体"/>
          <w:b/>
          <w:bCs/>
          <w:color w:val="000000" w:themeColor="text1"/>
          <w:sz w:val="32"/>
          <w:szCs w:val="32"/>
          <w:highlight w:val="none"/>
          <w14:textFill>
            <w14:solidFill>
              <w14:schemeClr w14:val="tx1"/>
            </w14:solidFill>
          </w14:textFill>
        </w:rPr>
        <w:t>.投标人相关获奖证书、认证证书等</w:t>
      </w:r>
      <w:r>
        <w:rPr>
          <w:rFonts w:hint="eastAsia" w:ascii="宋体" w:hAnsi="宋体" w:eastAsia="宋体" w:cs="宋体"/>
          <w:b/>
          <w:bCs/>
          <w:color w:val="000000" w:themeColor="text1"/>
          <w:sz w:val="32"/>
          <w:szCs w:val="32"/>
          <w:highlight w:val="none"/>
          <w:lang w:eastAsia="zh-CN"/>
          <w14:textFill>
            <w14:solidFill>
              <w14:schemeClr w14:val="tx1"/>
            </w14:solidFill>
          </w14:textFill>
        </w:rPr>
        <w:t>扫描件</w:t>
      </w:r>
      <w:r>
        <w:rPr>
          <w:rFonts w:hint="eastAsia" w:ascii="宋体" w:hAnsi="宋体" w:eastAsia="宋体" w:cs="宋体"/>
          <w:b/>
          <w:bCs/>
          <w:color w:val="000000" w:themeColor="text1"/>
          <w:sz w:val="32"/>
          <w:szCs w:val="32"/>
          <w:highlight w:val="none"/>
          <w14:textFill>
            <w14:solidFill>
              <w14:schemeClr w14:val="tx1"/>
            </w14:solidFill>
          </w14:textFill>
        </w:rPr>
        <w:t>（如有，请提供）</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w:t>
      </w:r>
    </w:p>
    <w:p w14:paraId="603E3B31">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304B94ED">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633B79D8">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39946788">
      <w:pP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p>
    <w:p w14:paraId="6AB40912">
      <w:pPr>
        <w:pStyle w:val="254"/>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10</w:t>
      </w:r>
      <w:r>
        <w:rPr>
          <w:rFonts w:hint="eastAsia" w:ascii="宋体" w:hAnsi="宋体" w:eastAsia="宋体" w:cs="宋体"/>
          <w:b/>
          <w:bCs/>
          <w:color w:val="000000" w:themeColor="text1"/>
          <w:sz w:val="32"/>
          <w:szCs w:val="32"/>
          <w:highlight w:val="none"/>
          <w14:textFill>
            <w14:solidFill>
              <w14:schemeClr w14:val="tx1"/>
            </w14:solidFill>
          </w14:textFill>
        </w:rPr>
        <w:t>.投标人可结合本项目的评标办法视自身情况自行提交相关证明材料（如有，请提供）</w:t>
      </w:r>
      <w:r>
        <w:rPr>
          <w:rFonts w:hint="eastAsia" w:ascii="宋体" w:hAnsi="宋体" w:eastAsia="宋体" w:cs="宋体"/>
          <w:b/>
          <w:bCs/>
          <w:color w:val="000000" w:themeColor="text1"/>
          <w:sz w:val="32"/>
          <w:szCs w:val="32"/>
          <w:highlight w:val="none"/>
          <w:lang w:eastAsia="zh-CN"/>
          <w14:textFill>
            <w14:solidFill>
              <w14:schemeClr w14:val="tx1"/>
            </w14:solidFill>
          </w14:textFill>
        </w:rPr>
        <w:t>。</w:t>
      </w:r>
    </w:p>
    <w:sectPr>
      <w:footerReference r:id="rId5"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20B0603030804020204"/>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Ђ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Calibri Light">
    <w:panose1 w:val="020F0302020204030204"/>
    <w:charset w:val="00"/>
    <w:family w:val="auto"/>
    <w:pitch w:val="default"/>
    <w:sig w:usb0="E4002EFF" w:usb1="C000247B" w:usb2="00000009" w:usb3="00000000" w:csb0="200001FF" w:csb1="00000000"/>
  </w:font>
  <w:font w:name="Sim Sun">
    <w:altName w:val="宋体"/>
    <w:panose1 w:val="02010600030101010101"/>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3150C">
    <w:pPr>
      <w:pStyle w:val="221"/>
      <w:pBdr>
        <w:bottom w:val="single" w:color="000000" w:sz="4" w:space="0"/>
      </w:pBdr>
    </w:pPr>
  </w:p>
  <w:p w14:paraId="1653F814">
    <w:pPr>
      <w:pStyle w:val="221"/>
    </w:pPr>
    <w:r>
      <w:rPr>
        <w:rFonts w:hint="eastAsia"/>
      </w:rPr>
      <w:t>桂林市政府集中采购中心                                                                              公开招标</w:t>
    </w:r>
  </w:p>
  <w:p w14:paraId="0D4A4184">
    <w:pPr>
      <w:pStyle w:val="2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CA42D">
    <w:pPr>
      <w:pStyle w:val="221"/>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CCFBADD">
                          <w:pPr>
                            <w:pStyle w:val="221"/>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4CCFBADD">
                    <w:pPr>
                      <w:pStyle w:val="221"/>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v:textbox>
            </v:shape>
          </w:pict>
        </mc:Fallback>
      </mc:AlternateContent>
    </w:r>
  </w:p>
  <w:p w14:paraId="46889402">
    <w:pPr>
      <w:pStyle w:val="221"/>
    </w:pPr>
    <w:r>
      <w:rPr>
        <w:rFonts w:hint="eastAsia"/>
      </w:rPr>
      <w:t>桂林市政府集中采购中心                                                                              公开招标</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06BD3">
    <w:pPr>
      <w:pStyle w:val="224"/>
      <w:jc w:val="left"/>
      <w:rPr>
        <w:rFonts w:hint="eastAsia" w:eastAsia="宋体"/>
        <w:lang w:val="en-US" w:eastAsia="zh-CN"/>
      </w:rPr>
    </w:pPr>
    <w:r>
      <w:rPr>
        <w:rFonts w:hint="eastAsia" w:ascii="宋体" w:hAnsi="宋体" w:cs="宋体"/>
        <w:color w:val="000000"/>
        <w:highlight w:val="none"/>
        <w:lang w:val="en-US" w:eastAsia="zh-CN"/>
      </w:rPr>
      <w:t xml:space="preserve">中国共产党桂林市委员会党校物业服务采购                                              </w:t>
    </w:r>
    <w:r>
      <w:rPr>
        <w:rFonts w:hint="eastAsia" w:ascii="宋体" w:hAnsi="宋体" w:cs="宋体"/>
        <w:color w:val="000000"/>
        <w:highlight w:val="none"/>
        <w:lang w:eastAsia="zh-CN"/>
      </w:rPr>
      <w:t>GLZC2026-G3-990258-GLSZ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BF1CE294"/>
    <w:multiLevelType w:val="multilevel"/>
    <w:tmpl w:val="BF1CE294"/>
    <w:lvl w:ilvl="0" w:tentative="0">
      <w:start w:val="8"/>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28AE80E3"/>
    <w:multiLevelType w:val="singleLevel"/>
    <w:tmpl w:val="28AE80E3"/>
    <w:lvl w:ilvl="0" w:tentative="0">
      <w:start w:val="6"/>
      <w:numFmt w:val="decimal"/>
      <w:suff w:val="nothing"/>
      <w:lvlText w:val="%1、"/>
      <w:lvlJc w:val="left"/>
    </w:lvl>
  </w:abstractNum>
  <w:abstractNum w:abstractNumId="4">
    <w:nsid w:val="2E3DCA9D"/>
    <w:multiLevelType w:val="multilevel"/>
    <w:tmpl w:val="2E3DCA9D"/>
    <w:lvl w:ilvl="0" w:tentative="0">
      <w:start w:val="1"/>
      <w:numFmt w:val="chineseCounting"/>
      <w:suff w:val="space"/>
      <w:lvlText w:val="第%1条"/>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491EBDFD"/>
    <w:multiLevelType w:val="multilevel"/>
    <w:tmpl w:val="491EBDFD"/>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50E7145D"/>
    <w:multiLevelType w:val="singleLevel"/>
    <w:tmpl w:val="50E7145D"/>
    <w:lvl w:ilvl="0" w:tentative="0">
      <w:start w:val="1"/>
      <w:numFmt w:val="decimal"/>
      <w:lvlText w:val="%1."/>
      <w:lvlJc w:val="left"/>
      <w:pPr>
        <w:tabs>
          <w:tab w:val="left" w:pos="312"/>
        </w:tabs>
      </w:pPr>
    </w:lvl>
  </w:abstractNum>
  <w:abstractNum w:abstractNumId="7">
    <w:nsid w:val="666820C5"/>
    <w:multiLevelType w:val="singleLevel"/>
    <w:tmpl w:val="666820C5"/>
    <w:lvl w:ilvl="0" w:tentative="0">
      <w:start w:val="1"/>
      <w:numFmt w:val="decimal"/>
      <w:suff w:val="nothing"/>
      <w:lvlText w:val="%1."/>
      <w:lvlJc w:val="left"/>
    </w:lvl>
  </w:abstractNum>
  <w:abstractNum w:abstractNumId="8">
    <w:nsid w:val="666821AE"/>
    <w:multiLevelType w:val="singleLevel"/>
    <w:tmpl w:val="666821AE"/>
    <w:lvl w:ilvl="0" w:tentative="0">
      <w:start w:val="1"/>
      <w:numFmt w:val="decimal"/>
      <w:suff w:val="nothing"/>
      <w:lvlText w:val="（%1）"/>
      <w:lvlJc w:val="left"/>
    </w:lvl>
  </w:abstractNum>
  <w:abstractNum w:abstractNumId="9">
    <w:nsid w:val="66682272"/>
    <w:multiLevelType w:val="singleLevel"/>
    <w:tmpl w:val="66682272"/>
    <w:lvl w:ilvl="0" w:tentative="0">
      <w:start w:val="2"/>
      <w:numFmt w:val="decimal"/>
      <w:suff w:val="nothing"/>
      <w:lvlText w:val="%1."/>
      <w:lvlJc w:val="left"/>
    </w:lvl>
  </w:abstractNum>
  <w:abstractNum w:abstractNumId="10">
    <w:nsid w:val="66682293"/>
    <w:multiLevelType w:val="singleLevel"/>
    <w:tmpl w:val="66682293"/>
    <w:lvl w:ilvl="0" w:tentative="0">
      <w:start w:val="1"/>
      <w:numFmt w:val="decimal"/>
      <w:suff w:val="nothing"/>
      <w:lvlText w:val="（%1）"/>
      <w:lvlJc w:val="left"/>
    </w:lvl>
  </w:abstractNum>
  <w:abstractNum w:abstractNumId="11">
    <w:nsid w:val="666849E0"/>
    <w:multiLevelType w:val="singleLevel"/>
    <w:tmpl w:val="666849E0"/>
    <w:lvl w:ilvl="0" w:tentative="0">
      <w:start w:val="3"/>
      <w:numFmt w:val="decimal"/>
      <w:suff w:val="nothing"/>
      <w:lvlText w:val="%1."/>
      <w:lvlJc w:val="left"/>
    </w:lvl>
  </w:abstractNum>
  <w:num w:numId="1">
    <w:abstractNumId w:val="2"/>
  </w:num>
  <w:num w:numId="2">
    <w:abstractNumId w:val="5"/>
  </w:num>
  <w:num w:numId="3">
    <w:abstractNumId w:val="0"/>
  </w:num>
  <w:num w:numId="4">
    <w:abstractNumId w:val="7"/>
  </w:num>
  <w:num w:numId="5">
    <w:abstractNumId w:val="8"/>
  </w:num>
  <w:num w:numId="6">
    <w:abstractNumId w:val="9"/>
  </w:num>
  <w:num w:numId="7">
    <w:abstractNumId w:val="10"/>
  </w:num>
  <w:num w:numId="8">
    <w:abstractNumId w:val="11"/>
  </w:num>
  <w:num w:numId="9">
    <w:abstractNumId w:val="3"/>
  </w:num>
  <w:num w:numId="10">
    <w:abstractNumId w:val="6"/>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36DA8"/>
    <w:rsid w:val="0227311A"/>
    <w:rsid w:val="025B66D1"/>
    <w:rsid w:val="0303175D"/>
    <w:rsid w:val="07EE39B4"/>
    <w:rsid w:val="08DC4C5E"/>
    <w:rsid w:val="0A1862D1"/>
    <w:rsid w:val="0B913957"/>
    <w:rsid w:val="0F16254C"/>
    <w:rsid w:val="0FB9764D"/>
    <w:rsid w:val="107B2FAF"/>
    <w:rsid w:val="11365128"/>
    <w:rsid w:val="17966920"/>
    <w:rsid w:val="18C30465"/>
    <w:rsid w:val="1A9756FD"/>
    <w:rsid w:val="1DF34C1F"/>
    <w:rsid w:val="21E97774"/>
    <w:rsid w:val="239B27E8"/>
    <w:rsid w:val="24D44050"/>
    <w:rsid w:val="25BD1D60"/>
    <w:rsid w:val="2DA74F8B"/>
    <w:rsid w:val="397D4DF2"/>
    <w:rsid w:val="3CED5F04"/>
    <w:rsid w:val="43542D92"/>
    <w:rsid w:val="46650571"/>
    <w:rsid w:val="46DF11F7"/>
    <w:rsid w:val="486D6E2D"/>
    <w:rsid w:val="48A405ED"/>
    <w:rsid w:val="48D065DE"/>
    <w:rsid w:val="4A6342E0"/>
    <w:rsid w:val="4AFB201B"/>
    <w:rsid w:val="50002A12"/>
    <w:rsid w:val="57B27F05"/>
    <w:rsid w:val="580E64F3"/>
    <w:rsid w:val="59692714"/>
    <w:rsid w:val="5A517EA9"/>
    <w:rsid w:val="5B9F3E16"/>
    <w:rsid w:val="61333E65"/>
    <w:rsid w:val="64805613"/>
    <w:rsid w:val="65EE2A50"/>
    <w:rsid w:val="6899347C"/>
    <w:rsid w:val="69FC398E"/>
    <w:rsid w:val="6AB029CA"/>
    <w:rsid w:val="6E7177E1"/>
    <w:rsid w:val="7255538E"/>
    <w:rsid w:val="740C7A72"/>
    <w:rsid w:val="77471FC0"/>
    <w:rsid w:val="7D8D029E"/>
    <w:rsid w:val="7DE71E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4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345"/>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link w:val="167"/>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link w:val="168"/>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link w:val="169"/>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link w:val="170"/>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Normal Indent"/>
    <w:basedOn w:val="1"/>
    <w:qFormat/>
    <w:uiPriority w:val="0"/>
    <w:pPr>
      <w:ind w:firstLine="420"/>
    </w:pPr>
    <w:rPr>
      <w:szCs w:val="20"/>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unhideWhenUsed/>
    <w:qFormat/>
    <w:uiPriority w:val="99"/>
    <w:pPr>
      <w:jc w:val="left"/>
    </w:pPr>
  </w:style>
  <w:style w:type="paragraph" w:styleId="15">
    <w:name w:val="Body Text"/>
    <w:basedOn w:val="1"/>
    <w:qFormat/>
    <w:uiPriority w:val="0"/>
    <w:pPr>
      <w:spacing w:line="380" w:lineRule="exact"/>
    </w:pPr>
    <w:rPr>
      <w:sz w:val="24"/>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Plain Text"/>
    <w:basedOn w:val="1"/>
    <w:next w:val="1"/>
    <w:qFormat/>
    <w:uiPriority w:val="0"/>
    <w:rPr>
      <w:rFonts w:ascii="宋体" w:hAnsi="Courier New"/>
      <w:szCs w:val="20"/>
    </w:rPr>
  </w:style>
  <w:style w:type="paragraph" w:styleId="19">
    <w:name w:val="toc 8"/>
    <w:basedOn w:val="1"/>
    <w:next w:val="1"/>
    <w:unhideWhenUsed/>
    <w:qFormat/>
    <w:uiPriority w:val="39"/>
    <w:pPr>
      <w:spacing w:after="100"/>
      <w:ind w:left="1540"/>
    </w:pPr>
  </w:style>
  <w:style w:type="paragraph" w:styleId="20">
    <w:name w:val="endnote text"/>
    <w:basedOn w:val="1"/>
    <w:link w:val="190"/>
    <w:semiHidden/>
    <w:unhideWhenUsed/>
    <w:qFormat/>
    <w:uiPriority w:val="99"/>
    <w:pPr>
      <w:spacing w:after="0" w:line="240" w:lineRule="auto"/>
    </w:pPr>
    <w:rPr>
      <w:sz w:val="20"/>
      <w:szCs w:val="20"/>
    </w:rPr>
  </w:style>
  <w:style w:type="paragraph" w:styleId="21">
    <w:name w:val="footer"/>
    <w:basedOn w:val="1"/>
    <w:link w:val="188"/>
    <w:unhideWhenUsed/>
    <w:qFormat/>
    <w:uiPriority w:val="99"/>
    <w:pPr>
      <w:tabs>
        <w:tab w:val="center" w:pos="4844"/>
        <w:tab w:val="right" w:pos="9689"/>
      </w:tabs>
      <w:spacing w:after="0" w:line="240" w:lineRule="auto"/>
    </w:pPr>
  </w:style>
  <w:style w:type="paragraph" w:styleId="22">
    <w:name w:val="header"/>
    <w:basedOn w:val="1"/>
    <w:link w:val="187"/>
    <w:unhideWhenUsed/>
    <w:qFormat/>
    <w:uiPriority w:val="99"/>
    <w:pPr>
      <w:tabs>
        <w:tab w:val="center" w:pos="4844"/>
        <w:tab w:val="right" w:pos="9689"/>
      </w:tabs>
      <w:spacing w:after="0" w:line="240" w:lineRule="auto"/>
    </w:pPr>
  </w:style>
  <w:style w:type="paragraph" w:styleId="23">
    <w:name w:val="toc 1"/>
    <w:basedOn w:val="1"/>
    <w:next w:val="1"/>
    <w:unhideWhenUsed/>
    <w:qFormat/>
    <w:uiPriority w:val="39"/>
    <w:pPr>
      <w:spacing w:after="100"/>
    </w:pPr>
  </w:style>
  <w:style w:type="paragraph" w:styleId="24">
    <w:name w:val="toc 4"/>
    <w:basedOn w:val="1"/>
    <w:next w:val="1"/>
    <w:unhideWhenUsed/>
    <w:qFormat/>
    <w:uiPriority w:val="39"/>
    <w:pPr>
      <w:spacing w:after="100"/>
      <w:ind w:left="660"/>
    </w:pPr>
  </w:style>
  <w:style w:type="paragraph" w:styleId="25">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6">
    <w:name w:val="footnote text"/>
    <w:basedOn w:val="1"/>
    <w:link w:val="189"/>
    <w:semiHidden/>
    <w:unhideWhenUsed/>
    <w:qFormat/>
    <w:uiPriority w:val="99"/>
    <w:pPr>
      <w:spacing w:after="0" w:line="240" w:lineRule="auto"/>
    </w:pPr>
    <w:rPr>
      <w:sz w:val="20"/>
      <w:szCs w:val="20"/>
    </w:r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pPr>
      <w:spacing w:after="0" w:afterAutospacing="0"/>
    </w:pPr>
  </w:style>
  <w:style w:type="paragraph" w:styleId="29">
    <w:name w:val="toc 2"/>
    <w:basedOn w:val="1"/>
    <w:next w:val="1"/>
    <w:unhideWhenUsed/>
    <w:qFormat/>
    <w:uiPriority w:val="39"/>
    <w:pPr>
      <w:spacing w:after="100"/>
      <w:ind w:left="220"/>
    </w:pPr>
  </w:style>
  <w:style w:type="paragraph" w:styleId="30">
    <w:name w:val="toc 9"/>
    <w:basedOn w:val="1"/>
    <w:next w:val="1"/>
    <w:unhideWhenUsed/>
    <w:qFormat/>
    <w:uiPriority w:val="39"/>
    <w:pPr>
      <w:spacing w:after="100"/>
      <w:ind w:left="1760"/>
    </w:pPr>
  </w:style>
  <w:style w:type="paragraph" w:styleId="31">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3">
    <w:name w:val="Table Grid"/>
    <w:basedOn w:val="3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5">
    <w:name w:val="Strong"/>
    <w:basedOn w:val="34"/>
    <w:qFormat/>
    <w:uiPriority w:val="22"/>
    <w:rPr>
      <w:b/>
      <w:bCs/>
    </w:rPr>
  </w:style>
  <w:style w:type="character" w:styleId="36">
    <w:name w:val="endnote reference"/>
    <w:basedOn w:val="34"/>
    <w:semiHidden/>
    <w:unhideWhenUsed/>
    <w:qFormat/>
    <w:uiPriority w:val="99"/>
    <w:rPr>
      <w:vertAlign w:val="superscript"/>
    </w:rPr>
  </w:style>
  <w:style w:type="character" w:styleId="37">
    <w:name w:val="FollowedHyperlink"/>
    <w:basedOn w:val="34"/>
    <w:semiHidden/>
    <w:unhideWhenUsed/>
    <w:qFormat/>
    <w:uiPriority w:val="99"/>
    <w:rPr>
      <w:color w:val="800080" w:themeColor="followedHyperlink"/>
      <w:u w:val="single"/>
      <w14:textFill>
        <w14:solidFill>
          <w14:schemeClr w14:val="folHlink"/>
        </w14:solidFill>
      </w14:textFill>
    </w:rPr>
  </w:style>
  <w:style w:type="character" w:styleId="38">
    <w:name w:val="Emphasis"/>
    <w:basedOn w:val="34"/>
    <w:qFormat/>
    <w:uiPriority w:val="20"/>
    <w:rPr>
      <w:i/>
      <w:iCs/>
    </w:rPr>
  </w:style>
  <w:style w:type="character" w:styleId="39">
    <w:name w:val="Hyperlink"/>
    <w:basedOn w:val="34"/>
    <w:unhideWhenUsed/>
    <w:qFormat/>
    <w:uiPriority w:val="99"/>
    <w:rPr>
      <w:color w:val="0000FF" w:themeColor="hyperlink"/>
      <w:u w:val="single"/>
      <w14:textFill>
        <w14:solidFill>
          <w14:schemeClr w14:val="hlink"/>
        </w14:solidFill>
      </w14:textFill>
    </w:rPr>
  </w:style>
  <w:style w:type="character" w:styleId="40">
    <w:name w:val="footnote reference"/>
    <w:basedOn w:val="34"/>
    <w:semiHidden/>
    <w:unhideWhenUsed/>
    <w:qFormat/>
    <w:uiPriority w:val="99"/>
    <w:rPr>
      <w:vertAlign w:val="superscript"/>
    </w:rPr>
  </w:style>
  <w:style w:type="table" w:customStyle="1" w:styleId="41">
    <w:name w:val="Table Grid Light"/>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2"/>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2"/>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2"/>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4"/>
    <w:link w:val="3"/>
    <w:qFormat/>
    <w:uiPriority w:val="9"/>
    <w:rPr>
      <w:rFonts w:ascii="Arial" w:hAnsi="Arial" w:eastAsia="Arial" w:cs="Arial"/>
      <w:color w:val="376092" w:themeColor="accent1" w:themeShade="BF"/>
      <w:sz w:val="40"/>
      <w:szCs w:val="40"/>
    </w:rPr>
  </w:style>
  <w:style w:type="character" w:customStyle="1" w:styleId="167">
    <w:name w:val="Heading 2 Char"/>
    <w:basedOn w:val="34"/>
    <w:link w:val="4"/>
    <w:qFormat/>
    <w:uiPriority w:val="9"/>
    <w:rPr>
      <w:rFonts w:ascii="Arial" w:hAnsi="Arial" w:eastAsia="Arial" w:cs="Arial"/>
      <w:color w:val="376092" w:themeColor="accent1" w:themeShade="BF"/>
      <w:sz w:val="32"/>
      <w:szCs w:val="32"/>
    </w:rPr>
  </w:style>
  <w:style w:type="character" w:customStyle="1" w:styleId="168">
    <w:name w:val="Heading 3 Char"/>
    <w:basedOn w:val="34"/>
    <w:link w:val="5"/>
    <w:qFormat/>
    <w:uiPriority w:val="9"/>
    <w:rPr>
      <w:rFonts w:ascii="Arial" w:hAnsi="Arial" w:eastAsia="Arial" w:cs="Arial"/>
      <w:color w:val="376092" w:themeColor="accent1" w:themeShade="BF"/>
      <w:sz w:val="28"/>
      <w:szCs w:val="28"/>
    </w:rPr>
  </w:style>
  <w:style w:type="character" w:customStyle="1" w:styleId="169">
    <w:name w:val="Heading 4 Char"/>
    <w:basedOn w:val="34"/>
    <w:link w:val="6"/>
    <w:qFormat/>
    <w:uiPriority w:val="9"/>
    <w:rPr>
      <w:rFonts w:ascii="Arial" w:hAnsi="Arial" w:eastAsia="Arial" w:cs="Arial"/>
      <w:i/>
      <w:iCs/>
      <w:color w:val="376092" w:themeColor="accent1" w:themeShade="BF"/>
    </w:rPr>
  </w:style>
  <w:style w:type="character" w:customStyle="1" w:styleId="170">
    <w:name w:val="Heading 5 Char"/>
    <w:basedOn w:val="34"/>
    <w:link w:val="7"/>
    <w:qFormat/>
    <w:uiPriority w:val="9"/>
    <w:rPr>
      <w:rFonts w:ascii="Arial" w:hAnsi="Arial" w:eastAsia="Arial" w:cs="Arial"/>
      <w:color w:val="376092" w:themeColor="accent1" w:themeShade="BF"/>
    </w:rPr>
  </w:style>
  <w:style w:type="character" w:customStyle="1" w:styleId="171">
    <w:name w:val="Heading 6 Char"/>
    <w:basedOn w:val="34"/>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4"/>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4"/>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4"/>
    <w:link w:val="31"/>
    <w:qFormat/>
    <w:uiPriority w:val="10"/>
    <w:rPr>
      <w:rFonts w:ascii="Arial" w:hAnsi="Arial" w:eastAsia="Arial" w:cs="Arial"/>
      <w:spacing w:val="-10"/>
      <w:sz w:val="56"/>
      <w:szCs w:val="56"/>
    </w:rPr>
  </w:style>
  <w:style w:type="character" w:customStyle="1" w:styleId="176">
    <w:name w:val="Subtitle Char"/>
    <w:basedOn w:val="34"/>
    <w:link w:val="2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4"/>
    <w:link w:val="177"/>
    <w:qFormat/>
    <w:uiPriority w:val="29"/>
    <w:rPr>
      <w:i/>
      <w:iCs/>
      <w:color w:val="404040" w:themeColor="text1" w:themeTint="BF"/>
      <w14:textFill>
        <w14:solidFill>
          <w14:schemeClr w14:val="tx1">
            <w14:lumMod w14:val="75000"/>
            <w14:lumOff w14:val="25000"/>
          </w14:schemeClr>
        </w14:solidFill>
      </w14:textFill>
    </w:rPr>
  </w:style>
  <w:style w:type="character" w:customStyle="1" w:styleId="179">
    <w:name w:val="Intense Emphasis"/>
    <w:basedOn w:val="34"/>
    <w:qFormat/>
    <w:uiPriority w:val="21"/>
    <w:rPr>
      <w:i/>
      <w:iCs/>
      <w:color w:val="376092" w:themeColor="accent1" w:themeShade="BF"/>
    </w:rPr>
  </w:style>
  <w:style w:type="paragraph" w:styleId="180">
    <w:name w:val="Intense Quote"/>
    <w:basedOn w:val="1"/>
    <w:next w:val="1"/>
    <w:link w:val="18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1">
    <w:name w:val="Intense Quote Char"/>
    <w:basedOn w:val="34"/>
    <w:link w:val="180"/>
    <w:qFormat/>
    <w:uiPriority w:val="30"/>
    <w:rPr>
      <w:i/>
      <w:iCs/>
      <w:color w:val="376092" w:themeColor="accent1" w:themeShade="BF"/>
    </w:rPr>
  </w:style>
  <w:style w:type="character" w:customStyle="1" w:styleId="182">
    <w:name w:val="Intense Reference"/>
    <w:basedOn w:val="34"/>
    <w:qFormat/>
    <w:uiPriority w:val="32"/>
    <w:rPr>
      <w:b/>
      <w:bCs/>
      <w:smallCaps/>
      <w:color w:val="376092" w:themeColor="accent1" w:themeShade="BF"/>
      <w:spacing w:val="5"/>
    </w:rPr>
  </w:style>
  <w:style w:type="paragraph" w:styleId="183">
    <w:name w:val="No Spacing"/>
    <w:basedOn w:val="1"/>
    <w:qFormat/>
    <w:uiPriority w:val="1"/>
    <w:pPr>
      <w:spacing w:after="0" w:line="240" w:lineRule="auto"/>
    </w:pPr>
  </w:style>
  <w:style w:type="character" w:customStyle="1" w:styleId="184">
    <w:name w:val="Subtle Emphasis"/>
    <w:basedOn w:val="34"/>
    <w:qFormat/>
    <w:uiPriority w:val="19"/>
    <w:rPr>
      <w:i/>
      <w:iCs/>
      <w:color w:val="404040" w:themeColor="text1" w:themeTint="BF"/>
      <w14:textFill>
        <w14:solidFill>
          <w14:schemeClr w14:val="tx1">
            <w14:lumMod w14:val="75000"/>
            <w14:lumOff w14:val="25000"/>
          </w14:schemeClr>
        </w14:solidFill>
      </w14:textFill>
    </w:rPr>
  </w:style>
  <w:style w:type="character" w:customStyle="1" w:styleId="185">
    <w:name w:val="Subtle Reference"/>
    <w:basedOn w:val="3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6">
    <w:name w:val="Book Title"/>
    <w:basedOn w:val="34"/>
    <w:qFormat/>
    <w:uiPriority w:val="33"/>
    <w:rPr>
      <w:b/>
      <w:bCs/>
      <w:i/>
      <w:iCs/>
      <w:spacing w:val="5"/>
    </w:rPr>
  </w:style>
  <w:style w:type="character" w:customStyle="1" w:styleId="187">
    <w:name w:val="Header Char"/>
    <w:basedOn w:val="34"/>
    <w:link w:val="22"/>
    <w:qFormat/>
    <w:uiPriority w:val="99"/>
  </w:style>
  <w:style w:type="character" w:customStyle="1" w:styleId="188">
    <w:name w:val="Footer Char"/>
    <w:basedOn w:val="34"/>
    <w:link w:val="21"/>
    <w:qFormat/>
    <w:uiPriority w:val="99"/>
  </w:style>
  <w:style w:type="character" w:customStyle="1" w:styleId="189">
    <w:name w:val="Footnote Text Char"/>
    <w:basedOn w:val="34"/>
    <w:link w:val="26"/>
    <w:semiHidden/>
    <w:qFormat/>
    <w:uiPriority w:val="99"/>
    <w:rPr>
      <w:sz w:val="20"/>
      <w:szCs w:val="20"/>
    </w:rPr>
  </w:style>
  <w:style w:type="character" w:customStyle="1" w:styleId="190">
    <w:name w:val="Endnote Text Char"/>
    <w:basedOn w:val="34"/>
    <w:link w:val="20"/>
    <w:semiHidden/>
    <w:qFormat/>
    <w:uiPriority w:val="99"/>
    <w:rPr>
      <w:sz w:val="20"/>
      <w:szCs w:val="20"/>
    </w:rPr>
  </w:style>
  <w:style w:type="character" w:styleId="191">
    <w:name w:val="Placeholder Text"/>
    <w:basedOn w:val="34"/>
    <w:semiHidden/>
    <w:qFormat/>
    <w:uiPriority w:val="99"/>
    <w:rPr>
      <w:color w:val="666666"/>
    </w:rPr>
  </w:style>
  <w:style w:type="paragraph" w:customStyle="1" w:styleId="192">
    <w:name w:val="TOC Heading"/>
    <w:unhideWhenUsed/>
    <w:qFormat/>
    <w:uiPriority w:val="39"/>
    <w:rPr>
      <w:rFonts w:hint="default" w:ascii="Times New Roman" w:hAnsi="Times New Roman" w:eastAsia="宋体" w:cs="Times New Roman"/>
    </w:rPr>
  </w:style>
  <w:style w:type="paragraph" w:customStyle="1" w:styleId="193">
    <w:name w:val="标题 11"/>
    <w:basedOn w:val="1"/>
    <w:next w:val="1"/>
    <w:link w:val="200"/>
    <w:qFormat/>
    <w:uiPriority w:val="0"/>
    <w:pPr>
      <w:keepNext/>
      <w:keepLines/>
      <w:spacing w:before="340" w:after="330" w:line="578" w:lineRule="auto"/>
      <w:outlineLvl w:val="0"/>
    </w:pPr>
    <w:rPr>
      <w:rFonts w:ascii="Tahoma" w:hAnsi="Tahoma"/>
      <w:b/>
      <w:bCs/>
      <w:sz w:val="44"/>
      <w:szCs w:val="44"/>
    </w:rPr>
  </w:style>
  <w:style w:type="paragraph" w:customStyle="1" w:styleId="194">
    <w:name w:val="标题 21"/>
    <w:basedOn w:val="1"/>
    <w:next w:val="1"/>
    <w:link w:val="201"/>
    <w:qFormat/>
    <w:uiPriority w:val="0"/>
    <w:pPr>
      <w:keepNext/>
      <w:keepLines/>
      <w:spacing w:before="260" w:after="260" w:line="416" w:lineRule="auto"/>
      <w:outlineLvl w:val="1"/>
    </w:pPr>
    <w:rPr>
      <w:rFonts w:ascii="Cambria" w:hAnsi="Cambria"/>
      <w:b/>
      <w:bCs/>
      <w:sz w:val="32"/>
      <w:szCs w:val="32"/>
    </w:rPr>
  </w:style>
  <w:style w:type="paragraph" w:customStyle="1" w:styleId="195">
    <w:name w:val="标题 31"/>
    <w:basedOn w:val="1"/>
    <w:next w:val="1"/>
    <w:qFormat/>
    <w:uiPriority w:val="0"/>
    <w:pPr>
      <w:keepNext/>
      <w:keepLines/>
      <w:spacing w:before="260" w:after="260" w:line="416" w:lineRule="auto"/>
      <w:outlineLvl w:val="2"/>
    </w:pPr>
    <w:rPr>
      <w:b/>
      <w:bCs/>
      <w:sz w:val="32"/>
      <w:szCs w:val="32"/>
    </w:rPr>
  </w:style>
  <w:style w:type="paragraph" w:customStyle="1" w:styleId="196">
    <w:name w:val="标题 41"/>
    <w:basedOn w:val="1"/>
    <w:next w:val="1"/>
    <w:qFormat/>
    <w:uiPriority w:val="0"/>
    <w:pPr>
      <w:keepNext/>
      <w:spacing w:before="240" w:after="60"/>
      <w:outlineLvl w:val="3"/>
    </w:pPr>
    <w:rPr>
      <w:b/>
      <w:bCs/>
      <w:sz w:val="28"/>
      <w:szCs w:val="28"/>
    </w:rPr>
  </w:style>
  <w:style w:type="paragraph" w:customStyle="1" w:styleId="197">
    <w:name w:val="标题 61"/>
    <w:basedOn w:val="1"/>
    <w:next w:val="1"/>
    <w:link w:val="202"/>
    <w:qFormat/>
    <w:uiPriority w:val="0"/>
    <w:pPr>
      <w:keepNext/>
      <w:keepLines/>
      <w:spacing w:before="240" w:after="64" w:line="320" w:lineRule="auto"/>
      <w:outlineLvl w:val="5"/>
    </w:pPr>
    <w:rPr>
      <w:rFonts w:ascii="Arial" w:hAnsi="Arial" w:eastAsia="黑体"/>
      <w:b/>
      <w:bCs/>
      <w:sz w:val="24"/>
    </w:rPr>
  </w:style>
  <w:style w:type="character" w:customStyle="1" w:styleId="198">
    <w:name w:val="默认段落字体1"/>
    <w:link w:val="1"/>
    <w:unhideWhenUsed/>
    <w:qFormat/>
    <w:uiPriority w:val="1"/>
  </w:style>
  <w:style w:type="table" w:customStyle="1" w:styleId="199">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0">
    <w:name w:val="标题 1 Char"/>
    <w:link w:val="193"/>
    <w:qFormat/>
    <w:uiPriority w:val="0"/>
    <w:rPr>
      <w:rFonts w:ascii="Times New Roman" w:hAnsi="Times New Roman" w:eastAsia="宋体"/>
      <w:b/>
      <w:sz w:val="32"/>
    </w:rPr>
  </w:style>
  <w:style w:type="character" w:customStyle="1" w:styleId="201">
    <w:name w:val="标题 2 字符"/>
    <w:link w:val="194"/>
    <w:semiHidden/>
    <w:qFormat/>
    <w:uiPriority w:val="0"/>
    <w:rPr>
      <w:rFonts w:ascii="Cambria" w:hAnsi="Cambria" w:eastAsia="宋体" w:cs="Times New Roman"/>
      <w:b/>
      <w:bCs/>
      <w:sz w:val="32"/>
      <w:szCs w:val="32"/>
    </w:rPr>
  </w:style>
  <w:style w:type="character" w:customStyle="1" w:styleId="202">
    <w:name w:val="标题 6 字符"/>
    <w:link w:val="197"/>
    <w:qFormat/>
    <w:uiPriority w:val="0"/>
    <w:rPr>
      <w:rFonts w:ascii="Arial" w:hAnsi="Arial" w:eastAsia="黑体"/>
      <w:b/>
      <w:bCs/>
      <w:sz w:val="24"/>
      <w:szCs w:val="24"/>
      <w:lang w:val="en-US" w:eastAsia="zh-CN" w:bidi="ar-SA"/>
    </w:rPr>
  </w:style>
  <w:style w:type="paragraph" w:customStyle="1" w:styleId="203">
    <w:name w:val="索引 81"/>
    <w:basedOn w:val="1"/>
    <w:next w:val="1"/>
    <w:qFormat/>
    <w:uiPriority w:val="0"/>
    <w:pPr>
      <w:ind w:left="2940"/>
    </w:pPr>
  </w:style>
  <w:style w:type="paragraph" w:customStyle="1" w:styleId="204">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5">
    <w:name w:val="正文缩进1"/>
    <w:basedOn w:val="1"/>
    <w:link w:val="206"/>
    <w:qFormat/>
    <w:uiPriority w:val="0"/>
    <w:pPr>
      <w:ind w:firstLine="420"/>
    </w:pPr>
    <w:rPr>
      <w:szCs w:val="20"/>
    </w:rPr>
  </w:style>
  <w:style w:type="character" w:customStyle="1" w:styleId="206">
    <w:name w:val="正文缩进 字符"/>
    <w:link w:val="205"/>
    <w:qFormat/>
    <w:uiPriority w:val="0"/>
    <w:rPr>
      <w:rFonts w:eastAsia="宋体"/>
      <w:sz w:val="21"/>
      <w:lang w:val="en-US" w:eastAsia="zh-CN" w:bidi="ar-SA"/>
    </w:rPr>
  </w:style>
  <w:style w:type="paragraph" w:customStyle="1" w:styleId="207">
    <w:name w:val="文档结构图1"/>
    <w:basedOn w:val="1"/>
    <w:link w:val="208"/>
    <w:qFormat/>
    <w:uiPriority w:val="0"/>
    <w:rPr>
      <w:rFonts w:ascii="宋体" w:hAnsi="Tahoma"/>
      <w:sz w:val="18"/>
      <w:szCs w:val="18"/>
    </w:rPr>
  </w:style>
  <w:style w:type="character" w:customStyle="1" w:styleId="208">
    <w:name w:val="文档结构图 字符"/>
    <w:link w:val="207"/>
    <w:qFormat/>
    <w:uiPriority w:val="0"/>
    <w:rPr>
      <w:rFonts w:ascii="宋体" w:hAnsi="Tahoma"/>
      <w:sz w:val="18"/>
      <w:szCs w:val="18"/>
    </w:rPr>
  </w:style>
  <w:style w:type="paragraph" w:customStyle="1" w:styleId="209">
    <w:name w:val="批注文字1"/>
    <w:basedOn w:val="1"/>
    <w:link w:val="210"/>
    <w:semiHidden/>
    <w:qFormat/>
    <w:uiPriority w:val="0"/>
    <w:pPr>
      <w:jc w:val="left"/>
    </w:pPr>
  </w:style>
  <w:style w:type="character" w:customStyle="1" w:styleId="210">
    <w:name w:val="批注文字 字符"/>
    <w:link w:val="209"/>
    <w:qFormat/>
    <w:uiPriority w:val="0"/>
    <w:rPr>
      <w:rFonts w:eastAsia="宋体"/>
      <w:sz w:val="21"/>
      <w:szCs w:val="24"/>
      <w:lang w:val="en-US" w:eastAsia="zh-CN" w:bidi="ar-SA"/>
    </w:rPr>
  </w:style>
  <w:style w:type="paragraph" w:customStyle="1" w:styleId="211">
    <w:name w:val="正文文本 31"/>
    <w:basedOn w:val="1"/>
    <w:qFormat/>
    <w:uiPriority w:val="0"/>
    <w:pPr>
      <w:spacing w:line="240" w:lineRule="exact"/>
    </w:pPr>
    <w:rPr>
      <w:rFonts w:ascii="宋体" w:hAnsi="宋体"/>
      <w:color w:val="000000"/>
      <w:szCs w:val="21"/>
    </w:rPr>
  </w:style>
  <w:style w:type="paragraph" w:customStyle="1" w:styleId="212">
    <w:name w:val="正文文本1"/>
    <w:basedOn w:val="1"/>
    <w:qFormat/>
    <w:uiPriority w:val="0"/>
    <w:pPr>
      <w:spacing w:line="380" w:lineRule="exact"/>
    </w:pPr>
    <w:rPr>
      <w:sz w:val="24"/>
    </w:rPr>
  </w:style>
  <w:style w:type="paragraph" w:customStyle="1" w:styleId="213">
    <w:name w:val="正文文本缩进1"/>
    <w:basedOn w:val="1"/>
    <w:link w:val="214"/>
    <w:qFormat/>
    <w:uiPriority w:val="0"/>
    <w:pPr>
      <w:spacing w:after="120"/>
      <w:ind w:left="420"/>
    </w:pPr>
    <w:rPr>
      <w:rFonts w:ascii="Tahoma" w:hAnsi="Tahoma"/>
    </w:rPr>
  </w:style>
  <w:style w:type="character" w:customStyle="1" w:styleId="214">
    <w:name w:val="正文文本缩进 字符"/>
    <w:link w:val="213"/>
    <w:qFormat/>
    <w:uiPriority w:val="0"/>
    <w:rPr>
      <w:rFonts w:ascii="Tahoma" w:hAnsi="Tahoma"/>
      <w:sz w:val="21"/>
      <w:szCs w:val="24"/>
    </w:rPr>
  </w:style>
  <w:style w:type="paragraph" w:customStyle="1" w:styleId="215">
    <w:name w:val="目录 31"/>
    <w:basedOn w:val="1"/>
    <w:next w:val="1"/>
    <w:qFormat/>
    <w:uiPriority w:val="39"/>
    <w:pPr>
      <w:ind w:left="840"/>
    </w:pPr>
  </w:style>
  <w:style w:type="paragraph" w:customStyle="1" w:styleId="216">
    <w:name w:val="纯文本1"/>
    <w:basedOn w:val="1"/>
    <w:next w:val="203"/>
    <w:link w:val="217"/>
    <w:qFormat/>
    <w:uiPriority w:val="0"/>
    <w:rPr>
      <w:rFonts w:ascii="宋体" w:hAnsi="Courier New"/>
      <w:szCs w:val="20"/>
    </w:rPr>
  </w:style>
  <w:style w:type="character" w:customStyle="1" w:styleId="217">
    <w:name w:val="纯文本 字符3"/>
    <w:link w:val="216"/>
    <w:qFormat/>
    <w:uiPriority w:val="0"/>
    <w:rPr>
      <w:rFonts w:ascii="宋体" w:hAnsi="Courier New" w:eastAsia="宋体"/>
      <w:sz w:val="21"/>
      <w:szCs w:val="20"/>
      <w:lang w:val="en-US" w:eastAsia="zh-CN" w:bidi="ar-SA"/>
    </w:rPr>
  </w:style>
  <w:style w:type="paragraph" w:customStyle="1" w:styleId="218">
    <w:name w:val="日期1"/>
    <w:basedOn w:val="1"/>
    <w:next w:val="1"/>
    <w:qFormat/>
    <w:uiPriority w:val="0"/>
    <w:pPr>
      <w:ind w:left="100"/>
    </w:pPr>
  </w:style>
  <w:style w:type="paragraph" w:customStyle="1" w:styleId="219">
    <w:name w:val="正文文本缩进 21"/>
    <w:basedOn w:val="1"/>
    <w:qFormat/>
    <w:uiPriority w:val="0"/>
    <w:pPr>
      <w:ind w:firstLine="630"/>
    </w:pPr>
    <w:rPr>
      <w:sz w:val="32"/>
      <w:szCs w:val="20"/>
    </w:rPr>
  </w:style>
  <w:style w:type="paragraph" w:customStyle="1" w:styleId="220">
    <w:name w:val="批注框文本1"/>
    <w:basedOn w:val="1"/>
    <w:semiHidden/>
    <w:qFormat/>
    <w:uiPriority w:val="0"/>
    <w:rPr>
      <w:sz w:val="18"/>
      <w:szCs w:val="18"/>
    </w:rPr>
  </w:style>
  <w:style w:type="paragraph" w:customStyle="1" w:styleId="221">
    <w:name w:val="页脚1"/>
    <w:basedOn w:val="1"/>
    <w:link w:val="222"/>
    <w:qFormat/>
    <w:uiPriority w:val="99"/>
    <w:pPr>
      <w:tabs>
        <w:tab w:val="center" w:pos="4153"/>
        <w:tab w:val="right" w:pos="8306"/>
      </w:tabs>
      <w:jc w:val="left"/>
    </w:pPr>
    <w:rPr>
      <w:rFonts w:ascii="Tahoma" w:hAnsi="Tahoma"/>
      <w:sz w:val="18"/>
      <w:szCs w:val="18"/>
    </w:rPr>
  </w:style>
  <w:style w:type="character" w:customStyle="1" w:styleId="222">
    <w:name w:val="页脚 字符1"/>
    <w:link w:val="221"/>
    <w:qFormat/>
    <w:uiPriority w:val="99"/>
    <w:rPr>
      <w:rFonts w:ascii="Tahoma" w:hAnsi="Tahoma"/>
      <w:sz w:val="18"/>
      <w:szCs w:val="18"/>
    </w:rPr>
  </w:style>
  <w:style w:type="paragraph" w:customStyle="1" w:styleId="223">
    <w:name w:val="寄信人地址1"/>
    <w:basedOn w:val="1"/>
    <w:qFormat/>
    <w:uiPriority w:val="0"/>
    <w:rPr>
      <w:rFonts w:ascii="Arial" w:hAnsi="Arial"/>
    </w:rPr>
  </w:style>
  <w:style w:type="paragraph" w:customStyle="1" w:styleId="224">
    <w:name w:val="页眉1"/>
    <w:basedOn w:val="1"/>
    <w:link w:val="225"/>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5">
    <w:name w:val="页眉 字符"/>
    <w:link w:val="224"/>
    <w:qFormat/>
    <w:uiPriority w:val="99"/>
    <w:rPr>
      <w:rFonts w:ascii="Tahoma" w:hAnsi="Tahoma"/>
      <w:sz w:val="18"/>
      <w:szCs w:val="18"/>
    </w:rPr>
  </w:style>
  <w:style w:type="paragraph" w:customStyle="1" w:styleId="226">
    <w:name w:val="目录 11"/>
    <w:basedOn w:val="1"/>
    <w:next w:val="1"/>
    <w:qFormat/>
    <w:uiPriority w:val="39"/>
  </w:style>
  <w:style w:type="paragraph" w:customStyle="1" w:styleId="227">
    <w:name w:val="脚注文本1"/>
    <w:basedOn w:val="1"/>
    <w:qFormat/>
    <w:uiPriority w:val="0"/>
    <w:pPr>
      <w:jc w:val="left"/>
    </w:pPr>
    <w:rPr>
      <w:sz w:val="18"/>
    </w:rPr>
  </w:style>
  <w:style w:type="paragraph" w:customStyle="1" w:styleId="228">
    <w:name w:val="目录 21"/>
    <w:basedOn w:val="1"/>
    <w:next w:val="1"/>
    <w:qFormat/>
    <w:uiPriority w:val="39"/>
    <w:pPr>
      <w:ind w:left="420"/>
    </w:pPr>
  </w:style>
  <w:style w:type="paragraph" w:customStyle="1" w:styleId="229">
    <w:name w:val="目录 91"/>
    <w:basedOn w:val="1"/>
    <w:next w:val="1"/>
    <w:qFormat/>
    <w:uiPriority w:val="39"/>
    <w:pPr>
      <w:ind w:left="1680"/>
      <w:jc w:val="left"/>
    </w:pPr>
    <w:rPr>
      <w:sz w:val="18"/>
      <w:szCs w:val="18"/>
    </w:rPr>
  </w:style>
  <w:style w:type="paragraph" w:customStyle="1" w:styleId="230">
    <w:name w:val="正文文本 21"/>
    <w:basedOn w:val="1"/>
    <w:qFormat/>
    <w:uiPriority w:val="0"/>
    <w:pPr>
      <w:spacing w:after="120" w:afterAutospacing="0" w:line="480" w:lineRule="auto"/>
    </w:pPr>
  </w:style>
  <w:style w:type="paragraph" w:customStyle="1" w:styleId="231">
    <w:name w:val="列表 41"/>
    <w:basedOn w:val="1"/>
    <w:unhideWhenUsed/>
    <w:qFormat/>
    <w:uiPriority w:val="99"/>
    <w:pPr>
      <w:ind w:left="100" w:hanging="200"/>
      <w:contextualSpacing/>
    </w:pPr>
  </w:style>
  <w:style w:type="paragraph" w:customStyle="1" w:styleId="232">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3">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4">
    <w:name w:val="批注主题1"/>
    <w:basedOn w:val="209"/>
    <w:next w:val="209"/>
    <w:semiHidden/>
    <w:qFormat/>
    <w:uiPriority w:val="0"/>
    <w:rPr>
      <w:b/>
      <w:bCs/>
    </w:rPr>
  </w:style>
  <w:style w:type="paragraph" w:customStyle="1" w:styleId="235">
    <w:name w:val="正文首行缩进 21"/>
    <w:basedOn w:val="213"/>
    <w:unhideWhenUsed/>
    <w:qFormat/>
    <w:uiPriority w:val="0"/>
    <w:pPr>
      <w:ind w:firstLine="420"/>
    </w:pPr>
  </w:style>
  <w:style w:type="table" w:customStyle="1" w:styleId="236">
    <w:name w:val="网格型1"/>
    <w:basedOn w:val="199"/>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7">
    <w:name w:val="要点1"/>
    <w:link w:val="1"/>
    <w:qFormat/>
    <w:uiPriority w:val="0"/>
    <w:rPr>
      <w:rFonts w:ascii="Tahoma" w:hAnsi="Tahoma"/>
      <w:b/>
      <w:bCs/>
      <w:sz w:val="24"/>
      <w:szCs w:val="20"/>
    </w:rPr>
  </w:style>
  <w:style w:type="character" w:customStyle="1" w:styleId="238">
    <w:name w:val="页码1"/>
    <w:basedOn w:val="198"/>
    <w:link w:val="1"/>
    <w:qFormat/>
    <w:uiPriority w:val="0"/>
  </w:style>
  <w:style w:type="character" w:customStyle="1" w:styleId="239">
    <w:name w:val="已访问的超链接1"/>
    <w:link w:val="1"/>
    <w:unhideWhenUsed/>
    <w:qFormat/>
    <w:uiPriority w:val="99"/>
    <w:rPr>
      <w:color w:val="954F72"/>
      <w:u w:val="single"/>
    </w:rPr>
  </w:style>
  <w:style w:type="character" w:customStyle="1" w:styleId="240">
    <w:name w:val="强调1"/>
    <w:link w:val="1"/>
    <w:qFormat/>
    <w:uiPriority w:val="0"/>
  </w:style>
  <w:style w:type="character" w:customStyle="1" w:styleId="241">
    <w:name w:val="HTML 定义1"/>
    <w:link w:val="1"/>
    <w:qFormat/>
    <w:uiPriority w:val="0"/>
  </w:style>
  <w:style w:type="character" w:customStyle="1" w:styleId="242">
    <w:name w:val="HTML 打字机1"/>
    <w:link w:val="1"/>
    <w:qFormat/>
    <w:uiPriority w:val="0"/>
    <w:rPr>
      <w:rFonts w:ascii="monospace" w:hAnsi="monospace" w:eastAsia="monospace" w:cs="monospace"/>
      <w:sz w:val="20"/>
    </w:rPr>
  </w:style>
  <w:style w:type="character" w:customStyle="1" w:styleId="243">
    <w:name w:val="HTML 缩写1"/>
    <w:basedOn w:val="198"/>
    <w:link w:val="1"/>
    <w:qFormat/>
    <w:uiPriority w:val="0"/>
  </w:style>
  <w:style w:type="character" w:customStyle="1" w:styleId="244">
    <w:name w:val="HTML 变量1"/>
    <w:link w:val="1"/>
    <w:qFormat/>
    <w:uiPriority w:val="0"/>
    <w:rPr>
      <w:rFonts w:ascii="Tahoma" w:hAnsi="Tahoma"/>
      <w:sz w:val="24"/>
      <w:szCs w:val="20"/>
    </w:rPr>
  </w:style>
  <w:style w:type="character" w:customStyle="1" w:styleId="245">
    <w:name w:val="超链接1"/>
    <w:link w:val="1"/>
    <w:qFormat/>
    <w:uiPriority w:val="99"/>
    <w:rPr>
      <w:rFonts w:ascii="Tahoma" w:hAnsi="Tahoma"/>
      <w:color w:val="0000FF"/>
      <w:sz w:val="24"/>
      <w:szCs w:val="20"/>
      <w:u w:val="single"/>
    </w:rPr>
  </w:style>
  <w:style w:type="character" w:customStyle="1" w:styleId="246">
    <w:name w:val="HTML 代码1"/>
    <w:link w:val="1"/>
    <w:qFormat/>
    <w:uiPriority w:val="0"/>
    <w:rPr>
      <w:rFonts w:ascii="monospace" w:hAnsi="monospace" w:eastAsia="monospace" w:cs="monospace"/>
      <w:sz w:val="20"/>
    </w:rPr>
  </w:style>
  <w:style w:type="character" w:customStyle="1" w:styleId="247">
    <w:name w:val="批注引用1"/>
    <w:basedOn w:val="198"/>
    <w:link w:val="1"/>
    <w:semiHidden/>
    <w:qFormat/>
    <w:uiPriority w:val="0"/>
    <w:rPr>
      <w:rFonts w:ascii="Tahoma" w:hAnsi="Tahoma"/>
      <w:sz w:val="21"/>
      <w:szCs w:val="21"/>
    </w:rPr>
  </w:style>
  <w:style w:type="character" w:customStyle="1" w:styleId="248">
    <w:name w:val="HTML 引文1"/>
    <w:link w:val="1"/>
    <w:qFormat/>
    <w:uiPriority w:val="0"/>
  </w:style>
  <w:style w:type="character" w:customStyle="1" w:styleId="249">
    <w:name w:val="脚注引用1"/>
    <w:basedOn w:val="198"/>
    <w:link w:val="1"/>
    <w:qFormat/>
    <w:uiPriority w:val="0"/>
    <w:rPr>
      <w:vertAlign w:val="superscript"/>
    </w:rPr>
  </w:style>
  <w:style w:type="character" w:customStyle="1" w:styleId="250">
    <w:name w:val="HTML 键盘1"/>
    <w:link w:val="1"/>
    <w:qFormat/>
    <w:uiPriority w:val="0"/>
    <w:rPr>
      <w:rFonts w:ascii="monospace" w:hAnsi="monospace" w:eastAsia="monospace" w:cs="monospace"/>
      <w:sz w:val="20"/>
    </w:rPr>
  </w:style>
  <w:style w:type="character" w:customStyle="1" w:styleId="251">
    <w:name w:val="HTML 样本1"/>
    <w:link w:val="1"/>
    <w:qFormat/>
    <w:uiPriority w:val="0"/>
    <w:rPr>
      <w:rFonts w:ascii="monospace" w:hAnsi="monospace" w:eastAsia="monospace" w:cs="monospace"/>
    </w:rPr>
  </w:style>
  <w:style w:type="character" w:customStyle="1" w:styleId="252">
    <w:name w:val="标题 1 字符"/>
    <w:link w:val="3"/>
    <w:qFormat/>
    <w:uiPriority w:val="0"/>
    <w:rPr>
      <w:rFonts w:ascii="Tahoma" w:hAnsi="Tahoma"/>
      <w:b/>
      <w:bCs/>
      <w:sz w:val="44"/>
      <w:szCs w:val="44"/>
    </w:rPr>
  </w:style>
  <w:style w:type="paragraph" w:customStyle="1" w:styleId="253">
    <w:name w:val="首行缩进"/>
    <w:basedOn w:val="1"/>
    <w:qFormat/>
    <w:uiPriority w:val="0"/>
    <w:pPr>
      <w:ind w:firstLine="480"/>
    </w:pPr>
  </w:style>
  <w:style w:type="paragraph" w:customStyle="1" w:styleId="254">
    <w:name w:val="Default"/>
    <w:qFormat/>
    <w:uiPriority w:val="0"/>
    <w:pPr>
      <w:widowControl w:val="0"/>
    </w:pPr>
    <w:rPr>
      <w:rFonts w:hint="default" w:ascii="黑体" w:hAnsi="Times New Roman" w:eastAsia="黑体" w:cs="黑体"/>
      <w:color w:val="000000"/>
      <w:sz w:val="24"/>
      <w:szCs w:val="24"/>
      <w:lang w:val="en-US" w:eastAsia="zh-CN" w:bidi="ar-SA"/>
    </w:rPr>
  </w:style>
  <w:style w:type="character" w:customStyle="1" w:styleId="255">
    <w:name w:val="普通文字 Char Char5"/>
    <w:link w:val="1"/>
    <w:qFormat/>
    <w:uiPriority w:val="0"/>
    <w:rPr>
      <w:rFonts w:ascii="宋体" w:hAnsi="Courier New" w:eastAsia="宋体"/>
      <w:szCs w:val="21"/>
      <w:lang w:bidi="ar-SA"/>
    </w:rPr>
  </w:style>
  <w:style w:type="character" w:customStyle="1" w:styleId="256">
    <w:name w:val="displayarti"/>
    <w:link w:val="1"/>
    <w:qFormat/>
    <w:uiPriority w:val="0"/>
    <w:rPr>
      <w:color w:val="FFFFFF"/>
      <w:shd w:val="clear" w:color="auto" w:fill="A00000"/>
    </w:rPr>
  </w:style>
  <w:style w:type="character" w:customStyle="1" w:styleId="257">
    <w:name w:val="纯文本 字符1"/>
    <w:link w:val="1"/>
    <w:qFormat/>
    <w:uiPriority w:val="0"/>
    <w:rPr>
      <w:rFonts w:ascii="Ђˎ̥" w:hAnsi="Verdana" w:eastAsia="Ђˎ̥" w:cs="Verdana"/>
      <w:szCs w:val="21"/>
    </w:rPr>
  </w:style>
  <w:style w:type="character" w:customStyle="1" w:styleId="258">
    <w:name w:val="页脚 字符"/>
    <w:link w:val="1"/>
    <w:qFormat/>
    <w:uiPriority w:val="99"/>
  </w:style>
  <w:style w:type="character" w:customStyle="1" w:styleId="259">
    <w:name w:val="未处理的提及1"/>
    <w:link w:val="1"/>
    <w:unhideWhenUsed/>
    <w:qFormat/>
    <w:uiPriority w:val="99"/>
    <w:rPr>
      <w:rFonts w:ascii="Tahoma" w:hAnsi="Tahoma"/>
      <w:color w:val="808080"/>
      <w:sz w:val="24"/>
      <w:szCs w:val="20"/>
      <w:shd w:val="clear" w:color="auto" w:fill="E6E6E6"/>
    </w:rPr>
  </w:style>
  <w:style w:type="character" w:customStyle="1" w:styleId="260">
    <w:name w:val="列表段落 字符"/>
    <w:link w:val="261"/>
    <w:qFormat/>
    <w:uiPriority w:val="0"/>
    <w:rPr>
      <w:sz w:val="21"/>
      <w:szCs w:val="24"/>
    </w:rPr>
  </w:style>
  <w:style w:type="paragraph" w:customStyle="1" w:styleId="261">
    <w:name w:val="列表段落"/>
    <w:basedOn w:val="1"/>
    <w:link w:val="260"/>
    <w:qFormat/>
    <w:uiPriority w:val="0"/>
    <w:pPr>
      <w:ind w:firstLine="420"/>
    </w:pPr>
  </w:style>
  <w:style w:type="character" w:customStyle="1" w:styleId="262">
    <w:name w:val="纯文本 字符"/>
    <w:link w:val="1"/>
    <w:qFormat/>
    <w:uiPriority w:val="0"/>
    <w:rPr>
      <w:rFonts w:ascii="宋体" w:hAnsi="Courier New" w:eastAsia="宋体" w:cs="Courier New"/>
      <w:szCs w:val="21"/>
    </w:rPr>
  </w:style>
  <w:style w:type="character" w:customStyle="1" w:styleId="263">
    <w:name w:val="Char Char10"/>
    <w:link w:val="1"/>
    <w:qFormat/>
    <w:uiPriority w:val="0"/>
    <w:rPr>
      <w:rFonts w:ascii="宋体" w:hAnsi="宋体" w:eastAsia="宋体"/>
      <w:sz w:val="21"/>
      <w:szCs w:val="24"/>
      <w:lang w:val="en-US" w:eastAsia="zh-CN" w:bidi="ar-SA"/>
    </w:rPr>
  </w:style>
  <w:style w:type="character" w:customStyle="1" w:styleId="264">
    <w:name w:val="gjfg"/>
    <w:basedOn w:val="198"/>
    <w:link w:val="1"/>
    <w:qFormat/>
    <w:uiPriority w:val="0"/>
  </w:style>
  <w:style w:type="character" w:customStyle="1" w:styleId="265">
    <w:name w:val="font121"/>
    <w:link w:val="1"/>
    <w:qFormat/>
    <w:uiPriority w:val="0"/>
    <w:rPr>
      <w:rFonts w:hint="eastAsia" w:ascii="宋体" w:hAnsi="宋体" w:eastAsia="宋体" w:cs="宋体"/>
      <w:b/>
      <w:color w:val="000000"/>
      <w:sz w:val="22"/>
      <w:szCs w:val="22"/>
      <w:u w:val="none"/>
    </w:rPr>
  </w:style>
  <w:style w:type="character" w:customStyle="1" w:styleId="266">
    <w:name w:val="qxdate"/>
    <w:link w:val="1"/>
    <w:qFormat/>
    <w:uiPriority w:val="0"/>
    <w:rPr>
      <w:color w:val="333333"/>
      <w:sz w:val="18"/>
      <w:szCs w:val="18"/>
    </w:rPr>
  </w:style>
  <w:style w:type="character" w:customStyle="1" w:styleId="267">
    <w:name w:val="font31"/>
    <w:link w:val="1"/>
    <w:qFormat/>
    <w:uiPriority w:val="0"/>
    <w:rPr>
      <w:rFonts w:hint="eastAsia" w:ascii="宋体" w:hAnsi="宋体" w:eastAsia="宋体" w:cs="宋体"/>
      <w:color w:val="000000"/>
      <w:sz w:val="24"/>
      <w:szCs w:val="24"/>
      <w:u w:val="none"/>
    </w:rPr>
  </w:style>
  <w:style w:type="character" w:customStyle="1" w:styleId="268">
    <w:name w:val="Char Char1"/>
    <w:link w:val="1"/>
    <w:qFormat/>
    <w:uiPriority w:val="0"/>
    <w:rPr>
      <w:rFonts w:eastAsia="宋体"/>
      <w:sz w:val="21"/>
      <w:szCs w:val="24"/>
      <w:lang w:val="en-US" w:eastAsia="zh-CN" w:bidi="ar-SA"/>
    </w:rPr>
  </w:style>
  <w:style w:type="character" w:customStyle="1" w:styleId="269">
    <w:name w:val="font41"/>
    <w:link w:val="1"/>
    <w:qFormat/>
    <w:uiPriority w:val="0"/>
    <w:rPr>
      <w:rFonts w:hint="eastAsia" w:ascii="宋体" w:hAnsi="宋体" w:eastAsia="宋体" w:cs="宋体"/>
      <w:color w:val="000000"/>
      <w:sz w:val="22"/>
      <w:szCs w:val="22"/>
      <w:u w:val="none"/>
    </w:rPr>
  </w:style>
  <w:style w:type="character" w:customStyle="1" w:styleId="270">
    <w:name w:val="纯文本 Char"/>
    <w:link w:val="1"/>
    <w:qFormat/>
    <w:uiPriority w:val="0"/>
    <w:rPr>
      <w:rFonts w:ascii="宋体" w:hAnsi="Courier New" w:eastAsia="宋体"/>
    </w:rPr>
  </w:style>
  <w:style w:type="character" w:customStyle="1" w:styleId="271">
    <w:name w:val="标题 Char"/>
    <w:link w:val="1"/>
    <w:qFormat/>
    <w:uiPriority w:val="10"/>
    <w:rPr>
      <w:rFonts w:ascii="Calibri Light" w:hAnsi="Calibri Light" w:cs="Times New Roman"/>
      <w:b/>
      <w:bCs/>
      <w:sz w:val="32"/>
      <w:szCs w:val="32"/>
    </w:rPr>
  </w:style>
  <w:style w:type="character" w:customStyle="1" w:styleId="272">
    <w:name w:val="cfdate"/>
    <w:link w:val="1"/>
    <w:qFormat/>
    <w:uiPriority w:val="0"/>
    <w:rPr>
      <w:color w:val="333333"/>
      <w:sz w:val="18"/>
      <w:szCs w:val="18"/>
    </w:rPr>
  </w:style>
  <w:style w:type="character" w:customStyle="1" w:styleId="273">
    <w:name w:val="正文缩进 Char1"/>
    <w:link w:val="1"/>
    <w:qFormat/>
    <w:uiPriority w:val="0"/>
    <w:rPr>
      <w:rFonts w:eastAsia="宋体"/>
      <w:sz w:val="21"/>
      <w:lang w:val="en-US" w:eastAsia="zh-CN" w:bidi="ar-SA"/>
    </w:rPr>
  </w:style>
  <w:style w:type="character" w:customStyle="1" w:styleId="274">
    <w:name w:val="无"/>
    <w:link w:val="1"/>
    <w:qFormat/>
    <w:uiPriority w:val="0"/>
  </w:style>
  <w:style w:type="character" w:customStyle="1" w:styleId="275">
    <w:name w:val="font01"/>
    <w:link w:val="1"/>
    <w:qFormat/>
    <w:uiPriority w:val="0"/>
    <w:rPr>
      <w:rFonts w:hint="eastAsia" w:ascii="宋体" w:hAnsi="宋体" w:eastAsia="宋体" w:cs="宋体"/>
      <w:color w:val="000000"/>
      <w:sz w:val="22"/>
      <w:szCs w:val="22"/>
      <w:u w:val="none"/>
    </w:rPr>
  </w:style>
  <w:style w:type="character" w:customStyle="1" w:styleId="276">
    <w:name w:val="main12"/>
    <w:link w:val="1"/>
    <w:qFormat/>
    <w:uiPriority w:val="0"/>
    <w:rPr>
      <w:rFonts w:ascii="Arial" w:hAnsi="Arial" w:cs="Arial"/>
      <w:color w:val="000000"/>
      <w:sz w:val="18"/>
      <w:szCs w:val="18"/>
    </w:rPr>
  </w:style>
  <w:style w:type="character" w:customStyle="1" w:styleId="277">
    <w:name w:val="font61"/>
    <w:link w:val="1"/>
    <w:qFormat/>
    <w:uiPriority w:val="0"/>
    <w:rPr>
      <w:rFonts w:hint="eastAsia" w:ascii="宋体" w:hAnsi="宋体" w:eastAsia="宋体" w:cs="宋体"/>
      <w:color w:val="000000"/>
      <w:sz w:val="21"/>
      <w:szCs w:val="21"/>
      <w:u w:val="none"/>
    </w:rPr>
  </w:style>
  <w:style w:type="character" w:customStyle="1" w:styleId="278">
    <w:name w:val="redfilenumber"/>
    <w:link w:val="1"/>
    <w:qFormat/>
    <w:uiPriority w:val="0"/>
    <w:rPr>
      <w:color w:val="BA2636"/>
      <w:sz w:val="18"/>
      <w:szCs w:val="18"/>
    </w:rPr>
  </w:style>
  <w:style w:type="character" w:customStyle="1" w:styleId="279">
    <w:name w:val="纯文本 字符2"/>
    <w:link w:val="1"/>
    <w:qFormat/>
    <w:uiPriority w:val="0"/>
    <w:rPr>
      <w:rFonts w:ascii="宋体" w:hAnsi="Courier New" w:eastAsia="宋体"/>
      <w:sz w:val="21"/>
      <w:lang w:val="en-US" w:eastAsia="zh-CN" w:bidi="ar-SA"/>
    </w:rPr>
  </w:style>
  <w:style w:type="character" w:customStyle="1" w:styleId="280">
    <w:name w:val="font71"/>
    <w:link w:val="1"/>
    <w:qFormat/>
    <w:uiPriority w:val="0"/>
    <w:rPr>
      <w:rFonts w:ascii="Times New Roman" w:hAnsi="Times New Roman" w:cs="Times New Roman"/>
      <w:color w:val="000000"/>
      <w:sz w:val="24"/>
      <w:szCs w:val="24"/>
      <w:u w:val="none"/>
    </w:rPr>
  </w:style>
  <w:style w:type="character" w:customStyle="1" w:styleId="281">
    <w:name w:val="font21"/>
    <w:basedOn w:val="34"/>
    <w:link w:val="1"/>
    <w:qFormat/>
    <w:uiPriority w:val="0"/>
    <w:rPr>
      <w:rFonts w:hint="eastAsia" w:ascii="宋体" w:hAnsi="宋体" w:eastAsia="宋体" w:cs="宋体"/>
      <w:color w:val="000000"/>
      <w:sz w:val="22"/>
      <w:szCs w:val="22"/>
      <w:u w:val="none"/>
    </w:rPr>
  </w:style>
  <w:style w:type="character" w:customStyle="1" w:styleId="282">
    <w:name w:val="font122"/>
    <w:link w:val="1"/>
    <w:qFormat/>
    <w:uiPriority w:val="0"/>
    <w:rPr>
      <w:rFonts w:hint="eastAsia" w:ascii="宋体" w:hAnsi="宋体" w:eastAsia="宋体" w:cs="宋体"/>
      <w:color w:val="FF0000"/>
      <w:sz w:val="20"/>
      <w:szCs w:val="20"/>
      <w:u w:val="none"/>
    </w:rPr>
  </w:style>
  <w:style w:type="character" w:customStyle="1" w:styleId="283">
    <w:name w:val="正文文本缩进 Char"/>
    <w:link w:val="1"/>
    <w:qFormat/>
    <w:uiPriority w:val="0"/>
    <w:rPr>
      <w:rFonts w:ascii="Times New Roman" w:hAnsi="Times New Roman" w:eastAsia="宋体" w:cs="Times New Roman"/>
      <w:sz w:val="21"/>
      <w:szCs w:val="24"/>
    </w:rPr>
  </w:style>
  <w:style w:type="character" w:customStyle="1" w:styleId="284">
    <w:name w:val="列出段落 Char"/>
    <w:link w:val="1"/>
    <w:qFormat/>
    <w:uiPriority w:val="34"/>
    <w:rPr>
      <w:rFonts w:ascii="Times New Roman" w:hAnsi="Times New Roman" w:eastAsia="宋体" w:cs="Times New Roman"/>
      <w:sz w:val="24"/>
      <w:szCs w:val="20"/>
    </w:rPr>
  </w:style>
  <w:style w:type="character" w:customStyle="1" w:styleId="285">
    <w:name w:val="redfilefwwh"/>
    <w:link w:val="1"/>
    <w:qFormat/>
    <w:uiPriority w:val="0"/>
    <w:rPr>
      <w:color w:val="BA2636"/>
      <w:sz w:val="18"/>
      <w:szCs w:val="18"/>
    </w:rPr>
  </w:style>
  <w:style w:type="character" w:customStyle="1" w:styleId="286">
    <w:name w:val="font131"/>
    <w:link w:val="1"/>
    <w:qFormat/>
    <w:uiPriority w:val="0"/>
    <w:rPr>
      <w:rFonts w:hint="eastAsia" w:ascii="宋体" w:hAnsi="宋体" w:eastAsia="宋体" w:cs="宋体"/>
      <w:b/>
      <w:bCs/>
      <w:color w:val="FF0000"/>
      <w:sz w:val="18"/>
      <w:szCs w:val="18"/>
      <w:u w:val="none"/>
    </w:rPr>
  </w:style>
  <w:style w:type="character" w:customStyle="1" w:styleId="287">
    <w:name w:val="fontstyle01"/>
    <w:link w:val="1"/>
    <w:qFormat/>
    <w:uiPriority w:val="0"/>
    <w:rPr>
      <w:rFonts w:hint="eastAsia" w:ascii="宋体" w:hAnsi="宋体" w:eastAsia="宋体"/>
      <w:color w:val="000000"/>
      <w:sz w:val="22"/>
      <w:szCs w:val="22"/>
    </w:rPr>
  </w:style>
  <w:style w:type="character" w:customStyle="1" w:styleId="288">
    <w:name w:val="apple-converted-space"/>
    <w:basedOn w:val="198"/>
    <w:link w:val="1"/>
    <w:qFormat/>
    <w:uiPriority w:val="0"/>
  </w:style>
  <w:style w:type="paragraph" w:customStyle="1" w:styleId="289">
    <w:name w:val="1"/>
    <w:basedOn w:val="1"/>
    <w:next w:val="216"/>
    <w:qFormat/>
    <w:uiPriority w:val="0"/>
    <w:rPr>
      <w:rFonts w:ascii="宋体" w:hAnsi="Courier New"/>
      <w:szCs w:val="20"/>
    </w:rPr>
  </w:style>
  <w:style w:type="paragraph" w:customStyle="1" w:styleId="290">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291">
    <w:name w:val="Body text|1"/>
    <w:basedOn w:val="1"/>
    <w:qFormat/>
    <w:uiPriority w:val="0"/>
    <w:pPr>
      <w:spacing w:line="350" w:lineRule="auto"/>
      <w:ind w:firstLine="400"/>
      <w:jc w:val="left"/>
    </w:pPr>
    <w:rPr>
      <w:rFonts w:ascii="宋体" w:hAnsi="宋体" w:cs="宋体"/>
      <w:sz w:val="30"/>
      <w:szCs w:val="30"/>
    </w:rPr>
  </w:style>
  <w:style w:type="paragraph" w:customStyle="1" w:styleId="292">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3">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4">
    <w:name w:val="p0"/>
    <w:basedOn w:val="1"/>
    <w:qFormat/>
    <w:uiPriority w:val="0"/>
    <w:pPr>
      <w:widowControl/>
    </w:pPr>
    <w:rPr>
      <w:szCs w:val="20"/>
    </w:rPr>
  </w:style>
  <w:style w:type="paragraph" w:customStyle="1" w:styleId="295">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6">
    <w:name w:val="Char Char8"/>
    <w:basedOn w:val="1"/>
    <w:qFormat/>
    <w:uiPriority w:val="0"/>
    <w:rPr>
      <w:rFonts w:ascii="Tahoma" w:hAnsi="Tahoma" w:eastAsia="Times New Roman"/>
      <w:sz w:val="24"/>
      <w:szCs w:val="20"/>
    </w:rPr>
  </w:style>
  <w:style w:type="paragraph" w:customStyle="1" w:styleId="297">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98">
    <w:name w:val="Table Paragraph"/>
    <w:basedOn w:val="1"/>
    <w:qFormat/>
    <w:uiPriority w:val="1"/>
  </w:style>
  <w:style w:type="paragraph" w:customStyle="1" w:styleId="299">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00">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1">
    <w:name w:val="正文格式"/>
    <w:basedOn w:val="1"/>
    <w:qFormat/>
    <w:uiPriority w:val="0"/>
    <w:pPr>
      <w:widowControl/>
      <w:spacing w:line="400" w:lineRule="atLeast"/>
      <w:ind w:firstLine="482"/>
    </w:pPr>
    <w:rPr>
      <w:sz w:val="24"/>
    </w:rPr>
  </w:style>
  <w:style w:type="paragraph" w:customStyle="1" w:styleId="302">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3">
    <w:name w:val="_Style 36"/>
    <w:basedOn w:val="1"/>
    <w:qFormat/>
    <w:uiPriority w:val="0"/>
    <w:rPr>
      <w:rFonts w:ascii="Tahoma" w:hAnsi="Tahoma"/>
      <w:sz w:val="24"/>
      <w:szCs w:val="20"/>
    </w:rPr>
  </w:style>
  <w:style w:type="paragraph" w:customStyle="1" w:styleId="304">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5">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6">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07">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08">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09">
    <w:name w:val="CM14"/>
    <w:basedOn w:val="254"/>
    <w:next w:val="254"/>
    <w:qFormat/>
    <w:uiPriority w:val="0"/>
    <w:pPr>
      <w:spacing w:line="468" w:lineRule="atLeast"/>
    </w:pPr>
    <w:rPr>
      <w:rFonts w:ascii="Sim Sun" w:eastAsia="Sim Sun" w:cs="Times New Roman"/>
      <w:color w:val="000000"/>
    </w:rPr>
  </w:style>
  <w:style w:type="paragraph" w:customStyle="1" w:styleId="310">
    <w:name w:val="p17"/>
    <w:basedOn w:val="1"/>
    <w:qFormat/>
    <w:uiPriority w:val="0"/>
    <w:pPr>
      <w:widowControl/>
    </w:pPr>
    <w:rPr>
      <w:rFonts w:ascii="宋体" w:hAnsi="宋体" w:cs="宋体"/>
      <w:szCs w:val="21"/>
    </w:rPr>
  </w:style>
  <w:style w:type="paragraph" w:customStyle="1" w:styleId="311">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2">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3">
    <w:name w:val="样式1"/>
    <w:basedOn w:val="1"/>
    <w:qFormat/>
    <w:uiPriority w:val="0"/>
    <w:pPr>
      <w:widowControl/>
      <w:jc w:val="left"/>
    </w:pPr>
    <w:rPr>
      <w:rFonts w:ascii="宋体" w:hAnsi="宋体"/>
      <w:szCs w:val="21"/>
    </w:rPr>
  </w:style>
  <w:style w:type="paragraph" w:customStyle="1" w:styleId="314">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15">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6">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17">
    <w:name w:val="Body text|3"/>
    <w:basedOn w:val="1"/>
    <w:qFormat/>
    <w:uiPriority w:val="0"/>
    <w:pPr>
      <w:spacing w:after="460"/>
      <w:jc w:val="center"/>
    </w:pPr>
    <w:rPr>
      <w:rFonts w:ascii="宋体" w:hAnsi="宋体" w:cs="宋体"/>
      <w:sz w:val="34"/>
      <w:szCs w:val="34"/>
    </w:rPr>
  </w:style>
  <w:style w:type="paragraph" w:customStyle="1" w:styleId="318">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9">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0">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21">
    <w:name w:val="Char Char2 Char Char"/>
    <w:basedOn w:val="1"/>
    <w:qFormat/>
    <w:uiPriority w:val="0"/>
    <w:rPr>
      <w:rFonts w:ascii="Tahoma" w:hAnsi="Tahoma"/>
      <w:sz w:val="24"/>
      <w:szCs w:val="20"/>
    </w:rPr>
  </w:style>
  <w:style w:type="paragraph" w:customStyle="1" w:styleId="322">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323">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4">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5">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6">
    <w:name w:val="列表段落1"/>
    <w:basedOn w:val="1"/>
    <w:qFormat/>
    <w:uiPriority w:val="0"/>
    <w:pPr>
      <w:ind w:firstLine="420"/>
    </w:pPr>
  </w:style>
  <w:style w:type="paragraph" w:customStyle="1" w:styleId="327">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8">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29">
    <w:name w:val="TOC 标题1"/>
    <w:basedOn w:val="193"/>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30">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1">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32">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3">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34">
    <w:name w:val="列出段落1"/>
    <w:basedOn w:val="1"/>
    <w:qFormat/>
    <w:uiPriority w:val="0"/>
    <w:pPr>
      <w:ind w:firstLine="420"/>
    </w:pPr>
    <w:rPr>
      <w:rFonts w:ascii="仿宋_GB2312" w:eastAsia="仿宋_GB2312"/>
      <w:sz w:val="32"/>
    </w:rPr>
  </w:style>
  <w:style w:type="paragraph" w:customStyle="1" w:styleId="335">
    <w:name w:val="普通(网站)1"/>
    <w:basedOn w:val="1"/>
    <w:qFormat/>
    <w:uiPriority w:val="0"/>
    <w:pPr>
      <w:jc w:val="left"/>
    </w:pPr>
    <w:rPr>
      <w:sz w:val="24"/>
    </w:rPr>
  </w:style>
  <w:style w:type="paragraph" w:styleId="336">
    <w:name w:val="List Paragraph"/>
    <w:basedOn w:val="1"/>
    <w:qFormat/>
    <w:uiPriority w:val="99"/>
    <w:pPr>
      <w:ind w:firstLine="420"/>
    </w:pPr>
  </w:style>
  <w:style w:type="paragraph" w:customStyle="1" w:styleId="337">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38">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9">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40">
    <w:name w:val="CM15"/>
    <w:basedOn w:val="254"/>
    <w:next w:val="254"/>
    <w:qFormat/>
    <w:uiPriority w:val="0"/>
    <w:pPr>
      <w:spacing w:line="468" w:lineRule="atLeast"/>
    </w:pPr>
    <w:rPr>
      <w:rFonts w:ascii="Sim Sun" w:eastAsia="Sim Sun" w:cs="Times New Roman"/>
      <w:color w:val="000000"/>
    </w:rPr>
  </w:style>
  <w:style w:type="paragraph" w:customStyle="1" w:styleId="341">
    <w:name w:val="p15"/>
    <w:basedOn w:val="1"/>
    <w:qFormat/>
    <w:uiPriority w:val="0"/>
    <w:pPr>
      <w:widowControl/>
    </w:pPr>
    <w:rPr>
      <w:rFonts w:ascii="宋体" w:hAnsi="宋体" w:cs="宋体"/>
      <w:szCs w:val="21"/>
    </w:rPr>
  </w:style>
  <w:style w:type="character" w:customStyle="1" w:styleId="342">
    <w:name w:val="NormalCharacter1"/>
    <w:link w:val="1"/>
    <w:semiHidden/>
    <w:qFormat/>
    <w:uiPriority w:val="0"/>
  </w:style>
  <w:style w:type="paragraph" w:customStyle="1" w:styleId="343">
    <w:name w:val="PlainText1"/>
    <w:basedOn w:val="1"/>
    <w:qFormat/>
    <w:uiPriority w:val="0"/>
    <w:pPr>
      <w:widowControl/>
    </w:pPr>
    <w:rPr>
      <w:rFonts w:ascii="宋体" w:hAnsi="Courier New" w:eastAsia="Times New Roman" w:cs="Times New Roman"/>
      <w:b/>
      <w:szCs w:val="20"/>
    </w:rPr>
  </w:style>
  <w:style w:type="paragraph" w:customStyle="1" w:styleId="344">
    <w:name w:val="表格文字"/>
    <w:basedOn w:val="1"/>
    <w:qFormat/>
    <w:uiPriority w:val="0"/>
    <w:pPr>
      <w:jc w:val="left"/>
    </w:pPr>
    <w:rPr>
      <w:bCs/>
      <w:spacing w:val="10"/>
    </w:rPr>
  </w:style>
  <w:style w:type="character" w:customStyle="1" w:styleId="345">
    <w:name w:val="标题 1 Char1"/>
    <w:link w:val="3"/>
    <w:qFormat/>
    <w:uiPriority w:val="0"/>
    <w:rPr>
      <w:rFonts w:ascii="Tahoma" w:hAnsi="Tahoma"/>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QB</Company>
  <Pages>76</Pages>
  <Words>17542</Words>
  <Characters>18909</Characters>
  <TotalTime>23</TotalTime>
  <ScaleCrop>false</ScaleCrop>
  <LinksUpToDate>false</LinksUpToDate>
  <CharactersWithSpaces>19225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2020-10-09T15:10:00Z</dcterms:created>
  <dc:creator>微软</dc:creator>
  <cp:lastModifiedBy>黄华桥</cp:lastModifiedBy>
  <cp:lastPrinted>2026-07-06T16:19:00Z</cp:lastPrinted>
  <dcterms:modified xsi:type="dcterms:W3CDTF">2026-07-15T06:49:56Z</dcterms:modified>
  <dc:title>医疗设</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eyJoZGlkIjoiMWFkMDEzNDY0YzIwMjg3ZTQwMjFkYTBlNzU3NTQwMzQiLCJ1c2VySWQiOiIzNjAzMzMwMjMifQ==</vt:lpwstr>
  </property>
  <property fmtid="{D5CDD505-2E9C-101B-9397-08002B2CF9AE}" pid="3" name="KSOProductBuildVer">
    <vt:lpwstr>2052-12.1.0.26895</vt:lpwstr>
  </property>
  <property fmtid="{D5CDD505-2E9C-101B-9397-08002B2CF9AE}" pid="4" name="ICV">
    <vt:lpwstr>E07EA7066ADB49F299F6AB3B1D718A02_13</vt:lpwstr>
  </property>
</Properties>
</file>