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6C1C5">
      <w:pPr>
        <w:jc w:val="center"/>
        <w:rPr>
          <w:rFonts w:hint="eastAsia"/>
          <w:b/>
          <w:bCs/>
          <w:color w:val="000000" w:themeColor="text1"/>
          <w:sz w:val="52"/>
          <w:szCs w:val="52"/>
          <w:highlight w:val="none"/>
          <w14:textFill>
            <w14:solidFill>
              <w14:schemeClr w14:val="tx1"/>
            </w14:solidFill>
          </w14:textFill>
        </w:rPr>
      </w:pPr>
      <w:r>
        <w:rPr>
          <w:rFonts w:hint="eastAsia" w:ascii="楷体" w:eastAsia="楷体"/>
          <w:b/>
          <w:color w:val="000000" w:themeColor="text1"/>
          <w:sz w:val="52"/>
          <w:highlight w:val="none"/>
          <w14:textFill>
            <w14:solidFill>
              <w14:schemeClr w14:val="tx1"/>
            </w14:solidFill>
          </w14:textFill>
        </w:rPr>
        <w:t>桂林市政府集中采购中心</w:t>
      </w:r>
    </w:p>
    <w:p w14:paraId="0AC11E75">
      <w:pPr>
        <w:pStyle w:val="26"/>
        <w:rPr>
          <w:b/>
          <w:bCs/>
          <w:color w:val="000000" w:themeColor="text1"/>
          <w:sz w:val="52"/>
          <w:szCs w:val="52"/>
          <w:highlight w:val="none"/>
          <w14:textFill>
            <w14:solidFill>
              <w14:schemeClr w14:val="tx1"/>
            </w14:solidFill>
          </w14:textFill>
        </w:rPr>
      </w:pPr>
    </w:p>
    <w:p w14:paraId="4C660AFC">
      <w:pPr>
        <w:pStyle w:val="26"/>
        <w:rPr>
          <w:b/>
          <w:bCs/>
          <w:color w:val="000000" w:themeColor="text1"/>
          <w:sz w:val="52"/>
          <w:szCs w:val="52"/>
          <w:highlight w:val="none"/>
          <w14:textFill>
            <w14:solidFill>
              <w14:schemeClr w14:val="tx1"/>
            </w14:solidFill>
          </w14:textFill>
        </w:rPr>
      </w:pPr>
    </w:p>
    <w:p w14:paraId="3D0F39CE">
      <w:pPr>
        <w:ind w:left="558" w:right="683"/>
        <w:jc w:val="center"/>
        <w:rPr>
          <w:rFonts w:ascii="楷体" w:eastAsia="楷体"/>
          <w:b/>
          <w:color w:val="000000" w:themeColor="text1"/>
          <w:sz w:val="72"/>
          <w:szCs w:val="72"/>
          <w:highlight w:val="none"/>
          <w14:textFill>
            <w14:solidFill>
              <w14:schemeClr w14:val="tx1"/>
            </w14:solidFill>
          </w14:textFill>
        </w:rPr>
      </w:pPr>
      <w:r>
        <w:rPr>
          <w:rFonts w:hint="eastAsia" w:ascii="楷体" w:eastAsia="楷体"/>
          <w:b/>
          <w:color w:val="000000" w:themeColor="text1"/>
          <w:spacing w:val="93"/>
          <w:sz w:val="72"/>
          <w:szCs w:val="72"/>
          <w:highlight w:val="none"/>
          <w14:textFill>
            <w14:solidFill>
              <w14:schemeClr w14:val="tx1"/>
            </w14:solidFill>
          </w14:textFill>
        </w:rPr>
        <w:t>竞争性谈判文件</w:t>
      </w:r>
    </w:p>
    <w:p w14:paraId="0CC5A42B">
      <w:pPr>
        <w:jc w:val="center"/>
        <w:rPr>
          <w:rFonts w:ascii="微软雅黑" w:hAnsi="微软雅黑" w:eastAsia="微软雅黑" w:cs="微软雅黑"/>
          <w:b/>
          <w:bCs/>
          <w:color w:val="000000" w:themeColor="text1"/>
          <w:sz w:val="52"/>
          <w:szCs w:val="52"/>
          <w:highlight w:val="none"/>
          <w14:textFill>
            <w14:solidFill>
              <w14:schemeClr w14:val="tx1"/>
            </w14:solidFill>
          </w14:textFill>
        </w:rPr>
      </w:pPr>
    </w:p>
    <w:p w14:paraId="722EBB2F">
      <w:pPr>
        <w:jc w:val="center"/>
        <w:rPr>
          <w:rFonts w:ascii="微软雅黑" w:hAnsi="微软雅黑" w:eastAsia="微软雅黑" w:cs="微软雅黑"/>
          <w:b/>
          <w:bCs/>
          <w:color w:val="000000" w:themeColor="text1"/>
          <w:sz w:val="52"/>
          <w:szCs w:val="52"/>
          <w:highlight w:val="none"/>
          <w14:textFill>
            <w14:solidFill>
              <w14:schemeClr w14:val="tx1"/>
            </w14:solidFill>
          </w14:textFill>
        </w:rPr>
      </w:pPr>
    </w:p>
    <w:p w14:paraId="74AC6716">
      <w:pPr>
        <w:jc w:val="center"/>
        <w:rPr>
          <w:rFonts w:ascii="微软雅黑" w:hAnsi="微软雅黑" w:eastAsia="微软雅黑" w:cs="微软雅黑"/>
          <w:b/>
          <w:bCs/>
          <w:color w:val="000000" w:themeColor="text1"/>
          <w:sz w:val="52"/>
          <w:szCs w:val="52"/>
          <w:highlight w:val="none"/>
          <w14:textFill>
            <w14:solidFill>
              <w14:schemeClr w14:val="tx1"/>
            </w14:solidFill>
          </w14:textFill>
        </w:rPr>
      </w:pPr>
    </w:p>
    <w:p w14:paraId="16C403D6">
      <w:pPr>
        <w:ind w:left="3579" w:hanging="2000"/>
        <w:rPr>
          <w:rFonts w:hint="eastAsia" w:ascii="宋体" w:hAnsi="宋体" w:eastAsia="宋体" w:cs="宋体"/>
          <w:color w:val="000000" w:themeColor="text1"/>
          <w:sz w:val="32"/>
          <w:szCs w:val="32"/>
          <w:highlight w:val="none"/>
          <w:u w:val="single"/>
          <w:lang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 目 名 称：</w:t>
      </w:r>
      <w:r>
        <w:rPr>
          <w:rFonts w:hint="eastAsia" w:ascii="宋体" w:hAnsi="宋体" w:cs="宋体"/>
          <w:color w:val="000000" w:themeColor="text1"/>
          <w:sz w:val="32"/>
          <w:szCs w:val="32"/>
          <w:highlight w:val="none"/>
          <w:u w:val="single"/>
          <w:lang w:eastAsia="zh-CN"/>
          <w14:textFill>
            <w14:solidFill>
              <w14:schemeClr w14:val="tx1"/>
            </w14:solidFill>
          </w14:textFill>
        </w:rPr>
        <w:t>2026年支持学前教育发展中央和自治区资金设备采购项目</w:t>
      </w:r>
    </w:p>
    <w:p w14:paraId="4223FC23">
      <w:pPr>
        <w:ind w:firstLine="1600"/>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 目 编 号：</w:t>
      </w:r>
      <w:r>
        <w:rPr>
          <w:rFonts w:hint="eastAsia" w:ascii="宋体" w:hAnsi="宋体" w:cs="宋体"/>
          <w:color w:val="000000" w:themeColor="text1"/>
          <w:sz w:val="32"/>
          <w:szCs w:val="32"/>
          <w:highlight w:val="none"/>
          <w:u w:val="single"/>
          <w:lang w:eastAsia="zh-CN"/>
          <w14:textFill>
            <w14:solidFill>
              <w14:schemeClr w14:val="tx1"/>
            </w14:solidFill>
          </w14:textFill>
        </w:rPr>
        <w:t>GLZC2026-J1-990205-GLSZ</w:t>
      </w:r>
    </w:p>
    <w:p w14:paraId="0AA1C702">
      <w:pPr>
        <w:ind w:firstLine="1600"/>
        <w:rPr>
          <w:rFonts w:hint="eastAsia" w:ascii="宋体" w:hAnsi="宋体" w:cs="宋体"/>
          <w:color w:val="000000" w:themeColor="text1"/>
          <w:sz w:val="32"/>
          <w:szCs w:val="32"/>
          <w:highlight w:val="none"/>
          <w14:textFill>
            <w14:solidFill>
              <w14:schemeClr w14:val="tx1"/>
            </w14:solidFill>
          </w14:textFill>
        </w:rPr>
      </w:pPr>
    </w:p>
    <w:p w14:paraId="2EB0926F">
      <w:pPr>
        <w:jc w:val="center"/>
        <w:rPr>
          <w:rFonts w:hint="eastAsia" w:ascii="宋体" w:hAnsi="宋体" w:cs="宋体"/>
          <w:color w:val="000000" w:themeColor="text1"/>
          <w:sz w:val="32"/>
          <w:szCs w:val="32"/>
          <w:highlight w:val="none"/>
          <w14:textFill>
            <w14:solidFill>
              <w14:schemeClr w14:val="tx1"/>
            </w14:solidFill>
          </w14:textFill>
        </w:rPr>
      </w:pPr>
    </w:p>
    <w:p w14:paraId="7B116E8A">
      <w:pPr>
        <w:rPr>
          <w:rFonts w:hint="eastAsia" w:ascii="宋体" w:hAnsi="宋体" w:cs="宋体"/>
          <w:color w:val="000000" w:themeColor="text1"/>
          <w:sz w:val="32"/>
          <w:szCs w:val="32"/>
          <w:highlight w:val="none"/>
          <w14:textFill>
            <w14:solidFill>
              <w14:schemeClr w14:val="tx1"/>
            </w14:solidFill>
          </w14:textFill>
        </w:rPr>
      </w:pPr>
    </w:p>
    <w:p w14:paraId="19588902">
      <w:pPr>
        <w:jc w:val="center"/>
        <w:rPr>
          <w:rFonts w:hint="eastAsia" w:ascii="宋体" w:hAnsi="宋体" w:cs="宋体"/>
          <w:color w:val="000000" w:themeColor="text1"/>
          <w:sz w:val="32"/>
          <w:szCs w:val="32"/>
          <w:highlight w:val="none"/>
          <w14:textFill>
            <w14:solidFill>
              <w14:schemeClr w14:val="tx1"/>
            </w14:solidFill>
          </w14:textFill>
        </w:rPr>
      </w:pPr>
    </w:p>
    <w:p w14:paraId="08E923FF">
      <w:pPr>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采购代理机构：桂林市政府集中采购中心</w:t>
      </w:r>
    </w:p>
    <w:p w14:paraId="1EADAAD4">
      <w:pPr>
        <w:pStyle w:val="18"/>
        <w:rPr>
          <w:rFonts w:hint="eastAsia"/>
          <w:color w:val="000000" w:themeColor="text1"/>
          <w:highlight w:val="none"/>
          <w14:textFill>
            <w14:solidFill>
              <w14:schemeClr w14:val="tx1"/>
            </w14:solidFill>
          </w14:textFill>
        </w:rPr>
      </w:pPr>
    </w:p>
    <w:p w14:paraId="4FC14327">
      <w:pPr>
        <w:jc w:val="center"/>
        <w:rPr>
          <w:rFonts w:hint="eastAsia" w:ascii="宋体" w:hAnsi="宋体" w:eastAsia="宋体" w:cs="宋体"/>
          <w:color w:val="000000" w:themeColor="text1"/>
          <w:sz w:val="48"/>
          <w:szCs w:val="48"/>
          <w:highlight w:val="none"/>
          <w:lang w:eastAsia="zh-CN"/>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935" w:bottom="1440" w:left="779" w:header="851" w:footer="992" w:gutter="0"/>
          <w:pgNumType w:start="1"/>
          <w:cols w:space="720" w:num="1"/>
        </w:sectPr>
      </w:pPr>
      <w:r>
        <w:rPr>
          <w:rFonts w:hint="eastAsia" w:ascii="宋体" w:hAnsi="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color w:val="000000" w:themeColor="text1"/>
          <w:sz w:val="32"/>
          <w:szCs w:val="32"/>
          <w:highlight w:val="none"/>
          <w:lang w:eastAsia="zh-CN"/>
          <w14:textFill>
            <w14:solidFill>
              <w14:schemeClr w14:val="tx1"/>
            </w14:solidFill>
          </w14:textFill>
        </w:rPr>
        <w:t>2026年</w:t>
      </w:r>
      <w:r>
        <w:rPr>
          <w:rFonts w:hint="eastAsia" w:ascii="宋体" w:hAnsi="宋体" w:cs="宋体"/>
          <w:color w:val="000000" w:themeColor="text1"/>
          <w:sz w:val="32"/>
          <w:szCs w:val="32"/>
          <w:highlight w:val="none"/>
          <w:lang w:val="en-US" w:eastAsia="zh-CN"/>
          <w14:textFill>
            <w14:solidFill>
              <w14:schemeClr w14:val="tx1"/>
            </w14:solidFill>
          </w14:textFill>
        </w:rPr>
        <w:t>6</w:t>
      </w:r>
      <w:r>
        <w:rPr>
          <w:rFonts w:hint="eastAsia" w:ascii="宋体" w:hAnsi="宋体" w:cs="宋体"/>
          <w:color w:val="000000" w:themeColor="text1"/>
          <w:sz w:val="32"/>
          <w:szCs w:val="32"/>
          <w:highlight w:val="none"/>
          <w:lang w:eastAsia="zh-CN"/>
          <w14:textFill>
            <w14:solidFill>
              <w14:schemeClr w14:val="tx1"/>
            </w14:solidFill>
          </w14:textFill>
        </w:rPr>
        <w:t>月</w:t>
      </w:r>
      <w:r>
        <w:rPr>
          <w:rFonts w:hint="eastAsia" w:ascii="宋体" w:hAnsi="宋体" w:cs="宋体"/>
          <w:color w:val="000000" w:themeColor="text1"/>
          <w:sz w:val="32"/>
          <w:szCs w:val="32"/>
          <w:highlight w:val="none"/>
          <w:lang w:val="en-US" w:eastAsia="zh-CN"/>
          <w14:textFill>
            <w14:solidFill>
              <w14:schemeClr w14:val="tx1"/>
            </w14:solidFill>
          </w14:textFill>
        </w:rPr>
        <w:t>9</w:t>
      </w:r>
      <w:r>
        <w:rPr>
          <w:rFonts w:hint="eastAsia" w:ascii="宋体" w:hAnsi="宋体" w:cs="宋体"/>
          <w:color w:val="000000" w:themeColor="text1"/>
          <w:sz w:val="32"/>
          <w:szCs w:val="32"/>
          <w:highlight w:val="none"/>
          <w:lang w:eastAsia="zh-CN"/>
          <w14:textFill>
            <w14:solidFill>
              <w14:schemeClr w14:val="tx1"/>
            </w14:solidFill>
          </w14:textFill>
        </w:rPr>
        <w:t>日</w:t>
      </w:r>
    </w:p>
    <w:p w14:paraId="776FCE5D">
      <w:pPr>
        <w:jc w:val="center"/>
        <w:rPr>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lang w:val="zh-CN"/>
          <w14:textFill>
            <w14:solidFill>
              <w14:schemeClr w14:val="tx1"/>
            </w14:solidFill>
          </w14:textFill>
        </w:rPr>
        <w:t>目</w:t>
      </w:r>
      <w:r>
        <w:rPr>
          <w:rFonts w:hint="eastAsia"/>
          <w:b/>
          <w:bCs/>
          <w:color w:val="000000" w:themeColor="text1"/>
          <w:sz w:val="36"/>
          <w:szCs w:val="36"/>
          <w:highlight w:val="none"/>
          <w14:textFill>
            <w14:solidFill>
              <w14:schemeClr w14:val="tx1"/>
            </w14:solidFill>
          </w14:textFill>
        </w:rPr>
        <w:t xml:space="preserve">  </w:t>
      </w:r>
      <w:r>
        <w:rPr>
          <w:rFonts w:hint="eastAsia"/>
          <w:b/>
          <w:bCs/>
          <w:color w:val="000000" w:themeColor="text1"/>
          <w:sz w:val="36"/>
          <w:szCs w:val="36"/>
          <w:highlight w:val="none"/>
          <w:lang w:val="zh-CN"/>
          <w14:textFill>
            <w14:solidFill>
              <w14:schemeClr w14:val="tx1"/>
            </w14:solidFill>
          </w14:textFill>
        </w:rPr>
        <w:t>录</w:t>
      </w:r>
    </w:p>
    <w:p w14:paraId="2B4BBB87">
      <w:pPr>
        <w:pStyle w:val="28"/>
        <w:tabs>
          <w:tab w:val="right" w:leader="dot" w:pos="10192"/>
        </w:tabs>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 TOC \o "1-3" \h \z \u </w:instrText>
      </w:r>
      <w:r>
        <w:rPr>
          <w:rFonts w:hint="eastAsia" w:ascii="宋体" w:hAnsi="宋体" w:cs="宋体"/>
          <w:color w:val="000000" w:themeColor="text1"/>
          <w:sz w:val="24"/>
          <w:highlight w:val="none"/>
          <w14:textFill>
            <w14:solidFill>
              <w14:schemeClr w14:val="tx1"/>
            </w14:solidFill>
          </w14:textFill>
        </w:rPr>
        <w:fldChar w:fldCharType="separate"/>
      </w: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_Toc19241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第一章 竞争性谈判公告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288E2B21">
      <w:pPr>
        <w:pStyle w:val="28"/>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_Toc26689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第二章　</w:t>
      </w:r>
      <w:r>
        <w:rPr>
          <w:rFonts w:hint="eastAsia"/>
          <w:color w:val="000000" w:themeColor="text1"/>
          <w:szCs w:val="32"/>
          <w:highlight w:val="none"/>
          <w14:textFill>
            <w14:solidFill>
              <w14:schemeClr w14:val="tx1"/>
            </w14:solidFill>
          </w14:textFill>
        </w:rPr>
        <w:t>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- 4 -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77846983">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_Toc14834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供 应 商 须 知 前 附 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- 4 -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16E39CE8">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_Toc28833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一、总则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5DDF990E">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_Toc5438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 适</w:t>
      </w:r>
      <w:r>
        <w:rPr>
          <w:rFonts w:hint="eastAsia" w:ascii="宋体" w:hAnsi="宋体" w:cs="宋体"/>
          <w:color w:val="000000" w:themeColor="text1"/>
          <w:szCs w:val="21"/>
          <w:highlight w:val="none"/>
          <w:lang w:eastAsia="zh-CN"/>
          <w14:textFill>
            <w14:solidFill>
              <w14:schemeClr w14:val="tx1"/>
            </w14:solidFill>
          </w14:textFill>
        </w:rPr>
        <w:t>用</w:t>
      </w:r>
      <w:r>
        <w:rPr>
          <w:rFonts w:hint="eastAsia" w:ascii="宋体" w:hAnsi="宋体" w:cs="宋体"/>
          <w:color w:val="000000" w:themeColor="text1"/>
          <w:szCs w:val="21"/>
          <w:highlight w:val="none"/>
          <w14:textFill>
            <w14:solidFill>
              <w14:schemeClr w14:val="tx1"/>
            </w14:solidFill>
          </w14:textFill>
        </w:rPr>
        <w:t>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6C3BE83F">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_Toc10650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 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4D78D07A">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_Toc4442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 供应商资格</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5B26A8F2">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_Toc10575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4. 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45AA0818">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_Toc31425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5.联合体要求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5FC6A73F">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_Toc26025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6. 质疑和投诉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55CFDDEE">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_Toc17834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7. 转包与分包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- 9 -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6E09E743">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_Toc18475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8. 特别说明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- 9 -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3704CB7C">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_Toc2829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二、谈判文件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- 9 -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3A1F1419">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_Toc3432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9. 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- 9 -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3C506C31">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_Toc26306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10. 谈判文件的澄清与修改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- 9 -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05979F9B">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_Toc13602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三、竞争性谈判响应文件的编制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- 10 -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1DF2247E">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_Toc1961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11.竞争性谈判响应文件（以下简称响应文件）的组成及要求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- 10 -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541AEE30">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_Toc12374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12. 响应文件的语言及计量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- 12 -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0E708D1B">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_Toc2551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13. 谈判报价及采购预算金额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- 12 -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753FE5F9">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_Toc9416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14. 响应文件有效期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- 12 -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1638CA49">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_Toc13607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15.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- 12 -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4F56ACFC">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_Toc6601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16. 响应文件的制作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- 12 -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7E3046C8">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_Toc16916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17. 响应文件的补充、修改和撤回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- 13 -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6C2C82D9">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_Toc16460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18. 响应文件的递交和解密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- 13 -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3802CF4F">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_Toc13131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四、竞争性谈判（简称谈判）与评审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- 13 -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1FEE129B">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_Toc22662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19. 谈判小组组成及谈判时间、地点、人员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- 13 -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109EEFEB">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_Toc22686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20. 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- 14 -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2795EF3F">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_Toc2476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21. 评审程序及谈判要求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- 14 -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793D3425">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_Toc8304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22. 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- 17 -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7434A419">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_Toc25743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23. 属于下列情况之一者，响应文件无效：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- 17 -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27BF4C8E">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_Toc20517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24. 出现下列情形之一的，采购人或者采购代理机构应当终止竞争性谈判采购活动，发布项目终止公告并说明原因，重新开展采购活动：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- 17 -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2282EAB7">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_Toc3112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25. 谈判过程的监控</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28F047AD">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_Toc22332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26.信用查询：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286068CD">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_Toc22807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27. 成交结果公告及成交通知书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7FD31B1B">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_Toc18670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五、</w:t>
      </w:r>
      <w:r>
        <w:rPr>
          <w:rFonts w:hint="eastAsia" w:ascii="Arial" w:hAnsi="Arial"/>
          <w:bCs/>
          <w:color w:val="000000" w:themeColor="text1"/>
          <w:szCs w:val="28"/>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65CF973E">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_Toc32035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28. 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7C229934">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_Toc27021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29.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06C21A0A">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_Toc3231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六、其他事项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- 19 -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5A0ED795">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_Toc8229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30. 采购代理服务费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- 19 -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27077F97">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_Toc11455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31. 解释权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- 19 -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61DCF2DA">
      <w:pPr>
        <w:pStyle w:val="20"/>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_Toc11535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32. 监督管理机构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- 20 -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4C26FECC">
      <w:pPr>
        <w:pStyle w:val="28"/>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_Toc5642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第三章　</w:t>
      </w:r>
      <w:r>
        <w:rPr>
          <w:rFonts w:hint="eastAsia"/>
          <w:color w:val="000000" w:themeColor="text1"/>
          <w:szCs w:val="32"/>
          <w:highlight w:val="none"/>
          <w14:textFill>
            <w14:solidFill>
              <w14:schemeClr w14:val="tx1"/>
            </w14:solidFill>
          </w14:textFill>
        </w:rPr>
        <w:t>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- 21 -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2016DBC0">
      <w:pPr>
        <w:pStyle w:val="28"/>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_Toc26443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第四章 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- 22 -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027BFAE2">
      <w:pPr>
        <w:pStyle w:val="28"/>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_Toc12573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32"/>
          <w:highlight w:val="none"/>
          <w14:textFill>
            <w14:solidFill>
              <w14:schemeClr w14:val="tx1"/>
            </w14:solidFill>
          </w14:textFill>
        </w:rPr>
        <w:t>第五章  采购合同（合同主要条款及格式）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- 27 -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11001E22">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_Toc13393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第一条 合同标的及合同金额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- 27 -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0E1087BC">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_Toc31851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第二条  质量保证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- 27 -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6A66468C">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_Toc5104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第三条  权利保证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- 27 -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7F6BEE0F">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_Toc3865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第四条  货物包装、运输、安装、调试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- 27 -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446BA540">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_Toc25828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第五条  交付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075ADAC7">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_Toc10335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第六条  验收方式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092A00B5">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_Toc32587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第七条  安装和培训</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09F7DDC1">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_Toc1691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第八条  服务要求及免费保修期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2B7637B0">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_Toc15324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第九条  税费等要求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1D1823C3">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_Toc11319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第十条  付款方式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02FFDA19">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_Toc5565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第十一条  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0CCF98C2">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_Toc10393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第十二条  不可抗力事件处理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67F79554">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_Toc17451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第十三条  合同争议解决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- 28 -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53AAB34E">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_Toc28082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第十四条  合同生效及其它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- 29 -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6F7B31FB">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_Toc21080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第十五条  合同的变更、终止与转让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- 29 -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4B2CD021">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_Toc16104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第十六条  签订本合同依据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- 29 -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02260AF9">
      <w:pPr>
        <w:pStyle w:val="28"/>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_Toc12064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ascii="宋体" w:cs="宋体"/>
          <w:bCs/>
          <w:color w:val="000000" w:themeColor="text1"/>
          <w:szCs w:val="32"/>
          <w:highlight w:val="none"/>
          <w14:textFill>
            <w14:solidFill>
              <w14:schemeClr w14:val="tx1"/>
            </w14:solidFill>
          </w14:textFill>
        </w:rPr>
        <w:t>第六章　</w:t>
      </w:r>
      <w:r>
        <w:rPr>
          <w:rFonts w:hint="eastAsia" w:ascii="宋体" w:hAnsi="宋体" w:cs="宋体"/>
          <w:color w:val="000000" w:themeColor="text1"/>
          <w:szCs w:val="32"/>
          <w:highlight w:val="none"/>
          <w14:textFill>
            <w14:solidFill>
              <w14:schemeClr w14:val="tx1"/>
            </w14:solidFill>
          </w14:textFill>
        </w:rPr>
        <w:t>响应</w:t>
      </w:r>
      <w:r>
        <w:rPr>
          <w:rFonts w:hint="eastAsia"/>
          <w:color w:val="000000" w:themeColor="text1"/>
          <w:szCs w:val="32"/>
          <w:highlight w:val="none"/>
          <w14:textFill>
            <w14:solidFill>
              <w14:schemeClr w14:val="tx1"/>
            </w14:solidFill>
          </w14:textFill>
        </w:rPr>
        <w:t>文件</w:t>
      </w:r>
      <w:r>
        <w:rPr>
          <w:rFonts w:hint="eastAsia" w:ascii="宋体" w:hAnsi="宋体" w:cs="宋体"/>
          <w:color w:val="000000" w:themeColor="text1"/>
          <w:szCs w:val="32"/>
          <w:highlight w:val="none"/>
          <w14:textFill>
            <w14:solidFill>
              <w14:schemeClr w14:val="tx1"/>
            </w14:solidFill>
          </w14:textFill>
        </w:rPr>
        <w:t>（格式）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- 30 -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51D6823E">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_Toc27760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（一）资格性响应证明材料目录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- 32 -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02D103AA">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_Toc15241 </w:instrText>
      </w:r>
      <w:r>
        <w:rPr>
          <w:rFonts w:hint="eastAsia" w:ascii="宋体" w:hAnsi="宋体" w:cs="宋体"/>
          <w:bCs/>
          <w:color w:val="000000" w:themeColor="text1"/>
          <w:highlight w:val="none"/>
          <w:lang w:val="zh-CN"/>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（二）</w:t>
      </w:r>
      <w:r>
        <w:rPr>
          <w:bCs/>
          <w:color w:val="000000" w:themeColor="text1"/>
          <w:szCs w:val="32"/>
          <w:highlight w:val="none"/>
          <w14:textFill>
            <w14:solidFill>
              <w14:schemeClr w14:val="tx1"/>
            </w14:solidFill>
          </w14:textFill>
        </w:rPr>
        <w:t>符合性响应证明材料目录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- 37 -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43B8408A">
      <w:pPr>
        <w:pStyle w:val="34"/>
        <w:tabs>
          <w:tab w:val="right" w:leader="dot" w:pos="10192"/>
        </w:tabs>
        <w:rPr>
          <w:color w:val="000000" w:themeColor="text1"/>
          <w:highlight w:val="none"/>
          <w14:textFill>
            <w14:solidFill>
              <w14:schemeClr w14:val="tx1"/>
            </w14:solidFill>
          </w14:textFill>
        </w:rPr>
      </w:pPr>
      <w:r>
        <w:rPr>
          <w:rFonts w:hint="eastAsia" w:ascii="宋体" w:hAnsi="宋体" w:cs="宋体"/>
          <w:bCs/>
          <w:color w:val="000000" w:themeColor="text1"/>
          <w:highlight w:val="none"/>
          <w:lang w:val="zh-CN"/>
          <w14:textFill>
            <w14:solidFill>
              <w14:schemeClr w14:val="tx1"/>
            </w14:solidFill>
          </w14:textFill>
        </w:rPr>
        <w:fldChar w:fldCharType="begin"/>
      </w:r>
      <w:r>
        <w:rPr>
          <w:rFonts w:hint="eastAsia" w:ascii="宋体" w:hAnsi="宋体" w:cs="宋体"/>
          <w:bCs/>
          <w:color w:val="000000" w:themeColor="text1"/>
          <w:highlight w:val="none"/>
          <w:lang w:val="zh-CN"/>
          <w14:textFill>
            <w14:solidFill>
              <w14:schemeClr w14:val="tx1"/>
            </w14:solidFill>
          </w14:textFill>
        </w:rPr>
        <w:instrText xml:space="preserve"> HYPERLINK \l _Toc26194 </w:instrText>
      </w:r>
      <w:r>
        <w:rPr>
          <w:rFonts w:hint="eastAsia" w:ascii="宋体" w:hAnsi="宋体" w:cs="宋体"/>
          <w:bCs/>
          <w:color w:val="000000" w:themeColor="text1"/>
          <w:highlight w:val="none"/>
          <w:lang w:val="zh-CN"/>
          <w14:textFill>
            <w14:solidFill>
              <w14:schemeClr w14:val="tx1"/>
            </w14:solidFill>
          </w14:textFill>
        </w:rPr>
        <w:fldChar w:fldCharType="separate"/>
      </w:r>
      <w:r>
        <w:rPr>
          <w:bCs/>
          <w:color w:val="000000" w:themeColor="text1"/>
          <w:szCs w:val="32"/>
          <w:highlight w:val="none"/>
          <w14:textFill>
            <w14:solidFill>
              <w14:schemeClr w14:val="tx1"/>
            </w14:solidFill>
          </w14:textFill>
        </w:rPr>
        <w:t>（</w:t>
      </w:r>
      <w:r>
        <w:rPr>
          <w:rFonts w:hint="eastAsia"/>
          <w:bCs/>
          <w:color w:val="000000" w:themeColor="text1"/>
          <w:szCs w:val="32"/>
          <w:highlight w:val="none"/>
          <w14:textFill>
            <w14:solidFill>
              <w14:schemeClr w14:val="tx1"/>
            </w14:solidFill>
          </w14:textFill>
        </w:rPr>
        <w:t>三</w:t>
      </w:r>
      <w:r>
        <w:rPr>
          <w:bCs/>
          <w:color w:val="000000" w:themeColor="text1"/>
          <w:szCs w:val="32"/>
          <w:highlight w:val="none"/>
          <w14:textFill>
            <w14:solidFill>
              <w14:schemeClr w14:val="tx1"/>
            </w14:solidFill>
          </w14:textFill>
        </w:rPr>
        <w:t>）其</w:t>
      </w:r>
      <w:r>
        <w:rPr>
          <w:rFonts w:hint="eastAsia"/>
          <w:bCs/>
          <w:color w:val="000000" w:themeColor="text1"/>
          <w:szCs w:val="32"/>
          <w:highlight w:val="none"/>
          <w14:textFill>
            <w14:solidFill>
              <w14:schemeClr w14:val="tx1"/>
            </w14:solidFill>
          </w14:textFill>
        </w:rPr>
        <w:t>他</w:t>
      </w:r>
      <w:r>
        <w:rPr>
          <w:bCs/>
          <w:color w:val="000000" w:themeColor="text1"/>
          <w:szCs w:val="32"/>
          <w:highlight w:val="none"/>
          <w14:textFill>
            <w14:solidFill>
              <w14:schemeClr w14:val="tx1"/>
            </w14:solidFill>
          </w14:textFill>
        </w:rPr>
        <w:t>有效证明材料目录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- 43 -</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highlight w:val="none"/>
          <w:lang w:val="zh-CN"/>
          <w14:textFill>
            <w14:solidFill>
              <w14:schemeClr w14:val="tx1"/>
            </w14:solidFill>
          </w14:textFill>
        </w:rPr>
        <w:fldChar w:fldCharType="end"/>
      </w:r>
    </w:p>
    <w:p w14:paraId="698BBDA6">
      <w:pPr>
        <w:pStyle w:val="3"/>
        <w:spacing w:line="240" w:lineRule="auto"/>
        <w:ind w:firstLine="402"/>
        <w:jc w:val="center"/>
        <w:rPr>
          <w:rFonts w:hint="eastAsia" w:ascii="宋体" w:hAnsi="宋体" w:cs="宋体"/>
          <w:bCs w:val="0"/>
          <w:color w:val="000000" w:themeColor="text1"/>
          <w:highlight w:val="none"/>
          <w:lang w:val="zh-CN"/>
          <w14:textFill>
            <w14:solidFill>
              <w14:schemeClr w14:val="tx1"/>
            </w14:solidFill>
          </w14:textFill>
        </w:rPr>
      </w:pPr>
      <w:r>
        <w:rPr>
          <w:rFonts w:hint="eastAsia" w:ascii="宋体" w:hAnsi="宋体" w:cs="宋体"/>
          <w:bCs w:val="0"/>
          <w:color w:val="000000" w:themeColor="text1"/>
          <w:highlight w:val="none"/>
          <w:lang w:val="zh-CN"/>
          <w14:textFill>
            <w14:solidFill>
              <w14:schemeClr w14:val="tx1"/>
            </w14:solidFill>
          </w14:textFill>
        </w:rPr>
        <w:fldChar w:fldCharType="end"/>
      </w:r>
      <w:bookmarkStart w:id="0" w:name="_Toc27428"/>
      <w:bookmarkStart w:id="1" w:name="_Toc13749"/>
      <w:bookmarkStart w:id="2" w:name="_Toc31240"/>
      <w:bookmarkStart w:id="3" w:name="_Toc1538"/>
      <w:bookmarkStart w:id="4" w:name="_Toc30333"/>
      <w:bookmarkStart w:id="5" w:name="_Toc18266"/>
      <w:bookmarkStart w:id="6" w:name="_Toc19446"/>
      <w:bookmarkStart w:id="7" w:name="_Toc14018"/>
      <w:bookmarkStart w:id="8" w:name="_Toc35393797"/>
      <w:bookmarkStart w:id="9" w:name="_Toc26027"/>
      <w:bookmarkStart w:id="10" w:name="_Toc28359011"/>
      <w:bookmarkStart w:id="11" w:name="_Toc15996"/>
    </w:p>
    <w:p w14:paraId="00380973">
      <w:pPr>
        <w:rPr>
          <w:rFonts w:hint="eastAsia" w:ascii="宋体" w:hAnsi="宋体" w:cs="宋体"/>
          <w:bCs/>
          <w:color w:val="000000" w:themeColor="text1"/>
          <w:highlight w:val="none"/>
          <w:lang w:val="zh-CN"/>
          <w14:textFill>
            <w14:solidFill>
              <w14:schemeClr w14:val="tx1"/>
            </w14:solidFill>
          </w14:textFill>
        </w:rPr>
      </w:pPr>
    </w:p>
    <w:p w14:paraId="32FD8B06">
      <w:pPr>
        <w:pStyle w:val="41"/>
        <w:rPr>
          <w:rFonts w:hint="eastAsia" w:ascii="宋体" w:hAnsi="宋体" w:cs="宋体"/>
          <w:bCs/>
          <w:color w:val="000000" w:themeColor="text1"/>
          <w:highlight w:val="none"/>
          <w:lang w:val="zh-CN"/>
          <w14:textFill>
            <w14:solidFill>
              <w14:schemeClr w14:val="tx1"/>
            </w14:solidFill>
          </w14:textFill>
        </w:rPr>
      </w:pPr>
    </w:p>
    <w:p w14:paraId="6E87E653">
      <w:pPr>
        <w:rPr>
          <w:rFonts w:hint="eastAsia" w:ascii="宋体" w:hAnsi="宋体" w:cs="宋体"/>
          <w:bCs/>
          <w:color w:val="000000" w:themeColor="text1"/>
          <w:highlight w:val="none"/>
          <w:lang w:val="zh-CN"/>
          <w14:textFill>
            <w14:solidFill>
              <w14:schemeClr w14:val="tx1"/>
            </w14:solidFill>
          </w14:textFill>
        </w:rPr>
      </w:pPr>
    </w:p>
    <w:p w14:paraId="692C8566">
      <w:pPr>
        <w:pStyle w:val="41"/>
        <w:rPr>
          <w:rFonts w:hint="eastAsia" w:ascii="宋体" w:hAnsi="宋体" w:cs="宋体"/>
          <w:bCs/>
          <w:color w:val="000000" w:themeColor="text1"/>
          <w:highlight w:val="none"/>
          <w:lang w:val="zh-CN"/>
          <w14:textFill>
            <w14:solidFill>
              <w14:schemeClr w14:val="tx1"/>
            </w14:solidFill>
          </w14:textFill>
        </w:rPr>
      </w:pPr>
    </w:p>
    <w:p w14:paraId="4887B406">
      <w:pPr>
        <w:rPr>
          <w:rFonts w:hint="eastAsia" w:ascii="宋体" w:hAnsi="宋体" w:cs="宋体"/>
          <w:bCs/>
          <w:color w:val="000000" w:themeColor="text1"/>
          <w:highlight w:val="none"/>
          <w:lang w:val="zh-CN"/>
          <w14:textFill>
            <w14:solidFill>
              <w14:schemeClr w14:val="tx1"/>
            </w14:solidFill>
          </w14:textFill>
        </w:rPr>
      </w:pPr>
    </w:p>
    <w:p w14:paraId="6DC4A965">
      <w:pPr>
        <w:pStyle w:val="41"/>
        <w:rPr>
          <w:rFonts w:hint="eastAsia"/>
          <w:color w:val="000000" w:themeColor="text1"/>
          <w:highlight w:val="none"/>
          <w:lang w:val="zh-CN"/>
          <w14:textFill>
            <w14:solidFill>
              <w14:schemeClr w14:val="tx1"/>
            </w14:solidFill>
          </w14:textFill>
        </w:rPr>
      </w:pPr>
    </w:p>
    <w:p w14:paraId="0C79E881">
      <w:pPr>
        <w:pStyle w:val="3"/>
        <w:spacing w:line="240" w:lineRule="auto"/>
        <w:ind w:firstLine="402"/>
        <w:jc w:val="center"/>
        <w:rPr>
          <w:rFonts w:hint="eastAsia"/>
          <w:color w:val="000000" w:themeColor="text1"/>
          <w:sz w:val="32"/>
          <w:szCs w:val="32"/>
          <w:highlight w:val="none"/>
          <w14:textFill>
            <w14:solidFill>
              <w14:schemeClr w14:val="tx1"/>
            </w14:solidFill>
          </w14:textFill>
        </w:rPr>
      </w:pPr>
    </w:p>
    <w:p w14:paraId="05D10848">
      <w:pPr>
        <w:rPr>
          <w:rFonts w:hint="eastAsia"/>
          <w:color w:val="000000" w:themeColor="text1"/>
          <w:highlight w:val="none"/>
          <w14:textFill>
            <w14:solidFill>
              <w14:schemeClr w14:val="tx1"/>
            </w14:solidFill>
          </w14:textFill>
        </w:rPr>
      </w:pPr>
    </w:p>
    <w:p w14:paraId="68961669">
      <w:pPr>
        <w:rPr>
          <w:rFonts w:hint="eastAsia"/>
          <w:color w:val="000000" w:themeColor="text1"/>
          <w:highlight w:val="none"/>
          <w14:textFill>
            <w14:solidFill>
              <w14:schemeClr w14:val="tx1"/>
            </w14:solidFill>
          </w14:textFill>
        </w:rPr>
      </w:pPr>
    </w:p>
    <w:p w14:paraId="31F45CE9">
      <w:pPr>
        <w:rPr>
          <w:rFonts w:hint="eastAsia"/>
          <w:color w:val="000000" w:themeColor="text1"/>
          <w:highlight w:val="none"/>
          <w14:textFill>
            <w14:solidFill>
              <w14:schemeClr w14:val="tx1"/>
            </w14:solidFill>
          </w14:textFill>
        </w:rPr>
      </w:pPr>
    </w:p>
    <w:p w14:paraId="42499D31">
      <w:pPr>
        <w:rPr>
          <w:rFonts w:hint="eastAsia"/>
          <w:color w:val="000000" w:themeColor="text1"/>
          <w:highlight w:val="none"/>
          <w14:textFill>
            <w14:solidFill>
              <w14:schemeClr w14:val="tx1"/>
            </w14:solidFill>
          </w14:textFill>
        </w:rPr>
      </w:pPr>
    </w:p>
    <w:p w14:paraId="589F5C10">
      <w:pPr>
        <w:pStyle w:val="3"/>
        <w:spacing w:line="240" w:lineRule="auto"/>
        <w:ind w:firstLine="402"/>
        <w:jc w:val="center"/>
        <w:rPr>
          <w:rFonts w:hint="eastAsia"/>
          <w:color w:val="000000" w:themeColor="text1"/>
          <w:sz w:val="32"/>
          <w:szCs w:val="32"/>
          <w:highlight w:val="none"/>
          <w14:textFill>
            <w14:solidFill>
              <w14:schemeClr w14:val="tx1"/>
            </w14:solidFill>
          </w14:textFill>
        </w:rPr>
        <w:sectPr>
          <w:footerReference r:id="rId9" w:type="default"/>
          <w:pgSz w:w="11906" w:h="16838"/>
          <w:pgMar w:top="1440" w:right="935" w:bottom="1440" w:left="779" w:header="851" w:footer="992" w:gutter="0"/>
          <w:pgNumType w:fmt="numberInDash" w:start="1"/>
          <w:cols w:space="720" w:num="1"/>
        </w:sectPr>
      </w:pPr>
      <w:bookmarkStart w:id="12" w:name="_Toc26371"/>
    </w:p>
    <w:p w14:paraId="5A4601D0">
      <w:pPr>
        <w:pStyle w:val="3"/>
        <w:spacing w:line="240" w:lineRule="auto"/>
        <w:ind w:firstLine="402"/>
        <w:jc w:val="center"/>
        <w:rPr>
          <w:rFonts w:hint="eastAsia"/>
          <w:color w:val="000000" w:themeColor="text1"/>
          <w:sz w:val="32"/>
          <w:szCs w:val="32"/>
          <w:highlight w:val="none"/>
          <w14:textFill>
            <w14:solidFill>
              <w14:schemeClr w14:val="tx1"/>
            </w14:solidFill>
          </w14:textFill>
        </w:rPr>
      </w:pPr>
      <w:bookmarkStart w:id="13" w:name="_Toc19241"/>
      <w:r>
        <w:rPr>
          <w:rFonts w:hint="eastAsia"/>
          <w:color w:val="000000" w:themeColor="text1"/>
          <w:sz w:val="32"/>
          <w:szCs w:val="32"/>
          <w:highlight w:val="none"/>
          <w14:textFill>
            <w14:solidFill>
              <w14:schemeClr w14:val="tx1"/>
            </w14:solidFill>
          </w14:textFill>
        </w:rPr>
        <w:t>第一章 竞争性谈判公告</w:t>
      </w:r>
      <w:bookmarkEnd w:id="0"/>
      <w:bookmarkEnd w:id="1"/>
      <w:bookmarkEnd w:id="2"/>
      <w:bookmarkEnd w:id="3"/>
      <w:bookmarkEnd w:id="4"/>
      <w:bookmarkEnd w:id="5"/>
      <w:bookmarkEnd w:id="6"/>
      <w:bookmarkEnd w:id="7"/>
      <w:bookmarkEnd w:id="8"/>
      <w:bookmarkEnd w:id="9"/>
      <w:bookmarkEnd w:id="10"/>
      <w:bookmarkEnd w:id="11"/>
      <w:bookmarkEnd w:id="12"/>
      <w:bookmarkEnd w:id="13"/>
      <w:bookmarkStart w:id="14" w:name="_Toc28359012"/>
      <w:bookmarkStart w:id="15" w:name="_Toc35393798"/>
      <w:bookmarkStart w:id="16" w:name="_Toc28359089"/>
      <w:bookmarkStart w:id="17" w:name="_Toc35393629"/>
    </w:p>
    <w:tbl>
      <w:tblPr>
        <w:tblStyle w:val="42"/>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78AA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0220" w:type="dxa"/>
            <w:noWrap w:val="0"/>
            <w:vAlign w:val="top"/>
          </w:tcPr>
          <w:p w14:paraId="77C87A6A">
            <w:pPr>
              <w:spacing w:line="38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项目概况</w:t>
            </w:r>
          </w:p>
          <w:p w14:paraId="2464D2FA">
            <w:pPr>
              <w:spacing w:line="40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桂林市政府集中采购中心受</w:t>
            </w:r>
            <w:r>
              <w:rPr>
                <w:rFonts w:hint="eastAsia" w:ascii="宋体" w:hAnsi="宋体" w:cs="宋体"/>
                <w:color w:val="000000" w:themeColor="text1"/>
                <w:sz w:val="24"/>
                <w:highlight w:val="none"/>
                <w:u w:val="single"/>
                <w:lang w:eastAsia="zh-CN"/>
                <w14:textFill>
                  <w14:solidFill>
                    <w14:schemeClr w14:val="tx1"/>
                  </w14:solidFill>
                </w14:textFill>
              </w:rPr>
              <w:t>桂林市叠彩区教育局</w:t>
            </w:r>
            <w:r>
              <w:rPr>
                <w:rFonts w:hint="eastAsia" w:ascii="宋体" w:hAnsi="宋体" w:cs="宋体"/>
                <w:color w:val="000000" w:themeColor="text1"/>
                <w:sz w:val="24"/>
                <w:highlight w:val="none"/>
                <w14:textFill>
                  <w14:solidFill>
                    <w14:schemeClr w14:val="tx1"/>
                  </w14:solidFill>
                </w14:textFill>
              </w:rPr>
              <w:t>委托，根据《中华人民共和国政府采购法》《中华人民共和国政府采购法实施条例》《政府采购非招标采购方式管理办法》等规定，现就</w:t>
            </w:r>
            <w:r>
              <w:rPr>
                <w:rFonts w:hint="eastAsia" w:ascii="宋体" w:hAnsi="宋体" w:cs="宋体"/>
                <w:color w:val="000000" w:themeColor="text1"/>
                <w:sz w:val="24"/>
                <w:highlight w:val="none"/>
                <w:u w:val="single"/>
                <w:lang w:eastAsia="zh-CN"/>
                <w14:textFill>
                  <w14:solidFill>
                    <w14:schemeClr w14:val="tx1"/>
                  </w14:solidFill>
                </w14:textFill>
              </w:rPr>
              <w:t>2026年支持学前教育发展中央和自治区资金设备采购项目</w:t>
            </w:r>
            <w:r>
              <w:rPr>
                <w:rFonts w:hint="eastAsia" w:ascii="宋体" w:hAnsi="宋体" w:cs="宋体"/>
                <w:color w:val="000000" w:themeColor="text1"/>
                <w:sz w:val="24"/>
                <w:highlight w:val="none"/>
                <w14:textFill>
                  <w14:solidFill>
                    <w14:schemeClr w14:val="tx1"/>
                  </w14:solidFill>
                </w14:textFill>
              </w:rPr>
              <w:t>进行竞争性谈判采购，欢迎符合条件的供应商前来参加谈判活动，并于</w:t>
            </w:r>
            <w:r>
              <w:rPr>
                <w:rFonts w:hint="eastAsia" w:ascii="宋体" w:hAnsi="宋体" w:cs="宋体"/>
                <w:color w:val="000000" w:themeColor="text1"/>
                <w:sz w:val="24"/>
                <w:highlight w:val="none"/>
                <w:lang w:eastAsia="zh-CN"/>
                <w14:textFill>
                  <w14:solidFill>
                    <w14:schemeClr w14:val="tx1"/>
                  </w14:solidFill>
                </w14:textFill>
              </w:rPr>
              <w:t>2026年6月17日</w:t>
            </w:r>
            <w:r>
              <w:rPr>
                <w:rFonts w:hint="eastAsia" w:ascii="宋体" w:hAnsi="宋体" w:cs="宋体"/>
                <w:color w:val="000000" w:themeColor="text1"/>
                <w:sz w:val="24"/>
                <w:highlight w:val="none"/>
                <w14:textFill>
                  <w14:solidFill>
                    <w14:schemeClr w14:val="tx1"/>
                  </w14:solidFill>
                </w14:textFill>
              </w:rPr>
              <w:t>9点30分（北京时间）前提交响应文件。现将本次竞争性谈判的有关事项公告如下：</w:t>
            </w:r>
          </w:p>
        </w:tc>
      </w:tr>
    </w:tbl>
    <w:p w14:paraId="748D139B">
      <w:pPr>
        <w:pStyle w:val="18"/>
        <w:rPr>
          <w:color w:val="000000" w:themeColor="text1"/>
          <w:highlight w:val="none"/>
          <w14:textFill>
            <w14:solidFill>
              <w14:schemeClr w14:val="tx1"/>
            </w14:solidFill>
          </w14:textFill>
        </w:rPr>
      </w:pPr>
    </w:p>
    <w:p w14:paraId="540B0510">
      <w:pPr>
        <w:spacing w:line="360" w:lineRule="exact"/>
        <w:ind w:firstLine="48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一、项目基本情况</w:t>
      </w:r>
      <w:bookmarkEnd w:id="14"/>
      <w:bookmarkEnd w:id="15"/>
      <w:bookmarkEnd w:id="16"/>
      <w:bookmarkEnd w:id="17"/>
    </w:p>
    <w:p w14:paraId="541C93F4">
      <w:pPr>
        <w:spacing w:line="360" w:lineRule="exact"/>
        <w:ind w:firstLine="48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GLZC2026-J1-990205-GLSZ</w:t>
      </w:r>
    </w:p>
    <w:p w14:paraId="77EFD04D">
      <w:pPr>
        <w:spacing w:line="360" w:lineRule="exact"/>
        <w:ind w:firstLine="480"/>
        <w:jc w:val="left"/>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2026年支持学前教育发展中央和自治区资金设备采购项目</w:t>
      </w:r>
    </w:p>
    <w:p w14:paraId="137AA515">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采购方式：竞争性谈判</w:t>
      </w:r>
    </w:p>
    <w:p w14:paraId="601CE345">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预算金额：人民币伍拾万元整（¥500000.00）</w:t>
      </w:r>
      <w:r>
        <w:rPr>
          <w:rFonts w:hint="eastAsia" w:ascii="宋体" w:hAnsi="宋体" w:cs="宋体"/>
          <w:color w:val="000000" w:themeColor="text1"/>
          <w:sz w:val="24"/>
          <w:highlight w:val="none"/>
          <w14:textFill>
            <w14:solidFill>
              <w14:schemeClr w14:val="tx1"/>
            </w14:solidFill>
          </w14:textFill>
        </w:rPr>
        <w:t>。</w:t>
      </w:r>
    </w:p>
    <w:p w14:paraId="31848286">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采购需求：</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577"/>
        <w:gridCol w:w="1105"/>
        <w:gridCol w:w="1145"/>
        <w:gridCol w:w="2479"/>
      </w:tblGrid>
      <w:tr w14:paraId="56CB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5" w:type="dxa"/>
            <w:noWrap w:val="0"/>
            <w:vAlign w:val="center"/>
          </w:tcPr>
          <w:p w14:paraId="50934D8A">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项号</w:t>
            </w:r>
          </w:p>
        </w:tc>
        <w:tc>
          <w:tcPr>
            <w:tcW w:w="2577" w:type="dxa"/>
            <w:noWrap w:val="0"/>
            <w:vAlign w:val="center"/>
          </w:tcPr>
          <w:p w14:paraId="52A9CE85">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1105" w:type="dxa"/>
            <w:noWrap w:val="0"/>
            <w:vAlign w:val="center"/>
          </w:tcPr>
          <w:p w14:paraId="5B4817AC">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1145" w:type="dxa"/>
            <w:noWrap w:val="0"/>
            <w:vAlign w:val="center"/>
          </w:tcPr>
          <w:p w14:paraId="724CF6F9">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2479" w:type="dxa"/>
            <w:noWrap w:val="0"/>
            <w:vAlign w:val="center"/>
          </w:tcPr>
          <w:p w14:paraId="6F095CCE">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主要技术参数</w:t>
            </w:r>
          </w:p>
        </w:tc>
      </w:tr>
      <w:tr w14:paraId="3309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5" w:type="dxa"/>
            <w:noWrap w:val="0"/>
            <w:vAlign w:val="center"/>
          </w:tcPr>
          <w:p w14:paraId="0A5853AC">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577" w:type="dxa"/>
            <w:noWrap w:val="0"/>
            <w:vAlign w:val="center"/>
          </w:tcPr>
          <w:p w14:paraId="24333CAE">
            <w:pPr>
              <w:spacing w:line="36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2026年支持学前教育发展中央和自治区资金设备采购项目</w:t>
            </w:r>
          </w:p>
        </w:tc>
        <w:tc>
          <w:tcPr>
            <w:tcW w:w="1105" w:type="dxa"/>
            <w:noWrap w:val="0"/>
            <w:vAlign w:val="center"/>
          </w:tcPr>
          <w:p w14:paraId="3EE06036">
            <w:pPr>
              <w:pStyle w:val="237"/>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批</w:t>
            </w:r>
          </w:p>
        </w:tc>
        <w:tc>
          <w:tcPr>
            <w:tcW w:w="1145" w:type="dxa"/>
            <w:noWrap w:val="0"/>
            <w:vAlign w:val="center"/>
          </w:tcPr>
          <w:p w14:paraId="5BCC8764">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479" w:type="dxa"/>
            <w:noWrap w:val="0"/>
            <w:vAlign w:val="center"/>
          </w:tcPr>
          <w:p w14:paraId="3E4B5198">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详见竞争性谈判文件</w:t>
            </w:r>
          </w:p>
        </w:tc>
      </w:tr>
    </w:tbl>
    <w:p w14:paraId="4F94AC49">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采购需求的详细内容，详见竞争性谈判文件。</w:t>
      </w:r>
    </w:p>
    <w:p w14:paraId="122EEB82">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合同履行期限：自合同签订之日起至成交供应商承诺免费保修期满。</w:t>
      </w:r>
    </w:p>
    <w:p w14:paraId="7ECD233A">
      <w:pPr>
        <w:spacing w:line="360" w:lineRule="exact"/>
        <w:ind w:firstLine="48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本项目不接受联合体参与谈判。</w:t>
      </w:r>
    </w:p>
    <w:p w14:paraId="49FE84BC">
      <w:pPr>
        <w:spacing w:line="360" w:lineRule="exact"/>
        <w:ind w:firstLine="480"/>
        <w:jc w:val="left"/>
        <w:rPr>
          <w:rFonts w:hint="eastAsia"/>
          <w:color w:val="000000" w:themeColor="text1"/>
          <w:sz w:val="24"/>
          <w:highlight w:val="none"/>
          <w14:textFill>
            <w14:solidFill>
              <w14:schemeClr w14:val="tx1"/>
            </w14:solidFill>
          </w14:textFill>
        </w:rPr>
      </w:pPr>
      <w:bookmarkStart w:id="18" w:name="_Toc35393630"/>
      <w:bookmarkStart w:id="19" w:name="_Toc35393799"/>
      <w:bookmarkStart w:id="20" w:name="_Toc28359090"/>
      <w:bookmarkStart w:id="21" w:name="_Toc28359013"/>
      <w:r>
        <w:rPr>
          <w:rFonts w:hint="eastAsia"/>
          <w:color w:val="000000" w:themeColor="text1"/>
          <w:sz w:val="24"/>
          <w:highlight w:val="none"/>
          <w14:textFill>
            <w14:solidFill>
              <w14:schemeClr w14:val="tx1"/>
            </w14:solidFill>
          </w14:textFill>
        </w:rPr>
        <w:t>二、申请人的资格要求：</w:t>
      </w:r>
      <w:bookmarkEnd w:id="18"/>
      <w:bookmarkEnd w:id="19"/>
      <w:bookmarkEnd w:id="20"/>
      <w:bookmarkEnd w:id="21"/>
    </w:p>
    <w:p w14:paraId="55B221AD">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bookmarkStart w:id="22" w:name="_Toc28359014"/>
      <w:bookmarkStart w:id="23" w:name="_Toc28359091"/>
      <w:r>
        <w:rPr>
          <w:rFonts w:hint="eastAsia" w:ascii="宋体" w:hAnsi="宋体" w:cs="宋体"/>
          <w:color w:val="000000" w:themeColor="text1"/>
          <w:sz w:val="24"/>
          <w:highlight w:val="none"/>
          <w14:textFill>
            <w14:solidFill>
              <w14:schemeClr w14:val="tx1"/>
            </w14:solidFill>
          </w14:textFill>
        </w:rPr>
        <w:t>1.满足《中华人民共和国政府采购法》第二十二条规定；</w:t>
      </w:r>
    </w:p>
    <w:p w14:paraId="10FF7C6D">
      <w:pPr>
        <w:spacing w:line="360" w:lineRule="exact"/>
        <w:ind w:firstLine="480"/>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2.被列入失信被执行人、</w:t>
      </w:r>
      <w:r>
        <w:rPr>
          <w:rFonts w:hint="eastAsia" w:ascii="宋体" w:hAnsi="宋体" w:cs="宋体"/>
          <w:color w:val="000000" w:themeColor="text1"/>
          <w:sz w:val="24"/>
          <w:highlight w:val="none"/>
          <w:lang w:eastAsia="zh-CN"/>
          <w14:textFill>
            <w14:solidFill>
              <w14:schemeClr w14:val="tx1"/>
            </w14:solidFill>
          </w14:textFill>
        </w:rPr>
        <w:t>重大税收违法失信主体名单</w:t>
      </w:r>
      <w:r>
        <w:rPr>
          <w:rFonts w:hint="eastAsia" w:ascii="宋体" w:hAnsi="宋体" w:cs="宋体"/>
          <w:color w:val="000000" w:themeColor="text1"/>
          <w:sz w:val="24"/>
          <w:highlight w:val="none"/>
          <w14:textFill>
            <w14:solidFill>
              <w14:schemeClr w14:val="tx1"/>
            </w14:solidFill>
          </w14:textFill>
        </w:rPr>
        <w:t>、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2D309E98">
      <w:pPr>
        <w:spacing w:line="38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3.落实政府采购政策需满足的资格要求：</w:t>
      </w:r>
      <w:r>
        <w:rPr>
          <w:rFonts w:hint="eastAsia" w:ascii="宋体" w:hAnsi="宋体" w:cs="宋体"/>
          <w:b/>
          <w:bCs/>
          <w:color w:val="000000" w:themeColor="text1"/>
          <w:sz w:val="24"/>
          <w:highlight w:val="none"/>
          <w14:textFill>
            <w14:solidFill>
              <w14:schemeClr w14:val="tx1"/>
            </w14:solidFill>
          </w14:textFill>
        </w:rPr>
        <w:t>无</w:t>
      </w:r>
    </w:p>
    <w:p w14:paraId="19F0B9AC">
      <w:pPr>
        <w:spacing w:line="360" w:lineRule="exact"/>
        <w:ind w:firstLine="480"/>
        <w:jc w:val="left"/>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4.本项目的特定资格要求：</w:t>
      </w:r>
      <w:bookmarkEnd w:id="22"/>
      <w:bookmarkEnd w:id="23"/>
      <w:bookmarkStart w:id="24" w:name="_Toc35393800"/>
      <w:bookmarkStart w:id="25" w:name="_Toc35393631"/>
      <w:r>
        <w:rPr>
          <w:rFonts w:hint="eastAsia" w:ascii="宋体" w:hAnsi="宋体" w:cs="宋体"/>
          <w:b/>
          <w:bCs/>
          <w:color w:val="000000" w:themeColor="text1"/>
          <w:sz w:val="24"/>
          <w:highlight w:val="none"/>
          <w14:textFill>
            <w14:solidFill>
              <w14:schemeClr w14:val="tx1"/>
            </w14:solidFill>
          </w14:textFill>
        </w:rPr>
        <w:t>无</w:t>
      </w:r>
    </w:p>
    <w:p w14:paraId="2000DD47">
      <w:pPr>
        <w:numPr>
          <w:ilvl w:val="0"/>
          <w:numId w:val="1"/>
        </w:numPr>
        <w:spacing w:line="360" w:lineRule="exact"/>
        <w:ind w:firstLine="48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获取采购文件</w:t>
      </w:r>
      <w:bookmarkEnd w:id="24"/>
      <w:bookmarkEnd w:id="25"/>
    </w:p>
    <w:p w14:paraId="32FDF0AF">
      <w:pPr>
        <w:spacing w:line="36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1.采购文件获取时间：</w:t>
      </w:r>
      <w:r>
        <w:rPr>
          <w:rFonts w:hint="eastAsia" w:ascii="宋体" w:hAnsi="宋体" w:cs="宋体"/>
          <w:color w:val="000000" w:themeColor="text1"/>
          <w:sz w:val="24"/>
          <w:highlight w:val="none"/>
          <w:lang w:eastAsia="zh-CN"/>
          <w14:textFill>
            <w14:solidFill>
              <w14:schemeClr w14:val="tx1"/>
            </w14:solidFill>
          </w14:textFill>
        </w:rPr>
        <w:t>2026年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lang w:eastAsia="zh-CN"/>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lang w:eastAsia="zh-CN"/>
          <w14:textFill>
            <w14:solidFill>
              <w14:schemeClr w14:val="tx1"/>
            </w14:solidFill>
          </w14:textFill>
        </w:rPr>
        <w:t>2026年6月17日</w:t>
      </w:r>
      <w:r>
        <w:rPr>
          <w:rFonts w:hint="eastAsia" w:ascii="宋体" w:hAnsi="宋体" w:cs="宋体"/>
          <w:color w:val="000000" w:themeColor="text1"/>
          <w:sz w:val="24"/>
          <w:highlight w:val="none"/>
          <w14:textFill>
            <w14:solidFill>
              <w14:schemeClr w14:val="tx1"/>
            </w14:solidFill>
          </w14:textFill>
        </w:rPr>
        <w:t xml:space="preserve">9时30分止。   </w:t>
      </w:r>
    </w:p>
    <w:p w14:paraId="6C70C40D">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2.采购文件的获取地点及方式：潜在供应商请登录广西政府采购云平台获取该项目竞争性谈判文件。</w:t>
      </w:r>
    </w:p>
    <w:p w14:paraId="55E43C83">
      <w:pPr>
        <w:pStyle w:val="18"/>
        <w:spacing w:line="360" w:lineRule="exact"/>
        <w:ind w:firstLine="480"/>
        <w:jc w:val="left"/>
        <w:rPr>
          <w:rFonts w:hint="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3.采购文件售价：本项目采购文件不收取费用。</w:t>
      </w:r>
    </w:p>
    <w:p w14:paraId="47BD4A6E">
      <w:pPr>
        <w:numPr>
          <w:ilvl w:val="0"/>
          <w:numId w:val="2"/>
        </w:numPr>
        <w:spacing w:line="360" w:lineRule="exact"/>
        <w:ind w:firstLine="480"/>
        <w:jc w:val="left"/>
        <w:rPr>
          <w:rFonts w:hint="eastAsia"/>
          <w:color w:val="000000" w:themeColor="text1"/>
          <w:sz w:val="24"/>
          <w:highlight w:val="none"/>
          <w14:textFill>
            <w14:solidFill>
              <w14:schemeClr w14:val="tx1"/>
            </w14:solidFill>
          </w14:textFill>
        </w:rPr>
      </w:pPr>
      <w:bookmarkStart w:id="26" w:name="_Toc35393632"/>
      <w:bookmarkStart w:id="27" w:name="_Toc28359015"/>
      <w:bookmarkStart w:id="28" w:name="_Toc35393801"/>
      <w:bookmarkStart w:id="29" w:name="_Toc28359092"/>
      <w:r>
        <w:rPr>
          <w:rFonts w:hint="eastAsia"/>
          <w:color w:val="000000" w:themeColor="text1"/>
          <w:sz w:val="24"/>
          <w:highlight w:val="none"/>
          <w14:textFill>
            <w14:solidFill>
              <w14:schemeClr w14:val="tx1"/>
            </w14:solidFill>
          </w14:textFill>
        </w:rPr>
        <w:t>响应文件</w:t>
      </w:r>
      <w:bookmarkEnd w:id="26"/>
      <w:bookmarkEnd w:id="27"/>
      <w:bookmarkEnd w:id="28"/>
      <w:bookmarkEnd w:id="29"/>
      <w:r>
        <w:rPr>
          <w:rFonts w:hint="eastAsia"/>
          <w:color w:val="000000" w:themeColor="text1"/>
          <w:sz w:val="24"/>
          <w:highlight w:val="none"/>
          <w14:textFill>
            <w14:solidFill>
              <w14:schemeClr w14:val="tx1"/>
            </w14:solidFill>
          </w14:textFill>
        </w:rPr>
        <w:t>递交时间和地点</w:t>
      </w:r>
    </w:p>
    <w:p w14:paraId="61B02E88">
      <w:pPr>
        <w:spacing w:line="360" w:lineRule="exact"/>
        <w:ind w:firstLine="480"/>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响应文件递交截止时间：</w:t>
      </w:r>
      <w:r>
        <w:rPr>
          <w:rFonts w:hint="eastAsia" w:ascii="宋体" w:hAnsi="宋体" w:cs="宋体"/>
          <w:color w:val="000000" w:themeColor="text1"/>
          <w:sz w:val="24"/>
          <w:highlight w:val="none"/>
          <w:u w:val="single"/>
          <w:lang w:eastAsia="zh-CN"/>
          <w14:textFill>
            <w14:solidFill>
              <w14:schemeClr w14:val="tx1"/>
            </w14:solidFill>
          </w14:textFill>
        </w:rPr>
        <w:t>2026年6月17日</w:t>
      </w:r>
      <w:r>
        <w:rPr>
          <w:rFonts w:hint="eastAsia" w:ascii="宋体" w:hAnsi="宋体" w:cs="宋体"/>
          <w:color w:val="000000" w:themeColor="text1"/>
          <w:sz w:val="24"/>
          <w:highlight w:val="none"/>
          <w:u w:val="single"/>
          <w14:textFill>
            <w14:solidFill>
              <w14:schemeClr w14:val="tx1"/>
            </w14:solidFill>
          </w14:textFill>
        </w:rPr>
        <w:t>9点30分</w:t>
      </w:r>
      <w:r>
        <w:rPr>
          <w:rFonts w:hint="eastAsia" w:ascii="宋体" w:hAnsi="宋体" w:cs="宋体"/>
          <w:color w:val="000000" w:themeColor="text1"/>
          <w:sz w:val="24"/>
          <w:highlight w:val="none"/>
          <w14:textFill>
            <w14:solidFill>
              <w14:schemeClr w14:val="tx1"/>
            </w14:solidFill>
          </w14:textFill>
        </w:rPr>
        <w:t>（北京时间）</w:t>
      </w:r>
    </w:p>
    <w:p w14:paraId="1C46CFE1">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地点：通过广西政府采购云平台实行在线响应。</w:t>
      </w:r>
    </w:p>
    <w:p w14:paraId="1DFD03D0">
      <w:pPr>
        <w:numPr>
          <w:ilvl w:val="0"/>
          <w:numId w:val="2"/>
        </w:num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开启</w:t>
      </w:r>
    </w:p>
    <w:p w14:paraId="6F298E78">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u w:val="single"/>
          <w:lang w:eastAsia="zh-CN"/>
          <w14:textFill>
            <w14:solidFill>
              <w14:schemeClr w14:val="tx1"/>
            </w14:solidFill>
          </w14:textFill>
        </w:rPr>
        <w:t>2026年6月17日</w:t>
      </w:r>
      <w:r>
        <w:rPr>
          <w:rFonts w:hint="eastAsia" w:ascii="宋体" w:hAnsi="宋体" w:cs="宋体"/>
          <w:color w:val="000000" w:themeColor="text1"/>
          <w:sz w:val="24"/>
          <w:highlight w:val="none"/>
          <w:u w:val="single"/>
          <w14:textFill>
            <w14:solidFill>
              <w14:schemeClr w14:val="tx1"/>
            </w14:solidFill>
          </w14:textFill>
        </w:rPr>
        <w:t>9点30分</w:t>
      </w:r>
      <w:r>
        <w:rPr>
          <w:rFonts w:hint="eastAsia" w:ascii="宋体" w:hAnsi="宋体" w:cs="宋体"/>
          <w:color w:val="000000" w:themeColor="text1"/>
          <w:sz w:val="24"/>
          <w:highlight w:val="none"/>
          <w14:textFill>
            <w14:solidFill>
              <w14:schemeClr w14:val="tx1"/>
            </w14:solidFill>
          </w14:textFill>
        </w:rPr>
        <w:t>（北京时间）截标后。</w:t>
      </w:r>
    </w:p>
    <w:p w14:paraId="7E9B6E3E">
      <w:pPr>
        <w:spacing w:line="360" w:lineRule="exact"/>
        <w:ind w:firstLine="480"/>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地点：</w:t>
      </w:r>
      <w:bookmarkStart w:id="30" w:name="OLE_LINK1"/>
      <w:r>
        <w:rPr>
          <w:rFonts w:hint="eastAsia" w:ascii="宋体" w:hAnsi="宋体" w:cs="宋体"/>
          <w:color w:val="000000" w:themeColor="text1"/>
          <w:sz w:val="24"/>
          <w:highlight w:val="none"/>
          <w14:textFill>
            <w14:solidFill>
              <w14:schemeClr w14:val="tx1"/>
            </w14:solidFill>
          </w14:textFill>
        </w:rPr>
        <w:t>桂林市公共资源交易中心</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lang w:eastAsia="zh-CN"/>
          <w14:textFill>
            <w14:solidFill>
              <w14:schemeClr w14:val="tx1"/>
            </w14:solidFill>
          </w14:textFill>
        </w:rPr>
        <w:t>号</w:t>
      </w:r>
      <w:bookmarkEnd w:id="30"/>
      <w:r>
        <w:rPr>
          <w:rFonts w:hint="eastAsia" w:ascii="宋体" w:hAnsi="宋体" w:cs="宋体"/>
          <w:color w:val="000000" w:themeColor="text1"/>
          <w:sz w:val="24"/>
          <w:highlight w:val="none"/>
          <w:u w:val="single"/>
          <w:lang w:eastAsia="zh-CN"/>
          <w14:textFill>
            <w14:solidFill>
              <w14:schemeClr w14:val="tx1"/>
            </w14:solidFill>
          </w14:textFill>
        </w:rPr>
        <w:t>开标室（</w:t>
      </w:r>
      <w:r>
        <w:rPr>
          <w:rFonts w:hint="eastAsia" w:ascii="宋体" w:hAnsi="宋体" w:cs="宋体"/>
          <w:color w:val="000000" w:themeColor="text1"/>
          <w:sz w:val="24"/>
          <w:highlight w:val="none"/>
          <w:u w:val="single"/>
          <w:lang w:val="en-US" w:eastAsia="zh-CN"/>
          <w14:textFill>
            <w14:solidFill>
              <w14:schemeClr w14:val="tx1"/>
            </w14:solidFill>
          </w14:textFill>
        </w:rPr>
        <w:t>3号仓</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通过广西政府采购云平台实行在线解密开启。</w:t>
      </w:r>
    </w:p>
    <w:p w14:paraId="6C6F0DD5">
      <w:pPr>
        <w:numPr>
          <w:ilvl w:val="0"/>
          <w:numId w:val="2"/>
        </w:numPr>
        <w:spacing w:line="360" w:lineRule="exact"/>
        <w:ind w:firstLine="480"/>
        <w:jc w:val="left"/>
        <w:rPr>
          <w:rFonts w:hint="eastAsia"/>
          <w:color w:val="000000" w:themeColor="text1"/>
          <w:sz w:val="24"/>
          <w:highlight w:val="none"/>
          <w14:textFill>
            <w14:solidFill>
              <w14:schemeClr w14:val="tx1"/>
            </w14:solidFill>
          </w14:textFill>
        </w:rPr>
      </w:pPr>
      <w:bookmarkStart w:id="31" w:name="_Toc28359094"/>
      <w:bookmarkStart w:id="32" w:name="_Toc35393803"/>
      <w:bookmarkStart w:id="33" w:name="_Toc28359017"/>
      <w:bookmarkStart w:id="34" w:name="_Toc35393634"/>
      <w:r>
        <w:rPr>
          <w:rFonts w:hint="eastAsia"/>
          <w:color w:val="000000" w:themeColor="text1"/>
          <w:sz w:val="24"/>
          <w:highlight w:val="none"/>
          <w14:textFill>
            <w14:solidFill>
              <w14:schemeClr w14:val="tx1"/>
            </w14:solidFill>
          </w14:textFill>
        </w:rPr>
        <w:t>公告期限</w:t>
      </w:r>
      <w:bookmarkEnd w:id="31"/>
      <w:bookmarkEnd w:id="32"/>
      <w:bookmarkEnd w:id="33"/>
      <w:bookmarkEnd w:id="34"/>
    </w:p>
    <w:p w14:paraId="0DD5ECA2">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自本公告发布之日起5个工作日。</w:t>
      </w:r>
    </w:p>
    <w:p w14:paraId="20987B07">
      <w:pPr>
        <w:spacing w:line="360" w:lineRule="exact"/>
        <w:ind w:firstLine="480"/>
        <w:jc w:val="left"/>
        <w:rPr>
          <w:rFonts w:hint="eastAsia"/>
          <w:color w:val="000000" w:themeColor="text1"/>
          <w:sz w:val="24"/>
          <w:highlight w:val="none"/>
          <w14:textFill>
            <w14:solidFill>
              <w14:schemeClr w14:val="tx1"/>
            </w14:solidFill>
          </w14:textFill>
        </w:rPr>
      </w:pPr>
      <w:bookmarkStart w:id="35" w:name="_Toc35393804"/>
      <w:bookmarkStart w:id="36" w:name="_Toc35393635"/>
      <w:r>
        <w:rPr>
          <w:rFonts w:hint="eastAsia"/>
          <w:color w:val="000000" w:themeColor="text1"/>
          <w:sz w:val="24"/>
          <w:highlight w:val="none"/>
          <w14:textFill>
            <w14:solidFill>
              <w14:schemeClr w14:val="tx1"/>
            </w14:solidFill>
          </w14:textFill>
        </w:rPr>
        <w:t>七、其他补充事宜</w:t>
      </w:r>
      <w:bookmarkEnd w:id="35"/>
      <w:bookmarkEnd w:id="36"/>
    </w:p>
    <w:p w14:paraId="5818F64F">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 本项目无需缴纳谈判保证金。</w:t>
      </w:r>
    </w:p>
    <w:p w14:paraId="027A32C9">
      <w:pPr>
        <w:spacing w:line="36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供应商可视自身情况决定是否出席开标会议；如出席开标会议，可以由法定代表人、负责人、自然人或其委托代理人出席开标会议（出席代表需携带本人身份证原件，未携带身份证所造成一切后果，由其自行承担）。</w:t>
      </w:r>
    </w:p>
    <w:p w14:paraId="796F6777">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本项目信息发布媒体：</w:t>
      </w:r>
    </w:p>
    <w:p w14:paraId="63E24B56">
      <w:pPr>
        <w:pStyle w:val="18"/>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桂林市政府采购网（zfcg.czj.guilin.gov.cn）</w:t>
      </w:r>
    </w:p>
    <w:p w14:paraId="2C951B74">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广西壮族自治区政府采购网（www.ccgp-guangxi.gov.cn）</w:t>
      </w:r>
    </w:p>
    <w:p w14:paraId="64F8701C">
      <w:pPr>
        <w:spacing w:line="360" w:lineRule="exact"/>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中国政府采购网（www.ccgp.gov.cn）</w:t>
      </w:r>
    </w:p>
    <w:p w14:paraId="1AC70B76">
      <w:pPr>
        <w:numPr>
          <w:ilvl w:val="0"/>
          <w:numId w:val="3"/>
        </w:num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响应文件解密时间：截标时间后</w:t>
      </w:r>
      <w:r>
        <w:rPr>
          <w:rFonts w:hint="eastAsia" w:ascii="宋体" w:hAnsi="宋体" w:cs="宋体"/>
          <w:color w:val="000000" w:themeColor="text1"/>
          <w:sz w:val="24"/>
          <w:highlight w:val="none"/>
          <w:u w:val="single"/>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分钟内（</w:t>
      </w:r>
      <w:r>
        <w:rPr>
          <w:rFonts w:hint="eastAsia" w:ascii="宋体" w:hAnsi="宋体" w:cs="宋体"/>
          <w:color w:val="000000" w:themeColor="text1"/>
          <w:sz w:val="24"/>
          <w:highlight w:val="none"/>
          <w:u w:val="single"/>
          <w:lang w:eastAsia="zh-CN"/>
          <w14:textFill>
            <w14:solidFill>
              <w14:schemeClr w14:val="tx1"/>
            </w14:solidFill>
          </w14:textFill>
        </w:rPr>
        <w:t>2026年6月17日</w:t>
      </w:r>
      <w:r>
        <w:rPr>
          <w:rFonts w:hint="eastAsia" w:ascii="宋体" w:hAnsi="宋体" w:cs="宋体"/>
          <w:color w:val="000000" w:themeColor="text1"/>
          <w:sz w:val="24"/>
          <w:highlight w:val="none"/>
          <w:u w:val="single"/>
          <w14:textFill>
            <w14:solidFill>
              <w14:schemeClr w14:val="tx1"/>
            </w14:solidFill>
          </w14:textFill>
        </w:rPr>
        <w:t>上午9时30分至10时00分</w:t>
      </w:r>
      <w:r>
        <w:rPr>
          <w:rFonts w:hint="eastAsia" w:ascii="宋体" w:hAnsi="宋体" w:cs="宋体"/>
          <w:color w:val="000000" w:themeColor="text1"/>
          <w:sz w:val="24"/>
          <w:highlight w:val="none"/>
          <w14:textFill>
            <w14:solidFill>
              <w14:schemeClr w14:val="tx1"/>
            </w14:solidFill>
          </w14:textFill>
        </w:rPr>
        <w:t>)供应商可以登录广西政府采购云平台，用“项目采购-开标评标”功能进行解密响应文件。</w:t>
      </w:r>
    </w:p>
    <w:p w14:paraId="2070F7A2">
      <w:pPr>
        <w:pStyle w:val="18"/>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响应文件网上递交截止时间后，各供应商须在解密时限内对上传广西政府采购云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color w:val="000000" w:themeColor="text1"/>
          <w:sz w:val="24"/>
          <w:highlight w:val="none"/>
          <w14:textFill>
            <w14:solidFill>
              <w14:schemeClr w14:val="tx1"/>
            </w14:solidFill>
          </w14:textFill>
        </w:rPr>
        <w:t> </w:t>
      </w:r>
    </w:p>
    <w:p w14:paraId="56B1D985">
      <w:pPr>
        <w:pStyle w:val="241"/>
        <w:spacing w:line="360" w:lineRule="exact"/>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八、在线投标响应（电子投标）说明</w:t>
      </w:r>
    </w:p>
    <w:p w14:paraId="2DCEAA4E">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通过广西政府采购云平台实行在线投标响应（电子投标），供应商需要先安装“广西政府采购云平台客户端”，并按照本谈判文件和广西政府采购云平台的要求，通过“广西政府采购云平台客户端”编制并加密响应文件。供应商未按规定编制并加密的响应文件，广西政府采购云平台将予以拒收。</w:t>
      </w:r>
    </w:p>
    <w:p w14:paraId="77616CA3">
      <w:pPr>
        <w:pStyle w:val="241"/>
        <w:spacing w:line="360" w:lineRule="exact"/>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“广西政府采购云平台客户端”请自行前往广西政府采购网下载并安装；电子投标响应具体操作流程参考《政府采购项目电子交易管理操作指南-供应商》；在使用</w:t>
      </w:r>
      <w:r>
        <w:rPr>
          <w:rFonts w:hint="eastAsia" w:ascii="宋体" w:hAnsi="宋体" w:cs="宋体"/>
          <w:color w:val="000000" w:themeColor="text1"/>
          <w:szCs w:val="21"/>
          <w:highlight w:val="none"/>
          <w14:textFill>
            <w14:solidFill>
              <w14:schemeClr w14:val="tx1"/>
            </w14:solidFill>
          </w14:textFill>
        </w:rPr>
        <w:t>广西政府采购云</w:t>
      </w:r>
      <w:r>
        <w:rPr>
          <w:rFonts w:hint="eastAsia" w:ascii="宋体" w:hAnsi="宋体" w:cs="宋体"/>
          <w:color w:val="000000" w:themeColor="text1"/>
          <w:highlight w:val="none"/>
          <w14:textFill>
            <w14:solidFill>
              <w14:schemeClr w14:val="tx1"/>
            </w14:solidFill>
          </w14:textFill>
        </w:rPr>
        <w:t>投标客户端时，建议使用WIN7及以上操作系统,通过广西政府采购云平台参与在线投标响应时如遇平台技术问题详询95763。</w:t>
      </w:r>
    </w:p>
    <w:p w14:paraId="1B44D575">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为确保网上操作合法、有效和安全，供应商应当在响应文件递交截止时间前完成在广西政府采购云平台的身份认证，确保在电子投标响应过程中能够对相关数据电子文件进行加密和使用电子签章。使用“广西政府采购云平台客户端”需要提前申领CA数字证书，申领流程请自行前往广西政府采购云平台网站进行查阅；</w:t>
      </w:r>
      <w:r>
        <w:rPr>
          <w:rFonts w:hint="eastAsia" w:ascii="宋体" w:hAnsi="宋体" w:cs="宋体"/>
          <w:b/>
          <w:bCs/>
          <w:color w:val="000000" w:themeColor="text1"/>
          <w:sz w:val="24"/>
          <w:highlight w:val="none"/>
          <w14:textFill>
            <w14:solidFill>
              <w14:schemeClr w14:val="tx1"/>
            </w14:solidFill>
          </w14:textFill>
        </w:rPr>
        <w:t>（完成CA数字证书办理预计一周左右，建议供应商获取谈判文件后立即办理。）</w:t>
      </w:r>
    </w:p>
    <w:p w14:paraId="6CE9EE02">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应当在响应文件递交截止时间前，将生成的“响应文件”上传递交至广西政府采购云平台。响应文件递交截止时间前可以撤回电子响应文件。补充或者修改电子响应文件的，应当先行撤回原文件，补充、修改后重新传输递交，响应文件递交截止时间前未完成传输的，视为撤回响应文件。</w:t>
      </w:r>
    </w:p>
    <w:p w14:paraId="7A756AFB">
      <w:pPr>
        <w:pStyle w:val="241"/>
        <w:spacing w:line="360" w:lineRule="exact"/>
        <w:ind w:firstLine="480"/>
        <w:rPr>
          <w:rFonts w:hint="eastAsia"/>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4.</w:t>
      </w:r>
      <w:r>
        <w:rPr>
          <w:rFonts w:hint="eastAsia" w:ascii="宋体" w:hAnsi="宋体" w:cs="宋体"/>
          <w:b/>
          <w:bCs/>
          <w:color w:val="000000" w:themeColor="text1"/>
          <w:highlight w:val="none"/>
          <w:u w:val="single"/>
          <w14:textFill>
            <w14:solidFill>
              <w14:schemeClr w14:val="tx1"/>
            </w14:solidFill>
          </w14:textFill>
        </w:rPr>
        <w:t>本项目需要供应商代表在截标当天截标后，按谈判小组要求及时</w:t>
      </w:r>
      <w:r>
        <w:rPr>
          <w:rFonts w:hint="eastAsia" w:ascii="宋体" w:hAnsi="宋体" w:cs="宋体"/>
          <w:b/>
          <w:bCs/>
          <w:color w:val="000000" w:themeColor="text1"/>
          <w:highlight w:val="none"/>
          <w:u w:val="single"/>
          <w:lang w:eastAsia="zh-CN"/>
          <w14:textFill>
            <w14:solidFill>
              <w14:schemeClr w14:val="tx1"/>
            </w14:solidFill>
          </w14:textFill>
        </w:rPr>
        <w:t>登录</w:t>
      </w:r>
      <w:r>
        <w:rPr>
          <w:rFonts w:hint="eastAsia" w:ascii="宋体" w:hAnsi="宋体" w:cs="宋体"/>
          <w:b/>
          <w:bCs/>
          <w:color w:val="000000" w:themeColor="text1"/>
          <w:highlight w:val="none"/>
          <w:u w:val="single"/>
          <w14:textFill>
            <w14:solidFill>
              <w14:schemeClr w14:val="tx1"/>
            </w14:solidFill>
          </w14:textFill>
        </w:rPr>
        <w:t>广西政府采购云平台等候在线谈判及提交最后报价</w:t>
      </w:r>
      <w:r>
        <w:rPr>
          <w:rFonts w:hint="eastAsia" w:ascii="宋体" w:hAnsi="宋体" w:cs="宋体"/>
          <w:b/>
          <w:bCs/>
          <w:color w:val="000000" w:themeColor="text1"/>
          <w:highlight w:val="none"/>
          <w14:textFill>
            <w14:solidFill>
              <w14:schemeClr w14:val="tx1"/>
            </w14:solidFill>
          </w14:textFill>
        </w:rPr>
        <w:t>。</w:t>
      </w:r>
    </w:p>
    <w:p w14:paraId="2A20E394">
      <w:pPr>
        <w:pStyle w:val="241"/>
        <w:spacing w:line="360" w:lineRule="exact"/>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本采购项目为广西政府采购云全流程电子化操作，参与谈判的供应商需自备计算机和网络设备（设备需可视频通话和读取广西政府采购云CA数字证书），确保谈判过程顺利进行；因供应商自身设备或网络原因造成的一切后果，由供应商自行承担。</w:t>
      </w:r>
    </w:p>
    <w:p w14:paraId="08008F82">
      <w:pPr>
        <w:spacing w:line="360" w:lineRule="exact"/>
        <w:ind w:firstLine="480"/>
        <w:jc w:val="left"/>
        <w:rPr>
          <w:rFonts w:hint="eastAsia"/>
          <w:color w:val="000000" w:themeColor="text1"/>
          <w:sz w:val="24"/>
          <w:highlight w:val="none"/>
          <w14:textFill>
            <w14:solidFill>
              <w14:schemeClr w14:val="tx1"/>
            </w14:solidFill>
          </w14:textFill>
        </w:rPr>
      </w:pPr>
      <w:bookmarkStart w:id="37" w:name="_Toc35393805"/>
      <w:bookmarkStart w:id="38" w:name="_Toc28359018"/>
      <w:bookmarkStart w:id="39" w:name="_Toc35393636"/>
      <w:bookmarkStart w:id="40" w:name="_Toc28359095"/>
      <w:r>
        <w:rPr>
          <w:rFonts w:hint="eastAsia"/>
          <w:color w:val="000000" w:themeColor="text1"/>
          <w:sz w:val="24"/>
          <w:highlight w:val="none"/>
          <w14:textFill>
            <w14:solidFill>
              <w14:schemeClr w14:val="tx1"/>
            </w14:solidFill>
          </w14:textFill>
        </w:rPr>
        <w:t>九、凡对本次采购提出询问，请按以下方式联系。</w:t>
      </w:r>
      <w:bookmarkEnd w:id="37"/>
      <w:bookmarkEnd w:id="38"/>
      <w:bookmarkEnd w:id="39"/>
      <w:bookmarkEnd w:id="40"/>
    </w:p>
    <w:p w14:paraId="02379211">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bookmarkStart w:id="41" w:name="_Toc28359096"/>
      <w:bookmarkStart w:id="42" w:name="_Toc35393806"/>
      <w:bookmarkStart w:id="43" w:name="_Toc35393637"/>
      <w:bookmarkStart w:id="44" w:name="_Toc28359019"/>
      <w:r>
        <w:rPr>
          <w:rFonts w:hint="eastAsia" w:ascii="宋体" w:hAnsi="宋体" w:cs="宋体"/>
          <w:color w:val="000000" w:themeColor="text1"/>
          <w:sz w:val="24"/>
          <w:highlight w:val="none"/>
          <w14:textFill>
            <w14:solidFill>
              <w14:schemeClr w14:val="tx1"/>
            </w14:solidFill>
          </w14:textFill>
        </w:rPr>
        <w:t>1.采购人信息</w:t>
      </w:r>
      <w:bookmarkEnd w:id="41"/>
      <w:bookmarkEnd w:id="42"/>
      <w:bookmarkEnd w:id="43"/>
      <w:bookmarkEnd w:id="44"/>
    </w:p>
    <w:p w14:paraId="5390E871">
      <w:pPr>
        <w:spacing w:line="360" w:lineRule="exact"/>
        <w:ind w:firstLine="480"/>
        <w:jc w:val="left"/>
        <w:rPr>
          <w:rFonts w:hint="eastAsia" w:ascii="宋体" w:hAnsi="宋体" w:cs="宋体"/>
          <w:color w:val="000000" w:themeColor="text1"/>
          <w:sz w:val="24"/>
          <w:highlight w:val="none"/>
          <w:u w:val="single"/>
          <w14:textFill>
            <w14:solidFill>
              <w14:schemeClr w14:val="tx1"/>
            </w14:solidFill>
          </w14:textFill>
        </w:rPr>
      </w:pPr>
      <w:bookmarkStart w:id="45" w:name="_Toc35393638"/>
      <w:bookmarkStart w:id="46" w:name="_Toc28359097"/>
      <w:bookmarkStart w:id="47" w:name="_Toc28359020"/>
      <w:bookmarkStart w:id="48" w:name="_Toc35393807"/>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lang w:eastAsia="zh-CN"/>
          <w14:textFill>
            <w14:solidFill>
              <w14:schemeClr w14:val="tx1"/>
            </w14:solidFill>
          </w14:textFill>
        </w:rPr>
        <w:t>桂林市叠彩区教育局</w:t>
      </w:r>
      <w:r>
        <w:rPr>
          <w:rFonts w:hint="eastAsia" w:ascii="宋体" w:hAnsi="宋体" w:cs="宋体"/>
          <w:color w:val="000000" w:themeColor="text1"/>
          <w:sz w:val="24"/>
          <w:highlight w:val="none"/>
          <w:u w:val="single"/>
          <w14:textFill>
            <w14:solidFill>
              <w14:schemeClr w14:val="tx1"/>
            </w14:solidFill>
          </w14:textFill>
        </w:rPr>
        <w:t xml:space="preserve"> </w:t>
      </w:r>
    </w:p>
    <w:p w14:paraId="2C191D2F">
      <w:pPr>
        <w:spacing w:line="360" w:lineRule="exact"/>
        <w:ind w:firstLine="480"/>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fldChar w:fldCharType="begin"/>
      </w:r>
      <w:r>
        <w:rPr>
          <w:rFonts w:hint="eastAsia" w:ascii="宋体" w:hAnsi="宋体" w:cs="宋体"/>
          <w:color w:val="000000" w:themeColor="text1"/>
          <w:sz w:val="24"/>
          <w:highlight w:val="none"/>
          <w:u w:val="single"/>
          <w14:textFill>
            <w14:solidFill>
              <w14:schemeClr w14:val="tx1"/>
            </w14:solidFill>
          </w14:textFill>
        </w:rPr>
        <w:instrText xml:space="preserve"> HYPERLINK "https://map.360.cn/?pid=86398ca15e1a0b81&amp;src=onebox" \t "https://www.so.com/_blank" </w:instrText>
      </w:r>
      <w:r>
        <w:rPr>
          <w:rFonts w:hint="eastAsia" w:ascii="宋体" w:hAnsi="宋体" w:cs="宋体"/>
          <w:color w:val="000000" w:themeColor="text1"/>
          <w:sz w:val="24"/>
          <w:highlight w:val="none"/>
          <w:u w:val="single"/>
          <w14:textFill>
            <w14:solidFill>
              <w14:schemeClr w14:val="tx1"/>
            </w14:solidFill>
          </w14:textFill>
        </w:rPr>
        <w:fldChar w:fldCharType="separate"/>
      </w:r>
      <w:r>
        <w:rPr>
          <w:rFonts w:hint="eastAsia" w:ascii="宋体" w:hAnsi="宋体" w:cs="宋体"/>
          <w:color w:val="000000" w:themeColor="text1"/>
          <w:sz w:val="24"/>
          <w:highlight w:val="none"/>
          <w:u w:val="single"/>
          <w14:textFill>
            <w14:solidFill>
              <w14:schemeClr w14:val="tx1"/>
            </w14:solidFill>
          </w14:textFill>
        </w:rPr>
        <w:t>桂林市叠彩区气象路1号</w:t>
      </w:r>
      <w:r>
        <w:rPr>
          <w:rFonts w:hint="eastAsia" w:ascii="宋体" w:hAnsi="宋体" w:cs="宋体"/>
          <w:color w:val="000000" w:themeColor="text1"/>
          <w:sz w:val="24"/>
          <w:highlight w:val="none"/>
          <w:u w:val="single"/>
          <w14:textFill>
            <w14:solidFill>
              <w14:schemeClr w14:val="tx1"/>
            </w14:solidFill>
          </w14:textFill>
        </w:rPr>
        <w:fldChar w:fldCharType="end"/>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p>
    <w:p w14:paraId="76BE650B">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 系 人：</w:t>
      </w:r>
      <w:r>
        <w:rPr>
          <w:rFonts w:hint="eastAsia" w:ascii="宋体" w:hAnsi="宋体" w:cs="宋体"/>
          <w:color w:val="000000" w:themeColor="text1"/>
          <w:sz w:val="24"/>
          <w:highlight w:val="none"/>
          <w:u w:val="single"/>
          <w:lang w:eastAsia="zh-CN"/>
          <w14:textFill>
            <w14:solidFill>
              <w14:schemeClr w14:val="tx1"/>
            </w14:solidFill>
          </w14:textFill>
        </w:rPr>
        <w:t>潘老师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0773-8980819      </w:t>
      </w:r>
    </w:p>
    <w:p w14:paraId="68FC4F39">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2.采购代理机构信息</w:t>
      </w:r>
      <w:bookmarkEnd w:id="45"/>
      <w:bookmarkEnd w:id="46"/>
      <w:bookmarkEnd w:id="47"/>
      <w:bookmarkEnd w:id="48"/>
    </w:p>
    <w:p w14:paraId="10F601C6">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14:textFill>
            <w14:solidFill>
              <w14:schemeClr w14:val="tx1"/>
            </w14:solidFill>
          </w14:textFill>
        </w:rPr>
        <w:t>桂林市政府集中采购中心</w:t>
      </w:r>
    </w:p>
    <w:p w14:paraId="48D872F8">
      <w:pPr>
        <w:spacing w:line="360" w:lineRule="exact"/>
        <w:ind w:firstLine="48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桂林市临桂区西城中路69号创业大厦西辅楼5楼</w:t>
      </w:r>
    </w:p>
    <w:p w14:paraId="0B8C5E65">
      <w:pPr>
        <w:spacing w:line="360" w:lineRule="exact"/>
        <w:ind w:firstLine="480"/>
        <w:jc w:val="left"/>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lang w:val="en-US" w:eastAsia="zh-CN"/>
          <w14:textFill>
            <w14:solidFill>
              <w14:schemeClr w14:val="tx1"/>
            </w14:solidFill>
          </w14:textFill>
        </w:rPr>
        <w:t>0773-5625175</w:t>
      </w:r>
    </w:p>
    <w:p w14:paraId="0507399C">
      <w:pPr>
        <w:spacing w:line="360" w:lineRule="exact"/>
        <w:ind w:firstLine="480"/>
        <w:jc w:val="left"/>
        <w:rPr>
          <w:rFonts w:hint="eastAsia" w:ascii="宋体" w:hAnsi="宋体" w:cs="宋体"/>
          <w:color w:val="000000" w:themeColor="text1"/>
          <w:sz w:val="24"/>
          <w:highlight w:val="none"/>
          <w14:textFill>
            <w14:solidFill>
              <w14:schemeClr w14:val="tx1"/>
            </w14:solidFill>
          </w14:textFill>
        </w:rPr>
      </w:pPr>
      <w:bookmarkStart w:id="49" w:name="_Toc28359021"/>
      <w:bookmarkStart w:id="50" w:name="_Toc35393639"/>
      <w:bookmarkStart w:id="51" w:name="_Toc35393808"/>
      <w:bookmarkStart w:id="52" w:name="_Toc28359098"/>
      <w:r>
        <w:rPr>
          <w:rFonts w:hint="eastAsia" w:ascii="宋体" w:hAnsi="宋体" w:cs="宋体"/>
          <w:color w:val="000000" w:themeColor="text1"/>
          <w:sz w:val="24"/>
          <w:highlight w:val="none"/>
          <w14:textFill>
            <w14:solidFill>
              <w14:schemeClr w14:val="tx1"/>
            </w14:solidFill>
          </w14:textFill>
        </w:rPr>
        <w:t>3.项目联系方式</w:t>
      </w:r>
      <w:bookmarkEnd w:id="49"/>
      <w:bookmarkEnd w:id="50"/>
      <w:bookmarkEnd w:id="51"/>
      <w:bookmarkEnd w:id="52"/>
    </w:p>
    <w:p w14:paraId="7DA3A8BA">
      <w:pPr>
        <w:pStyle w:val="21"/>
        <w:spacing w:line="360" w:lineRule="exact"/>
        <w:ind w:firstLine="48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项目联系人：</w:t>
      </w:r>
      <w:r>
        <w:rPr>
          <w:rFonts w:hint="eastAsia" w:hAnsi="宋体" w:cs="宋体"/>
          <w:color w:val="000000" w:themeColor="text1"/>
          <w:sz w:val="24"/>
          <w:szCs w:val="24"/>
          <w:highlight w:val="none"/>
          <w:u w:val="single"/>
          <w:lang w:val="en-US" w:eastAsia="zh-CN"/>
          <w14:textFill>
            <w14:solidFill>
              <w14:schemeClr w14:val="tx1"/>
            </w14:solidFill>
          </w14:textFill>
        </w:rPr>
        <w:t>李吉</w:t>
      </w:r>
      <w:r>
        <w:rPr>
          <w:rFonts w:hint="eastAsia" w:hAnsi="宋体" w:cs="宋体"/>
          <w:color w:val="000000" w:themeColor="text1"/>
          <w:sz w:val="24"/>
          <w:szCs w:val="24"/>
          <w:highlight w:val="none"/>
          <w:lang w:val="en-US" w:eastAsia="zh-CN"/>
          <w14:textFill>
            <w14:solidFill>
              <w14:schemeClr w14:val="tx1"/>
            </w14:solidFill>
          </w14:textFill>
        </w:rPr>
        <w:t xml:space="preserve">  </w:t>
      </w:r>
    </w:p>
    <w:p w14:paraId="5EAC10F8">
      <w:pPr>
        <w:spacing w:line="360" w:lineRule="exact"/>
        <w:ind w:firstLine="480"/>
        <w:jc w:val="left"/>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u w:val="single"/>
          <w:lang w:val="en-US" w:eastAsia="zh-CN"/>
          <w14:textFill>
            <w14:solidFill>
              <w14:schemeClr w14:val="tx1"/>
            </w14:solidFill>
          </w14:textFill>
        </w:rPr>
        <w:t>0773-5625175</w:t>
      </w:r>
    </w:p>
    <w:p w14:paraId="6C7FBB90">
      <w:pPr>
        <w:spacing w:line="40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4.政府采购监督管理机构</w:t>
      </w:r>
    </w:p>
    <w:p w14:paraId="6A222714">
      <w:pPr>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14:textFill>
            <w14:solidFill>
              <w14:schemeClr w14:val="tx1"/>
            </w14:solidFill>
          </w14:textFill>
        </w:rPr>
        <w:t>桂林市</w:t>
      </w:r>
      <w:r>
        <w:rPr>
          <w:rFonts w:hint="eastAsia" w:ascii="宋体" w:hAnsi="宋体" w:cs="宋体"/>
          <w:color w:val="000000" w:themeColor="text1"/>
          <w:sz w:val="24"/>
          <w:highlight w:val="none"/>
          <w:u w:val="single"/>
          <w:lang w:eastAsia="zh-CN"/>
          <w14:textFill>
            <w14:solidFill>
              <w14:schemeClr w14:val="tx1"/>
            </w14:solidFill>
          </w14:textFill>
        </w:rPr>
        <w:t>叠彩区</w:t>
      </w:r>
      <w:r>
        <w:rPr>
          <w:rFonts w:hint="eastAsia" w:ascii="宋体" w:hAnsi="宋体" w:cs="宋体"/>
          <w:color w:val="000000" w:themeColor="text1"/>
          <w:sz w:val="24"/>
          <w:highlight w:val="none"/>
          <w:u w:val="single"/>
          <w14:textFill>
            <w14:solidFill>
              <w14:schemeClr w14:val="tx1"/>
            </w14:solidFill>
          </w14:textFill>
        </w:rPr>
        <w:t>财政局</w:t>
      </w:r>
    </w:p>
    <w:p w14:paraId="79B626EC">
      <w:pPr>
        <w:spacing w:line="400" w:lineRule="exact"/>
        <w:ind w:firstLine="480"/>
        <w:rPr>
          <w:rFonts w:hint="default" w:eastAsia="宋体"/>
          <w:color w:val="000000" w:themeColor="text1"/>
          <w:highlight w:val="none"/>
          <w:lang w:val="en-US" w:eastAsia="zh-CN"/>
          <w14:textFill>
            <w14:solidFill>
              <w14:schemeClr w14:val="tx1"/>
            </w14:solidFill>
          </w14:textFill>
        </w:rPr>
        <w:sectPr>
          <w:footerReference r:id="rId10" w:type="default"/>
          <w:pgSz w:w="11906" w:h="16838"/>
          <w:pgMar w:top="1440" w:right="935" w:bottom="1440" w:left="779" w:header="851" w:footer="992" w:gutter="0"/>
          <w:pgNumType w:fmt="numberInDash" w:start="1"/>
          <w:cols w:space="720" w:num="1"/>
        </w:sectPr>
      </w:pP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0773-</w:t>
      </w:r>
      <w:r>
        <w:rPr>
          <w:rFonts w:hint="eastAsia" w:ascii="宋体" w:hAnsi="宋体" w:cs="宋体"/>
          <w:color w:val="000000" w:themeColor="text1"/>
          <w:sz w:val="24"/>
          <w:highlight w:val="none"/>
          <w:u w:val="single"/>
          <w:lang w:val="en-US" w:eastAsia="zh-CN"/>
          <w14:textFill>
            <w14:solidFill>
              <w14:schemeClr w14:val="tx1"/>
            </w14:solidFill>
          </w14:textFill>
        </w:rPr>
        <w:t>8983693</w:t>
      </w:r>
    </w:p>
    <w:p w14:paraId="2F1004F3">
      <w:pPr>
        <w:pStyle w:val="3"/>
        <w:spacing w:line="240" w:lineRule="auto"/>
        <w:ind w:firstLine="402"/>
        <w:jc w:val="center"/>
        <w:rPr>
          <w:color w:val="000000" w:themeColor="text1"/>
          <w:sz w:val="32"/>
          <w:szCs w:val="32"/>
          <w:highlight w:val="none"/>
          <w14:textFill>
            <w14:solidFill>
              <w14:schemeClr w14:val="tx1"/>
            </w14:solidFill>
          </w14:textFill>
        </w:rPr>
      </w:pPr>
      <w:bookmarkStart w:id="53" w:name="_Toc1311"/>
      <w:bookmarkStart w:id="54" w:name="_Toc13065"/>
      <w:bookmarkStart w:id="55" w:name="_Toc19055"/>
      <w:bookmarkStart w:id="56" w:name="_Toc12492"/>
      <w:bookmarkStart w:id="57" w:name="_Toc20189"/>
      <w:bookmarkStart w:id="58" w:name="_Toc12693"/>
      <w:bookmarkStart w:id="59" w:name="_Toc7014_WPSOffice_Level1"/>
      <w:bookmarkStart w:id="60" w:name="_Toc9995"/>
      <w:bookmarkStart w:id="61" w:name="_Toc7441"/>
      <w:bookmarkStart w:id="62" w:name="_Toc29338"/>
      <w:bookmarkStart w:id="63" w:name="_Toc16361"/>
      <w:bookmarkStart w:id="64" w:name="_Toc26689"/>
      <w:bookmarkStart w:id="65" w:name="_Toc27901"/>
      <w:r>
        <w:rPr>
          <w:rFonts w:hint="eastAsia"/>
          <w:color w:val="000000" w:themeColor="text1"/>
          <w:sz w:val="32"/>
          <w:szCs w:val="32"/>
          <w:highlight w:val="none"/>
          <w14:textFill>
            <w14:solidFill>
              <w14:schemeClr w14:val="tx1"/>
            </w14:solidFill>
          </w14:textFill>
        </w:rPr>
        <w:t>第二章　供应商须知</w:t>
      </w:r>
      <w:bookmarkEnd w:id="53"/>
      <w:bookmarkEnd w:id="54"/>
      <w:bookmarkEnd w:id="55"/>
      <w:bookmarkEnd w:id="56"/>
      <w:bookmarkEnd w:id="57"/>
      <w:bookmarkEnd w:id="58"/>
      <w:bookmarkEnd w:id="59"/>
      <w:bookmarkEnd w:id="60"/>
      <w:bookmarkEnd w:id="61"/>
      <w:bookmarkEnd w:id="62"/>
      <w:bookmarkEnd w:id="63"/>
      <w:bookmarkEnd w:id="64"/>
      <w:bookmarkEnd w:id="65"/>
    </w:p>
    <w:p w14:paraId="32E70AC3">
      <w:pPr>
        <w:pStyle w:val="4"/>
        <w:jc w:val="center"/>
        <w:rPr>
          <w:rFonts w:hint="eastAsia" w:ascii="宋体" w:hAnsi="宋体" w:cs="宋体"/>
          <w:b/>
          <w:bCs w:val="0"/>
          <w:color w:val="000000" w:themeColor="text1"/>
          <w:sz w:val="24"/>
          <w:szCs w:val="24"/>
          <w:highlight w:val="none"/>
          <w14:textFill>
            <w14:solidFill>
              <w14:schemeClr w14:val="tx1"/>
            </w14:solidFill>
          </w14:textFill>
        </w:rPr>
      </w:pPr>
      <w:bookmarkStart w:id="66" w:name="_Toc14657"/>
      <w:bookmarkStart w:id="67" w:name="_Toc1517"/>
      <w:bookmarkStart w:id="68" w:name="_Toc7891"/>
      <w:bookmarkStart w:id="69" w:name="_Toc15020"/>
      <w:bookmarkStart w:id="70" w:name="_Toc10392"/>
      <w:bookmarkStart w:id="71" w:name="_Toc6815"/>
      <w:bookmarkStart w:id="72" w:name="_Toc14834"/>
      <w:bookmarkStart w:id="73" w:name="_Toc9266"/>
      <w:bookmarkStart w:id="74" w:name="_Toc17842"/>
      <w:bookmarkStart w:id="75" w:name="_Toc10616"/>
      <w:bookmarkStart w:id="76" w:name="_Toc29133"/>
      <w:bookmarkStart w:id="77" w:name="_Toc5323"/>
      <w:r>
        <w:rPr>
          <w:rFonts w:hint="eastAsia" w:ascii="宋体" w:hAnsi="宋体" w:cs="宋体"/>
          <w:b/>
          <w:bCs w:val="0"/>
          <w:color w:val="000000" w:themeColor="text1"/>
          <w:sz w:val="24"/>
          <w:szCs w:val="24"/>
          <w:highlight w:val="none"/>
          <w14:textFill>
            <w14:solidFill>
              <w14:schemeClr w14:val="tx1"/>
            </w14:solidFill>
          </w14:textFill>
        </w:rPr>
        <w:t>供 应 商 须 知 前 附 表</w:t>
      </w:r>
      <w:bookmarkEnd w:id="66"/>
      <w:bookmarkEnd w:id="67"/>
      <w:bookmarkEnd w:id="68"/>
      <w:bookmarkEnd w:id="69"/>
      <w:bookmarkEnd w:id="70"/>
      <w:bookmarkEnd w:id="71"/>
      <w:bookmarkEnd w:id="72"/>
      <w:bookmarkEnd w:id="73"/>
      <w:bookmarkEnd w:id="74"/>
      <w:bookmarkEnd w:id="75"/>
      <w:bookmarkEnd w:id="76"/>
      <w:bookmarkEnd w:id="77"/>
    </w:p>
    <w:tbl>
      <w:tblPr>
        <w:tblStyle w:val="42"/>
        <w:tblW w:w="1037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25"/>
        <w:gridCol w:w="1815"/>
        <w:gridCol w:w="7205"/>
      </w:tblGrid>
      <w:tr w14:paraId="0313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25" w:type="dxa"/>
            <w:noWrap w:val="0"/>
            <w:vAlign w:val="center"/>
          </w:tcPr>
          <w:p w14:paraId="7CACD2B1">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825" w:type="dxa"/>
            <w:noWrap w:val="0"/>
            <w:vAlign w:val="center"/>
          </w:tcPr>
          <w:p w14:paraId="6911AA1F">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条款号</w:t>
            </w:r>
          </w:p>
        </w:tc>
        <w:tc>
          <w:tcPr>
            <w:tcW w:w="1815" w:type="dxa"/>
            <w:noWrap w:val="0"/>
            <w:vAlign w:val="center"/>
          </w:tcPr>
          <w:p w14:paraId="42DFE04E">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条款名称</w:t>
            </w:r>
          </w:p>
        </w:tc>
        <w:tc>
          <w:tcPr>
            <w:tcW w:w="7205" w:type="dxa"/>
            <w:noWrap w:val="0"/>
            <w:vAlign w:val="center"/>
          </w:tcPr>
          <w:p w14:paraId="7CB60C25">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内容、要求</w:t>
            </w:r>
          </w:p>
        </w:tc>
      </w:tr>
      <w:tr w14:paraId="47D9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25" w:type="dxa"/>
            <w:noWrap w:val="0"/>
            <w:vAlign w:val="center"/>
          </w:tcPr>
          <w:p w14:paraId="4897DF03">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825" w:type="dxa"/>
            <w:noWrap w:val="0"/>
            <w:vAlign w:val="center"/>
          </w:tcPr>
          <w:p w14:paraId="37134A4B">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p>
        </w:tc>
        <w:tc>
          <w:tcPr>
            <w:tcW w:w="1815" w:type="dxa"/>
            <w:noWrap w:val="0"/>
            <w:vAlign w:val="center"/>
          </w:tcPr>
          <w:p w14:paraId="3FE530FD">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项目名称及项目编号</w:t>
            </w:r>
          </w:p>
        </w:tc>
        <w:tc>
          <w:tcPr>
            <w:tcW w:w="7205" w:type="dxa"/>
            <w:noWrap w:val="0"/>
            <w:vAlign w:val="top"/>
          </w:tcPr>
          <w:p w14:paraId="302D1802">
            <w:pPr>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2026年支持学前教育发展中央和自治区资金设备采购项目</w:t>
            </w:r>
          </w:p>
          <w:p w14:paraId="1D4C218B">
            <w:pPr>
              <w:spacing w:line="360" w:lineRule="auto"/>
              <w:rPr>
                <w:rFonts w:hint="eastAsia" w:ascii="宋体" w:eastAsia="宋体"/>
                <w:color w:val="000000" w:themeColor="text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GLZC2026-J1-990205-GLSZ</w:t>
            </w:r>
          </w:p>
        </w:tc>
      </w:tr>
      <w:tr w14:paraId="2E5A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noWrap w:val="0"/>
            <w:vAlign w:val="center"/>
          </w:tcPr>
          <w:p w14:paraId="009211E6">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825" w:type="dxa"/>
            <w:noWrap w:val="0"/>
            <w:vAlign w:val="center"/>
          </w:tcPr>
          <w:p w14:paraId="543F1437">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1815" w:type="dxa"/>
            <w:noWrap w:val="0"/>
            <w:vAlign w:val="center"/>
          </w:tcPr>
          <w:p w14:paraId="38588474">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供应商资格</w:t>
            </w:r>
          </w:p>
        </w:tc>
        <w:tc>
          <w:tcPr>
            <w:tcW w:w="7205" w:type="dxa"/>
            <w:noWrap w:val="0"/>
            <w:vAlign w:val="center"/>
          </w:tcPr>
          <w:p w14:paraId="4293E089">
            <w:pPr>
              <w:spacing w:line="360" w:lineRule="auto"/>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w:t>
            </w:r>
            <w:r>
              <w:rPr>
                <w:rFonts w:hint="eastAsia" w:ascii="宋体" w:hAnsi="宋体"/>
                <w:color w:val="000000" w:themeColor="text1"/>
                <w:szCs w:val="21"/>
                <w:highlight w:val="none"/>
                <w14:textFill>
                  <w14:solidFill>
                    <w14:schemeClr w14:val="tx1"/>
                  </w14:solidFill>
                </w14:textFill>
              </w:rPr>
              <w:t>符合《中华人民共和国政府采购法》第二十二条和《政府采购法实施条例》第十八条规定，具备合法资格的供应商；</w:t>
            </w:r>
          </w:p>
          <w:p w14:paraId="0790AD24">
            <w:pPr>
              <w:spacing w:line="360" w:lineRule="auto"/>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2本项目</w:t>
            </w:r>
            <w:r>
              <w:rPr>
                <w:rFonts w:hint="eastAsia" w:ascii="宋体" w:hAnsi="宋体"/>
                <w:b/>
                <w:bCs/>
                <w:color w:val="000000" w:themeColor="text1"/>
                <w:szCs w:val="21"/>
                <w:highlight w:val="none"/>
                <w14:textFill>
                  <w14:solidFill>
                    <w14:schemeClr w14:val="tx1"/>
                  </w14:solidFill>
                </w14:textFill>
              </w:rPr>
              <w:t>不接受</w:t>
            </w:r>
            <w:r>
              <w:rPr>
                <w:rFonts w:hint="eastAsia" w:ascii="宋体" w:hAnsi="宋体"/>
                <w:color w:val="000000" w:themeColor="text1"/>
                <w:szCs w:val="21"/>
                <w:highlight w:val="none"/>
                <w14:textFill>
                  <w14:solidFill>
                    <w14:schemeClr w14:val="tx1"/>
                  </w14:solidFill>
                </w14:textFill>
              </w:rPr>
              <w:t>联合体参与谈判；</w:t>
            </w:r>
          </w:p>
          <w:p w14:paraId="41BB2E0E">
            <w:pPr>
              <w:spacing w:line="360" w:lineRule="auto"/>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3对在“信用中国”网站</w:t>
            </w:r>
            <w:r>
              <w:rPr>
                <w:rFonts w:ascii="宋体" w:hAnsi="宋体"/>
                <w:color w:val="000000" w:themeColor="text1"/>
                <w:szCs w:val="21"/>
                <w:highlight w:val="none"/>
                <w14:textFill>
                  <w14:solidFill>
                    <w14:schemeClr w14:val="tx1"/>
                  </w14:solidFill>
                </w14:textFill>
              </w:rPr>
              <w:t>(www.creditchina.gov.cn)</w:t>
            </w:r>
            <w:r>
              <w:rPr>
                <w:rFonts w:hint="eastAsia" w:ascii="宋体" w:hAnsi="宋体"/>
                <w:color w:val="000000" w:themeColor="text1"/>
                <w:szCs w:val="21"/>
                <w:highlight w:val="none"/>
                <w14:textFill>
                  <w14:solidFill>
                    <w14:schemeClr w14:val="tx1"/>
                  </w14:solidFill>
                </w14:textFill>
              </w:rPr>
              <w:t>、中国政府采购网</w:t>
            </w:r>
            <w:r>
              <w:rPr>
                <w:rFonts w:ascii="宋体" w:hAnsi="宋体"/>
                <w:color w:val="000000" w:themeColor="text1"/>
                <w:szCs w:val="21"/>
                <w:highlight w:val="none"/>
                <w14:textFill>
                  <w14:solidFill>
                    <w14:schemeClr w14:val="tx1"/>
                  </w14:solidFill>
                </w14:textFill>
              </w:rPr>
              <w:t>(www.ccgp.gov.cn)</w:t>
            </w:r>
            <w:r>
              <w:rPr>
                <w:rFonts w:hint="eastAsia" w:ascii="宋体" w:hAnsi="宋体"/>
                <w:color w:val="000000" w:themeColor="text1"/>
                <w:szCs w:val="21"/>
                <w:highlight w:val="none"/>
                <w14:textFill>
                  <w14:solidFill>
                    <w14:schemeClr w14:val="tx1"/>
                  </w14:solidFill>
                </w14:textFill>
              </w:rPr>
              <w:t>等渠道列入失信被执行人、</w:t>
            </w:r>
            <w:r>
              <w:rPr>
                <w:rFonts w:hint="eastAsia" w:ascii="宋体" w:hAnsi="宋体"/>
                <w:color w:val="000000" w:themeColor="text1"/>
                <w:szCs w:val="21"/>
                <w:highlight w:val="none"/>
                <w:lang w:eastAsia="zh-CN"/>
                <w14:textFill>
                  <w14:solidFill>
                    <w14:schemeClr w14:val="tx1"/>
                  </w14:solidFill>
                </w14:textFill>
              </w:rPr>
              <w:t>重大税收违法失信主体名单</w:t>
            </w:r>
            <w:r>
              <w:rPr>
                <w:rFonts w:hint="eastAsia" w:ascii="宋体" w:hAnsi="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p w14:paraId="1615790A">
            <w:pPr>
              <w:spacing w:line="3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3.4落实政府采购政策需满足的资格要求：</w:t>
            </w:r>
            <w:r>
              <w:rPr>
                <w:rFonts w:hint="eastAsia" w:ascii="宋体" w:hAnsi="宋体" w:cs="宋体"/>
                <w:color w:val="000000" w:themeColor="text1"/>
                <w:szCs w:val="21"/>
                <w:highlight w:val="none"/>
                <w14:textFill>
                  <w14:solidFill>
                    <w14:schemeClr w14:val="tx1"/>
                  </w14:solidFill>
                </w14:textFill>
              </w:rPr>
              <w:t>无</w:t>
            </w:r>
            <w:r>
              <w:rPr>
                <w:rFonts w:hint="eastAsia" w:ascii="宋体" w:hAnsi="宋体" w:cs="宋体"/>
                <w:b/>
                <w:bCs/>
                <w:color w:val="000000" w:themeColor="text1"/>
                <w:szCs w:val="21"/>
                <w:highlight w:val="none"/>
                <w14:textFill>
                  <w14:solidFill>
                    <w14:schemeClr w14:val="tx1"/>
                  </w14:solidFill>
                </w14:textFill>
              </w:rPr>
              <w:t>。</w:t>
            </w:r>
          </w:p>
          <w:p w14:paraId="7B267E4C">
            <w:pPr>
              <w:spacing w:line="360" w:lineRule="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3.5本项目的特定资格要求：无。</w:t>
            </w:r>
          </w:p>
        </w:tc>
      </w:tr>
      <w:tr w14:paraId="017C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25" w:type="dxa"/>
            <w:noWrap w:val="0"/>
            <w:vAlign w:val="center"/>
          </w:tcPr>
          <w:p w14:paraId="4CDBE9D6">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825" w:type="dxa"/>
            <w:noWrap w:val="0"/>
            <w:vAlign w:val="center"/>
          </w:tcPr>
          <w:p w14:paraId="574120F2">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1815" w:type="dxa"/>
            <w:noWrap w:val="0"/>
            <w:vAlign w:val="center"/>
          </w:tcPr>
          <w:p w14:paraId="2FD99CD1">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谈判费用</w:t>
            </w:r>
          </w:p>
        </w:tc>
        <w:tc>
          <w:tcPr>
            <w:tcW w:w="7205" w:type="dxa"/>
            <w:noWrap w:val="0"/>
            <w:vAlign w:val="center"/>
          </w:tcPr>
          <w:p w14:paraId="3C0D2DD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不论</w:t>
            </w:r>
            <w:r>
              <w:rPr>
                <w:rFonts w:hint="eastAsia" w:ascii="宋体" w:hAnsi="宋体" w:cs="宋体"/>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结果如何，供应商均应自行承担所有与</w:t>
            </w:r>
            <w:r>
              <w:rPr>
                <w:rFonts w:hint="eastAsia" w:ascii="宋体" w:hAnsi="宋体" w:cs="宋体"/>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有关的全部费用。</w:t>
            </w:r>
            <w:r>
              <w:rPr>
                <w:rFonts w:ascii="宋体" w:hAnsi="宋体"/>
                <w:color w:val="000000" w:themeColor="text1"/>
                <w:szCs w:val="21"/>
                <w:highlight w:val="none"/>
                <w14:textFill>
                  <w14:solidFill>
                    <w14:schemeClr w14:val="tx1"/>
                  </w14:solidFill>
                </w14:textFill>
              </w:rPr>
              <w:t xml:space="preserve"> </w:t>
            </w:r>
          </w:p>
        </w:tc>
      </w:tr>
      <w:tr w14:paraId="43ED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noWrap w:val="0"/>
            <w:vAlign w:val="center"/>
          </w:tcPr>
          <w:p w14:paraId="79209C44">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825" w:type="dxa"/>
            <w:noWrap w:val="0"/>
            <w:vAlign w:val="center"/>
          </w:tcPr>
          <w:p w14:paraId="66F6C4E3">
            <w:pPr>
              <w:spacing w:line="360" w:lineRule="auto"/>
              <w:jc w:val="center"/>
              <w:rPr>
                <w:rFonts w:ascii="宋体" w:hAnsi="宋体"/>
                <w:color w:val="000000" w:themeColor="text1"/>
                <w:position w:val="-2"/>
                <w:szCs w:val="21"/>
                <w:highlight w:val="none"/>
                <w14:textFill>
                  <w14:solidFill>
                    <w14:schemeClr w14:val="tx1"/>
                  </w14:solidFill>
                </w14:textFill>
              </w:rPr>
            </w:pPr>
            <w:r>
              <w:rPr>
                <w:rFonts w:ascii="宋体" w:hAnsi="宋体"/>
                <w:color w:val="000000" w:themeColor="text1"/>
                <w:position w:val="-2"/>
                <w:szCs w:val="21"/>
                <w:highlight w:val="none"/>
                <w14:textFill>
                  <w14:solidFill>
                    <w14:schemeClr w14:val="tx1"/>
                  </w14:solidFill>
                </w14:textFill>
              </w:rPr>
              <w:t>13</w:t>
            </w:r>
          </w:p>
        </w:tc>
        <w:tc>
          <w:tcPr>
            <w:tcW w:w="1815" w:type="dxa"/>
            <w:noWrap w:val="0"/>
            <w:vAlign w:val="center"/>
          </w:tcPr>
          <w:p w14:paraId="4BC54355">
            <w:pPr>
              <w:spacing w:line="360" w:lineRule="auto"/>
              <w:jc w:val="center"/>
              <w:rPr>
                <w:rFonts w:ascii="宋体"/>
                <w:color w:val="000000" w:themeColor="text1"/>
                <w:position w:val="-2"/>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谈判报价及采购预算金额</w:t>
            </w:r>
          </w:p>
        </w:tc>
        <w:tc>
          <w:tcPr>
            <w:tcW w:w="7205" w:type="dxa"/>
            <w:noWrap w:val="0"/>
            <w:vAlign w:val="center"/>
          </w:tcPr>
          <w:p w14:paraId="7BD69D92">
            <w:pPr>
              <w:spacing w:line="360" w:lineRule="auto"/>
              <w:rPr>
                <w:rFonts w:ascii="宋体" w:cs="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谈判报价应按谈判文件中相关附表格式填写。</w:t>
            </w:r>
            <w:r>
              <w:rPr>
                <w:rFonts w:hint="eastAsia" w:ascii="宋体" w:hAnsi="宋体" w:cs="宋体"/>
                <w:b/>
                <w:bCs/>
                <w:color w:val="000000" w:themeColor="text1"/>
                <w:szCs w:val="21"/>
                <w:highlight w:val="none"/>
                <w14:textFill>
                  <w14:solidFill>
                    <w14:schemeClr w14:val="tx1"/>
                  </w14:solidFill>
                </w14:textFill>
              </w:rPr>
              <w:t>采购预算金额（人民币）：</w:t>
            </w:r>
            <w:r>
              <w:rPr>
                <w:rFonts w:hint="eastAsia" w:ascii="宋体" w:hAnsi="宋体" w:cs="宋体"/>
                <w:b/>
                <w:bCs/>
                <w:color w:val="000000" w:themeColor="text1"/>
                <w:szCs w:val="21"/>
                <w:highlight w:val="none"/>
                <w:lang w:eastAsia="zh-CN"/>
                <w14:textFill>
                  <w14:solidFill>
                    <w14:schemeClr w14:val="tx1"/>
                  </w14:solidFill>
                </w14:textFill>
              </w:rPr>
              <w:t>人民币伍拾万元整（¥</w:t>
            </w:r>
            <w:r>
              <w:rPr>
                <w:rFonts w:hint="eastAsia" w:ascii="宋体" w:hAnsi="宋体" w:cs="宋体"/>
                <w:b/>
                <w:bCs/>
                <w:color w:val="000000" w:themeColor="text1"/>
                <w:szCs w:val="21"/>
                <w:highlight w:val="none"/>
                <w:lang w:val="en-US" w:eastAsia="zh-CN"/>
                <w14:textFill>
                  <w14:solidFill>
                    <w14:schemeClr w14:val="tx1"/>
                  </w14:solidFill>
                </w14:textFill>
              </w:rPr>
              <w:t>500000.00</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，响应报价不得超出预算金额，否则，作响应无效处理。</w:t>
            </w:r>
          </w:p>
          <w:p w14:paraId="4B406261">
            <w:pPr>
              <w:spacing w:line="360" w:lineRule="auto"/>
              <w:jc w:val="left"/>
              <w:rPr>
                <w:rFonts w:asci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13.2</w:t>
            </w:r>
            <w:r>
              <w:rPr>
                <w:rFonts w:hint="eastAsia"/>
                <w:color w:val="000000" w:themeColor="text1"/>
                <w:szCs w:val="21"/>
                <w:highlight w:val="none"/>
                <w14:textFill>
                  <w14:solidFill>
                    <w14:schemeClr w14:val="tx1"/>
                  </w14:solidFill>
                </w14:textFill>
              </w:rPr>
              <w:t>供应商必须就“采购需求”中所有内容作完整唯一报价，否则，其响应文件无效；响应文件只允许有一个报价，有选择的或有条件的报价将不予接受。</w:t>
            </w:r>
          </w:p>
          <w:p w14:paraId="68643469">
            <w:pPr>
              <w:spacing w:line="360" w:lineRule="auto"/>
              <w:jc w:val="left"/>
              <w:rPr>
                <w:rFonts w:asci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13.4</w:t>
            </w:r>
            <w:r>
              <w:rPr>
                <w:rFonts w:hint="eastAsia" w:ascii="宋体" w:hAnsi="宋体" w:cs="宋体"/>
                <w:color w:val="000000" w:themeColor="text1"/>
                <w:szCs w:val="21"/>
                <w:highlight w:val="none"/>
                <w14:textFill>
                  <w14:solidFill>
                    <w14:schemeClr w14:val="tx1"/>
                  </w14:solidFill>
                </w14:textFill>
              </w:rPr>
              <w:t>供应商应在规定时间内在广西政府采购云系统上提交最后报价，超出评委设定的最后报价时限或其最后报价超出采购预算导致已通过评审的响应文件无效的，按供应商在提交响应文件截止时间后撤回响应文件处理。</w:t>
            </w:r>
          </w:p>
        </w:tc>
      </w:tr>
      <w:tr w14:paraId="0DB0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noWrap w:val="0"/>
            <w:vAlign w:val="center"/>
          </w:tcPr>
          <w:p w14:paraId="10B27FA6">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825" w:type="dxa"/>
            <w:noWrap w:val="0"/>
            <w:vAlign w:val="center"/>
          </w:tcPr>
          <w:p w14:paraId="3C90ACB3">
            <w:pPr>
              <w:spacing w:line="360" w:lineRule="auto"/>
              <w:jc w:val="center"/>
              <w:rPr>
                <w:rFonts w:ascii="宋体" w:hAnsi="宋体"/>
                <w:color w:val="000000" w:themeColor="text1"/>
                <w:position w:val="-2"/>
                <w:szCs w:val="21"/>
                <w:highlight w:val="none"/>
                <w14:textFill>
                  <w14:solidFill>
                    <w14:schemeClr w14:val="tx1"/>
                  </w14:solidFill>
                </w14:textFill>
              </w:rPr>
            </w:pPr>
            <w:r>
              <w:rPr>
                <w:rFonts w:ascii="宋体" w:hAnsi="宋体"/>
                <w:color w:val="000000" w:themeColor="text1"/>
                <w:position w:val="-2"/>
                <w:szCs w:val="21"/>
                <w:highlight w:val="none"/>
                <w14:textFill>
                  <w14:solidFill>
                    <w14:schemeClr w14:val="tx1"/>
                  </w14:solidFill>
                </w14:textFill>
              </w:rPr>
              <w:t>14.1</w:t>
            </w:r>
          </w:p>
        </w:tc>
        <w:tc>
          <w:tcPr>
            <w:tcW w:w="1815" w:type="dxa"/>
            <w:noWrap w:val="0"/>
            <w:vAlign w:val="center"/>
          </w:tcPr>
          <w:p w14:paraId="5FDFE776">
            <w:pPr>
              <w:spacing w:line="360" w:lineRule="auto"/>
              <w:jc w:val="center"/>
              <w:rPr>
                <w:rFonts w:ascii="宋体"/>
                <w:color w:val="000000" w:themeColor="text1"/>
                <w:position w:val="-2"/>
                <w:szCs w:val="21"/>
                <w:highlight w:val="none"/>
                <w14:textFill>
                  <w14:solidFill>
                    <w14:schemeClr w14:val="tx1"/>
                  </w14:solidFill>
                </w14:textFill>
              </w:rPr>
            </w:pPr>
            <w:r>
              <w:rPr>
                <w:rFonts w:hint="eastAsia" w:ascii="宋体" w:hAnsi="宋体"/>
                <w:color w:val="000000" w:themeColor="text1"/>
                <w:position w:val="-2"/>
                <w:szCs w:val="21"/>
                <w:highlight w:val="none"/>
                <w14:textFill>
                  <w14:solidFill>
                    <w14:schemeClr w14:val="tx1"/>
                  </w14:solidFill>
                </w14:textFill>
              </w:rPr>
              <w:t>响应文件有效期</w:t>
            </w:r>
          </w:p>
        </w:tc>
        <w:tc>
          <w:tcPr>
            <w:tcW w:w="7205" w:type="dxa"/>
            <w:noWrap w:val="0"/>
            <w:vAlign w:val="top"/>
          </w:tcPr>
          <w:p w14:paraId="463588E6">
            <w:pPr>
              <w:tabs>
                <w:tab w:val="left" w:pos="1305"/>
              </w:tabs>
              <w:spacing w:line="360" w:lineRule="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响应文件递交截止时间之日起</w:t>
            </w:r>
            <w:r>
              <w:rPr>
                <w:rFonts w:ascii="宋体" w:hAnsi="宋体"/>
                <w:color w:val="000000" w:themeColor="text1"/>
                <w:szCs w:val="21"/>
                <w:highlight w:val="none"/>
                <w14:textFill>
                  <w14:solidFill>
                    <w14:schemeClr w14:val="tx1"/>
                  </w14:solidFill>
                </w14:textFill>
              </w:rPr>
              <w:t>90</w:t>
            </w:r>
            <w:r>
              <w:rPr>
                <w:rFonts w:hint="eastAsia" w:ascii="宋体" w:hAnsi="宋体"/>
                <w:color w:val="000000" w:themeColor="text1"/>
                <w:szCs w:val="21"/>
                <w:highlight w:val="none"/>
                <w14:textFill>
                  <w14:solidFill>
                    <w14:schemeClr w14:val="tx1"/>
                  </w14:solidFill>
                </w14:textFill>
              </w:rPr>
              <w:t>天，有效期不足的响应文件将被拒绝。</w:t>
            </w:r>
          </w:p>
        </w:tc>
      </w:tr>
      <w:tr w14:paraId="3054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noWrap w:val="0"/>
            <w:vAlign w:val="center"/>
          </w:tcPr>
          <w:p w14:paraId="1846754D">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825" w:type="dxa"/>
            <w:noWrap w:val="0"/>
            <w:vAlign w:val="center"/>
          </w:tcPr>
          <w:p w14:paraId="79A20AA7">
            <w:pPr>
              <w:spacing w:line="360" w:lineRule="auto"/>
              <w:jc w:val="center"/>
              <w:rPr>
                <w:rFonts w:ascii="宋体" w:hAnsi="宋体"/>
                <w:color w:val="000000" w:themeColor="text1"/>
                <w:position w:val="-2"/>
                <w:szCs w:val="21"/>
                <w:highlight w:val="none"/>
                <w14:textFill>
                  <w14:solidFill>
                    <w14:schemeClr w14:val="tx1"/>
                  </w14:solidFill>
                </w14:textFill>
              </w:rPr>
            </w:pPr>
            <w:r>
              <w:rPr>
                <w:rFonts w:hint="eastAsia" w:ascii="宋体" w:hAnsi="宋体"/>
                <w:color w:val="000000" w:themeColor="text1"/>
                <w:position w:val="-2"/>
                <w:szCs w:val="21"/>
                <w:highlight w:val="none"/>
                <w14:textFill>
                  <w14:solidFill>
                    <w14:schemeClr w14:val="tx1"/>
                  </w14:solidFill>
                </w14:textFill>
              </w:rPr>
              <w:t>15</w:t>
            </w:r>
          </w:p>
        </w:tc>
        <w:tc>
          <w:tcPr>
            <w:tcW w:w="1815" w:type="dxa"/>
            <w:noWrap w:val="0"/>
            <w:vAlign w:val="center"/>
          </w:tcPr>
          <w:p w14:paraId="1A274B8A">
            <w:pPr>
              <w:spacing w:line="360" w:lineRule="auto"/>
              <w:jc w:val="center"/>
              <w:rPr>
                <w:rFonts w:hint="eastAsia" w:ascii="宋体" w:hAnsi="宋体"/>
                <w:color w:val="000000" w:themeColor="text1"/>
                <w:position w:val="-2"/>
                <w:szCs w:val="21"/>
                <w:highlight w:val="none"/>
                <w14:textFill>
                  <w14:solidFill>
                    <w14:schemeClr w14:val="tx1"/>
                  </w14:solidFill>
                </w14:textFill>
              </w:rPr>
            </w:pPr>
            <w:r>
              <w:rPr>
                <w:rFonts w:hint="eastAsia" w:ascii="宋体" w:hAnsi="宋体"/>
                <w:color w:val="000000" w:themeColor="text1"/>
                <w:position w:val="-2"/>
                <w:szCs w:val="21"/>
                <w:highlight w:val="none"/>
                <w14:textFill>
                  <w14:solidFill>
                    <w14:schemeClr w14:val="tx1"/>
                  </w14:solidFill>
                </w14:textFill>
              </w:rPr>
              <w:t>保证金</w:t>
            </w:r>
          </w:p>
        </w:tc>
        <w:tc>
          <w:tcPr>
            <w:tcW w:w="7205" w:type="dxa"/>
            <w:noWrap w:val="0"/>
            <w:vAlign w:val="top"/>
          </w:tcPr>
          <w:p w14:paraId="0346A427">
            <w:pPr>
              <w:tabs>
                <w:tab w:val="left" w:pos="1305"/>
              </w:tabs>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本项目无需缴纳谈判保证金。</w:t>
            </w:r>
          </w:p>
        </w:tc>
      </w:tr>
      <w:tr w14:paraId="48FB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25" w:type="dxa"/>
            <w:noWrap w:val="0"/>
            <w:vAlign w:val="center"/>
          </w:tcPr>
          <w:p w14:paraId="79267810">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825" w:type="dxa"/>
            <w:noWrap w:val="0"/>
            <w:vAlign w:val="center"/>
          </w:tcPr>
          <w:p w14:paraId="2CBDCA34">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w:t>
            </w:r>
          </w:p>
        </w:tc>
        <w:tc>
          <w:tcPr>
            <w:tcW w:w="1815" w:type="dxa"/>
            <w:noWrap w:val="0"/>
            <w:vAlign w:val="center"/>
          </w:tcPr>
          <w:p w14:paraId="6B892F38">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响应文件的制作</w:t>
            </w:r>
          </w:p>
        </w:tc>
        <w:tc>
          <w:tcPr>
            <w:tcW w:w="7205" w:type="dxa"/>
            <w:noWrap w:val="0"/>
            <w:vAlign w:val="center"/>
          </w:tcPr>
          <w:p w14:paraId="311FBF32">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16.1电子响应文件中须加盖供应商公章部分均采用 CA 签章，并根据“政府采购项目电子交易管理操作指南-供应商” 及本谈判文件规定的格式和顺序编制电子响应文件并进行关联定位，以便谈判小组在评审时，点击即可直接定位到该内容。如对谈判文件的某项要求，供应商的电子响应文件未能关联定位提供相应的内容与其对应，则谈判小组在评审时如做出对供应商不利的评审由供应商自行承担。电子响应文件如内容不完整、编排混乱导致响应文件被误读、 漏读，或者在按响应文件规定的部位查找不到相关内容的，由供应商自行承担。</w:t>
            </w:r>
          </w:p>
          <w:p w14:paraId="6CE79916">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16.2 供应商法人（负责人）或授权代表持有广西政府采购云个人CA签章的，应在响应文件中涉及到签字的位置使用个人CA签章，没有办理广西政府采购云个人CA签章的可在响应文件文件中涉及到签字的位置手写签字后扫描或者拍照做成 PDF 的格式上传即可。 </w:t>
            </w:r>
          </w:p>
          <w:p w14:paraId="04AC407A">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 响应文件不得涂改，若有修改错漏处，须法定代表人（负责人）或授权委托人签字（或个人CA签章）。响应文件因字迹潦草或表达不清所引起的后果由供应商负责。</w:t>
            </w:r>
          </w:p>
          <w:p w14:paraId="3A99F43B">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16.4评审前准备 </w:t>
            </w:r>
          </w:p>
          <w:p w14:paraId="48D05083">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16.4.1本项目实行网上评审，采用电子响应文件；若供应商参与谈判，自行承担谈判一切费用。 </w:t>
            </w:r>
          </w:p>
          <w:p w14:paraId="19E73EBA">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16.4.2各供应商在截标前应确保成为广西政府采购云平台正式注册入库供应商，并完成 CA 数字证书申领。因未注册入库、未办理 CA 数字证书等原因造成无法响应或响应失败等后果由供应商自行承担。 </w:t>
            </w:r>
          </w:p>
          <w:p w14:paraId="379C7933">
            <w:pPr>
              <w:spacing w:line="360" w:lineRule="auto"/>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16.4.3供应商将广西政府采购云平台客户端下载、安装完成后，可通过账号密码或 CA 登录客户端进行响应文件制作。客户端请至网站下载专区查看，如有问题可拨打广西政府采购云客户服务热线 95763 进行咨询。</w:t>
            </w:r>
          </w:p>
        </w:tc>
      </w:tr>
      <w:tr w14:paraId="5E98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noWrap w:val="0"/>
            <w:vAlign w:val="center"/>
          </w:tcPr>
          <w:p w14:paraId="0237E4FD">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825" w:type="dxa"/>
            <w:noWrap w:val="0"/>
            <w:vAlign w:val="center"/>
          </w:tcPr>
          <w:p w14:paraId="1B8AFF6D">
            <w:pPr>
              <w:spacing w:line="360" w:lineRule="auto"/>
              <w:jc w:val="center"/>
              <w:rPr>
                <w:rFonts w:ascii="宋体" w:hAnsi="宋体"/>
                <w:color w:val="000000" w:themeColor="text1"/>
                <w:position w:val="10"/>
                <w:szCs w:val="21"/>
                <w:highlight w:val="none"/>
                <w14:textFill>
                  <w14:solidFill>
                    <w14:schemeClr w14:val="tx1"/>
                  </w14:solidFill>
                </w14:textFill>
              </w:rPr>
            </w:pPr>
            <w:r>
              <w:rPr>
                <w:rFonts w:hint="eastAsia" w:ascii="宋体" w:hAnsi="宋体"/>
                <w:color w:val="000000" w:themeColor="text1"/>
                <w:position w:val="10"/>
                <w:szCs w:val="21"/>
                <w:highlight w:val="none"/>
                <w14:textFill>
                  <w14:solidFill>
                    <w14:schemeClr w14:val="tx1"/>
                  </w14:solidFill>
                </w14:textFill>
              </w:rPr>
              <w:t>17.1</w:t>
            </w:r>
          </w:p>
        </w:tc>
        <w:tc>
          <w:tcPr>
            <w:tcW w:w="1815" w:type="dxa"/>
            <w:noWrap w:val="0"/>
            <w:vAlign w:val="center"/>
          </w:tcPr>
          <w:p w14:paraId="6D5C5819">
            <w:pPr>
              <w:spacing w:line="360" w:lineRule="auto"/>
              <w:jc w:val="center"/>
              <w:rPr>
                <w:rFonts w:ascii="宋体"/>
                <w:color w:val="000000" w:themeColor="text1"/>
                <w:position w:val="1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响应文件的补充、修改和撤回</w:t>
            </w:r>
          </w:p>
        </w:tc>
        <w:tc>
          <w:tcPr>
            <w:tcW w:w="7205" w:type="dxa"/>
            <w:noWrap w:val="0"/>
            <w:vAlign w:val="center"/>
          </w:tcPr>
          <w:p w14:paraId="39684E25">
            <w:pPr>
              <w:spacing w:line="360" w:lineRule="auto"/>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 响应文件递交截止时间前可以撤回电子响应文件。补充或者修改电子响应文件的，应当先行撤回原文件，补充、修改后重新传输递交，响应文件递交截止时间前未完成传输的，视为撤回响应文件。</w:t>
            </w:r>
          </w:p>
        </w:tc>
      </w:tr>
      <w:tr w14:paraId="292D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noWrap w:val="0"/>
            <w:vAlign w:val="center"/>
          </w:tcPr>
          <w:p w14:paraId="1FB3E53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825" w:type="dxa"/>
            <w:noWrap w:val="0"/>
            <w:vAlign w:val="center"/>
          </w:tcPr>
          <w:p w14:paraId="0B9B334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18.1</w:t>
            </w:r>
          </w:p>
        </w:tc>
        <w:tc>
          <w:tcPr>
            <w:tcW w:w="1815" w:type="dxa"/>
            <w:noWrap w:val="0"/>
            <w:vAlign w:val="center"/>
          </w:tcPr>
          <w:p w14:paraId="7D1EEF21">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响应文件递交</w:t>
            </w:r>
          </w:p>
        </w:tc>
        <w:tc>
          <w:tcPr>
            <w:tcW w:w="7205" w:type="dxa"/>
            <w:noWrap w:val="0"/>
            <w:vAlign w:val="center"/>
          </w:tcPr>
          <w:p w14:paraId="6416571E">
            <w:pPr>
              <w:spacing w:line="360" w:lineRule="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18.1响应文件递交截止时间：于</w:t>
            </w:r>
            <w:r>
              <w:rPr>
                <w:rFonts w:hint="eastAsia" w:ascii="宋体" w:hAnsi="宋体" w:cs="宋体"/>
                <w:color w:val="000000" w:themeColor="text1"/>
                <w:szCs w:val="21"/>
                <w:highlight w:val="none"/>
                <w:u w:val="single"/>
                <w:lang w:eastAsia="zh-CN"/>
                <w14:textFill>
                  <w14:solidFill>
                    <w14:schemeClr w14:val="tx1"/>
                  </w14:solidFill>
                </w14:textFill>
              </w:rPr>
              <w:t>2026年6月17日</w:t>
            </w:r>
            <w:r>
              <w:rPr>
                <w:rFonts w:hint="eastAsia" w:ascii="宋体" w:hAnsi="宋体" w:cs="宋体"/>
                <w:color w:val="000000" w:themeColor="text1"/>
                <w:szCs w:val="21"/>
                <w:highlight w:val="none"/>
                <w:u w:val="single"/>
                <w14:textFill>
                  <w14:solidFill>
                    <w14:schemeClr w14:val="tx1"/>
                  </w14:solidFill>
                </w14:textFill>
              </w:rPr>
              <w:t>上午9时30分</w:t>
            </w:r>
            <w:r>
              <w:rPr>
                <w:rFonts w:hint="eastAsia" w:ascii="宋体" w:hAnsi="宋体" w:cs="宋体"/>
                <w:color w:val="000000" w:themeColor="text1"/>
                <w:szCs w:val="21"/>
                <w:highlight w:val="none"/>
                <w14:textFill>
                  <w14:solidFill>
                    <w14:schemeClr w14:val="tx1"/>
                  </w14:solidFill>
                </w14:textFill>
              </w:rPr>
              <w:t>之前将电子</w:t>
            </w:r>
            <w:r>
              <w:rPr>
                <w:rFonts w:hint="eastAsia" w:ascii="宋体" w:hAnsi="宋体"/>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文件上传到广西政府采购云平台。应按照本项目谈判文件和广西政府采购云平台的要求编制、加密传输</w:t>
            </w:r>
            <w:r>
              <w:rPr>
                <w:rFonts w:hint="eastAsia" w:ascii="宋体" w:hAnsi="宋体"/>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文件。供应商在使用系统进行投标响应的过程中遇到涉及平台使用的任何问题，可致电广西政府采购云平台技术支持热线咨询，联系方式：95763。</w:t>
            </w:r>
          </w:p>
        </w:tc>
      </w:tr>
      <w:tr w14:paraId="465E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noWrap w:val="0"/>
            <w:vAlign w:val="center"/>
          </w:tcPr>
          <w:p w14:paraId="50DAE7C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825" w:type="dxa"/>
            <w:noWrap w:val="0"/>
            <w:vAlign w:val="center"/>
          </w:tcPr>
          <w:p w14:paraId="77BA23A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w:t>
            </w:r>
          </w:p>
        </w:tc>
        <w:tc>
          <w:tcPr>
            <w:tcW w:w="1815" w:type="dxa"/>
            <w:noWrap w:val="0"/>
            <w:vAlign w:val="center"/>
          </w:tcPr>
          <w:p w14:paraId="708FB1C1">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响应文件解密</w:t>
            </w:r>
          </w:p>
        </w:tc>
        <w:tc>
          <w:tcPr>
            <w:tcW w:w="7205" w:type="dxa"/>
            <w:noWrap w:val="0"/>
            <w:vAlign w:val="center"/>
          </w:tcPr>
          <w:p w14:paraId="749EA745">
            <w:pPr>
              <w:pStyle w:val="18"/>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w:t>
            </w:r>
            <w:r>
              <w:rPr>
                <w:rFonts w:hint="eastAsia" w:ascii="宋体" w:hAnsi="宋体" w:cs="宋体"/>
                <w:color w:val="000000" w:themeColor="text1"/>
                <w:highlight w:val="none"/>
                <w14:textFill>
                  <w14:solidFill>
                    <w14:schemeClr w14:val="tx1"/>
                  </w14:solidFill>
                </w14:textFill>
              </w:rPr>
              <w:t>响应文件解密时间：截标时间后</w:t>
            </w:r>
            <w:r>
              <w:rPr>
                <w:rFonts w:hint="eastAsia" w:ascii="宋体" w:hAnsi="宋体" w:cs="宋体"/>
                <w:color w:val="000000" w:themeColor="text1"/>
                <w:highlight w:val="none"/>
                <w:u w:val="singl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分钟内（</w:t>
            </w:r>
            <w:r>
              <w:rPr>
                <w:rFonts w:hint="eastAsia" w:ascii="宋体" w:hAnsi="宋体" w:cs="宋体"/>
                <w:color w:val="000000" w:themeColor="text1"/>
                <w:highlight w:val="none"/>
                <w:u w:val="single"/>
                <w:lang w:eastAsia="zh-CN"/>
                <w14:textFill>
                  <w14:solidFill>
                    <w14:schemeClr w14:val="tx1"/>
                  </w14:solidFill>
                </w14:textFill>
              </w:rPr>
              <w:t>2026年6月17日</w:t>
            </w:r>
            <w:r>
              <w:rPr>
                <w:rFonts w:hint="eastAsia" w:ascii="宋体" w:hAnsi="宋体" w:cs="宋体"/>
                <w:color w:val="000000" w:themeColor="text1"/>
                <w:highlight w:val="none"/>
                <w:u w:val="single"/>
                <w14:textFill>
                  <w14:solidFill>
                    <w14:schemeClr w14:val="tx1"/>
                  </w14:solidFill>
                </w14:textFill>
              </w:rPr>
              <w:t>上午9时30分至10时00分</w:t>
            </w:r>
            <w:r>
              <w:rPr>
                <w:rFonts w:hint="eastAsia" w:ascii="宋体" w:hAnsi="宋体" w:cs="宋体"/>
                <w:color w:val="000000" w:themeColor="text1"/>
                <w:highlight w:val="none"/>
                <w14:textFill>
                  <w14:solidFill>
                    <w14:schemeClr w14:val="tx1"/>
                  </w14:solidFill>
                </w14:textFill>
              </w:rPr>
              <w:t>)供应商可以登录广西政府采购云平台，用“项目采购-开标评标”功能进行解密响应文件。</w:t>
            </w:r>
          </w:p>
          <w:p w14:paraId="1BA2610F">
            <w:pPr>
              <w:pStyle w:val="18"/>
              <w:rPr>
                <w:rFonts w:ascii="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响应文件网上递交截止时间后，各供应商须在解密时限内对上传广西政府采购云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p>
        </w:tc>
      </w:tr>
      <w:tr w14:paraId="43AE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25" w:type="dxa"/>
            <w:noWrap w:val="0"/>
            <w:vAlign w:val="center"/>
          </w:tcPr>
          <w:p w14:paraId="7E476A2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p>
        </w:tc>
        <w:tc>
          <w:tcPr>
            <w:tcW w:w="825" w:type="dxa"/>
            <w:noWrap w:val="0"/>
            <w:vAlign w:val="center"/>
          </w:tcPr>
          <w:p w14:paraId="3CFA45A6">
            <w:pPr>
              <w:spacing w:line="360" w:lineRule="auto"/>
              <w:ind w:firstLine="105"/>
              <w:jc w:val="center"/>
              <w:rPr>
                <w:rFonts w:ascii="宋体" w:hAnsi="宋体"/>
                <w:color w:val="000000" w:themeColor="text1"/>
                <w:position w:val="-2"/>
                <w:szCs w:val="21"/>
                <w:highlight w:val="none"/>
                <w14:textFill>
                  <w14:solidFill>
                    <w14:schemeClr w14:val="tx1"/>
                  </w14:solidFill>
                </w14:textFill>
              </w:rPr>
            </w:pPr>
            <w:r>
              <w:rPr>
                <w:rFonts w:hint="eastAsia" w:ascii="宋体" w:hAnsi="宋体"/>
                <w:color w:val="000000" w:themeColor="text1"/>
                <w:position w:val="-2"/>
                <w:szCs w:val="21"/>
                <w:highlight w:val="none"/>
                <w14:textFill>
                  <w14:solidFill>
                    <w14:schemeClr w14:val="tx1"/>
                  </w14:solidFill>
                </w14:textFill>
              </w:rPr>
              <w:t>19</w:t>
            </w:r>
            <w:r>
              <w:rPr>
                <w:rFonts w:ascii="宋体" w:hAnsi="宋体"/>
                <w:color w:val="000000" w:themeColor="text1"/>
                <w:position w:val="-2"/>
                <w:szCs w:val="21"/>
                <w:highlight w:val="none"/>
                <w14:textFill>
                  <w14:solidFill>
                    <w14:schemeClr w14:val="tx1"/>
                  </w14:solidFill>
                </w14:textFill>
              </w:rPr>
              <w:t>.1</w:t>
            </w:r>
          </w:p>
        </w:tc>
        <w:tc>
          <w:tcPr>
            <w:tcW w:w="1815" w:type="dxa"/>
            <w:noWrap w:val="0"/>
            <w:vAlign w:val="center"/>
          </w:tcPr>
          <w:p w14:paraId="49263064">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谈判小组组成</w:t>
            </w:r>
          </w:p>
        </w:tc>
        <w:tc>
          <w:tcPr>
            <w:tcW w:w="7205" w:type="dxa"/>
            <w:noWrap w:val="0"/>
            <w:vAlign w:val="center"/>
          </w:tcPr>
          <w:p w14:paraId="377D45CF">
            <w:pPr>
              <w:spacing w:line="360" w:lineRule="auto"/>
              <w:ind w:left="15" w:hanging="14"/>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谈判及评审工作由采购代理机构负责组织，具体谈判、评审工作由依法组建的谈判小组负责，谈判小组由采购人代表和有关方面的专家组成。谈判小组的构成：</w:t>
            </w:r>
            <w:r>
              <w:rPr>
                <w:rFonts w:ascii="宋体" w:hAnsi="宋体"/>
                <w:color w:val="000000" w:themeColor="text1"/>
                <w:szCs w:val="21"/>
                <w:highlight w:val="none"/>
                <w:u w:val="singl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人，其中采购人代表</w:t>
            </w:r>
            <w:r>
              <w:rPr>
                <w:rFonts w:ascii="宋体" w:hAnsi="宋体"/>
                <w:color w:val="000000" w:themeColor="text1"/>
                <w:szCs w:val="21"/>
                <w:highlight w:val="none"/>
                <w:u w:val="single"/>
                <w14:textFill>
                  <w14:solidFill>
                    <w14:schemeClr w14:val="tx1"/>
                  </w14:solidFill>
                </w14:textFill>
              </w:rPr>
              <w:t xml:space="preserve"> 1 </w:t>
            </w:r>
            <w:r>
              <w:rPr>
                <w:rFonts w:hint="eastAsia" w:ascii="宋体" w:hAnsi="宋体"/>
                <w:color w:val="000000" w:themeColor="text1"/>
                <w:szCs w:val="21"/>
                <w:highlight w:val="none"/>
                <w14:textFill>
                  <w14:solidFill>
                    <w14:schemeClr w14:val="tx1"/>
                  </w14:solidFill>
                </w14:textFill>
              </w:rPr>
              <w:t>人，专家</w:t>
            </w:r>
            <w:r>
              <w:rPr>
                <w:rFonts w:ascii="宋体" w:hAnsi="宋体"/>
                <w:color w:val="000000" w:themeColor="text1"/>
                <w:szCs w:val="21"/>
                <w:highlight w:val="none"/>
                <w:u w:val="single"/>
                <w14:textFill>
                  <w14:solidFill>
                    <w14:schemeClr w14:val="tx1"/>
                  </w14:solidFill>
                </w14:textFill>
              </w:rPr>
              <w:t xml:space="preserve"> 2</w:t>
            </w:r>
            <w:r>
              <w:rPr>
                <w:rFonts w:hint="eastAsia" w:ascii="宋体" w:hAnsi="宋体"/>
                <w:color w:val="000000" w:themeColor="text1"/>
                <w:szCs w:val="21"/>
                <w:highlight w:val="none"/>
                <w14:textFill>
                  <w14:solidFill>
                    <w14:schemeClr w14:val="tx1"/>
                  </w14:solidFill>
                </w14:textFill>
              </w:rPr>
              <w:t>人。</w:t>
            </w:r>
          </w:p>
        </w:tc>
      </w:tr>
      <w:tr w14:paraId="5F63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5" w:type="dxa"/>
            <w:noWrap w:val="0"/>
            <w:vAlign w:val="center"/>
          </w:tcPr>
          <w:p w14:paraId="74E62A6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w:t>
            </w:r>
          </w:p>
        </w:tc>
        <w:tc>
          <w:tcPr>
            <w:tcW w:w="825" w:type="dxa"/>
            <w:noWrap w:val="0"/>
            <w:vAlign w:val="center"/>
          </w:tcPr>
          <w:p w14:paraId="5A66B05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r>
              <w:rPr>
                <w:rFonts w:ascii="宋体" w:hAnsi="宋体"/>
                <w:color w:val="000000" w:themeColor="text1"/>
                <w:szCs w:val="21"/>
                <w:highlight w:val="none"/>
                <w14:textFill>
                  <w14:solidFill>
                    <w14:schemeClr w14:val="tx1"/>
                  </w14:solidFill>
                </w14:textFill>
              </w:rPr>
              <w:t>.2</w:t>
            </w:r>
          </w:p>
        </w:tc>
        <w:tc>
          <w:tcPr>
            <w:tcW w:w="1815" w:type="dxa"/>
            <w:noWrap w:val="0"/>
            <w:vAlign w:val="center"/>
          </w:tcPr>
          <w:p w14:paraId="5826A976">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谈判时间、地点、人员</w:t>
            </w:r>
          </w:p>
        </w:tc>
        <w:tc>
          <w:tcPr>
            <w:tcW w:w="7205" w:type="dxa"/>
            <w:noWrap w:val="0"/>
            <w:vAlign w:val="top"/>
          </w:tcPr>
          <w:p w14:paraId="0759EACB">
            <w:pPr>
              <w:spacing w:line="360" w:lineRule="auto"/>
              <w:ind w:left="315" w:hanging="315"/>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r>
              <w:rPr>
                <w:rFonts w:ascii="宋体" w:hAnsi="宋体"/>
                <w:color w:val="000000" w:themeColor="text1"/>
                <w:szCs w:val="21"/>
                <w:highlight w:val="none"/>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谈判时间：响应文件递交截止时间后。</w:t>
            </w:r>
          </w:p>
          <w:p w14:paraId="4C68F565">
            <w:pPr>
              <w:spacing w:line="360" w:lineRule="auto"/>
              <w:jc w:val="left"/>
              <w:rPr>
                <w:rFonts w:asci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r>
              <w:rPr>
                <w:rFonts w:ascii="宋体" w:hAnsi="宋体"/>
                <w:color w:val="000000" w:themeColor="text1"/>
                <w:szCs w:val="21"/>
                <w:highlight w:val="none"/>
                <w14:textFill>
                  <w14:solidFill>
                    <w14:schemeClr w14:val="tx1"/>
                  </w14:solidFill>
                </w14:textFill>
              </w:rPr>
              <w:t>.2.2</w:t>
            </w:r>
            <w:r>
              <w:rPr>
                <w:rFonts w:hint="eastAsia" w:ascii="宋体" w:hAnsi="宋体"/>
                <w:color w:val="000000" w:themeColor="text1"/>
                <w:szCs w:val="21"/>
                <w:highlight w:val="none"/>
                <w14:textFill>
                  <w14:solidFill>
                    <w14:schemeClr w14:val="tx1"/>
                  </w14:solidFill>
                </w14:textFill>
              </w:rPr>
              <w:t>谈判地点：</w:t>
            </w:r>
            <w:r>
              <w:rPr>
                <w:rFonts w:hint="eastAsia" w:ascii="宋体" w:hAnsi="宋体" w:cs="宋体"/>
                <w:b/>
                <w:bCs/>
                <w:color w:val="000000" w:themeColor="text1"/>
                <w:szCs w:val="21"/>
                <w:highlight w:val="none"/>
                <w14:textFill>
                  <w14:solidFill>
                    <w14:schemeClr w14:val="tx1"/>
                  </w14:solidFill>
                </w14:textFill>
              </w:rPr>
              <w:t>通过广西政府采购云平台在线谈判</w:t>
            </w:r>
            <w:r>
              <w:rPr>
                <w:rFonts w:hint="eastAsia" w:ascii="宋体" w:hAnsi="宋体"/>
                <w:b/>
                <w:bCs/>
                <w:color w:val="000000" w:themeColor="text1"/>
                <w:szCs w:val="21"/>
                <w:highlight w:val="none"/>
                <w14:textFill>
                  <w14:solidFill>
                    <w14:schemeClr w14:val="tx1"/>
                  </w14:solidFill>
                </w14:textFill>
              </w:rPr>
              <w:t>。</w:t>
            </w:r>
          </w:p>
          <w:p w14:paraId="04751285">
            <w:pPr>
              <w:spacing w:line="360" w:lineRule="auto"/>
              <w:ind w:left="15" w:hanging="14"/>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r>
              <w:rPr>
                <w:rFonts w:ascii="宋体" w:hAnsi="宋体"/>
                <w:color w:val="000000" w:themeColor="text1"/>
                <w:szCs w:val="21"/>
                <w:highlight w:val="none"/>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谈判参加人员：供应商法定代表人、负责人、自然人或相应的委托代理人持有</w:t>
            </w:r>
            <w:r>
              <w:rPr>
                <w:rFonts w:hint="eastAsia" w:ascii="宋体" w:hAnsi="宋体"/>
                <w:color w:val="000000" w:themeColor="text1"/>
                <w:szCs w:val="21"/>
                <w:highlight w:val="none"/>
                <w:u w:val="single"/>
                <w14:textFill>
                  <w14:solidFill>
                    <w14:schemeClr w14:val="tx1"/>
                  </w14:solidFill>
                </w14:textFill>
              </w:rPr>
              <w:t>效身份证原件和供应商广西政府采购云平台CA数字证书</w:t>
            </w:r>
            <w:r>
              <w:rPr>
                <w:rFonts w:hint="eastAsia" w:ascii="宋体" w:hAnsi="宋体"/>
                <w:color w:val="000000" w:themeColor="text1"/>
                <w:szCs w:val="21"/>
                <w:highlight w:val="none"/>
                <w14:textFill>
                  <w14:solidFill>
                    <w14:schemeClr w14:val="tx1"/>
                  </w14:solidFill>
                </w14:textFill>
              </w:rPr>
              <w:t>参加谈判。请供应商及时</w:t>
            </w:r>
            <w:r>
              <w:rPr>
                <w:rFonts w:hint="eastAsia" w:ascii="宋体" w:hAnsi="宋体"/>
                <w:color w:val="000000" w:themeColor="text1"/>
                <w:szCs w:val="21"/>
                <w:highlight w:val="none"/>
                <w:lang w:eastAsia="zh-CN"/>
                <w14:textFill>
                  <w14:solidFill>
                    <w14:schemeClr w14:val="tx1"/>
                  </w14:solidFill>
                </w14:textFill>
              </w:rPr>
              <w:t>登录</w:t>
            </w:r>
            <w:r>
              <w:rPr>
                <w:rFonts w:hint="eastAsia" w:ascii="宋体" w:hAnsi="宋体"/>
                <w:color w:val="000000" w:themeColor="text1"/>
                <w:szCs w:val="21"/>
                <w:highlight w:val="none"/>
                <w14:textFill>
                  <w14:solidFill>
                    <w14:schemeClr w14:val="tx1"/>
                  </w14:solidFill>
                </w14:textFill>
              </w:rPr>
              <w:t>广西政府采购云平台等候谈判。</w:t>
            </w:r>
          </w:p>
          <w:p w14:paraId="665FA205">
            <w:pPr>
              <w:tabs>
                <w:tab w:val="left" w:pos="1140"/>
              </w:tabs>
              <w:spacing w:line="360" w:lineRule="auto"/>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r>
              <w:rPr>
                <w:rFonts w:ascii="宋体" w:hAnsi="宋体"/>
                <w:color w:val="000000" w:themeColor="text1"/>
                <w:szCs w:val="21"/>
                <w:highlight w:val="none"/>
                <w14:textFill>
                  <w14:solidFill>
                    <w14:schemeClr w14:val="tx1"/>
                  </w14:solidFill>
                </w14:textFill>
              </w:rPr>
              <w:t>.2.4</w:t>
            </w:r>
            <w:r>
              <w:rPr>
                <w:rFonts w:hint="eastAsia" w:ascii="宋体" w:hAnsi="宋体"/>
                <w:color w:val="000000" w:themeColor="text1"/>
                <w:szCs w:val="21"/>
                <w:highlight w:val="none"/>
                <w14:textFill>
                  <w14:solidFill>
                    <w14:schemeClr w14:val="tx1"/>
                  </w14:solidFill>
                </w14:textFill>
              </w:rPr>
              <w:t>响应文件递交截止时间后，由谈判小组在评标室内开启响应文件。</w:t>
            </w:r>
          </w:p>
        </w:tc>
      </w:tr>
      <w:tr w14:paraId="237B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5" w:type="dxa"/>
            <w:noWrap w:val="0"/>
            <w:vAlign w:val="center"/>
          </w:tcPr>
          <w:p w14:paraId="46F4B52D">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13</w:t>
            </w:r>
          </w:p>
        </w:tc>
        <w:tc>
          <w:tcPr>
            <w:tcW w:w="825" w:type="dxa"/>
            <w:noWrap w:val="0"/>
            <w:vAlign w:val="center"/>
          </w:tcPr>
          <w:p w14:paraId="4DFA134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w:t>
            </w:r>
            <w:r>
              <w:rPr>
                <w:rFonts w:ascii="宋体" w:hAnsi="宋体"/>
                <w:color w:val="000000" w:themeColor="text1"/>
                <w:szCs w:val="21"/>
                <w:highlight w:val="none"/>
                <w14:textFill>
                  <w14:solidFill>
                    <w14:schemeClr w14:val="tx1"/>
                  </w14:solidFill>
                </w14:textFill>
              </w:rPr>
              <w:t>.2</w:t>
            </w:r>
          </w:p>
        </w:tc>
        <w:tc>
          <w:tcPr>
            <w:tcW w:w="1815" w:type="dxa"/>
            <w:noWrap w:val="0"/>
            <w:vAlign w:val="center"/>
          </w:tcPr>
          <w:p w14:paraId="7D4E3F00">
            <w:pPr>
              <w:pStyle w:val="21"/>
              <w:spacing w:line="360" w:lineRule="auto"/>
              <w:jc w:val="center"/>
              <w:rPr>
                <w:rFonts w:hAnsi="宋体" w:cs="Arial"/>
                <w:color w:val="000000" w:themeColor="text1"/>
                <w:sz w:val="21"/>
                <w:highlight w:val="none"/>
                <w14:textFill>
                  <w14:solidFill>
                    <w14:schemeClr w14:val="tx1"/>
                  </w14:solidFill>
                </w14:textFill>
              </w:rPr>
            </w:pPr>
            <w:r>
              <w:rPr>
                <w:rFonts w:hint="eastAsia" w:hAnsi="宋体" w:cs="Arial"/>
                <w:color w:val="000000" w:themeColor="text1"/>
                <w:sz w:val="21"/>
                <w:highlight w:val="none"/>
                <w14:textFill>
                  <w14:solidFill>
                    <w14:schemeClr w14:val="tx1"/>
                  </w14:solidFill>
                </w14:textFill>
              </w:rPr>
              <w:t>评审办法</w:t>
            </w:r>
          </w:p>
        </w:tc>
        <w:tc>
          <w:tcPr>
            <w:tcW w:w="7205" w:type="dxa"/>
            <w:noWrap w:val="0"/>
            <w:vAlign w:val="center"/>
          </w:tcPr>
          <w:p w14:paraId="52AA580C">
            <w:pPr>
              <w:tabs>
                <w:tab w:val="left" w:pos="1140"/>
              </w:tabs>
              <w:spacing w:line="360" w:lineRule="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具体详见第四章评审办法。</w:t>
            </w:r>
          </w:p>
        </w:tc>
      </w:tr>
      <w:tr w14:paraId="76AA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5" w:type="dxa"/>
            <w:noWrap w:val="0"/>
            <w:vAlign w:val="center"/>
          </w:tcPr>
          <w:p w14:paraId="7CF4E8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w:t>
            </w:r>
          </w:p>
        </w:tc>
        <w:tc>
          <w:tcPr>
            <w:tcW w:w="825" w:type="dxa"/>
            <w:noWrap w:val="0"/>
            <w:vAlign w:val="center"/>
          </w:tcPr>
          <w:p w14:paraId="242129C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w:t>
            </w:r>
          </w:p>
        </w:tc>
        <w:tc>
          <w:tcPr>
            <w:tcW w:w="1815" w:type="dxa"/>
            <w:noWrap w:val="0"/>
            <w:vAlign w:val="center"/>
          </w:tcPr>
          <w:p w14:paraId="6E2AC0D0">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信用查询</w:t>
            </w:r>
          </w:p>
        </w:tc>
        <w:tc>
          <w:tcPr>
            <w:tcW w:w="7205" w:type="dxa"/>
            <w:noWrap w:val="0"/>
            <w:vAlign w:val="center"/>
          </w:tcPr>
          <w:p w14:paraId="4F99C6C5">
            <w:pPr>
              <w:spacing w:line="360" w:lineRule="auto"/>
              <w:ind w:left="15" w:hanging="14"/>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根据《关于做好政府采购有关信用主体标识码登记及在政府采购活动中查询使用信用记录有关问题的通知》（桂财采〔</w:t>
            </w:r>
            <w:r>
              <w:rPr>
                <w:rFonts w:ascii="宋体" w:hAnsi="宋体"/>
                <w:color w:val="000000" w:themeColor="text1"/>
                <w:szCs w:val="21"/>
                <w:highlight w:val="none"/>
                <w14:textFill>
                  <w14:solidFill>
                    <w14:schemeClr w14:val="tx1"/>
                  </w14:solidFill>
                </w14:textFill>
              </w:rPr>
              <w:t>2016</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37</w:t>
            </w:r>
            <w:r>
              <w:rPr>
                <w:rFonts w:hint="eastAsia" w:ascii="宋体" w:hAnsi="宋体"/>
                <w:color w:val="000000" w:themeColor="text1"/>
                <w:szCs w:val="21"/>
                <w:highlight w:val="none"/>
                <w14:textFill>
                  <w14:solidFill>
                    <w14:schemeClr w14:val="tx1"/>
                  </w14:solidFill>
                </w14:textFill>
              </w:rPr>
              <w:t>号），由采购代理机构对第一成交候选人进行信用查询：</w:t>
            </w:r>
          </w:p>
          <w:p w14:paraId="143184E7">
            <w:pPr>
              <w:spacing w:line="360" w:lineRule="auto"/>
              <w:ind w:left="15" w:hanging="14"/>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⑴查询渠道：“信用中国”网站</w:t>
            </w:r>
            <w:r>
              <w:rPr>
                <w:rFonts w:ascii="宋体" w:hAnsi="宋体"/>
                <w:color w:val="000000" w:themeColor="text1"/>
                <w:szCs w:val="21"/>
                <w:highlight w:val="none"/>
                <w14:textFill>
                  <w14:solidFill>
                    <w14:schemeClr w14:val="tx1"/>
                  </w14:solidFill>
                </w14:textFill>
              </w:rPr>
              <w:t>(www.creditchina.gov.cn)</w:t>
            </w:r>
            <w:r>
              <w:rPr>
                <w:rFonts w:hint="eastAsia" w:ascii="宋体" w:hAnsi="宋体"/>
                <w:color w:val="000000" w:themeColor="text1"/>
                <w:szCs w:val="21"/>
                <w:highlight w:val="none"/>
                <w14:textFill>
                  <w14:solidFill>
                    <w14:schemeClr w14:val="tx1"/>
                  </w14:solidFill>
                </w14:textFill>
              </w:rPr>
              <w:t>、中国政府采购网</w:t>
            </w:r>
            <w:r>
              <w:rPr>
                <w:rFonts w:ascii="宋体" w:hAnsi="宋体"/>
                <w:color w:val="000000" w:themeColor="text1"/>
                <w:szCs w:val="21"/>
                <w:highlight w:val="none"/>
                <w14:textFill>
                  <w14:solidFill>
                    <w14:schemeClr w14:val="tx1"/>
                  </w14:solidFill>
                </w14:textFill>
              </w:rPr>
              <w:t>(www.ccgp.gov.cn)</w:t>
            </w:r>
            <w:r>
              <w:rPr>
                <w:rFonts w:hint="eastAsia" w:ascii="宋体" w:hAnsi="宋体"/>
                <w:color w:val="000000" w:themeColor="text1"/>
                <w:szCs w:val="21"/>
                <w:highlight w:val="none"/>
                <w14:textFill>
                  <w14:solidFill>
                    <w14:schemeClr w14:val="tx1"/>
                  </w14:solidFill>
                </w14:textFill>
              </w:rPr>
              <w:t>等；</w:t>
            </w:r>
          </w:p>
          <w:p w14:paraId="1FDCED70">
            <w:pPr>
              <w:spacing w:line="360" w:lineRule="auto"/>
              <w:ind w:left="315" w:hanging="315"/>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⑵查询时间：成交通知书发出前；</w:t>
            </w:r>
          </w:p>
          <w:p w14:paraId="20692EAC">
            <w:pPr>
              <w:spacing w:line="360" w:lineRule="auto"/>
              <w:ind w:left="15" w:hanging="14"/>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⑶信用信息查询记录和证据留存方式：在查询网站中直接打印查询记录，打印材料作为采购活动资料保存；</w:t>
            </w:r>
          </w:p>
          <w:p w14:paraId="77AA08DF">
            <w:pPr>
              <w:spacing w:line="360" w:lineRule="auto"/>
              <w:ind w:left="15" w:hanging="14"/>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⑷信用信息使用规则：对在“信用中国”网站</w:t>
            </w:r>
            <w:r>
              <w:rPr>
                <w:rFonts w:ascii="宋体" w:hAnsi="宋体"/>
                <w:color w:val="000000" w:themeColor="text1"/>
                <w:szCs w:val="21"/>
                <w:highlight w:val="none"/>
                <w14:textFill>
                  <w14:solidFill>
                    <w14:schemeClr w14:val="tx1"/>
                  </w14:solidFill>
                </w14:textFill>
              </w:rPr>
              <w:t>(www.creditchina.gov.cn)</w:t>
            </w:r>
            <w:r>
              <w:rPr>
                <w:rFonts w:hint="eastAsia" w:ascii="宋体" w:hAnsi="宋体"/>
                <w:color w:val="000000" w:themeColor="text1"/>
                <w:szCs w:val="21"/>
                <w:highlight w:val="none"/>
                <w14:textFill>
                  <w14:solidFill>
                    <w14:schemeClr w14:val="tx1"/>
                  </w14:solidFill>
                </w14:textFill>
              </w:rPr>
              <w:t>、中国政府采购网</w:t>
            </w:r>
            <w:r>
              <w:rPr>
                <w:rFonts w:ascii="宋体" w:hAnsi="宋体"/>
                <w:color w:val="000000" w:themeColor="text1"/>
                <w:szCs w:val="21"/>
                <w:highlight w:val="none"/>
                <w14:textFill>
                  <w14:solidFill>
                    <w14:schemeClr w14:val="tx1"/>
                  </w14:solidFill>
                </w14:textFill>
              </w:rPr>
              <w:t>(www.ccgp.gov.cn)</w:t>
            </w:r>
            <w:r>
              <w:rPr>
                <w:rFonts w:hint="eastAsia" w:ascii="宋体" w:hAnsi="宋体"/>
                <w:color w:val="000000" w:themeColor="text1"/>
                <w:szCs w:val="21"/>
                <w:highlight w:val="none"/>
                <w14:textFill>
                  <w14:solidFill>
                    <w14:schemeClr w14:val="tx1"/>
                  </w14:solidFill>
                </w14:textFill>
              </w:rPr>
              <w:t>等渠道列入失信被执行人、</w:t>
            </w:r>
            <w:r>
              <w:rPr>
                <w:rFonts w:hint="eastAsia" w:ascii="宋体" w:hAnsi="宋体"/>
                <w:color w:val="000000" w:themeColor="text1"/>
                <w:szCs w:val="21"/>
                <w:highlight w:val="none"/>
                <w:lang w:eastAsia="zh-CN"/>
                <w14:textFill>
                  <w14:solidFill>
                    <w14:schemeClr w14:val="tx1"/>
                  </w14:solidFill>
                </w14:textFill>
              </w:rPr>
              <w:t>重大税收违法失信主体名单</w:t>
            </w:r>
            <w:r>
              <w:rPr>
                <w:rFonts w:hint="eastAsia" w:ascii="宋体" w:hAnsi="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取消其成交候选人资格。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3759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25" w:type="dxa"/>
            <w:noWrap w:val="0"/>
            <w:vAlign w:val="center"/>
          </w:tcPr>
          <w:p w14:paraId="0DBB0AD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825" w:type="dxa"/>
            <w:noWrap w:val="0"/>
            <w:vAlign w:val="center"/>
          </w:tcPr>
          <w:p w14:paraId="492B6B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w:t>
            </w:r>
          </w:p>
        </w:tc>
        <w:tc>
          <w:tcPr>
            <w:tcW w:w="1815" w:type="dxa"/>
            <w:noWrap w:val="0"/>
            <w:vAlign w:val="center"/>
          </w:tcPr>
          <w:p w14:paraId="352A9503">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成交结果公告</w:t>
            </w:r>
          </w:p>
          <w:p w14:paraId="7D96A09A">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及成交通知书</w:t>
            </w:r>
          </w:p>
        </w:tc>
        <w:tc>
          <w:tcPr>
            <w:tcW w:w="7205" w:type="dxa"/>
            <w:noWrap w:val="0"/>
            <w:vAlign w:val="top"/>
          </w:tcPr>
          <w:p w14:paraId="6D30BC74">
            <w:pPr>
              <w:spacing w:line="360" w:lineRule="auto"/>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采购代理机构于谈判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87BB06B">
            <w:pPr>
              <w:spacing w:line="360" w:lineRule="auto"/>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成交公告发布的同时，采购代理机构在线向成交供应商发出电子成交通知书。</w:t>
            </w:r>
          </w:p>
        </w:tc>
      </w:tr>
      <w:tr w14:paraId="442C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25" w:type="dxa"/>
            <w:noWrap w:val="0"/>
            <w:vAlign w:val="center"/>
          </w:tcPr>
          <w:p w14:paraId="531EFE42">
            <w:pPr>
              <w:spacing w:line="360" w:lineRule="auto"/>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6</w:t>
            </w:r>
          </w:p>
        </w:tc>
        <w:tc>
          <w:tcPr>
            <w:tcW w:w="825" w:type="dxa"/>
            <w:noWrap w:val="0"/>
            <w:vAlign w:val="center"/>
          </w:tcPr>
          <w:p w14:paraId="06434E9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w:t>
            </w:r>
          </w:p>
        </w:tc>
        <w:tc>
          <w:tcPr>
            <w:tcW w:w="1815" w:type="dxa"/>
            <w:noWrap w:val="0"/>
            <w:vAlign w:val="center"/>
          </w:tcPr>
          <w:p w14:paraId="79A8DD03">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w:t>
            </w:r>
          </w:p>
        </w:tc>
        <w:tc>
          <w:tcPr>
            <w:tcW w:w="7205" w:type="dxa"/>
            <w:noWrap w:val="0"/>
            <w:vAlign w:val="center"/>
          </w:tcPr>
          <w:p w14:paraId="172458DD">
            <w:pPr>
              <w:spacing w:line="360" w:lineRule="auto"/>
              <w:rPr>
                <w:rFonts w:hint="eastAsia" w:ascii="宋体"/>
                <w:color w:val="000000" w:themeColor="text1"/>
                <w:szCs w:val="21"/>
                <w:highlight w:val="none"/>
                <w14:textFill>
                  <w14:solidFill>
                    <w14:schemeClr w14:val="tx1"/>
                  </w14:solidFill>
                </w14:textFill>
              </w:rPr>
            </w:pPr>
            <w:r>
              <w:rPr>
                <w:rFonts w:hint="eastAsia" w:ascii="宋体" w:hAnsi="宋体" w:cs="Times New Roman"/>
                <w:color w:val="000000" w:themeColor="text1"/>
                <w:sz w:val="21"/>
                <w:highlight w:val="none"/>
                <w:u w:val="none"/>
                <w:vertAlign w:val="baseline"/>
                <w:lang w:eastAsia="zh-CN"/>
                <w14:textFill>
                  <w14:solidFill>
                    <w14:schemeClr w14:val="tx1"/>
                  </w14:solidFill>
                </w14:textFill>
              </w:rPr>
              <w:t>本项目无履约保证金</w:t>
            </w:r>
            <w:r>
              <w:rPr>
                <w:rFonts w:hint="eastAsia" w:ascii="宋体" w:hAnsi="宋体" w:eastAsia="宋体" w:cs="Times New Roman"/>
                <w:color w:val="000000" w:themeColor="text1"/>
                <w:sz w:val="21"/>
                <w:highlight w:val="none"/>
                <w:u w:val="none"/>
                <w:vertAlign w:val="baseline"/>
                <w:lang w:eastAsia="zh-CN"/>
                <w14:textFill>
                  <w14:solidFill>
                    <w14:schemeClr w14:val="tx1"/>
                  </w14:solidFill>
                </w14:textFill>
              </w:rPr>
              <w:t>。</w:t>
            </w:r>
          </w:p>
        </w:tc>
      </w:tr>
      <w:tr w14:paraId="21BB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noWrap w:val="0"/>
            <w:vAlign w:val="center"/>
          </w:tcPr>
          <w:p w14:paraId="3937EAA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w:t>
            </w:r>
          </w:p>
        </w:tc>
        <w:tc>
          <w:tcPr>
            <w:tcW w:w="825" w:type="dxa"/>
            <w:noWrap w:val="0"/>
            <w:vAlign w:val="center"/>
          </w:tcPr>
          <w:p w14:paraId="5550587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w:t>
            </w:r>
            <w:r>
              <w:rPr>
                <w:rFonts w:ascii="宋体" w:hAnsi="宋体"/>
                <w:color w:val="000000" w:themeColor="text1"/>
                <w:szCs w:val="21"/>
                <w:highlight w:val="none"/>
                <w14:textFill>
                  <w14:solidFill>
                    <w14:schemeClr w14:val="tx1"/>
                  </w14:solidFill>
                </w14:textFill>
              </w:rPr>
              <w:t>.1</w:t>
            </w:r>
          </w:p>
        </w:tc>
        <w:tc>
          <w:tcPr>
            <w:tcW w:w="1815" w:type="dxa"/>
            <w:noWrap w:val="0"/>
            <w:vAlign w:val="center"/>
          </w:tcPr>
          <w:p w14:paraId="1DE13098">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签订合同时间</w:t>
            </w:r>
          </w:p>
        </w:tc>
        <w:tc>
          <w:tcPr>
            <w:tcW w:w="7205" w:type="dxa"/>
            <w:noWrap w:val="0"/>
            <w:vAlign w:val="top"/>
          </w:tcPr>
          <w:p w14:paraId="23E1F5F1">
            <w:pPr>
              <w:spacing w:line="360" w:lineRule="auto"/>
              <w:rPr>
                <w:rFonts w:asci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成交通知书发出之日起八个工作日内。</w:t>
            </w:r>
            <w:r>
              <w:rPr>
                <w:rFonts w:hint="eastAsia" w:ascii="宋体" w:hAnsi="宋体"/>
                <w:color w:val="000000" w:themeColor="text1"/>
                <w:szCs w:val="21"/>
                <w:highlight w:val="none"/>
                <w14:textFill>
                  <w14:solidFill>
                    <w14:schemeClr w14:val="tx1"/>
                  </w14:solidFill>
                </w14:textFill>
              </w:rPr>
              <w:t>成交供应商收到成交通知书后，</w:t>
            </w:r>
            <w:r>
              <w:rPr>
                <w:rFonts w:hint="eastAsia" w:ascii="宋体" w:hAnsi="宋体" w:cs="宋体"/>
                <w:color w:val="000000" w:themeColor="text1"/>
                <w:szCs w:val="21"/>
                <w:highlight w:val="none"/>
                <w14:textFill>
                  <w14:solidFill>
                    <w14:schemeClr w14:val="tx1"/>
                  </w14:solidFill>
                </w14:textFill>
              </w:rPr>
              <w:t>应按规定与采购人在广西政府采购云平台上在线签订电子合同。</w:t>
            </w:r>
          </w:p>
        </w:tc>
      </w:tr>
      <w:tr w14:paraId="3F0E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000DB41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p>
        </w:tc>
        <w:tc>
          <w:tcPr>
            <w:tcW w:w="825" w:type="dxa"/>
            <w:noWrap w:val="0"/>
            <w:vAlign w:val="center"/>
          </w:tcPr>
          <w:p w14:paraId="1D986E16">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3</w:t>
            </w:r>
          </w:p>
        </w:tc>
        <w:tc>
          <w:tcPr>
            <w:tcW w:w="1815" w:type="dxa"/>
            <w:noWrap w:val="0"/>
            <w:vAlign w:val="center"/>
          </w:tcPr>
          <w:p w14:paraId="0C47D1B1">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合同备案存档</w:t>
            </w:r>
          </w:p>
        </w:tc>
        <w:tc>
          <w:tcPr>
            <w:tcW w:w="7205" w:type="dxa"/>
            <w:noWrap w:val="0"/>
            <w:vAlign w:val="center"/>
          </w:tcPr>
          <w:p w14:paraId="401D20B2">
            <w:pPr>
              <w:spacing w:line="360" w:lineRule="auto"/>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政府采购合同双方自签订之日起将自动存档于广西政府采购云平台上，</w:t>
            </w:r>
            <w:r>
              <w:rPr>
                <w:rFonts w:hint="eastAsia" w:ascii="宋体"/>
                <w:color w:val="000000" w:themeColor="text1"/>
                <w:szCs w:val="21"/>
                <w:highlight w:val="none"/>
                <w14:textFill>
                  <w14:solidFill>
                    <w14:schemeClr w14:val="tx1"/>
                  </w14:solidFill>
                </w14:textFill>
              </w:rPr>
              <w:t>采购人于合同签订之日起七个工作日内将一份合同原件送本级财政部门备案。</w:t>
            </w:r>
          </w:p>
        </w:tc>
      </w:tr>
      <w:tr w14:paraId="3B00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noWrap w:val="0"/>
            <w:vAlign w:val="center"/>
          </w:tcPr>
          <w:p w14:paraId="42879B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p>
        </w:tc>
        <w:tc>
          <w:tcPr>
            <w:tcW w:w="825" w:type="dxa"/>
            <w:noWrap w:val="0"/>
            <w:vAlign w:val="center"/>
          </w:tcPr>
          <w:p w14:paraId="30AC3AB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w:t>
            </w:r>
          </w:p>
        </w:tc>
        <w:tc>
          <w:tcPr>
            <w:tcW w:w="1815" w:type="dxa"/>
            <w:noWrap w:val="0"/>
            <w:vAlign w:val="center"/>
          </w:tcPr>
          <w:p w14:paraId="4065CC52">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采购代理服务费</w:t>
            </w:r>
          </w:p>
        </w:tc>
        <w:tc>
          <w:tcPr>
            <w:tcW w:w="7205" w:type="dxa"/>
            <w:noWrap w:val="0"/>
            <w:vAlign w:val="top"/>
          </w:tcPr>
          <w:p w14:paraId="4F7E4F74">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本项目不收取代理服务费。</w:t>
            </w:r>
          </w:p>
        </w:tc>
      </w:tr>
      <w:tr w14:paraId="00C0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shd w:val="clear" w:color="auto" w:fill="auto"/>
            <w:noWrap w:val="0"/>
            <w:vAlign w:val="center"/>
          </w:tcPr>
          <w:p w14:paraId="15561E9E">
            <w:pPr>
              <w:spacing w:line="360" w:lineRule="exact"/>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p>
        </w:tc>
        <w:tc>
          <w:tcPr>
            <w:tcW w:w="825" w:type="dxa"/>
            <w:shd w:val="clear" w:color="auto" w:fill="auto"/>
            <w:noWrap w:val="0"/>
            <w:vAlign w:val="center"/>
          </w:tcPr>
          <w:p w14:paraId="69B9694F">
            <w:pPr>
              <w:spacing w:line="360" w:lineRule="exact"/>
              <w:jc w:val="center"/>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31</w:t>
            </w:r>
          </w:p>
        </w:tc>
        <w:tc>
          <w:tcPr>
            <w:tcW w:w="1815" w:type="dxa"/>
            <w:shd w:val="clear" w:color="auto" w:fill="auto"/>
            <w:noWrap w:val="0"/>
            <w:vAlign w:val="center"/>
          </w:tcPr>
          <w:p w14:paraId="0B806D5E">
            <w:pPr>
              <w:spacing w:line="380" w:lineRule="exact"/>
              <w:ind w:firstLine="0"/>
              <w:outlineLvl w:val="2"/>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本国产品标准及相关政策</w:t>
            </w:r>
          </w:p>
          <w:p w14:paraId="0DEA93B3">
            <w:pPr>
              <w:spacing w:line="360" w:lineRule="exact"/>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c>
          <w:tcPr>
            <w:tcW w:w="7205" w:type="dxa"/>
            <w:shd w:val="clear" w:color="auto" w:fill="auto"/>
            <w:noWrap w:val="0"/>
            <w:vAlign w:val="center"/>
          </w:tcPr>
          <w:p w14:paraId="09495B37">
            <w:pPr>
              <w:spacing w:line="360" w:lineRule="exact"/>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1"/>
                <w:szCs w:val="21"/>
                <w:highlight w:val="none"/>
                <w:shd w:val="clear" w:color="auto" w:fill="auto"/>
                <w14:textFill>
                  <w14:solidFill>
                    <w14:schemeClr w14:val="tx1"/>
                  </w14:solidFill>
                </w14:textFill>
              </w:rPr>
              <w:t>国务院办公厅关于在政府采购中实施本国产品标准及相关政策的通知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》（国办发〔2025〕34号）</w:t>
            </w:r>
          </w:p>
        </w:tc>
      </w:tr>
      <w:tr w14:paraId="1AA5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5" w:type="dxa"/>
            <w:noWrap w:val="0"/>
            <w:vAlign w:val="center"/>
          </w:tcPr>
          <w:p w14:paraId="2D8FA055">
            <w:pPr>
              <w:spacing w:line="36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1</w:t>
            </w:r>
          </w:p>
        </w:tc>
        <w:tc>
          <w:tcPr>
            <w:tcW w:w="825" w:type="dxa"/>
            <w:noWrap w:val="0"/>
            <w:vAlign w:val="center"/>
          </w:tcPr>
          <w:p w14:paraId="0D9900F6">
            <w:pPr>
              <w:spacing w:line="36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2</w:t>
            </w:r>
          </w:p>
        </w:tc>
        <w:tc>
          <w:tcPr>
            <w:tcW w:w="1815" w:type="dxa"/>
            <w:noWrap w:val="0"/>
            <w:vAlign w:val="center"/>
          </w:tcPr>
          <w:p w14:paraId="379016F7">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编制依据</w:t>
            </w:r>
          </w:p>
        </w:tc>
        <w:tc>
          <w:tcPr>
            <w:tcW w:w="7205" w:type="dxa"/>
            <w:noWrap w:val="0"/>
            <w:vAlign w:val="top"/>
          </w:tcPr>
          <w:p w14:paraId="2AB84B79">
            <w:pPr>
              <w:spacing w:line="360" w:lineRule="auto"/>
              <w:rPr>
                <w:rFonts w:asci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本竞争性谈判文件是根据《中华人民共和国政府采购法》《中华人民共和国政府采购法实施条例》《政府采购非招标采购方式管理办法》和政府采购管理有关规定编制。</w:t>
            </w:r>
          </w:p>
        </w:tc>
      </w:tr>
      <w:tr w14:paraId="3A06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25" w:type="dxa"/>
            <w:noWrap w:val="0"/>
            <w:vAlign w:val="center"/>
          </w:tcPr>
          <w:p w14:paraId="7B08BB88">
            <w:pPr>
              <w:spacing w:line="36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w:t>
            </w:r>
          </w:p>
        </w:tc>
        <w:tc>
          <w:tcPr>
            <w:tcW w:w="825" w:type="dxa"/>
            <w:noWrap w:val="0"/>
            <w:vAlign w:val="center"/>
          </w:tcPr>
          <w:p w14:paraId="4AB7D9B4">
            <w:pPr>
              <w:spacing w:line="36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3</w:t>
            </w:r>
          </w:p>
        </w:tc>
        <w:tc>
          <w:tcPr>
            <w:tcW w:w="1815" w:type="dxa"/>
            <w:noWrap w:val="0"/>
            <w:vAlign w:val="center"/>
          </w:tcPr>
          <w:p w14:paraId="34BB82E6">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监督管理机构</w:t>
            </w:r>
          </w:p>
        </w:tc>
        <w:tc>
          <w:tcPr>
            <w:tcW w:w="7205" w:type="dxa"/>
            <w:noWrap w:val="0"/>
            <w:vAlign w:val="center"/>
          </w:tcPr>
          <w:p w14:paraId="53D372CC">
            <w:pPr>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桂林市叠彩区财政局</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0773-8983693</w:t>
            </w:r>
          </w:p>
        </w:tc>
      </w:tr>
    </w:tbl>
    <w:p w14:paraId="7A32E712">
      <w:pPr>
        <w:pStyle w:val="26"/>
        <w:rPr>
          <w:rFonts w:hint="eastAsia"/>
          <w:color w:val="000000" w:themeColor="text1"/>
          <w:highlight w:val="none"/>
          <w14:textFill>
            <w14:solidFill>
              <w14:schemeClr w14:val="tx1"/>
            </w14:solidFill>
          </w14:textFill>
        </w:rPr>
      </w:pPr>
    </w:p>
    <w:p w14:paraId="75744E3C">
      <w:pPr>
        <w:rPr>
          <w:rFonts w:hint="eastAsia" w:ascii="宋体" w:hAnsi="宋体"/>
          <w:color w:val="000000" w:themeColor="text1"/>
          <w:szCs w:val="21"/>
          <w:highlight w:val="none"/>
          <w14:textFill>
            <w14:solidFill>
              <w14:schemeClr w14:val="tx1"/>
            </w14:solidFill>
          </w14:textFill>
        </w:rPr>
      </w:pPr>
    </w:p>
    <w:p w14:paraId="01B193B4">
      <w:pPr>
        <w:rPr>
          <w:rFonts w:hint="eastAsia" w:ascii="宋体" w:hAnsi="宋体"/>
          <w:color w:val="000000" w:themeColor="text1"/>
          <w:szCs w:val="21"/>
          <w:highlight w:val="none"/>
          <w14:textFill>
            <w14:solidFill>
              <w14:schemeClr w14:val="tx1"/>
            </w14:solidFill>
          </w14:textFill>
        </w:rPr>
      </w:pPr>
    </w:p>
    <w:p w14:paraId="73489F91">
      <w:pPr>
        <w:rPr>
          <w:rFonts w:hint="eastAsia" w:ascii="宋体" w:hAnsi="宋体"/>
          <w:color w:val="000000" w:themeColor="text1"/>
          <w:szCs w:val="21"/>
          <w:highlight w:val="none"/>
          <w14:textFill>
            <w14:solidFill>
              <w14:schemeClr w14:val="tx1"/>
            </w14:solidFill>
          </w14:textFill>
        </w:rPr>
      </w:pPr>
    </w:p>
    <w:p w14:paraId="1BE3C441">
      <w:pPr>
        <w:rPr>
          <w:rFonts w:hint="eastAsia" w:ascii="宋体" w:hAnsi="宋体"/>
          <w:color w:val="000000" w:themeColor="text1"/>
          <w:szCs w:val="21"/>
          <w:highlight w:val="none"/>
          <w14:textFill>
            <w14:solidFill>
              <w14:schemeClr w14:val="tx1"/>
            </w14:solidFill>
          </w14:textFill>
        </w:rPr>
      </w:pPr>
    </w:p>
    <w:p w14:paraId="113294EA">
      <w:pPr>
        <w:spacing w:line="360" w:lineRule="auto"/>
        <w:rPr>
          <w:rFonts w:hint="eastAsia" w:ascii="宋体" w:hAnsi="宋体"/>
          <w:color w:val="000000" w:themeColor="text1"/>
          <w:szCs w:val="21"/>
          <w:highlight w:val="none"/>
          <w14:textFill>
            <w14:solidFill>
              <w14:schemeClr w14:val="tx1"/>
            </w14:solidFill>
          </w14:textFill>
        </w:rPr>
      </w:pPr>
    </w:p>
    <w:p w14:paraId="10907301">
      <w:pPr>
        <w:spacing w:line="360" w:lineRule="auto"/>
        <w:rPr>
          <w:rFonts w:hint="eastAsia" w:ascii="宋体" w:hAnsi="宋体"/>
          <w:color w:val="000000" w:themeColor="text1"/>
          <w:szCs w:val="21"/>
          <w:highlight w:val="none"/>
          <w14:textFill>
            <w14:solidFill>
              <w14:schemeClr w14:val="tx1"/>
            </w14:solidFill>
          </w14:textFill>
        </w:rPr>
      </w:pPr>
    </w:p>
    <w:p w14:paraId="0AA1D799">
      <w:pPr>
        <w:spacing w:line="360" w:lineRule="auto"/>
        <w:rPr>
          <w:rFonts w:hint="eastAsia" w:ascii="宋体" w:hAnsi="宋体"/>
          <w:color w:val="000000" w:themeColor="text1"/>
          <w:szCs w:val="21"/>
          <w:highlight w:val="none"/>
          <w14:textFill>
            <w14:solidFill>
              <w14:schemeClr w14:val="tx1"/>
            </w14:solidFill>
          </w14:textFill>
        </w:rPr>
      </w:pPr>
    </w:p>
    <w:p w14:paraId="12B83076">
      <w:pPr>
        <w:spacing w:line="360" w:lineRule="auto"/>
        <w:rPr>
          <w:rFonts w:hint="eastAsia" w:ascii="宋体" w:hAnsi="宋体"/>
          <w:color w:val="000000" w:themeColor="text1"/>
          <w:szCs w:val="21"/>
          <w:highlight w:val="none"/>
          <w14:textFill>
            <w14:solidFill>
              <w14:schemeClr w14:val="tx1"/>
            </w14:solidFill>
          </w14:textFill>
        </w:rPr>
      </w:pPr>
    </w:p>
    <w:p w14:paraId="04D66005">
      <w:pPr>
        <w:spacing w:line="360" w:lineRule="auto"/>
        <w:rPr>
          <w:rFonts w:hint="eastAsia" w:ascii="宋体" w:hAnsi="宋体"/>
          <w:color w:val="000000" w:themeColor="text1"/>
          <w:szCs w:val="21"/>
          <w:highlight w:val="none"/>
          <w14:textFill>
            <w14:solidFill>
              <w14:schemeClr w14:val="tx1"/>
            </w14:solidFill>
          </w14:textFill>
        </w:rPr>
      </w:pPr>
    </w:p>
    <w:p w14:paraId="16B5C4BF">
      <w:pPr>
        <w:spacing w:line="360" w:lineRule="auto"/>
        <w:rPr>
          <w:rFonts w:hint="eastAsia" w:ascii="宋体" w:hAnsi="宋体"/>
          <w:color w:val="000000" w:themeColor="text1"/>
          <w:szCs w:val="21"/>
          <w:highlight w:val="none"/>
          <w14:textFill>
            <w14:solidFill>
              <w14:schemeClr w14:val="tx1"/>
            </w14:solidFill>
          </w14:textFill>
        </w:rPr>
      </w:pPr>
    </w:p>
    <w:p w14:paraId="4AFCEDEA">
      <w:pPr>
        <w:spacing w:line="360" w:lineRule="auto"/>
        <w:rPr>
          <w:rFonts w:hint="eastAsia" w:ascii="宋体" w:hAnsi="宋体"/>
          <w:color w:val="000000" w:themeColor="text1"/>
          <w:szCs w:val="21"/>
          <w:highlight w:val="none"/>
          <w14:textFill>
            <w14:solidFill>
              <w14:schemeClr w14:val="tx1"/>
            </w14:solidFill>
          </w14:textFill>
        </w:rPr>
      </w:pPr>
    </w:p>
    <w:p w14:paraId="298B73C9">
      <w:pPr>
        <w:spacing w:line="360" w:lineRule="auto"/>
        <w:rPr>
          <w:rFonts w:hint="eastAsia" w:ascii="宋体" w:hAnsi="宋体"/>
          <w:color w:val="000000" w:themeColor="text1"/>
          <w:szCs w:val="21"/>
          <w:highlight w:val="none"/>
          <w14:textFill>
            <w14:solidFill>
              <w14:schemeClr w14:val="tx1"/>
            </w14:solidFill>
          </w14:textFill>
        </w:rPr>
      </w:pPr>
    </w:p>
    <w:p w14:paraId="666FE23C">
      <w:pPr>
        <w:spacing w:line="360" w:lineRule="auto"/>
        <w:rPr>
          <w:rFonts w:hint="eastAsia" w:ascii="宋体" w:hAnsi="宋体"/>
          <w:color w:val="000000" w:themeColor="text1"/>
          <w:szCs w:val="21"/>
          <w:highlight w:val="none"/>
          <w14:textFill>
            <w14:solidFill>
              <w14:schemeClr w14:val="tx1"/>
            </w14:solidFill>
          </w14:textFill>
        </w:rPr>
      </w:pPr>
    </w:p>
    <w:p w14:paraId="08E4D295">
      <w:pPr>
        <w:spacing w:line="360" w:lineRule="auto"/>
        <w:rPr>
          <w:rFonts w:hint="eastAsia" w:ascii="宋体" w:hAnsi="宋体"/>
          <w:color w:val="000000" w:themeColor="text1"/>
          <w:szCs w:val="21"/>
          <w:highlight w:val="none"/>
          <w14:textFill>
            <w14:solidFill>
              <w14:schemeClr w14:val="tx1"/>
            </w14:solidFill>
          </w14:textFill>
        </w:rPr>
      </w:pPr>
    </w:p>
    <w:p w14:paraId="40C9B0AE">
      <w:pPr>
        <w:spacing w:line="360" w:lineRule="auto"/>
        <w:rPr>
          <w:rFonts w:hint="eastAsia" w:ascii="宋体" w:hAnsi="宋体"/>
          <w:color w:val="000000" w:themeColor="text1"/>
          <w:szCs w:val="21"/>
          <w:highlight w:val="none"/>
          <w14:textFill>
            <w14:solidFill>
              <w14:schemeClr w14:val="tx1"/>
            </w14:solidFill>
          </w14:textFill>
        </w:rPr>
      </w:pPr>
    </w:p>
    <w:p w14:paraId="4A55F564">
      <w:pPr>
        <w:rPr>
          <w:rFonts w:hint="eastAsia"/>
          <w:b/>
          <w:bCs w:val="0"/>
          <w:color w:val="000000" w:themeColor="text1"/>
          <w:szCs w:val="28"/>
          <w:highlight w:val="none"/>
          <w14:textFill>
            <w14:solidFill>
              <w14:schemeClr w14:val="tx1"/>
            </w14:solidFill>
          </w14:textFill>
        </w:rPr>
      </w:pPr>
      <w:bookmarkStart w:id="78" w:name="_Toc32434"/>
      <w:bookmarkStart w:id="79" w:name="_Toc17986"/>
      <w:bookmarkStart w:id="80" w:name="_Toc17800"/>
      <w:bookmarkStart w:id="81" w:name="_Toc2118"/>
      <w:bookmarkStart w:id="82" w:name="_Toc28833"/>
      <w:bookmarkStart w:id="83" w:name="_Toc20219"/>
      <w:bookmarkStart w:id="84" w:name="_Toc13850"/>
      <w:bookmarkStart w:id="85" w:name="_Toc21245"/>
      <w:bookmarkStart w:id="86" w:name="_Toc12795"/>
      <w:bookmarkStart w:id="87" w:name="_Toc19226"/>
      <w:bookmarkStart w:id="88" w:name="_Toc3655"/>
      <w:bookmarkStart w:id="89" w:name="_Toc23882"/>
      <w:r>
        <w:rPr>
          <w:rFonts w:hint="eastAsia"/>
          <w:b/>
          <w:bCs w:val="0"/>
          <w:color w:val="000000" w:themeColor="text1"/>
          <w:szCs w:val="28"/>
          <w:highlight w:val="none"/>
          <w14:textFill>
            <w14:solidFill>
              <w14:schemeClr w14:val="tx1"/>
            </w14:solidFill>
          </w14:textFill>
        </w:rPr>
        <w:br w:type="page" w:clear="all"/>
      </w:r>
    </w:p>
    <w:p w14:paraId="437F8D61">
      <w:pPr>
        <w:pStyle w:val="4"/>
        <w:ind w:left="0" w:firstLine="0"/>
        <w:jc w:val="center"/>
        <w:rPr>
          <w:b/>
          <w:bCs w:val="0"/>
          <w:color w:val="000000" w:themeColor="text1"/>
          <w:szCs w:val="28"/>
          <w:highlight w:val="none"/>
          <w14:textFill>
            <w14:solidFill>
              <w14:schemeClr w14:val="tx1"/>
            </w14:solidFill>
          </w14:textFill>
        </w:rPr>
      </w:pPr>
      <w:r>
        <w:rPr>
          <w:rFonts w:hint="eastAsia"/>
          <w:b/>
          <w:bCs w:val="0"/>
          <w:color w:val="000000" w:themeColor="text1"/>
          <w:szCs w:val="28"/>
          <w:highlight w:val="none"/>
          <w14:textFill>
            <w14:solidFill>
              <w14:schemeClr w14:val="tx1"/>
            </w14:solidFill>
          </w14:textFill>
        </w:rPr>
        <w:t>一、总则</w:t>
      </w:r>
      <w:bookmarkEnd w:id="78"/>
      <w:bookmarkEnd w:id="79"/>
      <w:bookmarkEnd w:id="80"/>
      <w:bookmarkEnd w:id="81"/>
      <w:bookmarkEnd w:id="82"/>
      <w:bookmarkEnd w:id="83"/>
      <w:bookmarkEnd w:id="84"/>
      <w:bookmarkEnd w:id="85"/>
      <w:bookmarkEnd w:id="86"/>
      <w:bookmarkEnd w:id="87"/>
      <w:bookmarkEnd w:id="88"/>
      <w:bookmarkEnd w:id="89"/>
    </w:p>
    <w:p w14:paraId="228665F9">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90" w:name="_Toc31852"/>
      <w:bookmarkStart w:id="91" w:name="_Toc14895"/>
      <w:bookmarkStart w:id="92" w:name="_Toc31144"/>
      <w:bookmarkStart w:id="93" w:name="_Toc1911"/>
      <w:bookmarkStart w:id="94" w:name="_Toc11418"/>
      <w:bookmarkStart w:id="95" w:name="_Toc4898"/>
      <w:bookmarkStart w:id="96" w:name="_Toc14878"/>
      <w:bookmarkStart w:id="97" w:name="_Toc3536"/>
      <w:bookmarkStart w:id="98" w:name="_Toc28207"/>
      <w:bookmarkStart w:id="99" w:name="_Toc8149"/>
      <w:bookmarkStart w:id="100" w:name="_Toc5438"/>
      <w:bookmarkStart w:id="101" w:name="_Toc500"/>
      <w:r>
        <w:rPr>
          <w:rFonts w:hint="eastAsia" w:ascii="宋体" w:hAnsi="宋体" w:cs="宋体"/>
          <w:color w:val="000000" w:themeColor="text1"/>
          <w:sz w:val="21"/>
          <w:szCs w:val="21"/>
          <w:highlight w:val="none"/>
          <w14:textFill>
            <w14:solidFill>
              <w14:schemeClr w14:val="tx1"/>
            </w14:solidFill>
          </w14:textFill>
        </w:rPr>
        <w:t>1. 适</w:t>
      </w:r>
      <w:r>
        <w:rPr>
          <w:rFonts w:hint="eastAsia" w:ascii="宋体" w:hAnsi="宋体" w:cs="宋体"/>
          <w:color w:val="000000" w:themeColor="text1"/>
          <w:sz w:val="21"/>
          <w:szCs w:val="21"/>
          <w:highlight w:val="none"/>
          <w:lang w:eastAsia="zh-CN"/>
          <w14:textFill>
            <w14:solidFill>
              <w14:schemeClr w14:val="tx1"/>
            </w14:solidFill>
          </w14:textFill>
        </w:rPr>
        <w:t>用</w:t>
      </w:r>
      <w:r>
        <w:rPr>
          <w:rFonts w:hint="eastAsia" w:ascii="宋体" w:hAnsi="宋体" w:cs="宋体"/>
          <w:color w:val="000000" w:themeColor="text1"/>
          <w:sz w:val="21"/>
          <w:szCs w:val="21"/>
          <w:highlight w:val="none"/>
          <w14:textFill>
            <w14:solidFill>
              <w14:schemeClr w14:val="tx1"/>
            </w14:solidFill>
          </w14:textFill>
        </w:rPr>
        <w:t>范围</w:t>
      </w:r>
      <w:bookmarkEnd w:id="90"/>
      <w:bookmarkEnd w:id="91"/>
      <w:bookmarkEnd w:id="92"/>
      <w:bookmarkEnd w:id="93"/>
      <w:bookmarkEnd w:id="94"/>
      <w:bookmarkEnd w:id="95"/>
      <w:bookmarkEnd w:id="96"/>
      <w:bookmarkEnd w:id="97"/>
      <w:bookmarkEnd w:id="98"/>
      <w:bookmarkEnd w:id="99"/>
      <w:bookmarkEnd w:id="100"/>
      <w:bookmarkEnd w:id="101"/>
    </w:p>
    <w:p w14:paraId="599476AC">
      <w:pPr>
        <w:spacing w:line="360" w:lineRule="exact"/>
        <w:ind w:firstLine="435"/>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1.1  </w:t>
      </w:r>
      <w:r>
        <w:rPr>
          <w:rFonts w:hint="eastAsia" w:ascii="宋体" w:hAnsi="宋体"/>
          <w:color w:val="000000" w:themeColor="text1"/>
          <w:szCs w:val="21"/>
          <w:highlight w:val="none"/>
          <w14:textFill>
            <w14:solidFill>
              <w14:schemeClr w14:val="tx1"/>
            </w14:solidFill>
          </w14:textFill>
        </w:rPr>
        <w:t>项目名称及项目编号：</w:t>
      </w:r>
    </w:p>
    <w:p w14:paraId="0C3CFDE7">
      <w:pPr>
        <w:spacing w:line="360" w:lineRule="exact"/>
        <w:ind w:firstLine="435"/>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2026年支持学前教育发展中央和自治区资金设备采购项目</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p>
    <w:p w14:paraId="5892CA4F">
      <w:pPr>
        <w:spacing w:line="360" w:lineRule="exact"/>
        <w:ind w:firstLine="435"/>
        <w:rPr>
          <w:rFonts w:hint="eastAsia" w:asci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GLZC2026-J1-990205-GLSZ</w:t>
      </w:r>
    </w:p>
    <w:p w14:paraId="33624989">
      <w:pPr>
        <w:spacing w:line="360" w:lineRule="exact"/>
        <w:ind w:firstLine="411"/>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本竞争性谈判文件（以下简称谈判文件）适用于本谈判项目的谈判、评审、合同履约、验收、付款等行为（法律、法规另有规定的，从其规定）。</w:t>
      </w:r>
    </w:p>
    <w:p w14:paraId="28412AD0">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102" w:name="_Toc30503"/>
      <w:bookmarkStart w:id="103" w:name="_Toc32250"/>
      <w:bookmarkStart w:id="104" w:name="_Toc11384"/>
      <w:bookmarkStart w:id="105" w:name="_Toc23404"/>
      <w:bookmarkStart w:id="106" w:name="_Toc22247"/>
      <w:bookmarkStart w:id="107" w:name="_Toc10650"/>
      <w:bookmarkStart w:id="108" w:name="_Toc6189"/>
      <w:bookmarkStart w:id="109" w:name="_Toc21649"/>
      <w:bookmarkStart w:id="110" w:name="_Toc1418"/>
      <w:bookmarkStart w:id="111" w:name="_Toc5584"/>
      <w:bookmarkStart w:id="112" w:name="_Toc13126"/>
      <w:bookmarkStart w:id="113" w:name="_Toc20514"/>
      <w:r>
        <w:rPr>
          <w:rFonts w:hint="eastAsia" w:ascii="宋体" w:hAnsi="宋体" w:cs="宋体"/>
          <w:color w:val="000000" w:themeColor="text1"/>
          <w:sz w:val="21"/>
          <w:szCs w:val="21"/>
          <w:highlight w:val="none"/>
          <w14:textFill>
            <w14:solidFill>
              <w14:schemeClr w14:val="tx1"/>
            </w14:solidFill>
          </w14:textFill>
        </w:rPr>
        <w:t>2. 定义</w:t>
      </w:r>
      <w:bookmarkEnd w:id="102"/>
      <w:bookmarkEnd w:id="103"/>
      <w:bookmarkEnd w:id="104"/>
      <w:bookmarkEnd w:id="105"/>
      <w:bookmarkEnd w:id="106"/>
      <w:bookmarkEnd w:id="107"/>
      <w:bookmarkEnd w:id="108"/>
      <w:bookmarkEnd w:id="109"/>
      <w:bookmarkEnd w:id="110"/>
      <w:bookmarkEnd w:id="111"/>
      <w:bookmarkEnd w:id="112"/>
      <w:bookmarkEnd w:id="113"/>
    </w:p>
    <w:p w14:paraId="54A06D53">
      <w:pPr>
        <w:spacing w:line="360" w:lineRule="exact"/>
        <w:ind w:firstLine="435"/>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“供应商”是指符合本次采购项目的供应商资格并提交响应文件、参加谈判的供应商。如果该供应商在本次谈判中成交，即成为“成交供应商”。</w:t>
      </w:r>
    </w:p>
    <w:p w14:paraId="13DDD736">
      <w:pPr>
        <w:spacing w:line="360" w:lineRule="exact"/>
        <w:ind w:firstLine="435"/>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r>
        <w:rPr>
          <w:rFonts w:hint="eastAsia" w:ascii="宋体" w:hAnsi="宋体"/>
          <w:color w:val="000000" w:themeColor="text1"/>
          <w:szCs w:val="21"/>
          <w:highlight w:val="none"/>
          <w14:textFill>
            <w14:solidFill>
              <w14:schemeClr w14:val="tx1"/>
            </w14:solidFill>
          </w14:textFill>
        </w:rPr>
        <w:t>“货物”系指按谈判文件规定，供应商须向采购人提供的一切设备、保险、税金、备品备件、工具、手册及其它有关技术资料和材料。</w:t>
      </w:r>
    </w:p>
    <w:p w14:paraId="6D3AAF87">
      <w:pPr>
        <w:spacing w:line="360" w:lineRule="exact"/>
        <w:ind w:firstLine="435"/>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“服务”系指按谈判文件规定，供应商须承担的安装、调试、技术协助、校准、培训、技术指导以及其他类似的义务。</w:t>
      </w:r>
    </w:p>
    <w:p w14:paraId="00DFA3A8">
      <w:pPr>
        <w:spacing w:line="360" w:lineRule="exact"/>
        <w:ind w:firstLine="435"/>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2.4</w:t>
      </w:r>
      <w:r>
        <w:rPr>
          <w:rFonts w:hint="eastAsia" w:ascii="宋体" w:hAnsi="宋体"/>
          <w:color w:val="000000" w:themeColor="text1"/>
          <w:szCs w:val="21"/>
          <w:highlight w:val="none"/>
          <w14:textFill>
            <w14:solidFill>
              <w14:schemeClr w14:val="tx1"/>
            </w14:solidFill>
          </w14:textFill>
        </w:rPr>
        <w:t>“项目”系指供应商按谈判文件规定向采购人提供的货物和服务。</w:t>
      </w:r>
    </w:p>
    <w:p w14:paraId="1B4E5148">
      <w:pPr>
        <w:spacing w:line="360" w:lineRule="exact"/>
        <w:ind w:firstLine="435"/>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2.5</w:t>
      </w:r>
      <w:r>
        <w:rPr>
          <w:rFonts w:hint="eastAsia" w:ascii="宋体" w:hAnsi="宋体"/>
          <w:color w:val="000000" w:themeColor="text1"/>
          <w:szCs w:val="21"/>
          <w:highlight w:val="none"/>
          <w14:textFill>
            <w14:solidFill>
              <w14:schemeClr w14:val="tx1"/>
            </w14:solidFill>
          </w14:textFill>
        </w:rPr>
        <w:t>“书面形式”包括信函、传真、电报等。</w:t>
      </w:r>
    </w:p>
    <w:p w14:paraId="2460487D">
      <w:pPr>
        <w:spacing w:line="360" w:lineRule="exact"/>
        <w:ind w:firstLine="435"/>
        <w:rPr>
          <w:rFonts w:hint="eastAsia"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2.6实质性要求：</w:t>
      </w:r>
      <w:r>
        <w:rPr>
          <w:rFonts w:hint="eastAsia" w:ascii="宋体" w:hAnsi="宋体" w:cs="宋体"/>
          <w:b/>
          <w:bCs/>
          <w:color w:val="000000" w:themeColor="text1"/>
          <w:szCs w:val="21"/>
          <w:highlight w:val="none"/>
          <w:u w:val="single"/>
          <w14:textFill>
            <w14:solidFill>
              <w14:schemeClr w14:val="tx1"/>
            </w14:solidFill>
          </w14:textFill>
        </w:rPr>
        <w:t>“采购需求”中所有要求均为实质性要求，不允许负偏离，否则视为无效响应</w:t>
      </w:r>
      <w:r>
        <w:rPr>
          <w:rFonts w:hint="eastAsia" w:ascii="宋体" w:hAnsi="宋体" w:cs="宋体"/>
          <w:b/>
          <w:color w:val="000000" w:themeColor="text1"/>
          <w:szCs w:val="21"/>
          <w:highlight w:val="none"/>
          <w:u w:val="single"/>
          <w14:textFill>
            <w14:solidFill>
              <w14:schemeClr w14:val="tx1"/>
            </w14:solidFill>
          </w14:textFill>
        </w:rPr>
        <w:t>。</w:t>
      </w:r>
    </w:p>
    <w:p w14:paraId="61E19055">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114" w:name="_Toc11151"/>
      <w:bookmarkStart w:id="115" w:name="_Toc28389"/>
      <w:bookmarkStart w:id="116" w:name="_Toc6157"/>
      <w:bookmarkStart w:id="117" w:name="_Toc31681"/>
      <w:bookmarkStart w:id="118" w:name="_Toc24409"/>
      <w:bookmarkStart w:id="119" w:name="_Toc4442"/>
      <w:bookmarkStart w:id="120" w:name="_Toc22141"/>
      <w:bookmarkStart w:id="121" w:name="_Toc32534"/>
      <w:bookmarkStart w:id="122" w:name="_Toc32735"/>
      <w:bookmarkStart w:id="123" w:name="_Toc5213"/>
      <w:bookmarkStart w:id="124" w:name="_Toc10307"/>
      <w:bookmarkStart w:id="125" w:name="_Toc32327"/>
      <w:r>
        <w:rPr>
          <w:rFonts w:hint="eastAsia" w:ascii="宋体" w:hAnsi="宋体" w:cs="宋体"/>
          <w:color w:val="000000" w:themeColor="text1"/>
          <w:sz w:val="21"/>
          <w:szCs w:val="21"/>
          <w:highlight w:val="none"/>
          <w14:textFill>
            <w14:solidFill>
              <w14:schemeClr w14:val="tx1"/>
            </w14:solidFill>
          </w14:textFill>
        </w:rPr>
        <w:t>3. 供应商资格</w:t>
      </w:r>
      <w:bookmarkEnd w:id="114"/>
      <w:bookmarkEnd w:id="115"/>
      <w:bookmarkEnd w:id="116"/>
      <w:bookmarkEnd w:id="117"/>
      <w:bookmarkEnd w:id="118"/>
      <w:bookmarkEnd w:id="119"/>
      <w:bookmarkEnd w:id="120"/>
      <w:bookmarkEnd w:id="121"/>
      <w:bookmarkEnd w:id="122"/>
      <w:bookmarkEnd w:id="123"/>
      <w:bookmarkEnd w:id="124"/>
      <w:bookmarkEnd w:id="125"/>
    </w:p>
    <w:p w14:paraId="1721B341">
      <w:pPr>
        <w:spacing w:line="360" w:lineRule="exact"/>
        <w:ind w:firstLine="435"/>
        <w:rPr>
          <w:rFonts w:asci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3.1</w:t>
      </w:r>
      <w:r>
        <w:rPr>
          <w:rFonts w:hint="eastAsia" w:ascii="宋体" w:hAnsi="宋体" w:cs="宋体"/>
          <w:bCs/>
          <w:color w:val="000000" w:themeColor="text1"/>
          <w:szCs w:val="21"/>
          <w:highlight w:val="none"/>
          <w14:textFill>
            <w14:solidFill>
              <w14:schemeClr w14:val="tx1"/>
            </w14:solidFill>
          </w14:textFill>
        </w:rPr>
        <w:t>符合《中华人民共和国政府采购法》第二十二条和《政府采购法实施条例》第十八条规定，具备合法资格的供应商；</w:t>
      </w:r>
    </w:p>
    <w:p w14:paraId="56E9A9B9">
      <w:pPr>
        <w:spacing w:line="360" w:lineRule="exact"/>
        <w:ind w:firstLine="435"/>
        <w:rPr>
          <w:rFonts w:hint="eastAsia" w:asci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2本项目不接受联合体参与谈判；</w:t>
      </w:r>
    </w:p>
    <w:p w14:paraId="798E554C">
      <w:pPr>
        <w:spacing w:line="360" w:lineRule="exact"/>
        <w:ind w:firstLine="435"/>
        <w:rPr>
          <w:rFonts w:hint="eastAsia"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3对在“信用中国”网站</w:t>
      </w:r>
      <w:r>
        <w:rPr>
          <w:rFonts w:ascii="宋体" w:hAnsi="宋体" w:cs="宋体"/>
          <w:bCs/>
          <w:color w:val="000000" w:themeColor="text1"/>
          <w:szCs w:val="21"/>
          <w:highlight w:val="none"/>
          <w14:textFill>
            <w14:solidFill>
              <w14:schemeClr w14:val="tx1"/>
            </w14:solidFill>
          </w14:textFill>
        </w:rPr>
        <w:t>(www.creditchina.gov.cn)</w:t>
      </w:r>
      <w:r>
        <w:rPr>
          <w:rFonts w:hint="eastAsia" w:ascii="宋体" w:hAnsi="宋体" w:cs="宋体"/>
          <w:bCs/>
          <w:color w:val="000000" w:themeColor="text1"/>
          <w:szCs w:val="21"/>
          <w:highlight w:val="none"/>
          <w14:textFill>
            <w14:solidFill>
              <w14:schemeClr w14:val="tx1"/>
            </w14:solidFill>
          </w14:textFill>
        </w:rPr>
        <w:t>、中国政府采购网</w:t>
      </w:r>
      <w:r>
        <w:rPr>
          <w:rFonts w:ascii="宋体" w:hAnsi="宋体" w:cs="宋体"/>
          <w:bCs/>
          <w:color w:val="000000" w:themeColor="text1"/>
          <w:szCs w:val="21"/>
          <w:highlight w:val="none"/>
          <w14:textFill>
            <w14:solidFill>
              <w14:schemeClr w14:val="tx1"/>
            </w14:solidFill>
          </w14:textFill>
        </w:rPr>
        <w:t>(www.ccgp.gov.cn)</w:t>
      </w:r>
      <w:r>
        <w:rPr>
          <w:rFonts w:hint="eastAsia" w:ascii="宋体" w:hAnsi="宋体" w:cs="宋体"/>
          <w:bCs/>
          <w:color w:val="000000" w:themeColor="text1"/>
          <w:szCs w:val="21"/>
          <w:highlight w:val="none"/>
          <w14:textFill>
            <w14:solidFill>
              <w14:schemeClr w14:val="tx1"/>
            </w14:solidFill>
          </w14:textFill>
        </w:rPr>
        <w:t>等渠道列入失信被执行人、</w:t>
      </w:r>
      <w:r>
        <w:rPr>
          <w:rFonts w:hint="eastAsia" w:ascii="宋体" w:hAnsi="宋体" w:cs="宋体"/>
          <w:bCs/>
          <w:color w:val="000000" w:themeColor="text1"/>
          <w:szCs w:val="21"/>
          <w:highlight w:val="none"/>
          <w:lang w:eastAsia="zh-CN"/>
          <w14:textFill>
            <w14:solidFill>
              <w14:schemeClr w14:val="tx1"/>
            </w14:solidFill>
          </w14:textFill>
        </w:rPr>
        <w:t>重大税收违法失信主体名单</w:t>
      </w:r>
      <w:r>
        <w:rPr>
          <w:rFonts w:hint="eastAsia" w:ascii="宋体" w:hAnsi="宋体" w:cs="宋体"/>
          <w:bCs/>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p w14:paraId="411E0859">
      <w:pPr>
        <w:spacing w:line="380" w:lineRule="exact"/>
        <w:ind w:firstLine="42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3.4落实政府采购政策需满足的资格要求：无</w:t>
      </w:r>
      <w:r>
        <w:rPr>
          <w:rFonts w:hint="eastAsia" w:ascii="宋体" w:hAnsi="宋体" w:cs="宋体"/>
          <w:b/>
          <w:bCs/>
          <w:color w:val="000000" w:themeColor="text1"/>
          <w:szCs w:val="21"/>
          <w:highlight w:val="none"/>
          <w14:textFill>
            <w14:solidFill>
              <w14:schemeClr w14:val="tx1"/>
            </w14:solidFill>
          </w14:textFill>
        </w:rPr>
        <w:t>。</w:t>
      </w:r>
    </w:p>
    <w:p w14:paraId="568D3E80">
      <w:pPr>
        <w:spacing w:line="380" w:lineRule="exact"/>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3.5本项目的特定资格要求：无。</w:t>
      </w:r>
    </w:p>
    <w:p w14:paraId="2CCC20F6">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126" w:name="_Toc31156"/>
      <w:bookmarkStart w:id="127" w:name="_Toc10575"/>
      <w:bookmarkStart w:id="128" w:name="_Toc20634"/>
      <w:bookmarkStart w:id="129" w:name="_Toc31769"/>
      <w:bookmarkStart w:id="130" w:name="_Toc8725"/>
      <w:bookmarkStart w:id="131" w:name="_Toc2957"/>
      <w:bookmarkStart w:id="132" w:name="_Toc31247"/>
      <w:bookmarkStart w:id="133" w:name="_Toc32640"/>
      <w:bookmarkStart w:id="134" w:name="_Toc14258"/>
      <w:bookmarkStart w:id="135" w:name="_Toc2933"/>
      <w:bookmarkStart w:id="136" w:name="_Toc12354"/>
      <w:bookmarkStart w:id="137" w:name="_Toc2001"/>
      <w:r>
        <w:rPr>
          <w:rFonts w:hint="eastAsia" w:ascii="宋体" w:hAnsi="宋体" w:cs="宋体"/>
          <w:color w:val="000000" w:themeColor="text1"/>
          <w:sz w:val="21"/>
          <w:szCs w:val="21"/>
          <w:highlight w:val="none"/>
          <w14:textFill>
            <w14:solidFill>
              <w14:schemeClr w14:val="tx1"/>
            </w14:solidFill>
          </w14:textFill>
        </w:rPr>
        <w:t>4. 谈判费用</w:t>
      </w:r>
      <w:bookmarkEnd w:id="126"/>
      <w:bookmarkEnd w:id="127"/>
      <w:bookmarkEnd w:id="128"/>
      <w:bookmarkEnd w:id="129"/>
      <w:bookmarkEnd w:id="130"/>
      <w:bookmarkEnd w:id="131"/>
      <w:bookmarkEnd w:id="132"/>
      <w:bookmarkEnd w:id="133"/>
      <w:bookmarkEnd w:id="134"/>
      <w:bookmarkEnd w:id="135"/>
      <w:bookmarkEnd w:id="136"/>
      <w:bookmarkEnd w:id="137"/>
    </w:p>
    <w:p w14:paraId="0AD080F0">
      <w:pPr>
        <w:tabs>
          <w:tab w:val="left" w:pos="1635"/>
        </w:tabs>
        <w:spacing w:line="360" w:lineRule="exact"/>
        <w:ind w:firstLine="435"/>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不论</w:t>
      </w:r>
      <w:r>
        <w:rPr>
          <w:rFonts w:hint="eastAsia" w:ascii="宋体" w:hAnsi="宋体" w:cs="宋体"/>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结果如何，供应商均应自行承担所有与谈判有关的全部费用。</w:t>
      </w:r>
    </w:p>
    <w:p w14:paraId="1E7CA95D">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138" w:name="_Toc1635"/>
      <w:bookmarkStart w:id="139" w:name="_Toc23827"/>
      <w:bookmarkStart w:id="140" w:name="_Toc18797"/>
      <w:bookmarkStart w:id="141" w:name="_Toc25660"/>
      <w:bookmarkStart w:id="142" w:name="_Toc26103"/>
      <w:bookmarkStart w:id="143" w:name="_Toc25039"/>
      <w:bookmarkStart w:id="144" w:name="_Toc20233"/>
      <w:bookmarkStart w:id="145" w:name="_Toc31425"/>
      <w:bookmarkStart w:id="146" w:name="_Toc22057"/>
      <w:bookmarkStart w:id="147" w:name="_Toc17809"/>
      <w:bookmarkStart w:id="148" w:name="_Toc8295"/>
      <w:bookmarkStart w:id="149" w:name="_Toc22801"/>
      <w:r>
        <w:rPr>
          <w:rFonts w:hint="eastAsia" w:ascii="宋体" w:hAnsi="宋体" w:cs="宋体"/>
          <w:color w:val="000000" w:themeColor="text1"/>
          <w:sz w:val="21"/>
          <w:szCs w:val="21"/>
          <w:highlight w:val="none"/>
          <w14:textFill>
            <w14:solidFill>
              <w14:schemeClr w14:val="tx1"/>
            </w14:solidFill>
          </w14:textFill>
        </w:rPr>
        <w:t>5.联合体要求</w:t>
      </w:r>
      <w:bookmarkEnd w:id="138"/>
      <w:bookmarkEnd w:id="139"/>
      <w:bookmarkEnd w:id="140"/>
      <w:bookmarkEnd w:id="141"/>
      <w:bookmarkEnd w:id="142"/>
      <w:bookmarkEnd w:id="143"/>
      <w:bookmarkEnd w:id="144"/>
      <w:bookmarkEnd w:id="145"/>
      <w:bookmarkEnd w:id="146"/>
      <w:bookmarkEnd w:id="147"/>
      <w:bookmarkEnd w:id="148"/>
      <w:bookmarkEnd w:id="149"/>
    </w:p>
    <w:p w14:paraId="311EB76D">
      <w:pPr>
        <w:spacing w:line="360" w:lineRule="exact"/>
        <w:ind w:firstLine="420"/>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本项目不接受联合体参与谈判。     </w:t>
      </w:r>
    </w:p>
    <w:p w14:paraId="40088C74">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150" w:name="_Toc10978"/>
      <w:bookmarkStart w:id="151" w:name="_Toc12290"/>
      <w:bookmarkStart w:id="152" w:name="_Toc26025"/>
      <w:bookmarkStart w:id="153" w:name="_Toc6105"/>
      <w:bookmarkStart w:id="154" w:name="_Toc23275"/>
      <w:bookmarkStart w:id="155" w:name="_Toc15680"/>
      <w:bookmarkStart w:id="156" w:name="_Toc15445"/>
      <w:bookmarkStart w:id="157" w:name="_Toc22550"/>
      <w:bookmarkStart w:id="158" w:name="_Toc28044"/>
      <w:bookmarkStart w:id="159" w:name="_Toc12836"/>
      <w:bookmarkStart w:id="160" w:name="_Toc20109"/>
      <w:bookmarkStart w:id="161" w:name="_Toc31465"/>
      <w:r>
        <w:rPr>
          <w:rFonts w:hint="eastAsia" w:ascii="宋体" w:hAnsi="宋体" w:cs="宋体"/>
          <w:color w:val="000000" w:themeColor="text1"/>
          <w:sz w:val="21"/>
          <w:szCs w:val="21"/>
          <w:highlight w:val="none"/>
          <w14:textFill>
            <w14:solidFill>
              <w14:schemeClr w14:val="tx1"/>
            </w14:solidFill>
          </w14:textFill>
        </w:rPr>
        <w:t>6. 质疑和投诉</w:t>
      </w:r>
      <w:bookmarkEnd w:id="150"/>
      <w:bookmarkEnd w:id="151"/>
      <w:bookmarkEnd w:id="152"/>
      <w:bookmarkEnd w:id="153"/>
      <w:bookmarkEnd w:id="154"/>
      <w:bookmarkEnd w:id="155"/>
      <w:bookmarkEnd w:id="156"/>
      <w:bookmarkEnd w:id="157"/>
      <w:bookmarkEnd w:id="158"/>
      <w:bookmarkEnd w:id="159"/>
      <w:bookmarkEnd w:id="160"/>
      <w:bookmarkEnd w:id="161"/>
      <w:r>
        <w:rPr>
          <w:rFonts w:hint="eastAsia" w:ascii="宋体" w:hAnsi="宋体" w:cs="宋体"/>
          <w:color w:val="000000" w:themeColor="text1"/>
          <w:sz w:val="21"/>
          <w:szCs w:val="21"/>
          <w:highlight w:val="none"/>
          <w14:textFill>
            <w14:solidFill>
              <w14:schemeClr w14:val="tx1"/>
            </w14:solidFill>
          </w14:textFill>
        </w:rPr>
        <w:tab/>
      </w:r>
    </w:p>
    <w:p w14:paraId="6B5F72F5">
      <w:pPr>
        <w:spacing w:line="36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6.1供应商认为</w:t>
      </w:r>
      <w:r>
        <w:rPr>
          <w:color w:val="000000" w:themeColor="text1"/>
          <w:highlight w:val="none"/>
          <w14:textFill>
            <w14:solidFill>
              <w14:schemeClr w14:val="tx1"/>
            </w14:solidFill>
          </w14:textFill>
        </w:rPr>
        <w:t>谈判文件</w:t>
      </w:r>
      <w:r>
        <w:rPr>
          <w:rFonts w:hint="eastAsia" w:ascii="宋体" w:hAnsi="宋体" w:cs="宋体"/>
          <w:color w:val="000000" w:themeColor="text1"/>
          <w:highlight w:val="none"/>
          <w14:textFill>
            <w14:solidFill>
              <w14:schemeClr w14:val="tx1"/>
            </w14:solidFill>
          </w14:textFill>
        </w:rPr>
        <w:t>使自己的合法权益受到损害的，应当在本项目</w:t>
      </w:r>
      <w:r>
        <w:rPr>
          <w:color w:val="000000" w:themeColor="text1"/>
          <w:highlight w:val="none"/>
          <w14:textFill>
            <w14:solidFill>
              <w14:schemeClr w14:val="tx1"/>
            </w14:solidFill>
          </w14:textFill>
        </w:rPr>
        <w:t>谈判公告</w:t>
      </w:r>
      <w:r>
        <w:rPr>
          <w:rFonts w:hint="eastAsia" w:ascii="宋体" w:hAnsi="宋体" w:cs="宋体"/>
          <w:color w:val="000000" w:themeColor="text1"/>
          <w:highlight w:val="none"/>
          <w14:textFill>
            <w14:solidFill>
              <w14:schemeClr w14:val="tx1"/>
            </w14:solidFill>
          </w14:textFill>
        </w:rPr>
        <w:t>期限届满之日起七个工作日内以书面形式向采购人或桂林市政府集中采购中心提出质疑。供应商认为</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过程或</w:t>
      </w:r>
      <w:r>
        <w:rPr>
          <w:rFonts w:hint="eastAsia" w:ascii="宋体" w:hAnsi="宋体" w:cs="宋体"/>
          <w:color w:val="000000" w:themeColor="text1"/>
          <w:highlight w:val="none"/>
          <w:lang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结果使自己的合法权益受到损害的，应当在采购程序环节结束之日或中标公告期限届满之日起七个工作日内，以书面形式向采购人或桂林市政府集中采购中心提出质疑。</w:t>
      </w:r>
    </w:p>
    <w:p w14:paraId="3016A934">
      <w:pPr>
        <w:spacing w:line="36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接收质疑函方式：以书面形式（原件）提交。</w:t>
      </w:r>
    </w:p>
    <w:p w14:paraId="5FFA655F">
      <w:pPr>
        <w:spacing w:line="36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质疑联系人：桂林市政府集中采购中心，联系电话：0773-5625162</w:t>
      </w:r>
    </w:p>
    <w:p w14:paraId="18CA9A00">
      <w:pPr>
        <w:spacing w:line="36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通讯地址：桂林市临桂区西城中路69号创业大厦西辅楼5楼574室</w:t>
      </w:r>
    </w:p>
    <w:p w14:paraId="4BC1E597">
      <w:pPr>
        <w:spacing w:line="36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6.2收到供应商书面质疑函后，采购人应当在七个工作日内对质疑事项作出答复（答复内容不得涉及商业秘密），并委托采购代理机构以书面形式通知质疑供应商，在财政部门指定的媒体发布质疑答复公告。</w:t>
      </w:r>
    </w:p>
    <w:p w14:paraId="46C40C0E">
      <w:pPr>
        <w:spacing w:line="36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6.3供应商对采购人或采购代理机构的答复不满意，或者采购人或采购代理机构未在规定的时间内作出答复的，可以在答复期满后十五个工作日内向本级财政部门投诉。</w:t>
      </w:r>
    </w:p>
    <w:p w14:paraId="4A62BF0D">
      <w:pPr>
        <w:spacing w:line="36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6.4质疑、投诉应当采用书面形式，质疑书、投诉书实行实名制，均应明确阐述</w:t>
      </w:r>
      <w:r>
        <w:rPr>
          <w:rFonts w:hint="eastAsia" w:ascii="宋体" w:hAnsi="宋体" w:cs="宋体"/>
          <w:color w:val="000000" w:themeColor="text1"/>
          <w:highlight w:val="none"/>
          <w:lang w:eastAsia="zh-CN"/>
          <w14:textFill>
            <w14:solidFill>
              <w14:schemeClr w14:val="tx1"/>
            </w14:solidFill>
          </w14:textFill>
        </w:rPr>
        <w:t>谈判</w:t>
      </w:r>
      <w:r>
        <w:rPr>
          <w:rFonts w:hint="eastAsia" w:ascii="宋体" w:hAnsi="宋体" w:cs="宋体"/>
          <w:color w:val="000000" w:themeColor="text1"/>
          <w:highlight w:val="none"/>
          <w14:textFill>
            <w14:solidFill>
              <w14:schemeClr w14:val="tx1"/>
            </w14:solidFill>
          </w14:textFill>
        </w:rPr>
        <w:t>文件、</w:t>
      </w:r>
      <w:r>
        <w:rPr>
          <w:rFonts w:hint="eastAsia" w:ascii="宋体" w:hAnsi="宋体" w:cs="宋体"/>
          <w:color w:val="000000" w:themeColor="text1"/>
          <w:highlight w:val="none"/>
          <w:lang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过程或</w:t>
      </w:r>
      <w:r>
        <w:rPr>
          <w:rFonts w:hint="eastAsia" w:ascii="宋体" w:hAnsi="宋体" w:cs="宋体"/>
          <w:color w:val="000000" w:themeColor="text1"/>
          <w:highlight w:val="none"/>
          <w:lang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结果中使自己合法权益受到损害的实质性内容，并提供必要的证明材料。</w:t>
      </w:r>
    </w:p>
    <w:p w14:paraId="541C420C">
      <w:pPr>
        <w:spacing w:line="36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6.5供应商在法定质疑期内应当一次性提出针对同一采购程序环节的质疑。</w:t>
      </w:r>
    </w:p>
    <w:p w14:paraId="30CBC8A0">
      <w:pPr>
        <w:spacing w:line="36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6.6 不在法定质疑期内提出的质疑函可以拒收。不符合要求的质疑函在法定质疑期内及时补充完整，否则作质疑不成立处理。</w:t>
      </w:r>
      <w:bookmarkStart w:id="162" w:name="_Toc13444"/>
      <w:bookmarkStart w:id="163" w:name="_Toc27100"/>
      <w:bookmarkStart w:id="164" w:name="_Toc9814"/>
      <w:bookmarkStart w:id="165" w:name="_Toc31836"/>
      <w:bookmarkStart w:id="166" w:name="_Toc24675"/>
      <w:bookmarkStart w:id="167" w:name="_Toc17834"/>
      <w:bookmarkStart w:id="168" w:name="_Toc7459"/>
      <w:bookmarkStart w:id="169" w:name="_Toc18778"/>
      <w:bookmarkStart w:id="170" w:name="_Toc5692"/>
      <w:bookmarkStart w:id="171" w:name="_Toc9309"/>
      <w:bookmarkStart w:id="172" w:name="_Toc3350"/>
      <w:bookmarkStart w:id="173" w:name="_Toc2262"/>
    </w:p>
    <w:p w14:paraId="43E1054B">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 转包与分包</w:t>
      </w:r>
      <w:bookmarkEnd w:id="162"/>
      <w:bookmarkEnd w:id="163"/>
      <w:bookmarkEnd w:id="164"/>
      <w:bookmarkEnd w:id="165"/>
      <w:bookmarkEnd w:id="166"/>
      <w:bookmarkEnd w:id="167"/>
      <w:bookmarkEnd w:id="168"/>
      <w:bookmarkEnd w:id="169"/>
      <w:bookmarkEnd w:id="170"/>
      <w:bookmarkEnd w:id="171"/>
      <w:bookmarkEnd w:id="172"/>
      <w:bookmarkEnd w:id="173"/>
    </w:p>
    <w:p w14:paraId="0E0813A8">
      <w:pPr>
        <w:tabs>
          <w:tab w:val="left" w:pos="2190"/>
        </w:tabs>
        <w:spacing w:line="360" w:lineRule="exact"/>
        <w:ind w:firstLine="435"/>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7.1 </w:t>
      </w:r>
      <w:r>
        <w:rPr>
          <w:rFonts w:hint="eastAsia" w:ascii="宋体" w:hAnsi="宋体"/>
          <w:color w:val="000000" w:themeColor="text1"/>
          <w:szCs w:val="21"/>
          <w:highlight w:val="none"/>
          <w14:textFill>
            <w14:solidFill>
              <w14:schemeClr w14:val="tx1"/>
            </w14:solidFill>
          </w14:textFill>
        </w:rPr>
        <w:t>本项目不允许转包。</w:t>
      </w:r>
    </w:p>
    <w:p w14:paraId="33B56303">
      <w:pPr>
        <w:tabs>
          <w:tab w:val="left" w:pos="2190"/>
        </w:tabs>
        <w:spacing w:line="360" w:lineRule="exact"/>
        <w:ind w:firstLine="435"/>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7.2 </w:t>
      </w:r>
      <w:r>
        <w:rPr>
          <w:rFonts w:hint="eastAsia" w:ascii="宋体" w:hAnsi="宋体"/>
          <w:color w:val="000000" w:themeColor="text1"/>
          <w:szCs w:val="21"/>
          <w:highlight w:val="none"/>
          <w14:textFill>
            <w14:solidFill>
              <w14:schemeClr w14:val="tx1"/>
            </w14:solidFill>
          </w14:textFill>
        </w:rPr>
        <w:t>本项目不可以分包。</w:t>
      </w:r>
    </w:p>
    <w:p w14:paraId="5E83591B">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174" w:name="_Toc14869"/>
      <w:bookmarkStart w:id="175" w:name="_Toc24568"/>
      <w:bookmarkStart w:id="176" w:name="_Toc21741"/>
      <w:bookmarkStart w:id="177" w:name="_Toc13074"/>
      <w:bookmarkStart w:id="178" w:name="_Toc17535"/>
      <w:bookmarkStart w:id="179" w:name="_Toc5833"/>
      <w:bookmarkStart w:id="180" w:name="_Toc11519"/>
      <w:bookmarkStart w:id="181" w:name="_Toc11259"/>
      <w:bookmarkStart w:id="182" w:name="_Toc1638"/>
      <w:bookmarkStart w:id="183" w:name="_Toc20316"/>
      <w:bookmarkStart w:id="184" w:name="_Toc17907"/>
      <w:bookmarkStart w:id="185" w:name="_Toc18475"/>
      <w:r>
        <w:rPr>
          <w:rFonts w:hint="eastAsia" w:ascii="宋体" w:hAnsi="宋体" w:cs="宋体"/>
          <w:color w:val="000000" w:themeColor="text1"/>
          <w:sz w:val="21"/>
          <w:szCs w:val="21"/>
          <w:highlight w:val="none"/>
          <w14:textFill>
            <w14:solidFill>
              <w14:schemeClr w14:val="tx1"/>
            </w14:solidFill>
          </w14:textFill>
        </w:rPr>
        <w:t>8. 特别说明</w:t>
      </w:r>
      <w:bookmarkEnd w:id="174"/>
      <w:bookmarkEnd w:id="175"/>
      <w:bookmarkEnd w:id="176"/>
      <w:bookmarkEnd w:id="177"/>
      <w:bookmarkEnd w:id="178"/>
      <w:bookmarkEnd w:id="179"/>
      <w:bookmarkEnd w:id="180"/>
      <w:bookmarkEnd w:id="181"/>
      <w:bookmarkEnd w:id="182"/>
      <w:bookmarkEnd w:id="183"/>
      <w:bookmarkEnd w:id="184"/>
      <w:bookmarkEnd w:id="185"/>
    </w:p>
    <w:p w14:paraId="7A1BCD8A">
      <w:pPr>
        <w:tabs>
          <w:tab w:val="left" w:pos="1635"/>
        </w:tabs>
        <w:spacing w:line="360" w:lineRule="exact"/>
        <w:ind w:firstLine="420"/>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8.1关联供应商不得参加同一合同项下政府采购活动，否则响应文件将被视为无效：</w:t>
      </w:r>
    </w:p>
    <w:p w14:paraId="5E32FA73">
      <w:pPr>
        <w:tabs>
          <w:tab w:val="left" w:pos="1635"/>
        </w:tabs>
        <w:spacing w:line="360" w:lineRule="exact"/>
        <w:ind w:firstLine="42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）单位负责人为同一人或者存在直接控股、管理关系的，不得参加同一合同项下的政府采购活动。</w:t>
      </w:r>
    </w:p>
    <w:p w14:paraId="12CCE080">
      <w:pPr>
        <w:tabs>
          <w:tab w:val="left" w:pos="1635"/>
        </w:tabs>
        <w:spacing w:line="360" w:lineRule="exact"/>
        <w:ind w:firstLine="435"/>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（2）为本采购项目提供整体设计、规范编制或者项目管理、监理、检测等服务的供应商，不得再参加本次采购活动。</w:t>
      </w:r>
    </w:p>
    <w:p w14:paraId="15745744">
      <w:pPr>
        <w:tabs>
          <w:tab w:val="left" w:pos="1635"/>
        </w:tabs>
        <w:spacing w:line="360" w:lineRule="exact"/>
        <w:ind w:firstLine="435"/>
        <w:rPr>
          <w:rFonts w:hint="eastAsia"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8.2</w:t>
      </w:r>
      <w:r>
        <w:rPr>
          <w:rFonts w:hint="eastAsia" w:ascii="宋体" w:hAnsi="宋体"/>
          <w:b/>
          <w:bCs/>
          <w:color w:val="000000" w:themeColor="text1"/>
          <w:szCs w:val="21"/>
          <w:highlight w:val="none"/>
          <w14:textFill>
            <w14:solidFill>
              <w14:schemeClr w14:val="tx1"/>
            </w14:solidFill>
          </w14:textFill>
        </w:rPr>
        <w:t>提供相同品牌产品的不同供应商参加同一合同项下谈判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37A85EBE">
      <w:pPr>
        <w:pStyle w:val="18"/>
        <w:rPr>
          <w:rFonts w:hint="eastAsia"/>
          <w:color w:val="000000" w:themeColor="text1"/>
          <w:highlight w:val="none"/>
          <w14:textFill>
            <w14:solidFill>
              <w14:schemeClr w14:val="tx1"/>
            </w14:solidFill>
          </w14:textFill>
        </w:rPr>
      </w:pPr>
    </w:p>
    <w:p w14:paraId="6386DCBA">
      <w:pPr>
        <w:pStyle w:val="4"/>
        <w:jc w:val="center"/>
        <w:rPr>
          <w:rFonts w:hint="eastAsia"/>
          <w:b/>
          <w:bCs w:val="0"/>
          <w:color w:val="000000" w:themeColor="text1"/>
          <w:szCs w:val="28"/>
          <w:highlight w:val="none"/>
          <w14:textFill>
            <w14:solidFill>
              <w14:schemeClr w14:val="tx1"/>
            </w14:solidFill>
          </w14:textFill>
        </w:rPr>
      </w:pPr>
      <w:bookmarkStart w:id="186" w:name="_Toc8864"/>
      <w:bookmarkStart w:id="187" w:name="_Toc19868"/>
      <w:bookmarkStart w:id="188" w:name="_Toc3019"/>
      <w:bookmarkStart w:id="189" w:name="_Toc30079"/>
      <w:bookmarkStart w:id="190" w:name="_Toc18374"/>
      <w:bookmarkStart w:id="191" w:name="_Toc2829"/>
      <w:bookmarkStart w:id="192" w:name="_Toc15583"/>
      <w:bookmarkStart w:id="193" w:name="_Toc14768"/>
      <w:bookmarkStart w:id="194" w:name="_Toc19379"/>
      <w:bookmarkStart w:id="195" w:name="_Toc4525"/>
      <w:bookmarkStart w:id="196" w:name="_Toc2459"/>
      <w:bookmarkStart w:id="197" w:name="_Toc3532"/>
      <w:r>
        <w:rPr>
          <w:rFonts w:hint="eastAsia"/>
          <w:b/>
          <w:bCs w:val="0"/>
          <w:color w:val="000000" w:themeColor="text1"/>
          <w:szCs w:val="28"/>
          <w:highlight w:val="none"/>
          <w14:textFill>
            <w14:solidFill>
              <w14:schemeClr w14:val="tx1"/>
            </w14:solidFill>
          </w14:textFill>
        </w:rPr>
        <w:t>二、谈判文件</w:t>
      </w:r>
      <w:bookmarkEnd w:id="186"/>
      <w:bookmarkEnd w:id="187"/>
      <w:bookmarkEnd w:id="188"/>
      <w:bookmarkEnd w:id="189"/>
      <w:bookmarkEnd w:id="190"/>
      <w:bookmarkEnd w:id="191"/>
      <w:bookmarkEnd w:id="192"/>
      <w:bookmarkEnd w:id="193"/>
      <w:bookmarkEnd w:id="194"/>
      <w:bookmarkEnd w:id="195"/>
      <w:bookmarkEnd w:id="196"/>
      <w:bookmarkEnd w:id="197"/>
    </w:p>
    <w:p w14:paraId="762B9B3B">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198" w:name="_Toc3432"/>
      <w:bookmarkStart w:id="199" w:name="_Toc8743"/>
      <w:bookmarkStart w:id="200" w:name="_Toc24068"/>
      <w:bookmarkStart w:id="201" w:name="_Toc20220"/>
      <w:bookmarkStart w:id="202" w:name="_Toc3148"/>
      <w:bookmarkStart w:id="203" w:name="_Toc3546"/>
      <w:bookmarkStart w:id="204" w:name="_Toc25591"/>
      <w:bookmarkStart w:id="205" w:name="_Toc3905"/>
      <w:bookmarkStart w:id="206" w:name="_Toc7893"/>
      <w:bookmarkStart w:id="207" w:name="_Toc18991"/>
      <w:bookmarkStart w:id="208" w:name="_Toc15893"/>
      <w:bookmarkStart w:id="209" w:name="_Toc32371"/>
      <w:r>
        <w:rPr>
          <w:rFonts w:hint="eastAsia" w:ascii="宋体" w:hAnsi="宋体" w:cs="宋体"/>
          <w:color w:val="000000" w:themeColor="text1"/>
          <w:sz w:val="21"/>
          <w:szCs w:val="21"/>
          <w:highlight w:val="none"/>
          <w14:textFill>
            <w14:solidFill>
              <w14:schemeClr w14:val="tx1"/>
            </w14:solidFill>
          </w14:textFill>
        </w:rPr>
        <w:t>9. 谈判文件的构成</w:t>
      </w:r>
      <w:bookmarkEnd w:id="198"/>
      <w:bookmarkEnd w:id="199"/>
      <w:bookmarkEnd w:id="200"/>
      <w:bookmarkEnd w:id="201"/>
      <w:bookmarkEnd w:id="202"/>
      <w:bookmarkEnd w:id="203"/>
      <w:bookmarkEnd w:id="204"/>
      <w:bookmarkEnd w:id="205"/>
      <w:bookmarkEnd w:id="206"/>
      <w:bookmarkEnd w:id="207"/>
      <w:bookmarkEnd w:id="208"/>
      <w:bookmarkEnd w:id="209"/>
    </w:p>
    <w:p w14:paraId="2EECC2B4">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）竞争性谈判公告；</w:t>
      </w:r>
    </w:p>
    <w:p w14:paraId="39B3441D">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）供应商须知；</w:t>
      </w:r>
    </w:p>
    <w:p w14:paraId="54A42CBF">
      <w:pPr>
        <w:spacing w:line="360" w:lineRule="auto"/>
        <w:ind w:firstLine="420"/>
        <w:rPr>
          <w:rFonts w:hint="eastAsia"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）采购需求</w:t>
      </w:r>
      <w:r>
        <w:rPr>
          <w:rFonts w:hint="eastAsia" w:ascii="宋体" w:hAnsi="宋体"/>
          <w:bCs/>
          <w:color w:val="000000" w:themeColor="text1"/>
          <w:szCs w:val="21"/>
          <w:highlight w:val="none"/>
          <w14:textFill>
            <w14:solidFill>
              <w14:schemeClr w14:val="tx1"/>
            </w14:solidFill>
          </w14:textFill>
        </w:rPr>
        <w:t>；</w:t>
      </w:r>
    </w:p>
    <w:p w14:paraId="69E26B7A">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）评审办法；</w:t>
      </w:r>
    </w:p>
    <w:p w14:paraId="750C38B9">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）采购合同（合同主要条款及格式）；</w:t>
      </w:r>
    </w:p>
    <w:p w14:paraId="54CE41C1">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）响应文件（格式）。</w:t>
      </w:r>
    </w:p>
    <w:p w14:paraId="3610CE1F">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210" w:name="_Toc6173"/>
      <w:bookmarkStart w:id="211" w:name="_Toc289"/>
      <w:bookmarkStart w:id="212" w:name="_Toc12978"/>
      <w:bookmarkStart w:id="213" w:name="_Toc30256"/>
      <w:bookmarkStart w:id="214" w:name="_Toc18821"/>
      <w:bookmarkStart w:id="215" w:name="_Toc1448"/>
      <w:bookmarkStart w:id="216" w:name="_Toc26306"/>
      <w:bookmarkStart w:id="217" w:name="_Toc10179"/>
      <w:bookmarkStart w:id="218" w:name="_Toc142"/>
      <w:bookmarkStart w:id="219" w:name="_Toc12804"/>
      <w:bookmarkStart w:id="220" w:name="_Toc11229"/>
      <w:bookmarkStart w:id="221" w:name="_Toc29427"/>
      <w:r>
        <w:rPr>
          <w:rFonts w:hint="eastAsia" w:ascii="宋体" w:hAnsi="宋体" w:cs="宋体"/>
          <w:color w:val="000000" w:themeColor="text1"/>
          <w:sz w:val="21"/>
          <w:szCs w:val="21"/>
          <w:highlight w:val="none"/>
          <w14:textFill>
            <w14:solidFill>
              <w14:schemeClr w14:val="tx1"/>
            </w14:solidFill>
          </w14:textFill>
        </w:rPr>
        <w:t>10. 谈判文件的澄清与修改</w:t>
      </w:r>
      <w:bookmarkEnd w:id="210"/>
      <w:bookmarkEnd w:id="211"/>
      <w:bookmarkEnd w:id="212"/>
      <w:bookmarkEnd w:id="213"/>
      <w:bookmarkEnd w:id="214"/>
      <w:bookmarkEnd w:id="215"/>
      <w:bookmarkEnd w:id="216"/>
      <w:bookmarkEnd w:id="217"/>
      <w:bookmarkEnd w:id="218"/>
      <w:bookmarkEnd w:id="219"/>
      <w:bookmarkEnd w:id="220"/>
      <w:bookmarkEnd w:id="221"/>
    </w:p>
    <w:p w14:paraId="6CAA6387">
      <w:pPr>
        <w:spacing w:line="360" w:lineRule="auto"/>
        <w:ind w:left="420"/>
        <w:jc w:val="lef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10.1 </w:t>
      </w:r>
      <w:r>
        <w:rPr>
          <w:rFonts w:hint="eastAsia" w:ascii="宋体" w:hAnsi="宋体" w:cs="宋体"/>
          <w:color w:val="000000" w:themeColor="text1"/>
          <w:szCs w:val="21"/>
          <w:highlight w:val="none"/>
          <w14:textFill>
            <w14:solidFill>
              <w14:schemeClr w14:val="tx1"/>
            </w14:solidFill>
          </w14:textFill>
        </w:rPr>
        <w:t>提交首次响应文件截止之日前，采购代理机构可以对已发出的谈判文件进行必要澄清、答复、修改或补充，澄清或者修改的内容可能影响响应文件编制的，采购人、采购代理机构应当在提交首次响应文件递交截止时间五个工作日前在本项目竞争性谈判公告发布的同一媒体上发布更正公告，不足五个工作日的，应当顺延首次响应文件递交截止时间。</w:t>
      </w:r>
    </w:p>
    <w:p w14:paraId="03B54872">
      <w:pPr>
        <w:spacing w:line="360" w:lineRule="auto"/>
        <w:ind w:left="420"/>
        <w:jc w:val="left"/>
        <w:rPr>
          <w:rFonts w:ascii="宋体" w:cs="宋体"/>
          <w:b/>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10.2</w:t>
      </w:r>
      <w:r>
        <w:rPr>
          <w:rFonts w:hint="eastAsia" w:ascii="宋体" w:hAnsi="宋体" w:cs="宋体"/>
          <w:b/>
          <w:bCs/>
          <w:color w:val="000000" w:themeColor="text1"/>
          <w:szCs w:val="21"/>
          <w:highlight w:val="none"/>
          <w14:textFill>
            <w14:solidFill>
              <w14:schemeClr w14:val="tx1"/>
            </w14:solidFill>
          </w14:textFill>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0F1B9BAA">
      <w:pPr>
        <w:spacing w:line="360" w:lineRule="auto"/>
        <w:ind w:left="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10.3澄清或者修改的内容为谈判文件的组成部分。当澄清或者修改通知就同一内容的表述不一致时，以最后发出的文件为准。</w:t>
      </w:r>
    </w:p>
    <w:p w14:paraId="4D0DD0A3">
      <w:pPr>
        <w:spacing w:line="360" w:lineRule="auto"/>
        <w:ind w:left="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10.4 谈判文件的澄清或者修改都应该通过本项目采购代理机构以法定形式发布，采购人非通过本机构，不得擅自澄清或者修改谈判文件。</w:t>
      </w:r>
    </w:p>
    <w:p w14:paraId="08038ADF">
      <w:pPr>
        <w:spacing w:line="360" w:lineRule="auto"/>
        <w:ind w:left="420"/>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10.5采购单位可以视采购具体情况，延长响应文件截止时间和谈判时间，在本项目竞争性谈判公告发布的同一媒体上发布变更公告。</w:t>
      </w:r>
    </w:p>
    <w:p w14:paraId="718C4395">
      <w:pPr>
        <w:pStyle w:val="4"/>
        <w:jc w:val="center"/>
        <w:rPr>
          <w:rFonts w:hint="eastAsia"/>
          <w:b/>
          <w:bCs w:val="0"/>
          <w:color w:val="000000" w:themeColor="text1"/>
          <w:szCs w:val="28"/>
          <w:highlight w:val="none"/>
          <w14:textFill>
            <w14:solidFill>
              <w14:schemeClr w14:val="tx1"/>
            </w14:solidFill>
          </w14:textFill>
        </w:rPr>
      </w:pPr>
      <w:bookmarkStart w:id="222" w:name="_Toc31243"/>
      <w:bookmarkStart w:id="223" w:name="_Toc1838"/>
      <w:bookmarkStart w:id="224" w:name="_Toc23004"/>
      <w:bookmarkStart w:id="225" w:name="_Toc13768"/>
      <w:bookmarkStart w:id="226" w:name="_Toc3834"/>
      <w:bookmarkStart w:id="227" w:name="_Toc27466"/>
      <w:bookmarkStart w:id="228" w:name="_Toc13602"/>
      <w:bookmarkStart w:id="229" w:name="_Toc30408"/>
      <w:bookmarkStart w:id="230" w:name="_Toc6502"/>
      <w:bookmarkStart w:id="231" w:name="_Toc28536"/>
      <w:bookmarkStart w:id="232" w:name="_Toc4294"/>
      <w:bookmarkStart w:id="233" w:name="_Toc5782"/>
      <w:r>
        <w:rPr>
          <w:rFonts w:hint="eastAsia"/>
          <w:b/>
          <w:bCs w:val="0"/>
          <w:color w:val="000000" w:themeColor="text1"/>
          <w:szCs w:val="28"/>
          <w:highlight w:val="none"/>
          <w14:textFill>
            <w14:solidFill>
              <w14:schemeClr w14:val="tx1"/>
            </w14:solidFill>
          </w14:textFill>
        </w:rPr>
        <w:t>三、竞争性谈判响应文件的编制</w:t>
      </w:r>
      <w:bookmarkEnd w:id="222"/>
      <w:bookmarkEnd w:id="223"/>
      <w:bookmarkEnd w:id="224"/>
      <w:bookmarkEnd w:id="225"/>
      <w:bookmarkEnd w:id="226"/>
      <w:bookmarkEnd w:id="227"/>
      <w:bookmarkEnd w:id="228"/>
      <w:bookmarkEnd w:id="229"/>
      <w:bookmarkEnd w:id="230"/>
      <w:bookmarkEnd w:id="231"/>
      <w:bookmarkEnd w:id="232"/>
      <w:bookmarkEnd w:id="233"/>
    </w:p>
    <w:p w14:paraId="461CA054">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234" w:name="_Toc6724"/>
      <w:bookmarkStart w:id="235" w:name="_Toc7258"/>
      <w:bookmarkStart w:id="236" w:name="_Toc3672"/>
      <w:bookmarkStart w:id="237" w:name="_Toc1961"/>
      <w:bookmarkStart w:id="238" w:name="_Toc3373"/>
      <w:bookmarkStart w:id="239" w:name="_Toc1879"/>
      <w:bookmarkStart w:id="240" w:name="_Toc3548"/>
      <w:bookmarkStart w:id="241" w:name="_Toc1151"/>
      <w:bookmarkStart w:id="242" w:name="_Toc5167"/>
      <w:bookmarkStart w:id="243" w:name="_Toc11209"/>
      <w:bookmarkStart w:id="244" w:name="_Toc13590"/>
      <w:bookmarkStart w:id="245" w:name="_Toc28492"/>
      <w:r>
        <w:rPr>
          <w:rFonts w:hint="eastAsia" w:ascii="宋体" w:hAnsi="宋体" w:cs="宋体"/>
          <w:color w:val="000000" w:themeColor="text1"/>
          <w:sz w:val="21"/>
          <w:szCs w:val="21"/>
          <w:highlight w:val="none"/>
          <w14:textFill>
            <w14:solidFill>
              <w14:schemeClr w14:val="tx1"/>
            </w14:solidFill>
          </w14:textFill>
        </w:rPr>
        <w:t>11.竞争性谈判响应文件（以下简称响应文件）的组成及要求</w:t>
      </w:r>
      <w:bookmarkEnd w:id="234"/>
      <w:bookmarkEnd w:id="235"/>
      <w:bookmarkEnd w:id="236"/>
      <w:bookmarkEnd w:id="237"/>
      <w:bookmarkEnd w:id="238"/>
      <w:bookmarkEnd w:id="239"/>
      <w:bookmarkEnd w:id="240"/>
      <w:bookmarkEnd w:id="241"/>
      <w:bookmarkEnd w:id="242"/>
      <w:bookmarkEnd w:id="243"/>
      <w:bookmarkEnd w:id="244"/>
      <w:bookmarkEnd w:id="245"/>
    </w:p>
    <w:p w14:paraId="013DA35E">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w:t>
      </w:r>
      <w:r>
        <w:rPr>
          <w:rFonts w:ascii="宋体" w:hAnsi="宋体" w:cs="宋体"/>
          <w:b/>
          <w:bCs/>
          <w:color w:val="000000" w:themeColor="text1"/>
          <w:szCs w:val="21"/>
          <w:highlight w:val="none"/>
          <w14:textFill>
            <w14:solidFill>
              <w14:schemeClr w14:val="tx1"/>
            </w14:solidFill>
          </w14:textFill>
        </w:rPr>
        <w:t>.1 本项目实行电子投标</w:t>
      </w:r>
      <w:r>
        <w:rPr>
          <w:rFonts w:hint="eastAsia" w:ascii="宋体" w:hAnsi="宋体" w:cs="宋体"/>
          <w:b/>
          <w:bCs/>
          <w:color w:val="000000" w:themeColor="text1"/>
          <w:szCs w:val="21"/>
          <w:highlight w:val="none"/>
          <w14:textFill>
            <w14:solidFill>
              <w14:schemeClr w14:val="tx1"/>
            </w14:solidFill>
          </w14:textFill>
        </w:rPr>
        <w:t>响应</w:t>
      </w:r>
      <w:r>
        <w:rPr>
          <w:rFonts w:ascii="宋体" w:hAnsi="宋体" w:cs="宋体"/>
          <w:b/>
          <w:bCs/>
          <w:color w:val="000000" w:themeColor="text1"/>
          <w:szCs w:val="21"/>
          <w:highlight w:val="none"/>
          <w14:textFill>
            <w14:solidFill>
              <w14:schemeClr w14:val="tx1"/>
            </w14:solidFill>
          </w14:textFill>
        </w:rPr>
        <w:t>，供应商应准备电子响应文件</w:t>
      </w:r>
      <w:r>
        <w:rPr>
          <w:rFonts w:hint="eastAsia" w:ascii="宋体" w:hAnsi="宋体" w:cs="宋体"/>
          <w:b/>
          <w:bCs/>
          <w:color w:val="000000" w:themeColor="text1"/>
          <w:szCs w:val="21"/>
          <w:highlight w:val="none"/>
          <w14:textFill>
            <w14:solidFill>
              <w14:schemeClr w14:val="tx1"/>
            </w14:solidFill>
          </w14:textFill>
        </w:rPr>
        <w:t>：</w:t>
      </w:r>
    </w:p>
    <w:p w14:paraId="49794012">
      <w:pPr>
        <w:spacing w:line="360" w:lineRule="auto"/>
        <w:ind w:firstLine="420"/>
        <w:rPr>
          <w:rFonts w:hint="eastAsia"/>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w:t>
      </w:r>
      <w:r>
        <w:rPr>
          <w:rFonts w:ascii="宋体" w:hAnsi="宋体" w:cs="宋体"/>
          <w:b/>
          <w:bCs/>
          <w:color w:val="000000" w:themeColor="text1"/>
          <w:szCs w:val="21"/>
          <w:highlight w:val="none"/>
          <w14:textFill>
            <w14:solidFill>
              <w14:schemeClr w14:val="tx1"/>
            </w14:solidFill>
          </w14:textFill>
        </w:rPr>
        <w:t>.1.1 电子响应文件按</w:t>
      </w:r>
      <w:r>
        <w:rPr>
          <w:rFonts w:hint="eastAsia" w:ascii="宋体" w:hAnsi="宋体" w:cs="宋体"/>
          <w:b/>
          <w:bCs/>
          <w:color w:val="000000" w:themeColor="text1"/>
          <w:szCs w:val="21"/>
          <w:highlight w:val="none"/>
          <w14:textFill>
            <w14:solidFill>
              <w14:schemeClr w14:val="tx1"/>
            </w14:solidFill>
          </w14:textFill>
        </w:rPr>
        <w:t>广西政府采购云平台</w:t>
      </w:r>
      <w:r>
        <w:rPr>
          <w:rFonts w:ascii="宋体" w:hAnsi="宋体" w:cs="宋体"/>
          <w:b/>
          <w:bCs/>
          <w:color w:val="000000" w:themeColor="text1"/>
          <w:szCs w:val="21"/>
          <w:highlight w:val="none"/>
          <w14:textFill>
            <w14:solidFill>
              <w14:schemeClr w14:val="tx1"/>
            </w14:solidFill>
          </w14:textFill>
        </w:rPr>
        <w:t>要求及本</w:t>
      </w:r>
      <w:r>
        <w:rPr>
          <w:rFonts w:hint="eastAsia" w:ascii="宋体" w:hAnsi="宋体" w:cs="宋体"/>
          <w:b/>
          <w:bCs/>
          <w:color w:val="000000" w:themeColor="text1"/>
          <w:szCs w:val="21"/>
          <w:highlight w:val="none"/>
          <w14:textFill>
            <w14:solidFill>
              <w14:schemeClr w14:val="tx1"/>
            </w14:solidFill>
          </w14:textFill>
        </w:rPr>
        <w:t>谈判</w:t>
      </w:r>
      <w:r>
        <w:rPr>
          <w:rFonts w:ascii="宋体" w:hAnsi="宋体" w:cs="宋体"/>
          <w:b/>
          <w:bCs/>
          <w:color w:val="000000" w:themeColor="text1"/>
          <w:szCs w:val="21"/>
          <w:highlight w:val="none"/>
          <w14:textFill>
            <w14:solidFill>
              <w14:schemeClr w14:val="tx1"/>
            </w14:solidFill>
          </w14:textFill>
        </w:rPr>
        <w:t>文件要求制作、加密并递交。具体操作流程可参考《政府采购项目电子交易管理操作指南-供应商》</w:t>
      </w: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指南可在 “</w:t>
      </w:r>
      <w:r>
        <w:rPr>
          <w:rFonts w:hint="eastAsia" w:ascii="宋体" w:hAnsi="宋体" w:cs="宋体"/>
          <w:b/>
          <w:bCs/>
          <w:color w:val="000000" w:themeColor="text1"/>
          <w:szCs w:val="21"/>
          <w:highlight w:val="none"/>
          <w14:textFill>
            <w14:solidFill>
              <w14:schemeClr w14:val="tx1"/>
            </w14:solidFill>
          </w14:textFill>
        </w:rPr>
        <w:t>广西政府采购云平台</w:t>
      </w:r>
      <w:r>
        <w:rPr>
          <w:rFonts w:ascii="宋体" w:hAnsi="宋体" w:cs="宋体"/>
          <w:b/>
          <w:bCs/>
          <w:color w:val="000000" w:themeColor="text1"/>
          <w:szCs w:val="21"/>
          <w:highlight w:val="none"/>
          <w14:textFill>
            <w14:solidFill>
              <w14:schemeClr w14:val="tx1"/>
            </w14:solidFill>
          </w14:textFill>
        </w:rPr>
        <w:t xml:space="preserve">”下载。 </w:t>
      </w:r>
    </w:p>
    <w:p w14:paraId="52FE5974">
      <w:pPr>
        <w:spacing w:line="360" w:lineRule="auto"/>
        <w:ind w:firstLine="420"/>
        <w:rPr>
          <w:rFonts w:asci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1</w:t>
      </w:r>
      <w:r>
        <w:rPr>
          <w:rFonts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2响应文件组成【格式见第六章“响应文件（格式）”】</w:t>
      </w:r>
    </w:p>
    <w:p w14:paraId="4CFD0560">
      <w:pPr>
        <w:spacing w:line="360" w:lineRule="auto"/>
        <w:ind w:firstLine="420"/>
        <w:rPr>
          <w:color w:val="000000" w:themeColor="text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11.</w:t>
      </w:r>
      <w:r>
        <w:rPr>
          <w:rFonts w:hint="eastAsia" w:ascii="宋体" w:hAnsi="宋体" w:cs="宋体"/>
          <w:b/>
          <w:bCs/>
          <w:color w:val="000000" w:themeColor="text1"/>
          <w:szCs w:val="21"/>
          <w:highlight w:val="none"/>
          <w14:textFill>
            <w14:solidFill>
              <w14:schemeClr w14:val="tx1"/>
            </w14:solidFill>
          </w14:textFill>
        </w:rPr>
        <w:t>2.1资格性响应证明材料：</w:t>
      </w:r>
    </w:p>
    <w:p w14:paraId="11444344">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（1）供应商相应的法定代表人、负责人、自然人身份证正反两面扫描件加盖电子签章</w:t>
      </w:r>
      <w:r>
        <w:rPr>
          <w:rFonts w:hint="eastAsia" w:ascii="宋体" w:hAnsi="宋体" w:cs="宋体"/>
          <w:b/>
          <w:bCs/>
          <w:color w:val="000000" w:themeColor="text1"/>
          <w:szCs w:val="21"/>
          <w:highlight w:val="none"/>
          <w14:textFill>
            <w14:solidFill>
              <w14:schemeClr w14:val="tx1"/>
            </w14:solidFill>
          </w14:textFill>
        </w:rPr>
        <w:t>（必须提供）；</w:t>
      </w:r>
    </w:p>
    <w:p w14:paraId="11E08A2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的授权委托书原件、委托代理人身份证正反面扫描件加盖电子签章以及由县级以上（含县级）社会养老保险经办机构出具的供应商为委托代理人缴纳的响应文件递交截止时间前三个月内任意一个月养老保险证明扫描件加盖电子签章，除供应商为以下四种情形的：</w:t>
      </w:r>
    </w:p>
    <w:p w14:paraId="17BB5CF0">
      <w:pPr>
        <w:spacing w:line="360" w:lineRule="auto"/>
        <w:ind w:firstLine="63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①如供应商为截标时间前60日以内成立的公司，可以提供供应商与委托代理人签订的劳动合同扫描件加盖电子签章代替养老保险证明扫描件加盖电子签章；</w:t>
      </w:r>
    </w:p>
    <w:p w14:paraId="5BB46AB9">
      <w:pPr>
        <w:spacing w:line="360" w:lineRule="auto"/>
        <w:ind w:firstLine="63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②如供应商为事业单位，可以提供事业单位机构编制管理证扫描件加盖电子签章或事业单位机构为其发放工资的工资条扫描件加盖电子签章代替养老保险证明扫描件加盖电子签章；</w:t>
      </w:r>
    </w:p>
    <w:p w14:paraId="5B5DD8A5">
      <w:pPr>
        <w:spacing w:line="360" w:lineRule="auto"/>
        <w:ind w:firstLine="63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③如委托代理人为免缴纳养老保险人员，提供免缴纳养老保险的证明材料扫描件加盖电子签章及供应商与委托代理人签订的劳动合同扫描件加盖电子签章代替养老保险证明扫描件加盖电子签章；</w:t>
      </w:r>
    </w:p>
    <w:p w14:paraId="511CF387">
      <w:pPr>
        <w:pStyle w:val="18"/>
        <w:spacing w:line="360" w:lineRule="auto"/>
        <w:ind w:firstLine="63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3E45E1B4">
      <w:pPr>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属自然人的应提供由县级以上（含县级）社会养老保险经办机构出具的自然人本人及委托代理人所缴纳的响应文件递交截止时间前三个月内任意一个月养老保险证明扫描件加盖电子签章，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（委托代理时必须提供；如为联合体的，授权委托书原件须由牵头人出具）</w:t>
      </w:r>
    </w:p>
    <w:p w14:paraId="1A8F1F07">
      <w:pPr>
        <w:spacing w:line="360" w:lineRule="auto"/>
        <w:ind w:firstLine="420"/>
        <w:rPr>
          <w:rFonts w:asci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（3）供应商参加政府采购活动前</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年内在经营活动中没有重大违法记录及有关信用信息的书面声明</w:t>
      </w:r>
      <w:r>
        <w:rPr>
          <w:rFonts w:hint="eastAsia" w:ascii="宋体" w:hAnsi="宋体" w:cs="宋体"/>
          <w:b/>
          <w:bCs/>
          <w:color w:val="000000" w:themeColor="text1"/>
          <w:szCs w:val="21"/>
          <w:highlight w:val="none"/>
          <w14:textFill>
            <w14:solidFill>
              <w14:schemeClr w14:val="tx1"/>
            </w14:solidFill>
          </w14:textFill>
        </w:rPr>
        <w:t>（必须提供）；</w:t>
      </w:r>
    </w:p>
    <w:p w14:paraId="3F0AE46E">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（4）供应商的法人或者其他组织营业执照等证明文件扫描件加盖电子签章</w:t>
      </w:r>
      <w:r>
        <w:rPr>
          <w:rFonts w:hint="eastAsia" w:ascii="宋体" w:hAnsi="宋体" w:cs="宋体"/>
          <w:b/>
          <w:bCs/>
          <w:color w:val="000000" w:themeColor="text1"/>
          <w:szCs w:val="21"/>
          <w:highlight w:val="none"/>
          <w14:textFill>
            <w14:solidFill>
              <w14:schemeClr w14:val="tx1"/>
            </w14:solidFill>
          </w14:textFill>
        </w:rPr>
        <w:t>（必须提供，自然人除外）；</w:t>
      </w:r>
    </w:p>
    <w:p w14:paraId="376D567B">
      <w:pPr>
        <w:tabs>
          <w:tab w:val="left" w:pos="1305"/>
        </w:tabs>
        <w:spacing w:line="360" w:lineRule="auto"/>
        <w:ind w:firstLine="42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注：供应商为企业（包括合伙企业），应提供</w:t>
      </w:r>
      <w:r>
        <w:rPr>
          <w:rFonts w:hint="eastAsia" w:ascii="宋体" w:hAnsi="宋体" w:cs="宋体"/>
          <w:b/>
          <w:color w:val="000000" w:themeColor="text1"/>
          <w:szCs w:val="21"/>
          <w:highlight w:val="none"/>
          <w:u w:val="single"/>
          <w:lang w:eastAsia="zh-CN"/>
          <w14:textFill>
            <w14:solidFill>
              <w14:schemeClr w14:val="tx1"/>
            </w14:solidFill>
          </w14:textFill>
        </w:rPr>
        <w:t>市场监管部门（登记机关）</w:t>
      </w:r>
      <w:r>
        <w:rPr>
          <w:rFonts w:hint="eastAsia" w:ascii="宋体" w:hAnsi="宋体" w:cs="宋体"/>
          <w:b/>
          <w:color w:val="000000" w:themeColor="text1"/>
          <w:szCs w:val="21"/>
          <w:highlight w:val="none"/>
          <w:u w:val="single"/>
          <w14:textFill>
            <w14:solidFill>
              <w14:schemeClr w14:val="tx1"/>
            </w14:solidFill>
          </w14:textFill>
        </w:rPr>
        <w:t>注册的有效“企业法人营业执照”或“营业执照</w:t>
      </w:r>
      <w:r>
        <w:rPr>
          <w:rFonts w:hint="eastAsia" w:ascii="宋体" w:hAnsi="宋体" w:cs="宋体"/>
          <w:b/>
          <w:color w:val="000000" w:themeColor="text1"/>
          <w:szCs w:val="21"/>
          <w:highlight w:val="none"/>
          <w:u w:val="single"/>
          <w:lang w:eastAsia="zh-CN"/>
          <w14:textFill>
            <w14:solidFill>
              <w14:schemeClr w14:val="tx1"/>
            </w14:solidFill>
          </w14:textFill>
        </w:rPr>
        <w:t>”</w:t>
      </w:r>
      <w:r>
        <w:rPr>
          <w:rFonts w:hint="eastAsia" w:ascii="宋体" w:hAnsi="宋体" w:cs="宋体"/>
          <w:b/>
          <w:color w:val="000000" w:themeColor="text1"/>
          <w:szCs w:val="21"/>
          <w:highlight w:val="none"/>
          <w:u w:val="single"/>
          <w14:textFill>
            <w14:solidFill>
              <w14:schemeClr w14:val="tx1"/>
            </w14:solidFill>
          </w14:textFill>
        </w:rPr>
        <w:t>；供应商为事业单位，应提供有效的“事业单位法人证书”；供应商为非企业专业服务机构的，应提供执业许可证等证明文件；供应商为个体工商户，应提供有效的“个体工商户营业执照”。（所需材料均为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cs="宋体"/>
          <w:b/>
          <w:color w:val="000000" w:themeColor="text1"/>
          <w:szCs w:val="21"/>
          <w:highlight w:val="none"/>
          <w:u w:val="single"/>
          <w:lang w:eastAsia="zh-CN"/>
          <w14:textFill>
            <w14:solidFill>
              <w14:schemeClr w14:val="tx1"/>
            </w14:solidFill>
          </w14:textFill>
        </w:rPr>
        <w:t>扫描件</w:t>
      </w:r>
      <w:r>
        <w:rPr>
          <w:rFonts w:hint="eastAsia" w:ascii="宋体" w:hAnsi="宋体" w:cs="宋体"/>
          <w:b/>
          <w:color w:val="000000" w:themeColor="text1"/>
          <w:szCs w:val="21"/>
          <w:highlight w:val="none"/>
          <w:u w:val="single"/>
          <w14:textFill>
            <w14:solidFill>
              <w14:schemeClr w14:val="tx1"/>
            </w14:solidFill>
          </w14:textFill>
        </w:rPr>
        <w:t>）</w:t>
      </w:r>
    </w:p>
    <w:p w14:paraId="219E717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（5）财务状况报告</w:t>
      </w:r>
      <w:r>
        <w:rPr>
          <w:rFonts w:hint="eastAsia" w:ascii="宋体" w:hAnsi="宋体" w:cs="宋体"/>
          <w:b/>
          <w:bCs/>
          <w:color w:val="000000" w:themeColor="text1"/>
          <w:szCs w:val="21"/>
          <w:highlight w:val="none"/>
          <w14:textFill>
            <w14:solidFill>
              <w14:schemeClr w14:val="tx1"/>
            </w14:solidFill>
          </w14:textFill>
        </w:rPr>
        <w:t>（格式自拟，必须提供）</w:t>
      </w:r>
      <w:r>
        <w:rPr>
          <w:rFonts w:hint="eastAsia" w:ascii="宋体" w:hAnsi="宋体" w:cs="宋体"/>
          <w:color w:val="000000" w:themeColor="text1"/>
          <w:szCs w:val="21"/>
          <w:highlight w:val="none"/>
          <w14:textFill>
            <w14:solidFill>
              <w14:schemeClr w14:val="tx1"/>
            </w14:solidFill>
          </w14:textFill>
        </w:rPr>
        <w:t>；</w:t>
      </w:r>
    </w:p>
    <w:p w14:paraId="1C7C10B8">
      <w:pPr>
        <w:spacing w:line="360" w:lineRule="auto"/>
        <w:ind w:firstLine="420"/>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截止开标时间前近半年内任意一个月或任一季度依法缴纳税收的证明材料【增值税发票(税收完税证明)或企业所得税完税证明或税务部门出具的免税证明或税务部门出具的无欠税证明】扫描件加盖电子签章</w:t>
      </w:r>
      <w:r>
        <w:rPr>
          <w:rFonts w:hint="eastAsia" w:ascii="宋体" w:hAnsi="宋体" w:cs="宋体"/>
          <w:b/>
          <w:bCs/>
          <w:color w:val="000000" w:themeColor="text1"/>
          <w:szCs w:val="21"/>
          <w:highlight w:val="none"/>
          <w14:textFill>
            <w14:solidFill>
              <w14:schemeClr w14:val="tx1"/>
            </w14:solidFill>
          </w14:textFill>
        </w:rPr>
        <w:t>（必须提供）。</w:t>
      </w:r>
    </w:p>
    <w:p w14:paraId="3C6AAD3B">
      <w:pPr>
        <w:pStyle w:val="41"/>
        <w:spacing w:after="0" w:line="360" w:lineRule="auto"/>
        <w:ind w:left="0" w:firstLine="422"/>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11.2.2符合性响应证明材料：</w:t>
      </w:r>
    </w:p>
    <w:p w14:paraId="0FBCCC0D">
      <w:pPr>
        <w:pStyle w:val="41"/>
        <w:spacing w:after="0" w:line="400" w:lineRule="exact"/>
        <w:ind w:lef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（1）响应函（格式见附件）</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606F9F3F">
      <w:pPr>
        <w:pStyle w:val="41"/>
        <w:spacing w:after="0" w:line="400" w:lineRule="exact"/>
        <w:ind w:lef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（2）谈判报价表（格式见附件）</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7AAF4B26">
      <w:pPr>
        <w:pStyle w:val="41"/>
        <w:spacing w:after="0" w:line="400" w:lineRule="exact"/>
        <w:ind w:lef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（3）技术规格偏离表</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0802EEEE">
      <w:pPr>
        <w:pStyle w:val="41"/>
        <w:spacing w:after="0" w:line="400" w:lineRule="exact"/>
        <w:ind w:lef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（4）商务响应表</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0232B3AA">
      <w:pPr>
        <w:pStyle w:val="41"/>
        <w:spacing w:after="0" w:line="400" w:lineRule="exact"/>
        <w:ind w:lef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（5）供应商的售后服务承诺书（必须包含售后服务要求的全部内容）</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2B2F6999">
      <w:pPr>
        <w:pStyle w:val="41"/>
        <w:spacing w:after="0" w:line="400" w:lineRule="exact"/>
        <w:ind w:lef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（6）“采购需求”需提供的有效证明文件</w:t>
      </w:r>
      <w:r>
        <w:rPr>
          <w:rFonts w:hint="eastAsia" w:ascii="宋体" w:hAnsi="宋体" w:cs="宋体"/>
          <w:b/>
          <w:bCs/>
          <w:color w:val="000000" w:themeColor="text1"/>
          <w:szCs w:val="21"/>
          <w:highlight w:val="none"/>
          <w14:textFill>
            <w14:solidFill>
              <w14:schemeClr w14:val="tx1"/>
            </w14:solidFill>
          </w14:textFill>
        </w:rPr>
        <w:t>（按其要求提供）</w:t>
      </w:r>
      <w:r>
        <w:rPr>
          <w:rFonts w:hint="eastAsia" w:ascii="宋体" w:hAnsi="宋体" w:cs="宋体"/>
          <w:color w:val="000000" w:themeColor="text1"/>
          <w:szCs w:val="21"/>
          <w:highlight w:val="none"/>
          <w14:textFill>
            <w14:solidFill>
              <w14:schemeClr w14:val="tx1"/>
            </w14:solidFill>
          </w14:textFill>
        </w:rPr>
        <w:t>。</w:t>
      </w:r>
    </w:p>
    <w:p w14:paraId="5FC25B73">
      <w:pPr>
        <w:pStyle w:val="41"/>
        <w:spacing w:after="0" w:line="400" w:lineRule="exact"/>
        <w:ind w:left="0"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11.2.3其他有效证明材料</w:t>
      </w:r>
    </w:p>
    <w:p w14:paraId="4AF8A583">
      <w:pPr>
        <w:spacing w:line="400" w:lineRule="exact"/>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（1）项目实施人员一览表</w:t>
      </w:r>
      <w:r>
        <w:rPr>
          <w:rFonts w:hint="eastAsia" w:ascii="宋体" w:hAnsi="宋体" w:cs="宋体"/>
          <w:b/>
          <w:color w:val="000000" w:themeColor="text1"/>
          <w:szCs w:val="21"/>
          <w:highlight w:val="none"/>
          <w14:textFill>
            <w14:solidFill>
              <w14:schemeClr w14:val="tx1"/>
            </w14:solidFill>
          </w14:textFill>
        </w:rPr>
        <w:t>（如有，请提供）</w:t>
      </w:r>
      <w:r>
        <w:rPr>
          <w:rFonts w:hint="eastAsia" w:ascii="宋体" w:hAnsi="宋体" w:cs="宋体"/>
          <w:b/>
          <w:bCs/>
          <w:color w:val="000000" w:themeColor="text1"/>
          <w:szCs w:val="21"/>
          <w:highlight w:val="none"/>
          <w14:textFill>
            <w14:solidFill>
              <w14:schemeClr w14:val="tx1"/>
            </w14:solidFill>
          </w14:textFill>
        </w:rPr>
        <w:t>；</w:t>
      </w:r>
    </w:p>
    <w:p w14:paraId="0DE86849">
      <w:pPr>
        <w:tabs>
          <w:tab w:val="left" w:pos="1305"/>
        </w:tabs>
        <w:spacing w:line="400" w:lineRule="exact"/>
        <w:ind w:firstLine="42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（2）节能方面的证书扫描件加盖电子签章</w:t>
      </w:r>
      <w:r>
        <w:rPr>
          <w:rFonts w:hint="eastAsia" w:ascii="宋体" w:hAnsi="宋体" w:cs="宋体"/>
          <w:b/>
          <w:color w:val="000000" w:themeColor="text1"/>
          <w:szCs w:val="21"/>
          <w:highlight w:val="none"/>
          <w14:textFill>
            <w14:solidFill>
              <w14:schemeClr w14:val="tx1"/>
            </w14:solidFill>
          </w14:textFill>
        </w:rPr>
        <w:t>（如有，请提供）</w:t>
      </w:r>
      <w:r>
        <w:rPr>
          <w:rFonts w:hint="eastAsia" w:ascii="宋体" w:hAnsi="宋体" w:cs="宋体"/>
          <w:bCs/>
          <w:color w:val="000000" w:themeColor="text1"/>
          <w:szCs w:val="21"/>
          <w:highlight w:val="none"/>
          <w14:textFill>
            <w14:solidFill>
              <w14:schemeClr w14:val="tx1"/>
            </w14:solidFill>
          </w14:textFill>
        </w:rPr>
        <w:t>；</w:t>
      </w:r>
    </w:p>
    <w:p w14:paraId="5D1606A0">
      <w:pPr>
        <w:tabs>
          <w:tab w:val="left" w:pos="1305"/>
        </w:tabs>
        <w:spacing w:line="4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（3）环境标志方面的证书扫描件加盖电子签章</w:t>
      </w:r>
      <w:r>
        <w:rPr>
          <w:rFonts w:hint="eastAsia" w:ascii="宋体" w:hAnsi="宋体" w:cs="宋体"/>
          <w:b/>
          <w:color w:val="000000" w:themeColor="text1"/>
          <w:szCs w:val="21"/>
          <w:highlight w:val="none"/>
          <w14:textFill>
            <w14:solidFill>
              <w14:schemeClr w14:val="tx1"/>
            </w14:solidFill>
          </w14:textFill>
        </w:rPr>
        <w:t>（如有，请提供）</w:t>
      </w:r>
      <w:r>
        <w:rPr>
          <w:rFonts w:hint="eastAsia" w:ascii="宋体" w:hAnsi="宋体" w:cs="宋体"/>
          <w:bCs/>
          <w:color w:val="000000" w:themeColor="text1"/>
          <w:szCs w:val="21"/>
          <w:highlight w:val="none"/>
          <w14:textFill>
            <w14:solidFill>
              <w14:schemeClr w14:val="tx1"/>
            </w14:solidFill>
          </w14:textFill>
        </w:rPr>
        <w:t>；</w:t>
      </w:r>
    </w:p>
    <w:p w14:paraId="581FF1F3">
      <w:pPr>
        <w:tabs>
          <w:tab w:val="left" w:pos="1305"/>
        </w:tabs>
        <w:spacing w:line="400" w:lineRule="exact"/>
        <w:ind w:firstLine="420"/>
        <w:rPr>
          <w:rFonts w:hint="eastAsia"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（4）供应商自</w:t>
      </w:r>
      <w:r>
        <w:rPr>
          <w:rFonts w:hint="eastAsia" w:ascii="宋体" w:hAnsi="宋体" w:cs="宋体"/>
          <w:color w:val="000000" w:themeColor="text1"/>
          <w:highlight w:val="none"/>
          <w14:textFill>
            <w14:solidFill>
              <w14:schemeClr w14:val="tx1"/>
            </w14:solidFill>
          </w14:textFill>
        </w:rPr>
        <w:t>2023年1月1日</w:t>
      </w:r>
      <w:r>
        <w:rPr>
          <w:rFonts w:hint="eastAsia" w:ascii="宋体" w:hAnsi="宋体" w:cs="宋体"/>
          <w:color w:val="000000" w:themeColor="text1"/>
          <w:szCs w:val="21"/>
          <w:highlight w:val="none"/>
          <w14:textFill>
            <w14:solidFill>
              <w14:schemeClr w14:val="tx1"/>
            </w14:solidFill>
          </w14:textFill>
        </w:rPr>
        <w:t>以来具有同类产品的销售业绩 [以中标（成交）通知书或采购合同扫描件加盖电子签章为准（能清晰反映所销售的货物名称、种类、金额)，否则将不予计分；同一个编号的项目有两个或两个以上的分标中标的只算一次]</w:t>
      </w:r>
      <w:r>
        <w:rPr>
          <w:rFonts w:hint="eastAsia" w:ascii="宋体" w:hAnsi="宋体" w:cs="宋体"/>
          <w:b/>
          <w:color w:val="000000" w:themeColor="text1"/>
          <w:highlight w:val="none"/>
          <w14:textFill>
            <w14:solidFill>
              <w14:schemeClr w14:val="tx1"/>
            </w14:solidFill>
          </w14:textFill>
        </w:rPr>
        <w:t>（如有，请提供）</w:t>
      </w:r>
      <w:r>
        <w:rPr>
          <w:rFonts w:hint="eastAsia" w:ascii="宋体" w:hAnsi="宋体" w:cs="宋体"/>
          <w:bCs/>
          <w:color w:val="000000" w:themeColor="text1"/>
          <w:highlight w:val="none"/>
          <w14:textFill>
            <w14:solidFill>
              <w14:schemeClr w14:val="tx1"/>
            </w14:solidFill>
          </w14:textFill>
        </w:rPr>
        <w:t>；</w:t>
      </w:r>
    </w:p>
    <w:p w14:paraId="54C889ED">
      <w:pPr>
        <w:pStyle w:val="13"/>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（5）《中小企业声明函》（见附件）</w:t>
      </w:r>
      <w:r>
        <w:rPr>
          <w:rFonts w:hint="eastAsia"/>
          <w:b/>
          <w:bCs/>
          <w:color w:val="000000" w:themeColor="text1"/>
          <w:highlight w:val="none"/>
          <w14:textFill>
            <w14:solidFill>
              <w14:schemeClr w14:val="tx1"/>
            </w14:solidFill>
          </w14:textFill>
        </w:rPr>
        <w:t>（如有，请提供）</w:t>
      </w:r>
      <w:r>
        <w:rPr>
          <w:rFonts w:hint="eastAsia"/>
          <w:color w:val="000000" w:themeColor="text1"/>
          <w:highlight w:val="none"/>
          <w14:textFill>
            <w14:solidFill>
              <w14:schemeClr w14:val="tx1"/>
            </w14:solidFill>
          </w14:textFill>
        </w:rPr>
        <w:t>；</w:t>
      </w:r>
    </w:p>
    <w:p w14:paraId="0412C8DC">
      <w:pPr>
        <w:pStyle w:val="13"/>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（6）如货物生产企业属于监狱企业的，应当提供由省级以上监狱管理局、戒毒管理局等（含新疆生产建设兵团）出具的属于监狱企业的证明文件</w:t>
      </w:r>
      <w:r>
        <w:rPr>
          <w:rFonts w:hint="eastAsia" w:ascii="宋体" w:hAnsi="宋体" w:cs="宋体"/>
          <w:b/>
          <w:color w:val="000000" w:themeColor="text1"/>
          <w:highlight w:val="none"/>
          <w14:textFill>
            <w14:solidFill>
              <w14:schemeClr w14:val="tx1"/>
            </w14:solidFill>
          </w14:textFill>
        </w:rPr>
        <w:t>（如有，请提供）</w:t>
      </w:r>
      <w:r>
        <w:rPr>
          <w:rFonts w:hint="eastAsia"/>
          <w:color w:val="000000" w:themeColor="text1"/>
          <w:highlight w:val="none"/>
          <w14:textFill>
            <w14:solidFill>
              <w14:schemeClr w14:val="tx1"/>
            </w14:solidFill>
          </w14:textFill>
        </w:rPr>
        <w:t>；</w:t>
      </w:r>
    </w:p>
    <w:p w14:paraId="4DC9204E">
      <w:pPr>
        <w:pStyle w:val="13"/>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（7）符合条件的残疾人福利性单位在参加政府采购活动时，应当提供《残疾人福利性单位声明函》（见附件），并对声明的真实性负责</w:t>
      </w:r>
      <w:r>
        <w:rPr>
          <w:rFonts w:hint="eastAsia" w:ascii="宋体" w:hAnsi="宋体" w:cs="宋体"/>
          <w:b/>
          <w:color w:val="000000" w:themeColor="text1"/>
          <w:highlight w:val="none"/>
          <w14:textFill>
            <w14:solidFill>
              <w14:schemeClr w14:val="tx1"/>
            </w14:solidFill>
          </w14:textFill>
        </w:rPr>
        <w:t>（如有，请提供）</w:t>
      </w:r>
      <w:r>
        <w:rPr>
          <w:rFonts w:hint="eastAsia"/>
          <w:color w:val="000000" w:themeColor="text1"/>
          <w:highlight w:val="none"/>
          <w14:textFill>
            <w14:solidFill>
              <w14:schemeClr w14:val="tx1"/>
            </w14:solidFill>
          </w14:textFill>
        </w:rPr>
        <w:t>。</w:t>
      </w:r>
    </w:p>
    <w:p w14:paraId="7EC1031C">
      <w:pPr>
        <w:pStyle w:val="23"/>
        <w:ind w:firstLine="420"/>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关于符合本国产品标准的声明函</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（见附件）</w:t>
      </w:r>
      <w:r>
        <w:rPr>
          <w:rFonts w:hint="eastAsia" w:ascii="宋体" w:hAnsi="宋体" w:eastAsia="宋体" w:cs="宋体"/>
          <w:b/>
          <w:bCs/>
          <w:color w:val="000000" w:themeColor="text1"/>
          <w:sz w:val="21"/>
          <w:szCs w:val="21"/>
          <w:highlight w:val="none"/>
          <w14:textFill>
            <w14:solidFill>
              <w14:schemeClr w14:val="tx1"/>
            </w14:solidFill>
          </w14:textFill>
        </w:rPr>
        <w:t>（如有，请提供）；</w:t>
      </w:r>
    </w:p>
    <w:p w14:paraId="2B3D6BA2">
      <w:pPr>
        <w:tabs>
          <w:tab w:val="left" w:pos="1305"/>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）项目实施方案</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color w:val="000000" w:themeColor="text1"/>
          <w:szCs w:val="21"/>
          <w:highlight w:val="none"/>
          <w14:textFill>
            <w14:solidFill>
              <w14:schemeClr w14:val="tx1"/>
            </w14:solidFill>
          </w14:textFill>
        </w:rPr>
        <w:t>；</w:t>
      </w:r>
    </w:p>
    <w:p w14:paraId="44A47254">
      <w:pPr>
        <w:tabs>
          <w:tab w:val="left" w:pos="1305"/>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）供应商可结合本项目的评审办法视自身情况自行提交相关证明材料</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color w:val="000000" w:themeColor="text1"/>
          <w:szCs w:val="21"/>
          <w:highlight w:val="none"/>
          <w14:textFill>
            <w14:solidFill>
              <w14:schemeClr w14:val="tx1"/>
            </w14:solidFill>
          </w14:textFill>
        </w:rPr>
        <w:t>。</w:t>
      </w:r>
    </w:p>
    <w:p w14:paraId="5A92A401">
      <w:pPr>
        <w:spacing w:line="440" w:lineRule="exact"/>
        <w:ind w:firstLine="420"/>
        <w:outlineLvl w:val="4"/>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供应商提供的以上相关证明材料属于“必须提供”的文件应加盖供应商公章（CA签章）/自然人签字或加盖个人CA签章，否则响应无效。</w:t>
      </w:r>
    </w:p>
    <w:p w14:paraId="22F6498B">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供应商应按竞争性谈判文件第六章“响应文件（格式）”编制响应文件。</w:t>
      </w:r>
    </w:p>
    <w:p w14:paraId="154E4B2B">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246" w:name="_Toc24949"/>
      <w:bookmarkStart w:id="247" w:name="_Toc10331"/>
      <w:bookmarkStart w:id="248" w:name="_Toc14301"/>
      <w:bookmarkStart w:id="249" w:name="_Toc22977"/>
      <w:bookmarkStart w:id="250" w:name="_Toc18336"/>
      <w:bookmarkStart w:id="251" w:name="_Toc25055"/>
      <w:bookmarkStart w:id="252" w:name="_Toc2153"/>
      <w:bookmarkStart w:id="253" w:name="_Toc12374"/>
      <w:bookmarkStart w:id="254" w:name="_Toc22516"/>
      <w:bookmarkStart w:id="255" w:name="_Toc24628"/>
      <w:bookmarkStart w:id="256" w:name="_Toc501"/>
      <w:bookmarkStart w:id="257" w:name="_Toc22573"/>
      <w:r>
        <w:rPr>
          <w:rFonts w:hint="eastAsia" w:ascii="宋体" w:hAnsi="宋体" w:cs="宋体"/>
          <w:color w:val="000000" w:themeColor="text1"/>
          <w:sz w:val="21"/>
          <w:szCs w:val="21"/>
          <w:highlight w:val="none"/>
          <w14:textFill>
            <w14:solidFill>
              <w14:schemeClr w14:val="tx1"/>
            </w14:solidFill>
          </w14:textFill>
        </w:rPr>
        <w:t>12. 响应文件的语言及计量</w:t>
      </w:r>
      <w:bookmarkEnd w:id="246"/>
      <w:bookmarkEnd w:id="247"/>
      <w:bookmarkEnd w:id="248"/>
      <w:bookmarkEnd w:id="249"/>
      <w:bookmarkEnd w:id="250"/>
      <w:bookmarkEnd w:id="251"/>
      <w:bookmarkEnd w:id="252"/>
      <w:bookmarkEnd w:id="253"/>
      <w:bookmarkEnd w:id="254"/>
      <w:bookmarkEnd w:id="255"/>
      <w:bookmarkEnd w:id="256"/>
      <w:bookmarkEnd w:id="257"/>
    </w:p>
    <w:p w14:paraId="228D614E">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12.1 </w:t>
      </w:r>
      <w:r>
        <w:rPr>
          <w:rFonts w:hint="eastAsia" w:ascii="宋体" w:hAnsi="宋体" w:cs="宋体"/>
          <w:color w:val="000000" w:themeColor="text1"/>
          <w:szCs w:val="21"/>
          <w:highlight w:val="none"/>
          <w14:textFill>
            <w14:solidFill>
              <w14:schemeClr w14:val="tx1"/>
            </w14:solidFill>
          </w14:textFill>
        </w:rPr>
        <w:t>响应文件以及供应商与采购代理机构就有关谈判事宜的所有来往函电，均应以中文汉语书写。供应商提交的支持文件和印刷的文献可以使用别的语言，但其相应内容必须附有中文翻译文本，在解释响应文件时以中文翻译文本为主。</w:t>
      </w:r>
    </w:p>
    <w:p w14:paraId="27AE2120">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12.2 </w:t>
      </w:r>
      <w:r>
        <w:rPr>
          <w:rFonts w:hint="eastAsia" w:ascii="宋体" w:hAnsi="宋体" w:cs="宋体"/>
          <w:color w:val="000000" w:themeColor="text1"/>
          <w:szCs w:val="21"/>
          <w:highlight w:val="none"/>
          <w14:textFill>
            <w14:solidFill>
              <w14:schemeClr w14:val="tx1"/>
            </w14:solidFill>
          </w14:textFill>
        </w:rPr>
        <w:t>谈判计量单位，谈判文件已有明确规定的，使用谈判文件规定的计量单位；谈判文件没有规定的，应采用中华人民共和国法定计量单位（货币单位：人民币元），否则视同未响应。</w:t>
      </w:r>
    </w:p>
    <w:p w14:paraId="330CCDA8">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258" w:name="_Toc30585"/>
      <w:bookmarkStart w:id="259" w:name="_Toc15813"/>
      <w:bookmarkStart w:id="260" w:name="_Toc6844"/>
      <w:bookmarkStart w:id="261" w:name="_Toc25252"/>
      <w:bookmarkStart w:id="262" w:name="_Toc5298"/>
      <w:bookmarkStart w:id="263" w:name="_Toc11449"/>
      <w:bookmarkStart w:id="264" w:name="_Toc31711"/>
      <w:bookmarkStart w:id="265" w:name="_Toc26350"/>
      <w:bookmarkStart w:id="266" w:name="_Toc2551"/>
      <w:bookmarkStart w:id="267" w:name="_Toc22589"/>
      <w:bookmarkStart w:id="268" w:name="_Toc7923"/>
      <w:bookmarkStart w:id="269" w:name="_Toc13772"/>
      <w:r>
        <w:rPr>
          <w:rFonts w:hint="eastAsia" w:ascii="宋体" w:hAnsi="宋体" w:cs="宋体"/>
          <w:color w:val="000000" w:themeColor="text1"/>
          <w:sz w:val="21"/>
          <w:szCs w:val="21"/>
          <w:highlight w:val="none"/>
          <w14:textFill>
            <w14:solidFill>
              <w14:schemeClr w14:val="tx1"/>
            </w14:solidFill>
          </w14:textFill>
        </w:rPr>
        <w:t>13. 谈判报价及采购预算金额</w:t>
      </w:r>
      <w:bookmarkEnd w:id="258"/>
      <w:bookmarkEnd w:id="259"/>
      <w:bookmarkEnd w:id="260"/>
      <w:bookmarkEnd w:id="261"/>
      <w:bookmarkEnd w:id="262"/>
      <w:bookmarkEnd w:id="263"/>
      <w:bookmarkEnd w:id="264"/>
      <w:bookmarkEnd w:id="265"/>
      <w:bookmarkEnd w:id="266"/>
      <w:bookmarkEnd w:id="267"/>
      <w:bookmarkEnd w:id="268"/>
      <w:bookmarkEnd w:id="269"/>
    </w:p>
    <w:p w14:paraId="3253404E">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13.1 </w:t>
      </w:r>
      <w:r>
        <w:rPr>
          <w:rFonts w:hint="eastAsia" w:ascii="宋体" w:hAnsi="宋体" w:cs="宋体"/>
          <w:color w:val="000000" w:themeColor="text1"/>
          <w:szCs w:val="21"/>
          <w:highlight w:val="none"/>
          <w14:textFill>
            <w14:solidFill>
              <w14:schemeClr w14:val="tx1"/>
            </w14:solidFill>
          </w14:textFill>
        </w:rPr>
        <w:t>谈判报价应按谈判文件中相关附表格式填写。采购</w:t>
      </w:r>
      <w:r>
        <w:rPr>
          <w:rFonts w:hint="eastAsia" w:ascii="宋体" w:hAnsi="宋体" w:cs="宋体"/>
          <w:color w:val="000000" w:themeColor="text1"/>
          <w:szCs w:val="21"/>
          <w:highlight w:val="none"/>
          <w:lang w:eastAsia="zh-CN"/>
          <w14:textFill>
            <w14:solidFill>
              <w14:schemeClr w14:val="tx1"/>
            </w14:solidFill>
          </w14:textFill>
        </w:rPr>
        <w:t>预算金额：人民币伍拾万元整（¥500000.00元）</w:t>
      </w:r>
      <w:r>
        <w:rPr>
          <w:rFonts w:hint="eastAsia" w:ascii="宋体" w:hAnsi="宋体" w:cs="宋体"/>
          <w:color w:val="000000" w:themeColor="text1"/>
          <w:szCs w:val="21"/>
          <w:highlight w:val="none"/>
          <w14:textFill>
            <w14:solidFill>
              <w14:schemeClr w14:val="tx1"/>
            </w14:solidFill>
          </w14:textFill>
        </w:rPr>
        <w:t>，响应报价不得超出预算金额，否则，作响应无效处理。</w:t>
      </w:r>
    </w:p>
    <w:p w14:paraId="3727840A">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13.2</w:t>
      </w:r>
      <w:r>
        <w:rPr>
          <w:rFonts w:hint="eastAsia" w:ascii="宋体" w:hAnsi="宋体" w:cs="宋体"/>
          <w:color w:val="000000" w:themeColor="text1"/>
          <w:szCs w:val="21"/>
          <w:highlight w:val="none"/>
          <w14:textFill>
            <w14:solidFill>
              <w14:schemeClr w14:val="tx1"/>
            </w14:solidFill>
          </w14:textFill>
        </w:rPr>
        <w:t>供应商必须就“采购需求”中所竞所有货物内容作完整唯一报价，否则，其响应文件无效。响应文件只允许有一个报价，有选择的或有条件的报价将不予接受。</w:t>
      </w:r>
    </w:p>
    <w:p w14:paraId="0FE3F705">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13.3 </w:t>
      </w:r>
      <w:r>
        <w:rPr>
          <w:rFonts w:hint="eastAsia" w:ascii="宋体" w:hAnsi="宋体" w:cs="宋体"/>
          <w:color w:val="000000" w:themeColor="text1"/>
          <w:szCs w:val="21"/>
          <w:highlight w:val="none"/>
          <w14:textFill>
            <w14:solidFill>
              <w14:schemeClr w14:val="tx1"/>
            </w14:solidFill>
          </w14:textFill>
        </w:rPr>
        <w:t>谈判报价应包括本次采购范围内货物价款、货物随配标准附件、包装、运输、装卸、保险、税金、货到位以及安装、调试、检验、售后服务、培训、保修及项目施工等人员的人身意外保险等其他所有成本费用的总和；供应商综合考虑在报价中。</w:t>
      </w:r>
    </w:p>
    <w:p w14:paraId="06CC316E">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13.4</w:t>
      </w:r>
      <w:r>
        <w:rPr>
          <w:rFonts w:hint="eastAsia" w:ascii="宋体" w:hAnsi="宋体" w:cs="宋体"/>
          <w:color w:val="000000" w:themeColor="text1"/>
          <w:szCs w:val="21"/>
          <w:highlight w:val="none"/>
          <w14:textFill>
            <w14:solidFill>
              <w14:schemeClr w14:val="tx1"/>
            </w14:solidFill>
          </w14:textFill>
        </w:rPr>
        <w:t>供应商应在规定时间内在广西政府采购云系统上提交最后报价，超出评委设定的最后报价时限或其最后报价超出采购预算导致已通过评审的响应文件无效的，按供应商在提交响应文件截止时间后撤回响应文件处理。</w:t>
      </w:r>
    </w:p>
    <w:p w14:paraId="71208203">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270" w:name="_Toc18553"/>
      <w:bookmarkStart w:id="271" w:name="_Toc26807"/>
      <w:bookmarkStart w:id="272" w:name="_Toc19408"/>
      <w:bookmarkStart w:id="273" w:name="_Toc27036"/>
      <w:bookmarkStart w:id="274" w:name="_Toc12494"/>
      <w:bookmarkStart w:id="275" w:name="_Toc27235"/>
      <w:bookmarkStart w:id="276" w:name="_Toc22087"/>
      <w:bookmarkStart w:id="277" w:name="_Toc19802"/>
      <w:bookmarkStart w:id="278" w:name="_Toc9416"/>
      <w:bookmarkStart w:id="279" w:name="_Toc20551"/>
      <w:bookmarkStart w:id="280" w:name="_Toc12715"/>
      <w:bookmarkStart w:id="281" w:name="_Toc3573"/>
      <w:r>
        <w:rPr>
          <w:rFonts w:hint="eastAsia" w:ascii="宋体" w:hAnsi="宋体" w:cs="宋体"/>
          <w:color w:val="000000" w:themeColor="text1"/>
          <w:sz w:val="21"/>
          <w:szCs w:val="21"/>
          <w:highlight w:val="none"/>
          <w14:textFill>
            <w14:solidFill>
              <w14:schemeClr w14:val="tx1"/>
            </w14:solidFill>
          </w14:textFill>
        </w:rPr>
        <w:t>14. 响应文件有效期</w:t>
      </w:r>
      <w:bookmarkEnd w:id="270"/>
      <w:bookmarkEnd w:id="271"/>
      <w:bookmarkEnd w:id="272"/>
      <w:bookmarkEnd w:id="273"/>
      <w:bookmarkEnd w:id="274"/>
      <w:bookmarkEnd w:id="275"/>
      <w:bookmarkEnd w:id="276"/>
      <w:bookmarkEnd w:id="277"/>
      <w:bookmarkEnd w:id="278"/>
      <w:bookmarkEnd w:id="279"/>
      <w:bookmarkEnd w:id="280"/>
      <w:bookmarkEnd w:id="281"/>
    </w:p>
    <w:p w14:paraId="4154EAD0">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14.1 </w:t>
      </w:r>
      <w:r>
        <w:rPr>
          <w:rFonts w:hint="eastAsia" w:ascii="宋体" w:hAnsi="宋体" w:cs="宋体"/>
          <w:color w:val="000000" w:themeColor="text1"/>
          <w:szCs w:val="21"/>
          <w:highlight w:val="none"/>
          <w14:textFill>
            <w14:solidFill>
              <w14:schemeClr w14:val="tx1"/>
            </w14:solidFill>
          </w14:textFill>
        </w:rPr>
        <w:t>响应文件有效期：响应文件递交截止时间之日起</w:t>
      </w:r>
      <w:r>
        <w:rPr>
          <w:rFonts w:ascii="宋体" w:hAnsi="宋体" w:cs="宋体"/>
          <w:color w:val="000000" w:themeColor="text1"/>
          <w:szCs w:val="21"/>
          <w:highlight w:val="none"/>
          <w14:textFill>
            <w14:solidFill>
              <w14:schemeClr w14:val="tx1"/>
            </w14:solidFill>
          </w14:textFill>
        </w:rPr>
        <w:t>90</w:t>
      </w:r>
      <w:r>
        <w:rPr>
          <w:rFonts w:hint="eastAsia" w:ascii="宋体" w:hAnsi="宋体" w:cs="宋体"/>
          <w:color w:val="000000" w:themeColor="text1"/>
          <w:szCs w:val="21"/>
          <w:highlight w:val="none"/>
          <w14:textFill>
            <w14:solidFill>
              <w14:schemeClr w14:val="tx1"/>
            </w14:solidFill>
          </w14:textFill>
        </w:rPr>
        <w:t>天，有效期不足的响应文件将被拒绝。</w:t>
      </w:r>
    </w:p>
    <w:p w14:paraId="3B4BD470">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14.2 </w:t>
      </w:r>
      <w:r>
        <w:rPr>
          <w:rFonts w:hint="eastAsia" w:ascii="宋体" w:hAnsi="宋体" w:cs="宋体"/>
          <w:color w:val="000000" w:themeColor="text1"/>
          <w:szCs w:val="21"/>
          <w:highlight w:val="none"/>
          <w14:textFill>
            <w14:solidFill>
              <w14:schemeClr w14:val="tx1"/>
            </w14:solidFill>
          </w14:textFill>
        </w:rPr>
        <w:t>出现特殊情况下，需要延长响应文件有效期的，采购代理机构以书面形式通知供应商延长响应文件有效期。供应商同意延长的，原响应文件继续有效。供应商拒绝延长的，其响应文件无效。</w:t>
      </w:r>
    </w:p>
    <w:p w14:paraId="1840D641">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282" w:name="_Toc27237"/>
      <w:bookmarkStart w:id="283" w:name="_Toc8248"/>
      <w:bookmarkStart w:id="284" w:name="_Toc24860"/>
      <w:bookmarkStart w:id="285" w:name="_Toc4321"/>
      <w:bookmarkStart w:id="286" w:name="_Toc13607"/>
      <w:bookmarkStart w:id="287" w:name="_Toc1509"/>
      <w:bookmarkStart w:id="288" w:name="_Toc7082"/>
      <w:bookmarkStart w:id="289" w:name="_Toc12930"/>
      <w:bookmarkStart w:id="290" w:name="_Toc24385"/>
      <w:bookmarkStart w:id="291" w:name="_Toc9729"/>
      <w:bookmarkStart w:id="292" w:name="_Toc4746"/>
      <w:bookmarkStart w:id="293" w:name="_Toc24545"/>
      <w:r>
        <w:rPr>
          <w:rFonts w:hint="eastAsia" w:ascii="宋体" w:hAnsi="宋体" w:cs="宋体"/>
          <w:color w:val="000000" w:themeColor="text1"/>
          <w:sz w:val="21"/>
          <w:szCs w:val="21"/>
          <w:highlight w:val="none"/>
          <w14:textFill>
            <w14:solidFill>
              <w14:schemeClr w14:val="tx1"/>
            </w14:solidFill>
          </w14:textFill>
        </w:rPr>
        <w:t>15. 保证金</w:t>
      </w:r>
      <w:bookmarkEnd w:id="282"/>
      <w:bookmarkEnd w:id="283"/>
      <w:bookmarkEnd w:id="284"/>
      <w:bookmarkEnd w:id="285"/>
      <w:bookmarkEnd w:id="286"/>
      <w:bookmarkEnd w:id="287"/>
      <w:bookmarkEnd w:id="288"/>
      <w:bookmarkEnd w:id="289"/>
      <w:bookmarkEnd w:id="290"/>
      <w:bookmarkEnd w:id="291"/>
      <w:bookmarkEnd w:id="292"/>
      <w:bookmarkEnd w:id="293"/>
    </w:p>
    <w:p w14:paraId="6B330D35">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本项目无需缴纳谈判保证金。</w:t>
      </w:r>
    </w:p>
    <w:p w14:paraId="263F97E9">
      <w:pPr>
        <w:pStyle w:val="5"/>
        <w:spacing w:before="0" w:after="0" w:line="360" w:lineRule="auto"/>
        <w:ind w:firstLine="420"/>
        <w:rPr>
          <w:rFonts w:ascii="宋体" w:hAnsi="宋体" w:cs="宋体"/>
          <w:color w:val="000000" w:themeColor="text1"/>
          <w:sz w:val="21"/>
          <w:szCs w:val="21"/>
          <w:highlight w:val="none"/>
          <w14:textFill>
            <w14:solidFill>
              <w14:schemeClr w14:val="tx1"/>
            </w14:solidFill>
          </w14:textFill>
        </w:rPr>
      </w:pPr>
      <w:bookmarkStart w:id="294" w:name="_Toc1279"/>
      <w:bookmarkStart w:id="295" w:name="_Toc20987"/>
      <w:bookmarkStart w:id="296" w:name="_Toc828"/>
      <w:bookmarkStart w:id="297" w:name="_Toc18396"/>
      <w:bookmarkStart w:id="298" w:name="_Toc27057"/>
      <w:bookmarkStart w:id="299" w:name="_Toc6601"/>
      <w:bookmarkStart w:id="300" w:name="_Toc15292"/>
      <w:bookmarkStart w:id="301" w:name="_Toc19939"/>
      <w:bookmarkStart w:id="302" w:name="_Toc17472"/>
      <w:bookmarkStart w:id="303" w:name="_Toc5531"/>
      <w:bookmarkStart w:id="304" w:name="_Toc12262"/>
      <w:bookmarkStart w:id="305" w:name="_Toc13330"/>
      <w:r>
        <w:rPr>
          <w:rFonts w:hint="eastAsia" w:ascii="宋体" w:hAnsi="宋体" w:cs="宋体"/>
          <w:color w:val="000000" w:themeColor="text1"/>
          <w:sz w:val="21"/>
          <w:szCs w:val="21"/>
          <w:highlight w:val="none"/>
          <w14:textFill>
            <w14:solidFill>
              <w14:schemeClr w14:val="tx1"/>
            </w14:solidFill>
          </w14:textFill>
        </w:rPr>
        <w:t>16. 响应文件的制作</w:t>
      </w:r>
      <w:bookmarkEnd w:id="294"/>
      <w:bookmarkEnd w:id="295"/>
      <w:bookmarkEnd w:id="296"/>
      <w:bookmarkEnd w:id="297"/>
      <w:bookmarkEnd w:id="298"/>
      <w:bookmarkEnd w:id="299"/>
      <w:bookmarkEnd w:id="300"/>
      <w:bookmarkEnd w:id="301"/>
      <w:bookmarkEnd w:id="302"/>
      <w:bookmarkEnd w:id="303"/>
      <w:bookmarkEnd w:id="304"/>
      <w:bookmarkEnd w:id="305"/>
    </w:p>
    <w:p w14:paraId="5C94958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16.1电子响应文件中须加盖供应商公章部分均采用 CA 签章，并根据“政府采购项目电子交易管理操作指南-供应商” 及本谈判文件规定的格式和顺序编制电子响应文件并进行关联定位，以便谈判小组在评审时，点击即可直接定位到该内容。如对谈判文件的某项要求，供应商的电子响应文件未能关联定位提供相应的内容与其对应，则谈判小组在评审时如做出对供应商不利的评审由供应商自行承担。电子响应文件如内容不完整、编排混乱导致响应文件被误读、 漏读，或者在按响应文件规定的部位查找不到相关内容的，由供应商自行承担。</w:t>
      </w:r>
    </w:p>
    <w:p w14:paraId="46DA980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16.2 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 </w:t>
      </w:r>
    </w:p>
    <w:p w14:paraId="5CE4D1E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 响应文件不得涂改，若有修改错漏处，须法定代表人（负责人）或授权委托人签字（或个人CA签章）。响应文件因字迹潦草或表达不清所引起的后果由供应商负责。</w:t>
      </w:r>
    </w:p>
    <w:p w14:paraId="5B084E5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16.4评审前准备 </w:t>
      </w:r>
    </w:p>
    <w:p w14:paraId="4E35B7E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16.4.1本项目实行网上评审，采用电子响应文件；若供应商参与谈判，自行承担谈判一切费用。 </w:t>
      </w:r>
    </w:p>
    <w:p w14:paraId="08542D6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16.4.2各供应商在截标前应确保成为广西政府采购云平台正式注册入库供应商，并完成 CA 数字证书申领。因未注册入库、未办理 CA 数字证书等原因造成无法响应或响应失败等后果由供应商自行承担。 </w:t>
      </w:r>
    </w:p>
    <w:p w14:paraId="14FFD95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16.4.3供应商将广西政府采购云平台客户端下载、安装完成后，可通过账号密码或 CA 登录客户端进行响应文件制作。客户端请至网站下载专区查看，如有问题可拨打广西政府采购云客户服务热线 95763 进行咨询。</w:t>
      </w:r>
    </w:p>
    <w:p w14:paraId="2E802EE1">
      <w:pPr>
        <w:pStyle w:val="5"/>
        <w:spacing w:before="0" w:after="0" w:line="360" w:lineRule="auto"/>
        <w:ind w:firstLine="420"/>
        <w:rPr>
          <w:rFonts w:ascii="宋体" w:hAnsi="宋体" w:cs="宋体"/>
          <w:color w:val="000000" w:themeColor="text1"/>
          <w:sz w:val="21"/>
          <w:szCs w:val="21"/>
          <w:highlight w:val="none"/>
          <w14:textFill>
            <w14:solidFill>
              <w14:schemeClr w14:val="tx1"/>
            </w14:solidFill>
          </w14:textFill>
        </w:rPr>
      </w:pPr>
      <w:bookmarkStart w:id="306" w:name="_Toc30896"/>
      <w:bookmarkStart w:id="307" w:name="_Toc31290"/>
      <w:bookmarkStart w:id="308" w:name="_Toc16916"/>
      <w:bookmarkStart w:id="309" w:name="_Toc23217"/>
      <w:bookmarkStart w:id="310" w:name="_Toc22831"/>
      <w:bookmarkStart w:id="311" w:name="_Toc17516"/>
      <w:bookmarkStart w:id="312" w:name="_Toc23586"/>
      <w:bookmarkStart w:id="313" w:name="_Toc9153"/>
      <w:bookmarkStart w:id="314" w:name="_Toc24605"/>
      <w:bookmarkStart w:id="315" w:name="_Toc23469"/>
      <w:bookmarkStart w:id="316" w:name="_Toc383"/>
      <w:bookmarkStart w:id="317" w:name="_Toc20184"/>
      <w:r>
        <w:rPr>
          <w:rFonts w:hint="eastAsia" w:ascii="宋体" w:hAnsi="宋体" w:cs="宋体"/>
          <w:color w:val="000000" w:themeColor="text1"/>
          <w:sz w:val="21"/>
          <w:szCs w:val="21"/>
          <w:highlight w:val="none"/>
          <w14:textFill>
            <w14:solidFill>
              <w14:schemeClr w14:val="tx1"/>
            </w14:solidFill>
          </w14:textFill>
        </w:rPr>
        <w:t>17. 响应文件的补充、修改和撤回</w:t>
      </w:r>
      <w:bookmarkEnd w:id="306"/>
      <w:bookmarkEnd w:id="307"/>
      <w:bookmarkEnd w:id="308"/>
      <w:bookmarkEnd w:id="309"/>
      <w:bookmarkEnd w:id="310"/>
      <w:bookmarkEnd w:id="311"/>
      <w:bookmarkEnd w:id="312"/>
      <w:bookmarkEnd w:id="313"/>
      <w:bookmarkEnd w:id="314"/>
      <w:bookmarkEnd w:id="315"/>
      <w:bookmarkEnd w:id="316"/>
      <w:bookmarkEnd w:id="317"/>
    </w:p>
    <w:p w14:paraId="201723D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 响应文件递交截止时间前可以撤回电子响应文件。补充或者修改电子响应文件的，应当先行撤回原文件，补充、修改后重新传输递交，响应文件递交截止时间前未完成传输的，视为撤回响应文件。</w:t>
      </w:r>
    </w:p>
    <w:p w14:paraId="1D0B7FCD">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17.2 </w:t>
      </w:r>
      <w:r>
        <w:rPr>
          <w:rFonts w:hint="eastAsia" w:ascii="宋体" w:hAnsi="宋体" w:cs="宋体"/>
          <w:color w:val="000000" w:themeColor="text1"/>
          <w:szCs w:val="21"/>
          <w:highlight w:val="none"/>
          <w14:textFill>
            <w14:solidFill>
              <w14:schemeClr w14:val="tx1"/>
            </w14:solidFill>
          </w14:textFill>
        </w:rPr>
        <w:t>在响应文件递交截止时间后的响应文件有效期内，供应商不得撤回其响应文件。</w:t>
      </w:r>
    </w:p>
    <w:p w14:paraId="76EAC1BE">
      <w:pPr>
        <w:pStyle w:val="5"/>
        <w:spacing w:before="0" w:after="0" w:line="360" w:lineRule="auto"/>
        <w:ind w:firstLine="420"/>
        <w:rPr>
          <w:rFonts w:ascii="宋体" w:hAnsi="宋体" w:cs="宋体"/>
          <w:color w:val="000000" w:themeColor="text1"/>
          <w:sz w:val="21"/>
          <w:szCs w:val="21"/>
          <w:highlight w:val="none"/>
          <w14:textFill>
            <w14:solidFill>
              <w14:schemeClr w14:val="tx1"/>
            </w14:solidFill>
          </w14:textFill>
        </w:rPr>
      </w:pPr>
      <w:bookmarkStart w:id="318" w:name="_Toc8614"/>
      <w:bookmarkStart w:id="319" w:name="_Toc27699"/>
      <w:bookmarkStart w:id="320" w:name="_Toc7348"/>
      <w:bookmarkStart w:id="321" w:name="_Toc23854"/>
      <w:bookmarkStart w:id="322" w:name="_Toc24152"/>
      <w:bookmarkStart w:id="323" w:name="_Toc16516"/>
      <w:bookmarkStart w:id="324" w:name="_Toc6510"/>
      <w:bookmarkStart w:id="325" w:name="_Toc20179"/>
      <w:bookmarkStart w:id="326" w:name="_Toc30803"/>
      <w:bookmarkStart w:id="327" w:name="_Toc16460"/>
      <w:bookmarkStart w:id="328" w:name="_Toc17044"/>
      <w:bookmarkStart w:id="329" w:name="_Toc689"/>
      <w:r>
        <w:rPr>
          <w:rFonts w:hint="eastAsia" w:ascii="宋体" w:hAnsi="宋体" w:cs="宋体"/>
          <w:color w:val="000000" w:themeColor="text1"/>
          <w:sz w:val="21"/>
          <w:szCs w:val="21"/>
          <w:highlight w:val="none"/>
          <w14:textFill>
            <w14:solidFill>
              <w14:schemeClr w14:val="tx1"/>
            </w14:solidFill>
          </w14:textFill>
        </w:rPr>
        <w:t>18. 响应文件的递交和解密</w:t>
      </w:r>
      <w:bookmarkEnd w:id="318"/>
      <w:bookmarkEnd w:id="319"/>
      <w:bookmarkEnd w:id="320"/>
      <w:bookmarkEnd w:id="321"/>
      <w:bookmarkEnd w:id="322"/>
      <w:bookmarkEnd w:id="323"/>
      <w:bookmarkEnd w:id="324"/>
      <w:bookmarkEnd w:id="325"/>
      <w:bookmarkEnd w:id="326"/>
      <w:bookmarkEnd w:id="327"/>
      <w:bookmarkEnd w:id="328"/>
      <w:bookmarkEnd w:id="329"/>
    </w:p>
    <w:p w14:paraId="5445886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18.1响应文件递交截止时间：于</w:t>
      </w:r>
      <w:r>
        <w:rPr>
          <w:rFonts w:hint="eastAsia" w:ascii="宋体" w:hAnsi="宋体" w:cs="宋体"/>
          <w:color w:val="000000" w:themeColor="text1"/>
          <w:szCs w:val="21"/>
          <w:highlight w:val="none"/>
          <w:u w:val="single"/>
          <w:lang w:eastAsia="zh-CN"/>
          <w14:textFill>
            <w14:solidFill>
              <w14:schemeClr w14:val="tx1"/>
            </w14:solidFill>
          </w14:textFill>
        </w:rPr>
        <w:t>2026年6月17日</w:t>
      </w:r>
      <w:r>
        <w:rPr>
          <w:rFonts w:hint="eastAsia" w:ascii="宋体" w:hAnsi="宋体" w:cs="宋体"/>
          <w:color w:val="000000" w:themeColor="text1"/>
          <w:szCs w:val="21"/>
          <w:highlight w:val="none"/>
          <w:u w:val="single"/>
          <w14:textFill>
            <w14:solidFill>
              <w14:schemeClr w14:val="tx1"/>
            </w14:solidFill>
          </w14:textFill>
        </w:rPr>
        <w:t>上午9时30分</w:t>
      </w:r>
      <w:r>
        <w:rPr>
          <w:rFonts w:hint="eastAsia" w:ascii="宋体" w:hAnsi="宋体" w:cs="宋体"/>
          <w:color w:val="000000" w:themeColor="text1"/>
          <w:szCs w:val="21"/>
          <w:highlight w:val="none"/>
          <w14:textFill>
            <w14:solidFill>
              <w14:schemeClr w14:val="tx1"/>
            </w14:solidFill>
          </w14:textFill>
        </w:rPr>
        <w:t>之前将电子</w:t>
      </w:r>
      <w:r>
        <w:rPr>
          <w:rFonts w:hint="eastAsia" w:ascii="宋体" w:hAnsi="宋体"/>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文件上传到广西政府采购云平台。应按照本项目谈判文件和广西政府采购云平台的要求编制、加密传输</w:t>
      </w:r>
      <w:r>
        <w:rPr>
          <w:rFonts w:hint="eastAsia" w:ascii="宋体" w:hAnsi="宋体"/>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文件。供应商在使用系统进行投标响应的过程中遇到涉及平台使用的任何问题，可致电广西政府采购云平台技术支持热线咨询，联系方式：95763。</w:t>
      </w:r>
    </w:p>
    <w:p w14:paraId="451BD6E4">
      <w:pPr>
        <w:pStyle w:val="18"/>
        <w:ind w:firstLine="42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w:t>
      </w:r>
      <w:r>
        <w:rPr>
          <w:rFonts w:hint="eastAsia" w:ascii="宋体" w:hAnsi="宋体" w:cs="宋体"/>
          <w:color w:val="000000" w:themeColor="text1"/>
          <w:highlight w:val="none"/>
          <w14:textFill>
            <w14:solidFill>
              <w14:schemeClr w14:val="tx1"/>
            </w14:solidFill>
          </w14:textFill>
        </w:rPr>
        <w:t>响应文件解密时间：截标时间后</w:t>
      </w:r>
      <w:r>
        <w:rPr>
          <w:rFonts w:hint="eastAsia" w:ascii="宋体" w:hAnsi="宋体" w:cs="宋体"/>
          <w:color w:val="000000" w:themeColor="text1"/>
          <w:highlight w:val="none"/>
          <w:u w:val="singl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分钟内（</w:t>
      </w:r>
      <w:r>
        <w:rPr>
          <w:rFonts w:hint="eastAsia" w:ascii="宋体" w:hAnsi="宋体" w:cs="宋体"/>
          <w:color w:val="000000" w:themeColor="text1"/>
          <w:highlight w:val="none"/>
          <w:u w:val="single"/>
          <w:lang w:eastAsia="zh-CN"/>
          <w14:textFill>
            <w14:solidFill>
              <w14:schemeClr w14:val="tx1"/>
            </w14:solidFill>
          </w14:textFill>
        </w:rPr>
        <w:t>2026年6月17日</w:t>
      </w:r>
      <w:r>
        <w:rPr>
          <w:rFonts w:hint="eastAsia" w:ascii="宋体" w:hAnsi="宋体" w:cs="宋体"/>
          <w:color w:val="000000" w:themeColor="text1"/>
          <w:highlight w:val="none"/>
          <w:u w:val="single"/>
          <w14:textFill>
            <w14:solidFill>
              <w14:schemeClr w14:val="tx1"/>
            </w14:solidFill>
          </w14:textFill>
        </w:rPr>
        <w:t>上午9时30分至10时00分</w:t>
      </w:r>
      <w:r>
        <w:rPr>
          <w:rFonts w:hint="eastAsia" w:ascii="宋体" w:hAnsi="宋体" w:cs="宋体"/>
          <w:color w:val="000000" w:themeColor="text1"/>
          <w:highlight w:val="none"/>
          <w14:textFill>
            <w14:solidFill>
              <w14:schemeClr w14:val="tx1"/>
            </w14:solidFill>
          </w14:textFill>
        </w:rPr>
        <w:t>)供应商可以登录广西政府采购云平台，用“项目采购-开标评标”功能进行解密响应文件。</w:t>
      </w:r>
      <w:r>
        <w:rPr>
          <w:rFonts w:hint="eastAsia" w:ascii="宋体" w:hAnsi="宋体" w:cs="宋体"/>
          <w:b/>
          <w:bCs/>
          <w:color w:val="000000" w:themeColor="text1"/>
          <w:sz w:val="24"/>
          <w:highlight w:val="none"/>
          <w14:textFill>
            <w14:solidFill>
              <w14:schemeClr w14:val="tx1"/>
            </w14:solidFill>
          </w14:textFill>
        </w:rPr>
        <w:t xml:space="preserve"> </w:t>
      </w:r>
    </w:p>
    <w:p w14:paraId="11BC997B">
      <w:pPr>
        <w:pStyle w:val="18"/>
        <w:ind w:firstLine="420"/>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注：响应文件网上递交截止时间后，各供应商须在解密时限内对上传</w:t>
      </w:r>
      <w:r>
        <w:rPr>
          <w:rFonts w:hint="eastAsia" w:ascii="宋体" w:hAnsi="宋体" w:cs="宋体"/>
          <w:b/>
          <w:bCs/>
          <w:color w:val="000000" w:themeColor="text1"/>
          <w:szCs w:val="21"/>
          <w:highlight w:val="none"/>
          <w14:textFill>
            <w14:solidFill>
              <w14:schemeClr w14:val="tx1"/>
            </w14:solidFill>
          </w14:textFill>
        </w:rPr>
        <w:t>广西政府采购云平台</w:t>
      </w:r>
      <w:r>
        <w:rPr>
          <w:rFonts w:hint="eastAsia" w:ascii="宋体" w:hAnsi="宋体" w:cs="宋体"/>
          <w:b/>
          <w:bCs/>
          <w:color w:val="000000" w:themeColor="text1"/>
          <w:highlight w:val="none"/>
          <w14:textFill>
            <w14:solidFill>
              <w14:schemeClr w14:val="tx1"/>
            </w14:solidFill>
          </w14:textFill>
        </w:rPr>
        <w:t>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color w:val="000000" w:themeColor="text1"/>
          <w:highlight w:val="none"/>
          <w14:textFill>
            <w14:solidFill>
              <w14:schemeClr w14:val="tx1"/>
            </w14:solidFill>
          </w14:textFill>
        </w:rPr>
        <w:t> </w:t>
      </w:r>
    </w:p>
    <w:p w14:paraId="3185385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 除响应文件另有规定外，供应商所递交的响应文件不予退还。</w:t>
      </w:r>
    </w:p>
    <w:p w14:paraId="261C7FC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 电子响应文件的相关说明</w:t>
      </w:r>
    </w:p>
    <w:p w14:paraId="50B2166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供应商进行电子投标应安装客户端软件，并按照谈判文件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 </w:t>
      </w:r>
    </w:p>
    <w:p w14:paraId="509ECAE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（2）如有特殊情况，采购代理机构延长响应文件递交截止时间和谈判时间，采购代理机构和供应商的权利和义务将受到新的截止时间和开标时间的约束。</w:t>
      </w:r>
    </w:p>
    <w:p w14:paraId="1BD5E9A9">
      <w:pPr>
        <w:pStyle w:val="4"/>
        <w:jc w:val="center"/>
        <w:rPr>
          <w:rFonts w:hint="eastAsia"/>
          <w:b/>
          <w:bCs w:val="0"/>
          <w:color w:val="000000" w:themeColor="text1"/>
          <w:szCs w:val="28"/>
          <w:highlight w:val="none"/>
          <w14:textFill>
            <w14:solidFill>
              <w14:schemeClr w14:val="tx1"/>
            </w14:solidFill>
          </w14:textFill>
        </w:rPr>
      </w:pPr>
      <w:bookmarkStart w:id="330" w:name="_Toc13867"/>
      <w:bookmarkStart w:id="331" w:name="_Toc13131"/>
      <w:bookmarkStart w:id="332" w:name="_Toc1602"/>
      <w:bookmarkStart w:id="333" w:name="_Toc21771"/>
      <w:bookmarkStart w:id="334" w:name="_Toc20673"/>
      <w:bookmarkStart w:id="335" w:name="_Toc18730"/>
      <w:bookmarkStart w:id="336" w:name="_Toc26917"/>
      <w:bookmarkStart w:id="337" w:name="_Toc22747"/>
      <w:bookmarkStart w:id="338" w:name="_Toc21272"/>
      <w:bookmarkStart w:id="339" w:name="_Toc10288"/>
      <w:bookmarkStart w:id="340" w:name="_Toc16370"/>
      <w:bookmarkStart w:id="341" w:name="_Toc29487"/>
      <w:r>
        <w:rPr>
          <w:rFonts w:hint="eastAsia"/>
          <w:b/>
          <w:bCs w:val="0"/>
          <w:color w:val="000000" w:themeColor="text1"/>
          <w:szCs w:val="28"/>
          <w:highlight w:val="none"/>
          <w14:textFill>
            <w14:solidFill>
              <w14:schemeClr w14:val="tx1"/>
            </w14:solidFill>
          </w14:textFill>
        </w:rPr>
        <w:t>四、竞争性谈判（简称谈判）与评审</w:t>
      </w:r>
      <w:bookmarkEnd w:id="330"/>
      <w:bookmarkEnd w:id="331"/>
      <w:bookmarkEnd w:id="332"/>
      <w:bookmarkEnd w:id="333"/>
      <w:bookmarkEnd w:id="334"/>
      <w:bookmarkEnd w:id="335"/>
      <w:bookmarkEnd w:id="336"/>
      <w:bookmarkEnd w:id="337"/>
      <w:bookmarkEnd w:id="338"/>
      <w:bookmarkEnd w:id="339"/>
      <w:bookmarkEnd w:id="340"/>
      <w:bookmarkEnd w:id="341"/>
    </w:p>
    <w:p w14:paraId="2646506F">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342" w:name="_Toc28716"/>
      <w:bookmarkStart w:id="343" w:name="_Toc18481"/>
      <w:bookmarkStart w:id="344" w:name="_Toc23202"/>
      <w:bookmarkStart w:id="345" w:name="_Toc580"/>
      <w:bookmarkStart w:id="346" w:name="_Toc21940"/>
      <w:bookmarkStart w:id="347" w:name="_Toc32162"/>
      <w:bookmarkStart w:id="348" w:name="_Toc13780"/>
      <w:bookmarkStart w:id="349" w:name="_Toc26009"/>
      <w:bookmarkStart w:id="350" w:name="_Toc1043"/>
      <w:bookmarkStart w:id="351" w:name="_Toc28739"/>
      <w:bookmarkStart w:id="352" w:name="_Toc20471"/>
      <w:bookmarkStart w:id="353" w:name="_Toc22662"/>
      <w:r>
        <w:rPr>
          <w:rFonts w:hint="eastAsia" w:ascii="宋体" w:hAnsi="宋体" w:cs="宋体"/>
          <w:color w:val="000000" w:themeColor="text1"/>
          <w:sz w:val="21"/>
          <w:szCs w:val="21"/>
          <w:highlight w:val="none"/>
          <w14:textFill>
            <w14:solidFill>
              <w14:schemeClr w14:val="tx1"/>
            </w14:solidFill>
          </w14:textFill>
        </w:rPr>
        <w:t>19. 谈判小组组成及谈判时间、地点、人员</w:t>
      </w:r>
      <w:bookmarkEnd w:id="342"/>
      <w:bookmarkEnd w:id="343"/>
      <w:bookmarkEnd w:id="344"/>
      <w:bookmarkEnd w:id="345"/>
      <w:bookmarkEnd w:id="346"/>
      <w:bookmarkEnd w:id="347"/>
      <w:bookmarkEnd w:id="348"/>
      <w:bookmarkEnd w:id="349"/>
      <w:bookmarkEnd w:id="350"/>
      <w:bookmarkEnd w:id="351"/>
      <w:bookmarkEnd w:id="352"/>
      <w:bookmarkEnd w:id="353"/>
    </w:p>
    <w:p w14:paraId="53749607">
      <w:pPr>
        <w:ind w:firstLine="42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19.1 谈判小组组成：</w:t>
      </w:r>
    </w:p>
    <w:p w14:paraId="0CC523D3">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谈判及评审工作由采购代理机构负责组织，具体谈判、评审工作由依法组建的谈判小组负责，谈判小组由采购人代表和有关方面的专家组成。谈判小组的构成：</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3 </w:t>
      </w:r>
      <w:r>
        <w:rPr>
          <w:rFonts w:hint="eastAsia" w:ascii="宋体" w:hAnsi="宋体" w:cs="宋体"/>
          <w:color w:val="000000" w:themeColor="text1"/>
          <w:szCs w:val="21"/>
          <w:highlight w:val="none"/>
          <w14:textFill>
            <w14:solidFill>
              <w14:schemeClr w14:val="tx1"/>
            </w14:solidFill>
          </w14:textFill>
        </w:rPr>
        <w:t>人，其中采购人代表</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1 </w:t>
      </w:r>
      <w:r>
        <w:rPr>
          <w:rFonts w:hint="eastAsia" w:ascii="宋体" w:hAnsi="宋体" w:cs="宋体"/>
          <w:color w:val="000000" w:themeColor="text1"/>
          <w:szCs w:val="21"/>
          <w:highlight w:val="none"/>
          <w14:textFill>
            <w14:solidFill>
              <w14:schemeClr w14:val="tx1"/>
            </w14:solidFill>
          </w14:textFill>
        </w:rPr>
        <w:t>人，</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专家</w:t>
      </w:r>
      <w:r>
        <w:rPr>
          <w:rFonts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人。</w:t>
      </w:r>
    </w:p>
    <w:p w14:paraId="1ED92AF1">
      <w:pPr>
        <w:ind w:firstLine="42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19.2 谈判时间、地点、人员：</w:t>
      </w:r>
    </w:p>
    <w:p w14:paraId="1E116B9E">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r>
        <w:rPr>
          <w:rFonts w:ascii="宋体" w:hAnsi="宋体" w:cs="宋体"/>
          <w:color w:val="000000" w:themeColor="text1"/>
          <w:szCs w:val="21"/>
          <w:highlight w:val="none"/>
          <w14:textFill>
            <w14:solidFill>
              <w14:schemeClr w14:val="tx1"/>
            </w14:solidFill>
          </w14:textFill>
        </w:rPr>
        <w:t xml:space="preserve">.2.1 </w:t>
      </w:r>
      <w:r>
        <w:rPr>
          <w:rFonts w:hint="eastAsia" w:ascii="宋体" w:hAnsi="宋体" w:cs="宋体"/>
          <w:color w:val="000000" w:themeColor="text1"/>
          <w:szCs w:val="21"/>
          <w:highlight w:val="none"/>
          <w14:textFill>
            <w14:solidFill>
              <w14:schemeClr w14:val="tx1"/>
            </w14:solidFill>
          </w14:textFill>
        </w:rPr>
        <w:t>谈判时间：响应文件递交截止时间后。</w:t>
      </w:r>
    </w:p>
    <w:p w14:paraId="779BD541">
      <w:pPr>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r>
        <w:rPr>
          <w:rFonts w:ascii="宋体" w:hAnsi="宋体" w:cs="宋体"/>
          <w:color w:val="000000" w:themeColor="text1"/>
          <w:szCs w:val="21"/>
          <w:highlight w:val="none"/>
          <w14:textFill>
            <w14:solidFill>
              <w14:schemeClr w14:val="tx1"/>
            </w14:solidFill>
          </w14:textFill>
        </w:rPr>
        <w:t xml:space="preserve">.2.2 </w:t>
      </w:r>
      <w:r>
        <w:rPr>
          <w:rFonts w:hint="eastAsia" w:ascii="宋体" w:hAnsi="宋体" w:cs="宋体"/>
          <w:color w:val="000000" w:themeColor="text1"/>
          <w:szCs w:val="21"/>
          <w:highlight w:val="none"/>
          <w14:textFill>
            <w14:solidFill>
              <w14:schemeClr w14:val="tx1"/>
            </w14:solidFill>
          </w14:textFill>
        </w:rPr>
        <w:t>谈判地点：</w:t>
      </w:r>
      <w:r>
        <w:rPr>
          <w:rFonts w:hint="eastAsia" w:ascii="宋体" w:hAnsi="宋体" w:cs="宋体"/>
          <w:b/>
          <w:bCs/>
          <w:color w:val="000000" w:themeColor="text1"/>
          <w:szCs w:val="21"/>
          <w:highlight w:val="none"/>
          <w14:textFill>
            <w14:solidFill>
              <w14:schemeClr w14:val="tx1"/>
            </w14:solidFill>
          </w14:textFill>
        </w:rPr>
        <w:t>通过广西政府采购云平台在线谈判。</w:t>
      </w:r>
    </w:p>
    <w:p w14:paraId="15637E63">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r>
        <w:rPr>
          <w:rFonts w:ascii="宋体" w:hAnsi="宋体" w:cs="宋体"/>
          <w:color w:val="000000" w:themeColor="text1"/>
          <w:szCs w:val="21"/>
          <w:highlight w:val="none"/>
          <w14:textFill>
            <w14:solidFill>
              <w14:schemeClr w14:val="tx1"/>
            </w14:solidFill>
          </w14:textFill>
        </w:rPr>
        <w:t xml:space="preserve">.2.3 </w:t>
      </w:r>
      <w:r>
        <w:rPr>
          <w:rFonts w:hint="eastAsia" w:ascii="宋体" w:hAnsi="宋体" w:cs="宋体"/>
          <w:color w:val="000000" w:themeColor="text1"/>
          <w:szCs w:val="21"/>
          <w:highlight w:val="none"/>
          <w14:textFill>
            <w14:solidFill>
              <w14:schemeClr w14:val="tx1"/>
            </w14:solidFill>
          </w14:textFill>
        </w:rPr>
        <w:t>谈判参加人员：</w:t>
      </w:r>
      <w:r>
        <w:rPr>
          <w:rFonts w:hint="eastAsia" w:ascii="宋体" w:hAnsi="宋体"/>
          <w:color w:val="000000" w:themeColor="text1"/>
          <w:szCs w:val="21"/>
          <w:highlight w:val="none"/>
          <w14:textFill>
            <w14:solidFill>
              <w14:schemeClr w14:val="tx1"/>
            </w14:solidFill>
          </w14:textFill>
        </w:rPr>
        <w:t>供应商法定代表人、负责人、自然人或相应的委托代理人持</w:t>
      </w:r>
      <w:r>
        <w:rPr>
          <w:rFonts w:hint="eastAsia" w:ascii="宋体" w:hAnsi="宋体"/>
          <w:color w:val="000000" w:themeColor="text1"/>
          <w:szCs w:val="21"/>
          <w:highlight w:val="none"/>
          <w:u w:val="single"/>
          <w14:textFill>
            <w14:solidFill>
              <w14:schemeClr w14:val="tx1"/>
            </w14:solidFill>
          </w14:textFill>
        </w:rPr>
        <w:t>有效身份证原</w:t>
      </w:r>
      <w:r>
        <w:rPr>
          <w:rFonts w:hint="eastAsia" w:ascii="宋体" w:hAnsi="宋体"/>
          <w:color w:val="000000" w:themeColor="text1"/>
          <w:szCs w:val="21"/>
          <w:highlight w:val="none"/>
          <w14:textFill>
            <w14:solidFill>
              <w14:schemeClr w14:val="tx1"/>
            </w14:solidFill>
          </w14:textFill>
        </w:rPr>
        <w:t>件和</w:t>
      </w:r>
      <w:r>
        <w:rPr>
          <w:rFonts w:hint="eastAsia" w:ascii="宋体" w:hAnsi="宋体"/>
          <w:color w:val="000000" w:themeColor="text1"/>
          <w:szCs w:val="21"/>
          <w:highlight w:val="none"/>
          <w:u w:val="single"/>
          <w14:textFill>
            <w14:solidFill>
              <w14:schemeClr w14:val="tx1"/>
            </w14:solidFill>
          </w14:textFill>
        </w:rPr>
        <w:t>供应商广西政府采购云平台CA数字证书</w:t>
      </w:r>
      <w:r>
        <w:rPr>
          <w:rFonts w:hint="eastAsia" w:ascii="宋体" w:hAnsi="宋体"/>
          <w:color w:val="000000" w:themeColor="text1"/>
          <w:szCs w:val="21"/>
          <w:highlight w:val="none"/>
          <w14:textFill>
            <w14:solidFill>
              <w14:schemeClr w14:val="tx1"/>
            </w14:solidFill>
          </w14:textFill>
        </w:rPr>
        <w:t>参加谈判。请供应商及时</w:t>
      </w:r>
      <w:r>
        <w:rPr>
          <w:rFonts w:hint="eastAsia" w:ascii="宋体" w:hAnsi="宋体"/>
          <w:color w:val="000000" w:themeColor="text1"/>
          <w:szCs w:val="21"/>
          <w:highlight w:val="none"/>
          <w:lang w:eastAsia="zh-CN"/>
          <w14:textFill>
            <w14:solidFill>
              <w14:schemeClr w14:val="tx1"/>
            </w14:solidFill>
          </w14:textFill>
        </w:rPr>
        <w:t>登录</w:t>
      </w:r>
      <w:r>
        <w:rPr>
          <w:rFonts w:hint="eastAsia" w:ascii="宋体" w:hAnsi="宋体"/>
          <w:color w:val="000000" w:themeColor="text1"/>
          <w:szCs w:val="21"/>
          <w:highlight w:val="none"/>
          <w14:textFill>
            <w14:solidFill>
              <w14:schemeClr w14:val="tx1"/>
            </w14:solidFill>
          </w14:textFill>
        </w:rPr>
        <w:t>广西政府采购云平台等候谈判</w:t>
      </w:r>
      <w:r>
        <w:rPr>
          <w:rFonts w:hint="eastAsia" w:ascii="宋体" w:hAnsi="宋体" w:cs="宋体"/>
          <w:color w:val="000000" w:themeColor="text1"/>
          <w:szCs w:val="21"/>
          <w:highlight w:val="none"/>
          <w14:textFill>
            <w14:solidFill>
              <w14:schemeClr w14:val="tx1"/>
            </w14:solidFill>
          </w14:textFill>
        </w:rPr>
        <w:t>。</w:t>
      </w:r>
    </w:p>
    <w:p w14:paraId="301ECE8E">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r>
        <w:rPr>
          <w:rFonts w:ascii="宋体" w:hAnsi="宋体" w:cs="宋体"/>
          <w:color w:val="000000" w:themeColor="text1"/>
          <w:szCs w:val="21"/>
          <w:highlight w:val="none"/>
          <w14:textFill>
            <w14:solidFill>
              <w14:schemeClr w14:val="tx1"/>
            </w14:solidFill>
          </w14:textFill>
        </w:rPr>
        <w:t xml:space="preserve">.2.4 </w:t>
      </w:r>
      <w:r>
        <w:rPr>
          <w:rFonts w:hint="eastAsia" w:ascii="宋体" w:hAnsi="宋体" w:cs="宋体"/>
          <w:color w:val="000000" w:themeColor="text1"/>
          <w:szCs w:val="21"/>
          <w:highlight w:val="none"/>
          <w14:textFill>
            <w14:solidFill>
              <w14:schemeClr w14:val="tx1"/>
            </w14:solidFill>
          </w14:textFill>
        </w:rPr>
        <w:t>响应文件递交截止时间后，由谈判小组在评标室内开启响应文件。</w:t>
      </w:r>
      <w:r>
        <w:rPr>
          <w:rFonts w:ascii="宋体" w:hAnsi="宋体" w:cs="宋体"/>
          <w:color w:val="000000" w:themeColor="text1"/>
          <w:szCs w:val="21"/>
          <w:highlight w:val="none"/>
          <w14:textFill>
            <w14:solidFill>
              <w14:schemeClr w14:val="tx1"/>
            </w14:solidFill>
          </w14:textFill>
        </w:rPr>
        <w:t xml:space="preserve">  </w:t>
      </w:r>
    </w:p>
    <w:p w14:paraId="28707423">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354" w:name="_Toc23784"/>
      <w:bookmarkStart w:id="355" w:name="_Toc22686"/>
      <w:bookmarkStart w:id="356" w:name="_Toc21001"/>
      <w:bookmarkStart w:id="357" w:name="_Toc10604"/>
      <w:bookmarkStart w:id="358" w:name="_Toc21172"/>
      <w:bookmarkStart w:id="359" w:name="_Toc3727"/>
      <w:bookmarkStart w:id="360" w:name="_Toc27806"/>
      <w:bookmarkStart w:id="361" w:name="_Toc5902"/>
      <w:bookmarkStart w:id="362" w:name="_Toc20293"/>
      <w:bookmarkStart w:id="363" w:name="_Toc2224"/>
      <w:bookmarkStart w:id="364" w:name="_Toc30892"/>
      <w:bookmarkStart w:id="365" w:name="_Toc3666"/>
      <w:r>
        <w:rPr>
          <w:rFonts w:hint="eastAsia" w:ascii="宋体" w:hAnsi="宋体" w:cs="宋体"/>
          <w:color w:val="000000" w:themeColor="text1"/>
          <w:sz w:val="21"/>
          <w:szCs w:val="21"/>
          <w:highlight w:val="none"/>
          <w14:textFill>
            <w14:solidFill>
              <w14:schemeClr w14:val="tx1"/>
            </w14:solidFill>
          </w14:textFill>
        </w:rPr>
        <w:t>20. 评审原则</w:t>
      </w:r>
      <w:bookmarkEnd w:id="354"/>
      <w:bookmarkEnd w:id="355"/>
      <w:bookmarkEnd w:id="356"/>
      <w:bookmarkEnd w:id="357"/>
      <w:bookmarkEnd w:id="358"/>
      <w:bookmarkEnd w:id="359"/>
      <w:bookmarkEnd w:id="360"/>
      <w:bookmarkEnd w:id="361"/>
      <w:bookmarkEnd w:id="362"/>
      <w:bookmarkEnd w:id="363"/>
      <w:bookmarkEnd w:id="364"/>
      <w:bookmarkEnd w:id="365"/>
    </w:p>
    <w:p w14:paraId="04129CD9">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w:t>
      </w:r>
      <w:r>
        <w:rPr>
          <w:rFonts w:ascii="宋体" w:hAnsi="宋体" w:cs="宋体"/>
          <w:color w:val="000000" w:themeColor="text1"/>
          <w:szCs w:val="21"/>
          <w:highlight w:val="none"/>
          <w14:textFill>
            <w14:solidFill>
              <w14:schemeClr w14:val="tx1"/>
            </w14:solidFill>
          </w14:textFill>
        </w:rPr>
        <w:t xml:space="preserve">.1 </w:t>
      </w:r>
      <w:r>
        <w:rPr>
          <w:rFonts w:hint="eastAsia" w:ascii="宋体" w:hAnsi="宋体" w:cs="宋体"/>
          <w:color w:val="000000" w:themeColor="text1"/>
          <w:szCs w:val="21"/>
          <w:highlight w:val="none"/>
          <w14:textFill>
            <w14:solidFill>
              <w14:schemeClr w14:val="tx1"/>
            </w14:solidFill>
          </w14:textFill>
        </w:rPr>
        <w:t>谈判小组必须坚持公平、公正、科学和择优的原则。</w:t>
      </w:r>
    </w:p>
    <w:p w14:paraId="769CFD9E">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w:t>
      </w:r>
      <w:r>
        <w:rPr>
          <w:rFonts w:ascii="宋体" w:hAnsi="宋体" w:cs="宋体"/>
          <w:color w:val="000000" w:themeColor="text1"/>
          <w:szCs w:val="21"/>
          <w:highlight w:val="non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评审办法：具体详见第四章评审办法。</w:t>
      </w:r>
    </w:p>
    <w:p w14:paraId="22922FF6">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w:t>
      </w:r>
      <w:r>
        <w:rPr>
          <w:rFonts w:ascii="宋体" w:hAnsi="宋体" w:cs="宋体"/>
          <w:color w:val="000000" w:themeColor="text1"/>
          <w:szCs w:val="21"/>
          <w:highlight w:val="none"/>
          <w14:textFill>
            <w14:solidFill>
              <w14:schemeClr w14:val="tx1"/>
            </w14:solidFill>
          </w14:textFill>
        </w:rPr>
        <w:t xml:space="preserve">.3 </w:t>
      </w:r>
      <w:r>
        <w:rPr>
          <w:rFonts w:hint="eastAsia" w:ascii="宋体" w:hAnsi="宋体" w:cs="宋体"/>
          <w:color w:val="000000" w:themeColor="text1"/>
          <w:szCs w:val="21"/>
          <w:highlight w:val="none"/>
          <w14:textFill>
            <w14:solidFill>
              <w14:schemeClr w14:val="tx1"/>
            </w14:solidFill>
          </w14:textFill>
        </w:rPr>
        <w:t>谈判小组应按谈判文件进行评审，不得擅自更改评审办法。</w:t>
      </w:r>
    </w:p>
    <w:p w14:paraId="3BA60DBE">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w:t>
      </w:r>
      <w:r>
        <w:rPr>
          <w:rFonts w:ascii="宋体" w:hAnsi="宋体" w:cs="宋体"/>
          <w:color w:val="000000" w:themeColor="text1"/>
          <w:szCs w:val="21"/>
          <w:highlight w:val="none"/>
          <w14:textFill>
            <w14:solidFill>
              <w14:schemeClr w14:val="tx1"/>
            </w14:solidFill>
          </w14:textFill>
        </w:rPr>
        <w:t xml:space="preserve">.4 </w:t>
      </w:r>
      <w:r>
        <w:rPr>
          <w:rFonts w:hint="eastAsia" w:ascii="宋体" w:hAnsi="宋体" w:cs="宋体"/>
          <w:color w:val="000000" w:themeColor="text1"/>
          <w:szCs w:val="21"/>
          <w:highlight w:val="none"/>
          <w14:textFill>
            <w14:solidFill>
              <w14:schemeClr w14:val="tx1"/>
            </w14:solidFill>
          </w14:textFill>
        </w:rPr>
        <w:t>在评审过程中，谈判小组任何人不得对某个供应商发表任何倾向性意见，不得向其他谈判小组成员明示或者暗示自己的评审意见。</w:t>
      </w:r>
    </w:p>
    <w:p w14:paraId="134B200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w:t>
      </w:r>
      <w:r>
        <w:rPr>
          <w:rFonts w:ascii="宋体" w:hAnsi="宋体" w:cs="宋体"/>
          <w:color w:val="000000" w:themeColor="text1"/>
          <w:szCs w:val="21"/>
          <w:highlight w:val="none"/>
          <w14:textFill>
            <w14:solidFill>
              <w14:schemeClr w14:val="tx1"/>
            </w14:solidFill>
          </w14:textFill>
        </w:rPr>
        <w:t xml:space="preserve">.5 </w:t>
      </w:r>
      <w:r>
        <w:rPr>
          <w:rFonts w:hint="eastAsia" w:ascii="宋体" w:hAnsi="宋体" w:cs="宋体"/>
          <w:color w:val="000000" w:themeColor="text1"/>
          <w:szCs w:val="21"/>
          <w:highlight w:val="none"/>
          <w14:textFill>
            <w14:solidFill>
              <w14:schemeClr w14:val="tx1"/>
            </w14:solidFill>
          </w14:textFill>
        </w:rPr>
        <w:t>谈判小组成员对需要共同认定的事项存在争议的，按照少数服从多数的原则作出结论。持不　　　　　　　　　　　　　　　　　　　　　　　　　　　　　　　　　　　　　　　　　　　　　　　　　　　　　　　　　　　　　同意见的谈判小组成员应当在评审报告上签署不同意见并说明理由，否则视为同意。</w:t>
      </w:r>
    </w:p>
    <w:p w14:paraId="6E23345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20.6 响应文件最后报价出现前后不一致的，除竞争性谈判文件另有规定外，按照下列规定修正：</w:t>
      </w:r>
    </w:p>
    <w:p w14:paraId="3CB81C9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响应文件中谈判报价表内容与响应文件中相应内容不一致的，以最后谈判报价表为准；</w:t>
      </w:r>
    </w:p>
    <w:p w14:paraId="49B467E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大写金额和小写金额不一致的，以大写金额为准；</w:t>
      </w:r>
    </w:p>
    <w:p w14:paraId="4D909F1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单价金额小数点或者百分比有明显错位的，以报价表的总价为准，并修改单价；</w:t>
      </w:r>
    </w:p>
    <w:p w14:paraId="547A00E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总价金额与按单价汇总金额不一致的，以单价金额计算结果为准。</w:t>
      </w:r>
    </w:p>
    <w:p w14:paraId="71D22D2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同时出现两种以上不一致的，按照前款规定的顺序修正。修正后的报价（不得超出响应文件的范围或者改变响应文件的实质性内容）经供应商确认后产生约束力，供应商不确认的，作无效响应处理。</w:t>
      </w:r>
    </w:p>
    <w:p w14:paraId="78F4BC0D">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366" w:name="_Toc467"/>
      <w:bookmarkStart w:id="367" w:name="_Toc28877"/>
      <w:bookmarkStart w:id="368" w:name="_Toc9027"/>
      <w:bookmarkStart w:id="369" w:name="_Toc2476"/>
      <w:bookmarkStart w:id="370" w:name="_Toc8174"/>
      <w:bookmarkStart w:id="371" w:name="_Toc21440"/>
      <w:bookmarkStart w:id="372" w:name="_Toc6023"/>
      <w:bookmarkStart w:id="373" w:name="_Toc26302"/>
      <w:bookmarkStart w:id="374" w:name="_Toc17711"/>
      <w:bookmarkStart w:id="375" w:name="_Toc26391"/>
      <w:bookmarkStart w:id="376" w:name="_Toc9409"/>
      <w:bookmarkStart w:id="377" w:name="_Toc32552"/>
      <w:r>
        <w:rPr>
          <w:rFonts w:hint="eastAsia" w:ascii="宋体" w:hAnsi="宋体" w:cs="宋体"/>
          <w:color w:val="000000" w:themeColor="text1"/>
          <w:sz w:val="21"/>
          <w:szCs w:val="21"/>
          <w:highlight w:val="none"/>
          <w14:textFill>
            <w14:solidFill>
              <w14:schemeClr w14:val="tx1"/>
            </w14:solidFill>
          </w14:textFill>
        </w:rPr>
        <w:t>21. 评审程序及谈判要求</w:t>
      </w:r>
      <w:bookmarkEnd w:id="366"/>
      <w:bookmarkEnd w:id="367"/>
      <w:bookmarkEnd w:id="368"/>
      <w:bookmarkEnd w:id="369"/>
      <w:bookmarkEnd w:id="370"/>
      <w:bookmarkEnd w:id="371"/>
      <w:bookmarkEnd w:id="372"/>
      <w:bookmarkEnd w:id="373"/>
      <w:bookmarkEnd w:id="374"/>
      <w:bookmarkEnd w:id="375"/>
      <w:bookmarkEnd w:id="376"/>
      <w:bookmarkEnd w:id="377"/>
    </w:p>
    <w:p w14:paraId="75A453B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谈判小组成员的通讯工具或相关电子设备交由桂林市公共资源交易中心统一保管后到达评标室，采购 </w:t>
      </w:r>
    </w:p>
    <w:p w14:paraId="7B7772D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代理机构核实谈判小组成员身份，告知回避要求，宣布评审工作纪律和程序，推选谈判小组组长。</w:t>
      </w:r>
    </w:p>
    <w:p w14:paraId="10FBE5FE">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谈判小组应当对发布公告的竞争性谈判文件（简称谈判文件）进行确认，审查供应商的响应文件并作出评价；要求供应商解释或者澄清其响应文件；编写评审报告；告知采购人、采购代理机构在评审过程中发现的供应商的违法违规行为。</w:t>
      </w:r>
    </w:p>
    <w:p w14:paraId="5D79775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21.3 谈判小组依据竞争性谈判文件的规定，首先对响应文件进行资格性审查，以确定供应商是否具备本项 </w:t>
      </w:r>
    </w:p>
    <w:p w14:paraId="596A5546">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目供应商资格；再对通过资格性审查的供应商响应文件的有效性、完整性和对谈判文件的响应程度进行符合性 </w:t>
      </w:r>
    </w:p>
    <w:p w14:paraId="7C440A1A">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审查，以确定是否对谈判文件的实质性要求做出响应。 </w:t>
      </w:r>
    </w:p>
    <w:p w14:paraId="171CB765">
      <w:pPr>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21.4 谈判小组在对供应商进行资格性审查时，将对供应商企业股东及出资等信息进行查询。根据《中华人民共和国政府采购法实施条例》 第十八条第一款规定 ， 审查中如发现供应商存在单位负责人为同一人或者存在直接控股、管理关系的不同供应商参加同一合同项下的政府采购活动的，按响应文件无效处理 。</w:t>
      </w:r>
    </w:p>
    <w:p w14:paraId="28958F0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21.4.1 查询渠道：《国家企业信用信息公示系统》（网址：www.gsxt.gov.cn/index.html）</w:t>
      </w:r>
    </w:p>
    <w:p w14:paraId="6DB647F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21.4.2 审查流程：</w:t>
      </w:r>
    </w:p>
    <w:p w14:paraId="0A81205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（1）进入《国家企业信用信息公示系统》（网址：www.gsxt.gov.cn/index.html），输入企业名称，进入企业信息主页面；</w:t>
      </w:r>
    </w:p>
    <w:p w14:paraId="1DB45F8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（2）查看主页“股东及出资信息”栏，或年报中的“股东及出资信息”栏信息；</w:t>
      </w:r>
    </w:p>
    <w:p w14:paraId="7CA8810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（3）将各供应商的股东及出资信息进行比对，得出审查结论；</w:t>
      </w:r>
    </w:p>
    <w:p w14:paraId="26CC3C2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（4）将相关资料作为评审资料打印存档。</w:t>
      </w:r>
    </w:p>
    <w:p w14:paraId="351BA1D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21.5 谈判小组如发现供应商提供的证明文件不齐全或不符合规定格式的，应一次性告知供应商，供应商应在规定的时间内当场补正或更正。</w:t>
      </w:r>
    </w:p>
    <w:p w14:paraId="5B335E9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21.6 谈判小组在对响应文件的有效性、完整性和响应程度进行审查时，可以要求供应商对响应文件中含义 </w:t>
      </w:r>
    </w:p>
    <w:p w14:paraId="4555EEE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不明确、同类问题表述不一致或者有明显文字和计算错误的内容等作出必要的澄清、说明或者更正。供应商的 </w:t>
      </w:r>
    </w:p>
    <w:p w14:paraId="54BF037C">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澄清、说明或者更正不得超出响应文件的范围或者改变响应文件的实质性内容。澄清、说明或者更正应由其法 </w:t>
      </w:r>
    </w:p>
    <w:p w14:paraId="2C49760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定代表人或相应的授权委托代表签字或者加盖供应商CA签章。由授权委托代表签字的，应当附授权委托书。 </w:t>
      </w:r>
    </w:p>
    <w:p w14:paraId="5E746B9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根据谈判文件规定的程序、评定成交的标准等事项与实质性响应竞争性谈判文件要求的供应商进行谈判。 </w:t>
      </w:r>
    </w:p>
    <w:p w14:paraId="0D56B3A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未实质性响应谈判文件的响应文件按无效处理，谈判小组应当告知有关供应商。 </w:t>
      </w:r>
    </w:p>
    <w:p w14:paraId="6F17198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谈判小组所有成员应当按已确定的谈判顺序集中与单一供应商分别进行谈判，并给予所有实质性响应竞争 </w:t>
      </w:r>
    </w:p>
    <w:p w14:paraId="2196852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性谈判文件要求的供应商平等的谈判机会。 </w:t>
      </w:r>
    </w:p>
    <w:p w14:paraId="7D2ED38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谈判中，谈判小组不得透露与谈判有关的其他供应商的技术资料、价格和其他信息。 </w:t>
      </w:r>
    </w:p>
    <w:p w14:paraId="15E89FE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谈判小组对谈判过程和重要谈判内容进行记录，谈判双方在记录上签字确认。 </w:t>
      </w:r>
    </w:p>
    <w:p w14:paraId="04A118DC">
      <w:pPr>
        <w:spacing w:line="360" w:lineRule="auto"/>
        <w:ind w:firstLine="420"/>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21.7当谈判小组一致确定供应商的竞争性谈判响应文件符合竞争性谈判文件要求，无需再谈判的，谈判小组按竞争性谈判文件设定的21.11、21.16程序和评</w:t>
      </w:r>
      <w:r>
        <w:rPr>
          <w:rFonts w:hint="eastAsia" w:ascii="宋体" w:hAnsi="宋体" w:cs="宋体"/>
          <w:color w:val="000000" w:themeColor="text1"/>
          <w:szCs w:val="21"/>
          <w:highlight w:val="none"/>
          <w:lang w:eastAsia="zh-CN"/>
          <w14:textFill>
            <w14:solidFill>
              <w14:schemeClr w14:val="tx1"/>
            </w14:solidFill>
          </w14:textFill>
        </w:rPr>
        <w:t>审</w:t>
      </w:r>
      <w:r>
        <w:rPr>
          <w:rFonts w:hint="eastAsia" w:ascii="宋体" w:hAnsi="宋体" w:cs="宋体"/>
          <w:color w:val="000000" w:themeColor="text1"/>
          <w:szCs w:val="21"/>
          <w:highlight w:val="none"/>
          <w14:textFill>
            <w14:solidFill>
              <w14:schemeClr w14:val="tx1"/>
            </w14:solidFill>
          </w14:textFill>
        </w:rPr>
        <w:t>方法确定成交候选人。第一轮谈判后竞争性谈判文件有实质性变动或仍需谈判的，谈判小组对竞争性谈判文件变动或提出谈判意见后进行第二轮谈判。</w:t>
      </w:r>
    </w:p>
    <w:p w14:paraId="4E98EE8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21.8 在谈判过程中，谈判小组可以根据谈判文件和谈判情况实质性变动项目需求中的技术、服务要求以及 </w:t>
      </w:r>
    </w:p>
    <w:p w14:paraId="04AA7DE6">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合同草案条款，但不得变动谈判文件中的其他内容。实质性变动的内容，须经采购人代表确认。 </w:t>
      </w:r>
    </w:p>
    <w:p w14:paraId="27E631A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对谈判文件作出的实质性变动是谈判文件的有效组成部分，谈判小组应当及时同时通知所有参加谈判的供应商。 </w:t>
      </w:r>
    </w:p>
    <w:p w14:paraId="6A956FB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供应商应当按照谈判文件的变动情况和谈判小组的要求重新提交响应文件，并由其法定代表人或相应的授 </w:t>
      </w:r>
    </w:p>
    <w:p w14:paraId="3E52321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权委托代表签字或者加盖供应商CA签章。逾期不交的，视同放弃谈判。 </w:t>
      </w:r>
    </w:p>
    <w:p w14:paraId="5EEECA5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21.9 第二轮谈判</w:t>
      </w:r>
    </w:p>
    <w:p w14:paraId="182D754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谈判小组集中就重新提交的响应文件或谈判小组提出的谈判意见与单一响应供应商分别进行谈判。谈判小组对谈判过程和重要谈判内容进行记录，谈判双方在记录上签字确认。</w:t>
      </w:r>
    </w:p>
    <w:p w14:paraId="025888C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谈判后，供应商根据谈判小组统一整理的书面谈判记录要求做出书面承诺，并由其法定代表人(负责人)或授权代表签字或者加盖CA签章后按时在线递交。</w:t>
      </w:r>
    </w:p>
    <w:p w14:paraId="24F3C3CE">
      <w:pPr>
        <w:spacing w:line="360" w:lineRule="auto"/>
        <w:ind w:firstLine="420"/>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当谈判小组一致确定供应商的竞争性谈判响应文件符合竞争性谈判文件要求，无需再谈判的，谈判小组按竞争性谈判文件设定的21.11、21.16程序和评</w:t>
      </w:r>
      <w:r>
        <w:rPr>
          <w:rFonts w:hint="eastAsia" w:ascii="宋体" w:hAnsi="宋体" w:cs="宋体"/>
          <w:color w:val="000000" w:themeColor="text1"/>
          <w:szCs w:val="21"/>
          <w:highlight w:val="none"/>
          <w:lang w:eastAsia="zh-CN"/>
          <w14:textFill>
            <w14:solidFill>
              <w14:schemeClr w14:val="tx1"/>
            </w14:solidFill>
          </w14:textFill>
        </w:rPr>
        <w:t>审</w:t>
      </w:r>
      <w:r>
        <w:rPr>
          <w:rFonts w:hint="eastAsia" w:ascii="宋体" w:hAnsi="宋体" w:cs="宋体"/>
          <w:color w:val="000000" w:themeColor="text1"/>
          <w:szCs w:val="21"/>
          <w:highlight w:val="none"/>
          <w14:textFill>
            <w14:solidFill>
              <w14:schemeClr w14:val="tx1"/>
            </w14:solidFill>
          </w14:textFill>
        </w:rPr>
        <w:t>方法确定成交候选人。第二轮谈判后竞争性谈判文件仍有实质性变动的或仍需谈判的，谈判小组对竞争性谈判文件变动或提出谈判意见后进行第三轮谈判。以此类推。</w:t>
      </w:r>
    </w:p>
    <w:p w14:paraId="68B82D0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21.10 在采购过程中符合竞争要求的供应商或者报价未超过采购预算的供应商不足 3 家的，采购人或者采购代理机构应当终止竞争性谈判采购活动。 </w:t>
      </w:r>
    </w:p>
    <w:p w14:paraId="70128C2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21.11 最后报价 </w:t>
      </w:r>
    </w:p>
    <w:p w14:paraId="7D02F8E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21.11.1 谈判文件能够详细列明采购标的的技术、服务要求的，谈判结束后，谈判小组应当要求所有继续参加谈判的供应商在规定时间内在线提交最后报价，提交最后报价的供应商不得少于 3 家。 </w:t>
      </w:r>
    </w:p>
    <w:p w14:paraId="2FE6A5C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21.11.2 谈判文件不能详细列明采购标的的技术、服务要求的，需由谈判供应商提供最终设计方案或解决方案的，谈判结束后，谈判小组应当按照少数服从多数的原则投票推荐 3 家以上（含 3 家）供应商的设计方案或者解决方案，并要求其在规定时间内在线提交最后报价。 </w:t>
      </w:r>
    </w:p>
    <w:p w14:paraId="4EB36F3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21.11.3 最后报价是供应商响应文件的有效组成部分。 </w:t>
      </w:r>
    </w:p>
    <w:p w14:paraId="5542D18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21.12 已提交响应文件的供应商，在提交最后报价之前，可以根据谈判情况退出谈判。 </w:t>
      </w:r>
    </w:p>
    <w:p w14:paraId="180851A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退出谈判的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369BD10F">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auto"/>
        <w:ind w:left="0" w:right="0" w:firstLine="420"/>
        <w:jc w:val="both"/>
        <w:rPr>
          <w:rFonts w:hint="eastAsia" w:ascii="宋体" w:hAnsi="宋体" w:eastAsia="宋体" w:cs="宋体"/>
          <w:b/>
          <w:bCs w:val="0"/>
          <w:i w:val="0"/>
          <w:iCs w:val="0"/>
          <w:caps w:val="0"/>
          <w:color w:val="000000" w:themeColor="text1"/>
          <w:spacing w:val="0"/>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21.13</w:t>
      </w:r>
      <w:r>
        <w:rPr>
          <w:rFonts w:hint="eastAsia" w:ascii="宋体" w:hAnsi="宋体" w:cs="宋体"/>
          <w:b/>
          <w:color w:val="000000" w:themeColor="text1"/>
          <w:sz w:val="21"/>
          <w:szCs w:val="21"/>
          <w:highlight w:val="none"/>
          <w:shd w:val="clear" w:color="auto" w:fill="FFFFFF"/>
          <w14:textFill>
            <w14:solidFill>
              <w14:schemeClr w14:val="tx1"/>
            </w14:solidFill>
          </w14:textFill>
        </w:rPr>
        <w:t>根据</w:t>
      </w:r>
      <w:r>
        <w:rPr>
          <w:rFonts w:ascii="宋体" w:hAnsi="宋体"/>
          <w:b/>
          <w:bCs/>
          <w:color w:val="000000" w:themeColor="text1"/>
          <w:sz w:val="21"/>
          <w:szCs w:val="21"/>
          <w:highlight w:val="none"/>
          <w:shd w:val="clear" w:color="auto" w:fill="FFFFFF"/>
          <w14:textFill>
            <w14:solidFill>
              <w14:schemeClr w14:val="tx1"/>
            </w14:solidFill>
          </w14:textFill>
        </w:rPr>
        <w:t>《</w:t>
      </w:r>
      <w:r>
        <w:rPr>
          <w:rFonts w:hint="eastAsia" w:ascii="宋体" w:hAnsi="宋体" w:cs="宋体"/>
          <w:b/>
          <w:color w:val="000000" w:themeColor="text1"/>
          <w:sz w:val="21"/>
          <w:szCs w:val="21"/>
          <w:highlight w:val="none"/>
          <w:shd w:val="clear" w:color="auto" w:fill="FFFFFF"/>
          <w14:textFill>
            <w14:solidFill>
              <w14:schemeClr w14:val="tx1"/>
            </w14:solidFill>
          </w14:textFill>
        </w:rPr>
        <w:t>关于推动解决政府采购异常低价问题的通知</w:t>
      </w:r>
      <w:r>
        <w:rPr>
          <w:rFonts w:ascii="宋体" w:hAnsi="宋体"/>
          <w:b/>
          <w:bCs/>
          <w:color w:val="000000" w:themeColor="text1"/>
          <w:sz w:val="21"/>
          <w:szCs w:val="21"/>
          <w:highlight w:val="none"/>
          <w:shd w:val="clear" w:color="auto" w:fill="FFFFFF"/>
          <w14:textFill>
            <w14:solidFill>
              <w14:schemeClr w14:val="tx1"/>
            </w14:solidFill>
          </w14:textFill>
        </w:rPr>
        <w:t>》</w:t>
      </w:r>
      <w:r>
        <w:rPr>
          <w:rFonts w:hint="eastAsia" w:ascii="宋体" w:hAnsi="宋体"/>
          <w:b/>
          <w:bCs/>
          <w:color w:val="000000" w:themeColor="text1"/>
          <w:sz w:val="21"/>
          <w:szCs w:val="21"/>
          <w:highlight w:val="none"/>
          <w:shd w:val="clear" w:color="auto" w:fill="FFFFFF"/>
          <w:lang w:eastAsia="zh-CN"/>
          <w14:textFill>
            <w14:solidFill>
              <w14:schemeClr w14:val="tx1"/>
            </w14:solidFill>
          </w14:textFill>
        </w:rPr>
        <w:t>（</w:t>
      </w:r>
      <w:r>
        <w:rPr>
          <w:rFonts w:ascii="宋体" w:hAnsi="宋体"/>
          <w:b/>
          <w:bCs/>
          <w:color w:val="000000" w:themeColor="text1"/>
          <w:sz w:val="21"/>
          <w:szCs w:val="21"/>
          <w:highlight w:val="none"/>
          <w:shd w:val="clear" w:color="auto" w:fill="FFFFFF"/>
          <w14:textFill>
            <w14:solidFill>
              <w14:schemeClr w14:val="tx1"/>
            </w14:solidFill>
          </w14:textFill>
        </w:rPr>
        <w:t>财库〔2026〕2号</w:t>
      </w:r>
      <w:r>
        <w:rPr>
          <w:rFonts w:hint="eastAsia" w:ascii="宋体" w:hAnsi="宋体"/>
          <w:b/>
          <w:bCs/>
          <w:color w:val="000000" w:themeColor="text1"/>
          <w:sz w:val="21"/>
          <w:szCs w:val="21"/>
          <w:highlight w:val="none"/>
          <w:shd w:val="clear" w:color="auto" w:fill="FFFFFF"/>
          <w:lang w:eastAsia="zh-CN"/>
          <w14:textFill>
            <w14:solidFill>
              <w14:schemeClr w14:val="tx1"/>
            </w14:solidFill>
          </w14:textFill>
        </w:rPr>
        <w:t>）规定</w:t>
      </w:r>
      <w:r>
        <w:rPr>
          <w:rFonts w:hint="eastAsia" w:ascii="宋体" w:hAnsi="宋体" w:cs="Calibri"/>
          <w:b/>
          <w:bCs w:val="0"/>
          <w:color w:val="000000" w:themeColor="text1"/>
          <w:sz w:val="21"/>
          <w:szCs w:val="21"/>
          <w:highlight w:val="none"/>
          <w14:textFill>
            <w14:solidFill>
              <w14:schemeClr w14:val="tx1"/>
            </w14:solidFill>
          </w14:textFill>
        </w:rPr>
        <w:t>，</w:t>
      </w:r>
      <w:r>
        <w:rPr>
          <w:rFonts w:hint="eastAsia" w:ascii="宋体" w:hAnsi="宋体" w:eastAsia="宋体" w:cs="宋体"/>
          <w:b/>
          <w:bCs w:val="0"/>
          <w:i w:val="0"/>
          <w:iCs w:val="0"/>
          <w:caps w:val="0"/>
          <w:color w:val="000000" w:themeColor="text1"/>
          <w:spacing w:val="0"/>
          <w:sz w:val="21"/>
          <w:szCs w:val="21"/>
          <w:highlight w:val="none"/>
          <w:shd w:val="clear" w:color="auto" w:fill="FFFFFF"/>
          <w14:textFill>
            <w14:solidFill>
              <w14:schemeClr w14:val="tx1"/>
            </w14:solidFill>
          </w14:textFill>
        </w:rPr>
        <w:t>政府采购评审中出现下列情形之一的，评审委员会应当启动异常低价投标（响应）审查程序： </w:t>
      </w:r>
    </w:p>
    <w:p w14:paraId="39944EF0">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　</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 xml:space="preserve"> </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1</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投标（响应）报价低于全部通过符合性审查供应商投标（响应）报价平均值50%的，即投标（响应）报价&lt;全部通过符合性审查供应商投标（响应）报价平均值</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50%； </w:t>
      </w:r>
    </w:p>
    <w:p w14:paraId="6E4E40F6">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　</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 xml:space="preserve"> </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2</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投标（响应）报价低于通过符合性审查的次低报价供应商投标（响应）报价50%的，即投标（响应）报价&lt;通过符合性审查的次低报价供应商投标（响应）报价</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50%； </w:t>
      </w:r>
    </w:p>
    <w:p w14:paraId="7577DF11">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　</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 xml:space="preserve"> </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3</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投标（响应）报价低于采购项目最高限价45%的，即投标（响应）报价&lt;采购项目最高限价</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45%； </w:t>
      </w:r>
    </w:p>
    <w:p w14:paraId="1770CDBF">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　　</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4</w:t>
      </w:r>
      <w:r>
        <w:rPr>
          <w:rFonts w:hint="eastAsia"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评审委员会基于专业判断，认为供应商报价过低，有可能影响产品质量或者不能诚信履约的其他情形。 </w:t>
      </w:r>
    </w:p>
    <w:p w14:paraId="2F71EFEA">
      <w:pPr>
        <w:spacing w:line="360" w:lineRule="auto"/>
        <w:ind w:firstLine="420"/>
        <w:jc w:val="left"/>
        <w:rPr>
          <w:rFonts w:hint="eastAsia"/>
          <w:color w:val="000000" w:themeColor="text1"/>
          <w:highlight w:val="none"/>
          <w14:textFill>
            <w14:solidFill>
              <w14:schemeClr w14:val="tx1"/>
            </w14:solidFill>
          </w14:textFill>
        </w:rPr>
      </w:pPr>
      <w:bookmarkStart w:id="378" w:name="_Toc13532"/>
      <w:r>
        <w:rPr>
          <w:rFonts w:hint="eastAsia"/>
          <w:color w:val="000000" w:themeColor="text1"/>
          <w:highlight w:val="none"/>
          <w14:textFill>
            <w14:solidFill>
              <w14:schemeClr w14:val="tx1"/>
            </w14:solidFill>
          </w14:textFill>
        </w:rPr>
        <w:t>评审委员会启动异常低价投标（响应）审查后，属于前述第</w:t>
      </w:r>
      <w:r>
        <w:rPr>
          <w:rFonts w:hint="eastAsia" w:ascii="宋体" w:hAnsi="宋体" w:eastAsia="宋体" w:cs="宋体"/>
          <w:color w:val="000000" w:themeColor="text1"/>
          <w:highlight w:val="none"/>
          <w14:textFill>
            <w14:solidFill>
              <w14:schemeClr w14:val="tx1"/>
            </w14:solidFill>
          </w14:textFill>
        </w:rPr>
        <w:t>1项至第4项情形的，应当要求相关供应商在评审委员会要求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w:t>
      </w:r>
      <w:r>
        <w:rPr>
          <w:rFonts w:hint="eastAsia"/>
          <w:color w:val="000000" w:themeColor="text1"/>
          <w:highlight w:val="none"/>
          <w14:textFill>
            <w14:solidFill>
              <w14:schemeClr w14:val="tx1"/>
            </w14:solidFill>
          </w14:textFill>
        </w:rPr>
        <w:t>投标（响应）处理。 异常低价投标（响应）审查的启动原因、审查意见和审查结果应当在评审报告中记录</w:t>
      </w:r>
      <w:r>
        <w:rPr>
          <w:rFonts w:hint="eastAsia"/>
          <w:color w:val="000000" w:themeColor="text1"/>
          <w:highlight w:val="none"/>
          <w:lang w:eastAsia="zh-CN"/>
          <w14:textFill>
            <w14:solidFill>
              <w14:schemeClr w14:val="tx1"/>
            </w14:solidFill>
          </w14:textFill>
        </w:rPr>
        <w:t>。</w:t>
      </w:r>
      <w:bookmarkEnd w:id="378"/>
    </w:p>
    <w:p w14:paraId="3EC2075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 评审报告 </w:t>
      </w:r>
    </w:p>
    <w:p w14:paraId="32A57A4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谈判小组应当从质量和服务均能满足谈判文件全部实质性响应要求的供应商中，按照最后报价由低到高的 </w:t>
      </w:r>
    </w:p>
    <w:p w14:paraId="606E7AF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顺序提出 3 名以上（含 3 名）成交候选人，并编写评审报告。 </w:t>
      </w:r>
    </w:p>
    <w:p w14:paraId="4910265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 在评审过程中出现法律法规和谈判文件均没有明确规定的情形时，由谈判小组现场协商解决，协商 </w:t>
      </w:r>
    </w:p>
    <w:p w14:paraId="2673AAA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不一致的，由全体谈判小组投票表决，以得票率二分之一以上专家的意见为准。 </w:t>
      </w:r>
    </w:p>
    <w:p w14:paraId="0C3ED68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 xml:space="preserve">采购代理机构发现谈判小组有明显的违规倾向或歧视现象，或不按评审办法进行，或其他不正常行 </w:t>
      </w:r>
    </w:p>
    <w:p w14:paraId="379A493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为的，应当及时制止。如制止无效，应及时向本级财政部门报告。</w:t>
      </w:r>
    </w:p>
    <w:p w14:paraId="5173F5B7">
      <w:pPr>
        <w:spacing w:line="360" w:lineRule="auto"/>
        <w:ind w:firstLine="42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本采购项目的评审依据为竞争性谈判文件和竞争性谈判响应文件，采用的评</w:t>
      </w:r>
      <w:r>
        <w:rPr>
          <w:rFonts w:hint="eastAsia" w:ascii="宋体" w:hAnsi="宋体" w:cs="宋体"/>
          <w:color w:val="000000" w:themeColor="text1"/>
          <w:szCs w:val="21"/>
          <w:highlight w:val="none"/>
          <w:lang w:eastAsia="zh-CN"/>
          <w14:textFill>
            <w14:solidFill>
              <w14:schemeClr w14:val="tx1"/>
            </w14:solidFill>
          </w14:textFill>
        </w:rPr>
        <w:t>审</w:t>
      </w:r>
      <w:r>
        <w:rPr>
          <w:rFonts w:hint="eastAsia" w:ascii="宋体" w:hAnsi="宋体" w:cs="宋体"/>
          <w:color w:val="000000" w:themeColor="text1"/>
          <w:szCs w:val="21"/>
          <w:highlight w:val="none"/>
          <w14:textFill>
            <w14:solidFill>
              <w14:schemeClr w14:val="tx1"/>
            </w14:solidFill>
          </w14:textFill>
        </w:rPr>
        <w:t>方法为</w:t>
      </w:r>
      <w:r>
        <w:rPr>
          <w:rFonts w:hint="eastAsia" w:ascii="宋体" w:hAnsi="宋体" w:cs="宋体"/>
          <w:b/>
          <w:bCs/>
          <w:color w:val="000000" w:themeColor="text1"/>
          <w:szCs w:val="21"/>
          <w:highlight w:val="none"/>
          <w14:textFill>
            <w14:solidFill>
              <w14:schemeClr w14:val="tx1"/>
            </w14:solidFill>
          </w14:textFill>
        </w:rPr>
        <w:t>最低评标价法。</w:t>
      </w:r>
    </w:p>
    <w:p w14:paraId="5D8FDEC2">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379" w:name="_Toc16483"/>
      <w:bookmarkStart w:id="380" w:name="_Toc23879"/>
      <w:bookmarkStart w:id="381" w:name="_Toc12665"/>
      <w:bookmarkStart w:id="382" w:name="_Toc12391"/>
      <w:bookmarkStart w:id="383" w:name="_Toc6849"/>
      <w:bookmarkStart w:id="384" w:name="_Toc24971"/>
      <w:bookmarkStart w:id="385" w:name="_Toc27294"/>
      <w:bookmarkStart w:id="386" w:name="_Toc15861"/>
      <w:bookmarkStart w:id="387" w:name="_Toc11133"/>
      <w:bookmarkStart w:id="388" w:name="_Toc8304"/>
      <w:bookmarkStart w:id="389" w:name="_Toc9410"/>
      <w:bookmarkStart w:id="390" w:name="_Toc21103"/>
      <w:r>
        <w:rPr>
          <w:rFonts w:hint="eastAsia" w:ascii="宋体" w:hAnsi="宋体" w:cs="宋体"/>
          <w:color w:val="000000" w:themeColor="text1"/>
          <w:sz w:val="21"/>
          <w:szCs w:val="21"/>
          <w:highlight w:val="none"/>
          <w14:textFill>
            <w14:solidFill>
              <w14:schemeClr w14:val="tx1"/>
            </w14:solidFill>
          </w14:textFill>
        </w:rPr>
        <w:t>22. 确定成交供应商</w:t>
      </w:r>
      <w:bookmarkEnd w:id="379"/>
      <w:bookmarkEnd w:id="380"/>
      <w:bookmarkEnd w:id="381"/>
      <w:bookmarkEnd w:id="382"/>
      <w:bookmarkEnd w:id="383"/>
      <w:bookmarkEnd w:id="384"/>
      <w:bookmarkEnd w:id="385"/>
      <w:bookmarkEnd w:id="386"/>
      <w:bookmarkEnd w:id="387"/>
      <w:bookmarkEnd w:id="388"/>
      <w:bookmarkEnd w:id="389"/>
      <w:bookmarkEnd w:id="390"/>
    </w:p>
    <w:p w14:paraId="0F00FA3A">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采购单位应当确定谈判小组推荐排名第一的成交候选人为成交供应商。</w:t>
      </w:r>
    </w:p>
    <w:p w14:paraId="5010FB3F">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排名第一的成交候选人放弃成交、因不可抗力提出不能履行合同，或信用信息记录不符合相关规定的，或者谈判文件规定应当提交履约保证金而在规定的期限内未能提交的，采购单位可以确定排名第二的成交候选人为成交供应商。</w:t>
      </w:r>
    </w:p>
    <w:p w14:paraId="293478D7">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排名第二的成交候选人因前款规定的同样原因不能签订合同的，采购单位可以确定排名第三的成交候选人为成交供应商。</w:t>
      </w:r>
    </w:p>
    <w:p w14:paraId="626303C4">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391" w:name="_Toc22278"/>
      <w:bookmarkStart w:id="392" w:name="_Toc23777"/>
      <w:bookmarkStart w:id="393" w:name="_Toc12951"/>
      <w:bookmarkStart w:id="394" w:name="_Toc15473"/>
      <w:bookmarkStart w:id="395" w:name="_Toc24946"/>
      <w:bookmarkStart w:id="396" w:name="_Toc18158"/>
      <w:bookmarkStart w:id="397" w:name="_Toc7358"/>
      <w:bookmarkStart w:id="398" w:name="_Toc25743"/>
      <w:bookmarkStart w:id="399" w:name="_Toc12495"/>
      <w:bookmarkStart w:id="400" w:name="_Toc12126"/>
      <w:bookmarkStart w:id="401" w:name="_Toc21736"/>
      <w:bookmarkStart w:id="402" w:name="_Toc2063"/>
      <w:r>
        <w:rPr>
          <w:rFonts w:hint="eastAsia" w:ascii="宋体" w:hAnsi="宋体" w:cs="宋体"/>
          <w:color w:val="000000" w:themeColor="text1"/>
          <w:sz w:val="21"/>
          <w:szCs w:val="21"/>
          <w:highlight w:val="none"/>
          <w14:textFill>
            <w14:solidFill>
              <w14:schemeClr w14:val="tx1"/>
            </w14:solidFill>
          </w14:textFill>
        </w:rPr>
        <w:t>23. 属于下列情况之一者，响应文件无效：</w:t>
      </w:r>
      <w:bookmarkEnd w:id="391"/>
      <w:bookmarkEnd w:id="392"/>
      <w:bookmarkEnd w:id="393"/>
      <w:bookmarkEnd w:id="394"/>
      <w:bookmarkEnd w:id="395"/>
      <w:bookmarkEnd w:id="396"/>
      <w:bookmarkEnd w:id="397"/>
      <w:bookmarkEnd w:id="398"/>
      <w:bookmarkEnd w:id="399"/>
      <w:bookmarkEnd w:id="400"/>
      <w:bookmarkEnd w:id="401"/>
      <w:bookmarkEnd w:id="402"/>
    </w:p>
    <w:p w14:paraId="062B2CE7">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（1）未按谈判文件规定完整提交响应文件或未按规定要求在线提交、加盖供应商CA签章的；</w:t>
      </w:r>
    </w:p>
    <w:p w14:paraId="01FDD842">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（2）不具备谈判文件规定的资格要求的；</w:t>
      </w:r>
    </w:p>
    <w:p w14:paraId="78660F8F">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（3）响应文件未按谈判文件的内容和要求编制，或提供虚假材料的；</w:t>
      </w:r>
    </w:p>
    <w:p w14:paraId="1506CEB4">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（4）响应文件有效期、交货时间、免费保修期（升级、维护）期/维护期、售后服务不能满足谈判文件要求的；</w:t>
      </w:r>
    </w:p>
    <w:p w14:paraId="06C778A8">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（5）供应商未就“采购需求”中的所有内容作完整唯一报价的，或报价超出采购预算总金额的；</w:t>
      </w:r>
    </w:p>
    <w:p w14:paraId="3725222D">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（6）未在谈判小组规定的时间内重新提交响应文件的；</w:t>
      </w:r>
    </w:p>
    <w:p w14:paraId="7B9C9A5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（7）超越了按照法律法规规定必须获得行政许可或者行政审批的经营范围的；</w:t>
      </w:r>
    </w:p>
    <w:p w14:paraId="4DF249BF">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（8）未满足谈判文件全部实质性要求的或者响应文件有采购人不能接受的附加条件的；</w:t>
      </w:r>
    </w:p>
    <w:p w14:paraId="6017FDCC">
      <w:pPr>
        <w:spacing w:line="360" w:lineRule="auto"/>
        <w:ind w:firstLine="420"/>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（9）响应文件实质性要求未做变动，供应商最后报价高于第一次报价的；</w:t>
      </w:r>
    </w:p>
    <w:p w14:paraId="5F00444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（10）不符合法律、法规和谈判文件规定的其他实质性要求和条件的。</w:t>
      </w:r>
    </w:p>
    <w:p w14:paraId="270A26C8">
      <w:pPr>
        <w:spacing w:line="360" w:lineRule="auto"/>
        <w:ind w:firstLine="420"/>
        <w:rPr>
          <w:rFonts w:asci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供应商有下列情形之一的视为供应商相互串通谈判，响应文件将被视为无效：</w:t>
      </w:r>
    </w:p>
    <w:p w14:paraId="094E545D">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）不同供应商的响应文件由同一单位或者个人编制；或不同供应商报名的</w:t>
      </w:r>
      <w:r>
        <w:rPr>
          <w:rFonts w:ascii="宋体" w:hAnsi="宋体" w:cs="宋体"/>
          <w:color w:val="000000" w:themeColor="text1"/>
          <w:szCs w:val="21"/>
          <w:highlight w:val="none"/>
          <w14:textFill>
            <w14:solidFill>
              <w14:schemeClr w14:val="tx1"/>
            </w14:solidFill>
          </w14:textFill>
        </w:rPr>
        <w:t>IP</w:t>
      </w:r>
      <w:r>
        <w:rPr>
          <w:rFonts w:hint="eastAsia" w:ascii="宋体" w:hAnsi="宋体" w:cs="宋体"/>
          <w:color w:val="000000" w:themeColor="text1"/>
          <w:szCs w:val="21"/>
          <w:highlight w:val="none"/>
          <w14:textFill>
            <w14:solidFill>
              <w14:schemeClr w14:val="tx1"/>
            </w14:solidFill>
          </w14:textFill>
        </w:rPr>
        <w:t>地址一致的；</w:t>
      </w:r>
    </w:p>
    <w:p w14:paraId="2C5289A5">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）不同供应商委托同一单位或者个人办理谈判事宜；</w:t>
      </w:r>
    </w:p>
    <w:p w14:paraId="69B58EC2">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）不同的供应商的响应文件载明的项目管理员为同一个人；</w:t>
      </w:r>
    </w:p>
    <w:p w14:paraId="7820BBC1">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）不同供应商的响应文件异常一致或竞标报价呈规律性差异；</w:t>
      </w:r>
    </w:p>
    <w:p w14:paraId="1FC2C02E">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）不同供应商的响应文件相互</w:t>
      </w:r>
      <w:r>
        <w:rPr>
          <w:rFonts w:hint="eastAsia"/>
          <w:color w:val="000000" w:themeColor="text1"/>
          <w:highlight w:val="none"/>
          <w14:textFill>
            <w14:solidFill>
              <w14:schemeClr w14:val="tx1"/>
            </w14:solidFill>
          </w14:textFill>
        </w:rPr>
        <w:t>混编</w:t>
      </w:r>
      <w:r>
        <w:rPr>
          <w:rFonts w:hint="eastAsia" w:ascii="宋体" w:hAnsi="宋体" w:cs="宋体"/>
          <w:color w:val="000000" w:themeColor="text1"/>
          <w:szCs w:val="21"/>
          <w:highlight w:val="none"/>
          <w14:textFill>
            <w14:solidFill>
              <w14:schemeClr w14:val="tx1"/>
            </w14:solidFill>
          </w14:textFill>
        </w:rPr>
        <w:t>；</w:t>
      </w:r>
    </w:p>
    <w:p w14:paraId="12D20B62">
      <w:pPr>
        <w:spacing w:line="360" w:lineRule="auto"/>
        <w:ind w:firstLine="420"/>
        <w:rPr>
          <w:rFonts w:hint="eastAsia"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）不同供应商的谈判保证金从同一单位或者个人账户转出。</w:t>
      </w:r>
    </w:p>
    <w:p w14:paraId="657F83FB">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403" w:name="_Toc28105"/>
      <w:bookmarkStart w:id="404" w:name="_Toc20517"/>
      <w:bookmarkStart w:id="405" w:name="_Toc25889"/>
      <w:bookmarkStart w:id="406" w:name="_Toc26708"/>
      <w:bookmarkStart w:id="407" w:name="_Toc15404"/>
      <w:bookmarkStart w:id="408" w:name="_Toc3389"/>
      <w:bookmarkStart w:id="409" w:name="_Toc18308"/>
      <w:bookmarkStart w:id="410" w:name="_Toc25805"/>
      <w:bookmarkStart w:id="411" w:name="_Toc31795"/>
      <w:bookmarkStart w:id="412" w:name="_Toc3170"/>
      <w:bookmarkStart w:id="413" w:name="_Toc3253"/>
      <w:bookmarkStart w:id="414" w:name="_Toc17677"/>
      <w:r>
        <w:rPr>
          <w:rFonts w:hint="eastAsia" w:ascii="宋体" w:hAnsi="宋体" w:cs="宋体"/>
          <w:color w:val="000000" w:themeColor="text1"/>
          <w:sz w:val="21"/>
          <w:szCs w:val="21"/>
          <w:highlight w:val="none"/>
          <w14:textFill>
            <w14:solidFill>
              <w14:schemeClr w14:val="tx1"/>
            </w14:solidFill>
          </w14:textFill>
        </w:rPr>
        <w:t>24. 出现下列情形之一的，采购人或者采购代理机构应当终止竞争性谈判采购活动，发布项目终止公告并说明原因，重新开展采购活动：</w:t>
      </w:r>
      <w:bookmarkEnd w:id="403"/>
      <w:bookmarkEnd w:id="404"/>
      <w:bookmarkEnd w:id="405"/>
      <w:bookmarkEnd w:id="406"/>
      <w:bookmarkEnd w:id="407"/>
      <w:bookmarkEnd w:id="408"/>
      <w:bookmarkEnd w:id="409"/>
      <w:bookmarkEnd w:id="410"/>
      <w:bookmarkEnd w:id="411"/>
      <w:bookmarkEnd w:id="412"/>
      <w:bookmarkEnd w:id="413"/>
      <w:bookmarkEnd w:id="414"/>
    </w:p>
    <w:p w14:paraId="21B94F2F">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）因情况变化，不再符合规定的竞争性谈判采购方式适用情形的；</w:t>
      </w:r>
    </w:p>
    <w:p w14:paraId="4267B3F5">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）出现影响采购公正的违法、违规行为的；</w:t>
      </w:r>
      <w:r>
        <w:rPr>
          <w:rFonts w:ascii="宋体" w:hAnsi="宋体" w:cs="宋体"/>
          <w:color w:val="000000" w:themeColor="text1"/>
          <w:szCs w:val="21"/>
          <w:highlight w:val="none"/>
          <w14:textFill>
            <w14:solidFill>
              <w14:schemeClr w14:val="tx1"/>
            </w14:solidFill>
          </w14:textFill>
        </w:rPr>
        <w:t xml:space="preserve"> </w:t>
      </w:r>
    </w:p>
    <w:p w14:paraId="3878E98D">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）在采购过程中符合竞争要求的供应商或者报价未超过采购预算的供应商不足</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家的。</w:t>
      </w:r>
      <w:r>
        <w:rPr>
          <w:rFonts w:ascii="宋体" w:hAnsi="宋体" w:cs="宋体"/>
          <w:color w:val="000000" w:themeColor="text1"/>
          <w:szCs w:val="21"/>
          <w:highlight w:val="none"/>
          <w14:textFill>
            <w14:solidFill>
              <w14:schemeClr w14:val="tx1"/>
            </w14:solidFill>
          </w14:textFill>
        </w:rPr>
        <w:t xml:space="preserve"> </w:t>
      </w:r>
    </w:p>
    <w:p w14:paraId="2CDF1C51">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415" w:name="_Toc14054"/>
      <w:bookmarkStart w:id="416" w:name="_Toc22852"/>
      <w:bookmarkStart w:id="417" w:name="_Toc26271"/>
      <w:bookmarkStart w:id="418" w:name="_Toc22915"/>
      <w:bookmarkStart w:id="419" w:name="_Toc2380"/>
      <w:bookmarkStart w:id="420" w:name="_Toc912"/>
      <w:bookmarkStart w:id="421" w:name="_Toc18884"/>
      <w:bookmarkStart w:id="422" w:name="_Toc9923"/>
      <w:bookmarkStart w:id="423" w:name="_Toc3112"/>
      <w:bookmarkStart w:id="424" w:name="_Toc7356"/>
      <w:bookmarkStart w:id="425" w:name="_Toc8657"/>
      <w:bookmarkStart w:id="426" w:name="_Toc18350"/>
      <w:r>
        <w:rPr>
          <w:rFonts w:hint="eastAsia" w:ascii="宋体" w:hAnsi="宋体" w:cs="宋体"/>
          <w:color w:val="000000" w:themeColor="text1"/>
          <w:sz w:val="21"/>
          <w:szCs w:val="21"/>
          <w:highlight w:val="none"/>
          <w14:textFill>
            <w14:solidFill>
              <w14:schemeClr w14:val="tx1"/>
            </w14:solidFill>
          </w14:textFill>
        </w:rPr>
        <w:t>25. 谈判过程的监控</w:t>
      </w:r>
      <w:bookmarkEnd w:id="415"/>
      <w:bookmarkEnd w:id="416"/>
      <w:bookmarkEnd w:id="417"/>
      <w:bookmarkEnd w:id="418"/>
      <w:bookmarkEnd w:id="419"/>
      <w:bookmarkEnd w:id="420"/>
      <w:bookmarkEnd w:id="421"/>
      <w:bookmarkEnd w:id="422"/>
      <w:bookmarkEnd w:id="423"/>
      <w:bookmarkEnd w:id="424"/>
      <w:bookmarkEnd w:id="425"/>
      <w:bookmarkEnd w:id="426"/>
    </w:p>
    <w:p w14:paraId="4552FA3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本项目谈判过程实行全程录音、录像监控，供应商在谈判过程中所进行的试图影响谈判结果的不公正活动，可能导致其谈判被拒绝。</w:t>
      </w:r>
    </w:p>
    <w:p w14:paraId="691107E8">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427" w:name="_Toc6718"/>
      <w:bookmarkStart w:id="428" w:name="_Toc1119"/>
      <w:bookmarkStart w:id="429" w:name="_Toc17871"/>
      <w:bookmarkStart w:id="430" w:name="_Toc9148"/>
      <w:bookmarkStart w:id="431" w:name="_Toc19116"/>
      <w:bookmarkStart w:id="432" w:name="_Toc16553"/>
      <w:bookmarkStart w:id="433" w:name="_Toc21905"/>
      <w:bookmarkStart w:id="434" w:name="_Toc26818"/>
      <w:bookmarkStart w:id="435" w:name="_Toc15563"/>
      <w:bookmarkStart w:id="436" w:name="_Toc22332"/>
      <w:bookmarkStart w:id="437" w:name="_Toc13878"/>
      <w:bookmarkStart w:id="438" w:name="_Toc3959"/>
      <w:r>
        <w:rPr>
          <w:rFonts w:hint="eastAsia" w:ascii="宋体" w:hAnsi="宋体" w:cs="宋体"/>
          <w:color w:val="000000" w:themeColor="text1"/>
          <w:sz w:val="21"/>
          <w:szCs w:val="21"/>
          <w:highlight w:val="none"/>
          <w14:textFill>
            <w14:solidFill>
              <w14:schemeClr w14:val="tx1"/>
            </w14:solidFill>
          </w14:textFill>
        </w:rPr>
        <w:t>26.信用查询：</w:t>
      </w:r>
      <w:bookmarkEnd w:id="427"/>
      <w:bookmarkEnd w:id="428"/>
      <w:bookmarkEnd w:id="429"/>
      <w:bookmarkEnd w:id="430"/>
      <w:bookmarkEnd w:id="431"/>
      <w:bookmarkEnd w:id="432"/>
      <w:bookmarkEnd w:id="433"/>
      <w:bookmarkEnd w:id="434"/>
      <w:bookmarkEnd w:id="435"/>
      <w:bookmarkEnd w:id="436"/>
      <w:bookmarkEnd w:id="437"/>
      <w:bookmarkEnd w:id="438"/>
    </w:p>
    <w:p w14:paraId="4DB94B22">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根据《关于做好政府采购有关信用主体标识码登记及在政府采购活动中查询使用信用记录有关问题的通知》（桂财采〔</w:t>
      </w:r>
      <w:r>
        <w:rPr>
          <w:rFonts w:ascii="宋体" w:hAnsi="宋体" w:cs="宋体"/>
          <w:color w:val="000000" w:themeColor="text1"/>
          <w:szCs w:val="21"/>
          <w:highlight w:val="none"/>
          <w14:textFill>
            <w14:solidFill>
              <w14:schemeClr w14:val="tx1"/>
            </w14:solidFill>
          </w14:textFill>
        </w:rPr>
        <w:t>2016</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37</w:t>
      </w:r>
      <w:r>
        <w:rPr>
          <w:rFonts w:hint="eastAsia" w:ascii="宋体" w:hAnsi="宋体" w:cs="宋体"/>
          <w:color w:val="000000" w:themeColor="text1"/>
          <w:szCs w:val="21"/>
          <w:highlight w:val="none"/>
          <w14:textFill>
            <w14:solidFill>
              <w14:schemeClr w14:val="tx1"/>
            </w14:solidFill>
          </w14:textFill>
        </w:rPr>
        <w:t>号）的通知，采购代理机构对成交人的成交资格进行信用查询：</w:t>
      </w:r>
    </w:p>
    <w:p w14:paraId="49056875">
      <w:pPr>
        <w:spacing w:line="360" w:lineRule="auto"/>
        <w:ind w:firstLine="21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（1）查询渠道：“信用中国”网站</w:t>
      </w:r>
      <w:r>
        <w:rPr>
          <w:rFonts w:ascii="宋体" w:hAnsi="宋体" w:cs="宋体"/>
          <w:color w:val="000000" w:themeColor="text1"/>
          <w:szCs w:val="21"/>
          <w:highlight w:val="none"/>
          <w14:textFill>
            <w14:solidFill>
              <w14:schemeClr w14:val="tx1"/>
            </w14:solidFill>
          </w14:textFill>
        </w:rPr>
        <w:t>(www.creditchina.gov.cn)</w:t>
      </w:r>
      <w:r>
        <w:rPr>
          <w:rFonts w:hint="eastAsia" w:ascii="宋体" w:hAnsi="宋体" w:cs="宋体"/>
          <w:color w:val="000000" w:themeColor="text1"/>
          <w:szCs w:val="21"/>
          <w:highlight w:val="none"/>
          <w14:textFill>
            <w14:solidFill>
              <w14:schemeClr w14:val="tx1"/>
            </w14:solidFill>
          </w14:textFill>
        </w:rPr>
        <w:t>、中国政府采购网</w:t>
      </w:r>
      <w:r>
        <w:rPr>
          <w:rFonts w:ascii="宋体" w:hAnsi="宋体" w:cs="宋体"/>
          <w:color w:val="000000" w:themeColor="text1"/>
          <w:szCs w:val="21"/>
          <w:highlight w:val="none"/>
          <w14:textFill>
            <w14:solidFill>
              <w14:schemeClr w14:val="tx1"/>
            </w14:solidFill>
          </w14:textFill>
        </w:rPr>
        <w:t>(www.ccgp.gov.cn)</w:t>
      </w:r>
      <w:r>
        <w:rPr>
          <w:rFonts w:hint="eastAsia" w:ascii="宋体" w:hAnsi="宋体" w:cs="宋体"/>
          <w:color w:val="000000" w:themeColor="text1"/>
          <w:szCs w:val="21"/>
          <w:highlight w:val="none"/>
          <w14:textFill>
            <w14:solidFill>
              <w14:schemeClr w14:val="tx1"/>
            </w14:solidFill>
          </w14:textFill>
        </w:rPr>
        <w:t>等；</w:t>
      </w:r>
    </w:p>
    <w:p w14:paraId="695ECE0E">
      <w:pPr>
        <w:spacing w:line="360" w:lineRule="auto"/>
        <w:ind w:firstLine="21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（2）查询时间：成交通知书发出前；</w:t>
      </w:r>
    </w:p>
    <w:p w14:paraId="0AC7FD8B">
      <w:pPr>
        <w:spacing w:line="360" w:lineRule="auto"/>
        <w:ind w:firstLine="21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（3）信用信息查询记录和证据留存方式：在查询网站中直接打印查询记录，打印材料作为采购活动资料保存。</w:t>
      </w:r>
    </w:p>
    <w:p w14:paraId="42CE3E9C">
      <w:pPr>
        <w:spacing w:line="360" w:lineRule="auto"/>
        <w:ind w:firstLine="21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（4）信用信息使用规则：对在“信用中国”网站</w:t>
      </w:r>
      <w:r>
        <w:rPr>
          <w:rFonts w:ascii="宋体" w:hAnsi="宋体" w:cs="宋体"/>
          <w:color w:val="000000" w:themeColor="text1"/>
          <w:szCs w:val="21"/>
          <w:highlight w:val="none"/>
          <w14:textFill>
            <w14:solidFill>
              <w14:schemeClr w14:val="tx1"/>
            </w14:solidFill>
          </w14:textFill>
        </w:rPr>
        <w:t>(www.creditchina.gov.cn)</w:t>
      </w:r>
      <w:r>
        <w:rPr>
          <w:rFonts w:hint="eastAsia" w:ascii="宋体" w:hAnsi="宋体" w:cs="宋体"/>
          <w:color w:val="000000" w:themeColor="text1"/>
          <w:szCs w:val="21"/>
          <w:highlight w:val="none"/>
          <w14:textFill>
            <w14:solidFill>
              <w14:schemeClr w14:val="tx1"/>
            </w14:solidFill>
          </w14:textFill>
        </w:rPr>
        <w:t>、中国政府采购网</w:t>
      </w:r>
      <w:r>
        <w:rPr>
          <w:rFonts w:ascii="宋体" w:hAnsi="宋体" w:cs="宋体"/>
          <w:color w:val="000000" w:themeColor="text1"/>
          <w:szCs w:val="21"/>
          <w:highlight w:val="none"/>
          <w14:textFill>
            <w14:solidFill>
              <w14:schemeClr w14:val="tx1"/>
            </w14:solidFill>
          </w14:textFill>
        </w:rPr>
        <w:t>(www.ccgp.gov.cn)</w:t>
      </w:r>
      <w:r>
        <w:rPr>
          <w:rFonts w:hint="eastAsia" w:ascii="宋体" w:hAnsi="宋体" w:cs="宋体"/>
          <w:color w:val="000000" w:themeColor="text1"/>
          <w:szCs w:val="21"/>
          <w:highlight w:val="none"/>
          <w14:textFill>
            <w14:solidFill>
              <w14:schemeClr w14:val="tx1"/>
            </w14:solidFill>
          </w14:textFill>
        </w:rPr>
        <w:t>等渠道列入失信被执行人、</w:t>
      </w:r>
      <w:r>
        <w:rPr>
          <w:rFonts w:hint="eastAsia" w:ascii="宋体" w:hAnsi="宋体" w:cs="宋体"/>
          <w:color w:val="000000" w:themeColor="text1"/>
          <w:szCs w:val="21"/>
          <w:highlight w:val="none"/>
          <w:lang w:eastAsia="zh-CN"/>
          <w14:textFill>
            <w14:solidFill>
              <w14:schemeClr w14:val="tx1"/>
            </w14:solidFill>
          </w14:textFill>
        </w:rPr>
        <w:t>重大税收违法失信主体名单</w:t>
      </w:r>
      <w:r>
        <w:rPr>
          <w:rFonts w:hint="eastAsia" w:ascii="宋体" w:hAnsi="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第二的成交候选人为成交供应商或者重新组织采购。</w:t>
      </w:r>
    </w:p>
    <w:p w14:paraId="6014FCC8">
      <w:pPr>
        <w:spacing w:line="360" w:lineRule="auto"/>
        <w:ind w:firstLine="42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F310B12">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439" w:name="_Toc26290"/>
      <w:bookmarkStart w:id="440" w:name="_Toc31767"/>
      <w:bookmarkStart w:id="441" w:name="_Toc32175"/>
      <w:bookmarkStart w:id="442" w:name="_Toc10078"/>
      <w:bookmarkStart w:id="443" w:name="_Toc27559"/>
      <w:bookmarkStart w:id="444" w:name="_Toc7749"/>
      <w:bookmarkStart w:id="445" w:name="_Toc22807"/>
      <w:bookmarkStart w:id="446" w:name="_Toc6181"/>
      <w:bookmarkStart w:id="447" w:name="_Toc16667"/>
      <w:bookmarkStart w:id="448" w:name="_Toc19716"/>
      <w:bookmarkStart w:id="449" w:name="_Toc23139"/>
      <w:bookmarkStart w:id="450" w:name="_Toc4373"/>
      <w:r>
        <w:rPr>
          <w:rFonts w:hint="eastAsia" w:ascii="宋体" w:hAnsi="宋体" w:cs="宋体"/>
          <w:color w:val="000000" w:themeColor="text1"/>
          <w:sz w:val="21"/>
          <w:szCs w:val="21"/>
          <w:highlight w:val="none"/>
          <w14:textFill>
            <w14:solidFill>
              <w14:schemeClr w14:val="tx1"/>
            </w14:solidFill>
          </w14:textFill>
        </w:rPr>
        <w:t>27. 成交结果公告及成交通知书</w:t>
      </w:r>
      <w:bookmarkEnd w:id="439"/>
      <w:bookmarkEnd w:id="440"/>
      <w:bookmarkEnd w:id="441"/>
      <w:bookmarkEnd w:id="442"/>
      <w:bookmarkEnd w:id="443"/>
      <w:bookmarkEnd w:id="444"/>
      <w:bookmarkEnd w:id="445"/>
      <w:bookmarkEnd w:id="446"/>
      <w:bookmarkEnd w:id="447"/>
      <w:bookmarkEnd w:id="448"/>
      <w:bookmarkEnd w:id="449"/>
      <w:bookmarkEnd w:id="450"/>
    </w:p>
    <w:p w14:paraId="37FEBBF3">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 xml:space="preserve">.1 </w:t>
      </w:r>
      <w:r>
        <w:rPr>
          <w:rFonts w:hint="eastAsia" w:ascii="宋体" w:hAnsi="宋体" w:cs="宋体"/>
          <w:color w:val="000000" w:themeColor="text1"/>
          <w:szCs w:val="21"/>
          <w:highlight w:val="none"/>
          <w14:textFill>
            <w14:solidFill>
              <w14:schemeClr w14:val="tx1"/>
            </w14:solidFill>
          </w14:textFill>
        </w:rPr>
        <w:t>采购代理机构于谈判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0DD8F5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成交公告发布的同时，采购代理机构在线向成交供应商发出电子成交通知书。</w:t>
      </w:r>
    </w:p>
    <w:p w14:paraId="4B0FF705">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 xml:space="preserve">.3 </w:t>
      </w:r>
      <w:r>
        <w:rPr>
          <w:rFonts w:hint="eastAsia" w:ascii="宋体" w:hAnsi="宋体" w:cs="宋体"/>
          <w:color w:val="000000" w:themeColor="text1"/>
          <w:szCs w:val="21"/>
          <w:highlight w:val="none"/>
          <w14:textFill>
            <w14:solidFill>
              <w14:schemeClr w14:val="tx1"/>
            </w14:solidFill>
          </w14:textFill>
        </w:rPr>
        <w:t>采购代理机构无义务向未成交的供应商解释未成交原因和退还响应文件。</w:t>
      </w:r>
    </w:p>
    <w:p w14:paraId="1B18CCE2">
      <w:pPr>
        <w:pStyle w:val="4"/>
        <w:jc w:val="center"/>
        <w:rPr>
          <w:rFonts w:hint="eastAsia"/>
          <w:b/>
          <w:bCs w:val="0"/>
          <w:color w:val="000000" w:themeColor="text1"/>
          <w:szCs w:val="28"/>
          <w:highlight w:val="none"/>
          <w14:textFill>
            <w14:solidFill>
              <w14:schemeClr w14:val="tx1"/>
            </w14:solidFill>
          </w14:textFill>
        </w:rPr>
      </w:pPr>
      <w:bookmarkStart w:id="451" w:name="_Toc19781"/>
      <w:bookmarkStart w:id="452" w:name="_Toc18670"/>
      <w:bookmarkStart w:id="453" w:name="_Toc26948"/>
      <w:bookmarkStart w:id="454" w:name="_Toc7532"/>
      <w:bookmarkStart w:id="455" w:name="_Toc24627"/>
      <w:bookmarkStart w:id="456" w:name="_Toc2496"/>
      <w:bookmarkStart w:id="457" w:name="_Toc5548"/>
      <w:bookmarkStart w:id="458" w:name="_Toc9587"/>
      <w:bookmarkStart w:id="459" w:name="_Toc27632"/>
      <w:bookmarkStart w:id="460" w:name="_Toc18170"/>
      <w:bookmarkStart w:id="461" w:name="_Toc19711"/>
      <w:bookmarkStart w:id="462" w:name="_Toc28551"/>
      <w:r>
        <w:rPr>
          <w:rFonts w:hint="eastAsia"/>
          <w:b/>
          <w:bCs w:val="0"/>
          <w:color w:val="000000" w:themeColor="text1"/>
          <w:szCs w:val="28"/>
          <w:highlight w:val="none"/>
          <w14:textFill>
            <w14:solidFill>
              <w14:schemeClr w14:val="tx1"/>
            </w14:solidFill>
          </w14:textFill>
        </w:rPr>
        <w:t>五、</w:t>
      </w:r>
      <w:r>
        <w:rPr>
          <w:rFonts w:hint="eastAsia"/>
          <w:b/>
          <w:color w:val="000000" w:themeColor="text1"/>
          <w:szCs w:val="28"/>
          <w:highlight w:val="none"/>
          <w14:textFill>
            <w14:solidFill>
              <w14:schemeClr w14:val="tx1"/>
            </w14:solidFill>
          </w14:textFill>
        </w:rPr>
        <w:t>签订合同</w:t>
      </w:r>
      <w:bookmarkEnd w:id="451"/>
      <w:bookmarkEnd w:id="452"/>
      <w:bookmarkEnd w:id="453"/>
      <w:bookmarkEnd w:id="454"/>
      <w:bookmarkEnd w:id="455"/>
      <w:bookmarkEnd w:id="456"/>
      <w:bookmarkEnd w:id="457"/>
      <w:bookmarkEnd w:id="458"/>
      <w:bookmarkEnd w:id="459"/>
      <w:bookmarkEnd w:id="460"/>
      <w:bookmarkEnd w:id="461"/>
      <w:bookmarkEnd w:id="462"/>
    </w:p>
    <w:p w14:paraId="523ED10F">
      <w:pPr>
        <w:spacing w:line="360" w:lineRule="exact"/>
        <w:ind w:firstLine="411"/>
        <w:outlineLvl w:val="2"/>
        <w:rPr>
          <w:rFonts w:ascii="宋体" w:hAnsi="宋体" w:cs="宋体"/>
          <w:b/>
          <w:color w:val="000000" w:themeColor="text1"/>
          <w:szCs w:val="21"/>
          <w:highlight w:val="none"/>
          <w14:textFill>
            <w14:solidFill>
              <w14:schemeClr w14:val="tx1"/>
            </w14:solidFill>
          </w14:textFill>
        </w:rPr>
      </w:pPr>
      <w:bookmarkStart w:id="463" w:name="_Toc8751"/>
      <w:bookmarkStart w:id="464" w:name="_Toc11357"/>
      <w:bookmarkStart w:id="465" w:name="_Toc10047"/>
      <w:bookmarkStart w:id="466" w:name="_Toc9151"/>
      <w:bookmarkStart w:id="467" w:name="_Toc19386"/>
      <w:bookmarkStart w:id="468" w:name="_Toc6994"/>
      <w:bookmarkStart w:id="469" w:name="_Toc6350"/>
      <w:bookmarkStart w:id="470" w:name="_Toc17433"/>
      <w:bookmarkStart w:id="471" w:name="_Toc32035"/>
      <w:bookmarkStart w:id="472" w:name="_Toc9839"/>
      <w:bookmarkStart w:id="473" w:name="_Toc137"/>
      <w:bookmarkStart w:id="474" w:name="_Toc19840"/>
      <w:bookmarkStart w:id="475" w:name="_Toc11500"/>
      <w:bookmarkStart w:id="476" w:name="_Toc17650"/>
      <w:bookmarkStart w:id="477" w:name="_Toc3109"/>
      <w:r>
        <w:rPr>
          <w:rFonts w:hint="eastAsia" w:ascii="宋体" w:hAnsi="宋体" w:cs="宋体"/>
          <w:b/>
          <w:color w:val="000000" w:themeColor="text1"/>
          <w:szCs w:val="21"/>
          <w:highlight w:val="none"/>
          <w14:textFill>
            <w14:solidFill>
              <w14:schemeClr w14:val="tx1"/>
            </w14:solidFill>
          </w14:textFill>
        </w:rPr>
        <w:t>28. 履约保证金</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9D82258">
      <w:pPr>
        <w:spacing w:line="360" w:lineRule="exact"/>
        <w:ind w:left="2" w:firstLine="420"/>
        <w:rPr>
          <w:rFonts w:hint="eastAsia" w:ascii="宋体" w:hAnsi="宋体" w:eastAsia="宋体" w:cs="宋体"/>
          <w:color w:val="000000" w:themeColor="text1"/>
          <w:sz w:val="21"/>
          <w:szCs w:val="21"/>
          <w:highlight w:val="none"/>
          <w:u w:val="none"/>
          <w:vertAlign w:val="baseline"/>
          <w:lang w:eastAsia="zh-CN"/>
          <w14:textFill>
            <w14:solidFill>
              <w14:schemeClr w14:val="tx1"/>
            </w14:solidFill>
          </w14:textFill>
        </w:rPr>
      </w:pPr>
      <w:bookmarkStart w:id="478" w:name="_Toc339"/>
      <w:bookmarkStart w:id="479" w:name="_Toc13533"/>
      <w:bookmarkStart w:id="480" w:name="_Toc10973"/>
      <w:bookmarkStart w:id="481" w:name="_Toc29711"/>
      <w:bookmarkStart w:id="482" w:name="_Toc25471"/>
      <w:bookmarkStart w:id="483" w:name="_Toc18160"/>
      <w:bookmarkStart w:id="484" w:name="_Toc22092"/>
      <w:bookmarkStart w:id="485" w:name="_Toc14679"/>
      <w:r>
        <w:rPr>
          <w:rFonts w:hint="eastAsia" w:ascii="宋体" w:hAnsi="宋体" w:cs="Times New Roman"/>
          <w:color w:val="000000" w:themeColor="text1"/>
          <w:sz w:val="21"/>
          <w:highlight w:val="none"/>
          <w:u w:val="none"/>
          <w:vertAlign w:val="baseline"/>
          <w:lang w:eastAsia="zh-CN"/>
          <w14:textFill>
            <w14:solidFill>
              <w14:schemeClr w14:val="tx1"/>
            </w14:solidFill>
          </w14:textFill>
        </w:rPr>
        <w:t>本项目无履约保证金</w:t>
      </w:r>
      <w:r>
        <w:rPr>
          <w:rFonts w:hint="eastAsia" w:ascii="宋体" w:hAnsi="宋体" w:eastAsia="宋体" w:cs="宋体"/>
          <w:color w:val="000000" w:themeColor="text1"/>
          <w:sz w:val="21"/>
          <w:szCs w:val="21"/>
          <w:highlight w:val="none"/>
          <w:u w:val="none"/>
          <w:vertAlign w:val="baseline"/>
          <w:lang w:eastAsia="zh-CN"/>
          <w14:textFill>
            <w14:solidFill>
              <w14:schemeClr w14:val="tx1"/>
            </w14:solidFill>
          </w14:textFill>
        </w:rPr>
        <w:t>。</w:t>
      </w:r>
      <w:bookmarkEnd w:id="478"/>
      <w:bookmarkEnd w:id="479"/>
      <w:bookmarkEnd w:id="480"/>
      <w:bookmarkEnd w:id="481"/>
      <w:bookmarkEnd w:id="482"/>
    </w:p>
    <w:p w14:paraId="12B71537">
      <w:pPr>
        <w:spacing w:line="360" w:lineRule="exact"/>
        <w:ind w:firstLine="411"/>
        <w:outlineLvl w:val="2"/>
        <w:rPr>
          <w:rFonts w:hint="eastAsia" w:ascii="宋体" w:hAnsi="宋体" w:cs="宋体"/>
          <w:b/>
          <w:color w:val="000000" w:themeColor="text1"/>
          <w:szCs w:val="21"/>
          <w:highlight w:val="none"/>
          <w14:textFill>
            <w14:solidFill>
              <w14:schemeClr w14:val="tx1"/>
            </w14:solidFill>
          </w14:textFill>
        </w:rPr>
      </w:pPr>
      <w:bookmarkStart w:id="486" w:name="_Toc7113"/>
      <w:bookmarkStart w:id="487" w:name="_Toc3732"/>
      <w:bookmarkStart w:id="488" w:name="_Toc19380"/>
      <w:bookmarkStart w:id="489" w:name="_Toc13567"/>
      <w:bookmarkStart w:id="490" w:name="_Toc7259"/>
      <w:bookmarkStart w:id="491" w:name="_Toc31424"/>
      <w:bookmarkStart w:id="492" w:name="_Toc6080"/>
      <w:bookmarkStart w:id="493" w:name="_Toc18599"/>
      <w:bookmarkStart w:id="494" w:name="_Toc14391"/>
      <w:bookmarkStart w:id="495" w:name="_Toc27021"/>
      <w:bookmarkStart w:id="496" w:name="_Toc22752"/>
      <w:bookmarkStart w:id="497" w:name="_Toc30382"/>
      <w:r>
        <w:rPr>
          <w:rFonts w:hint="eastAsia" w:ascii="宋体" w:hAnsi="宋体" w:cs="宋体"/>
          <w:b/>
          <w:color w:val="000000" w:themeColor="text1"/>
          <w:szCs w:val="21"/>
          <w:highlight w:val="none"/>
          <w14:textFill>
            <w14:solidFill>
              <w14:schemeClr w14:val="tx1"/>
            </w14:solidFill>
          </w14:textFill>
        </w:rPr>
        <w:t>29. 签订合同</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70D1E3EA">
      <w:pPr>
        <w:spacing w:line="360" w:lineRule="exact"/>
        <w:ind w:left="2"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29.1签订合同时间：成交通知书发出之日起八个工作</w:t>
      </w:r>
      <w:r>
        <w:rPr>
          <w:rFonts w:hint="eastAsia" w:ascii="宋体" w:hAnsi="宋体"/>
          <w:color w:val="000000" w:themeColor="text1"/>
          <w:highlight w:val="none"/>
          <w14:textFill>
            <w14:solidFill>
              <w14:schemeClr w14:val="tx1"/>
            </w14:solidFill>
          </w14:textFill>
        </w:rPr>
        <w:t>日内</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成交供应商收到成交通知书后</w:t>
      </w:r>
      <w:r>
        <w:rPr>
          <w:rFonts w:hint="eastAsia" w:ascii="宋体" w:hAnsi="宋体" w:cs="宋体"/>
          <w:color w:val="000000" w:themeColor="text1"/>
          <w:szCs w:val="21"/>
          <w:highlight w:val="none"/>
          <w14:textFill>
            <w14:solidFill>
              <w14:schemeClr w14:val="tx1"/>
            </w14:solidFill>
          </w14:textFill>
        </w:rPr>
        <w:t>，应按规定与采购人在广西政府采购云平台上在线签订电子合同。</w:t>
      </w:r>
    </w:p>
    <w:p w14:paraId="40668AAD">
      <w:pPr>
        <w:spacing w:line="360" w:lineRule="exact"/>
        <w:ind w:left="2"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29.2成交供应商为联合体的，联合体各方均应与采购人签订合同，并承担连带责任。（本项目不接受联合体</w:t>
      </w:r>
      <w:r>
        <w:rPr>
          <w:rFonts w:hint="eastAsia" w:ascii="宋体" w:hAnsi="宋体" w:cs="宋体"/>
          <w:color w:val="000000" w:themeColor="text1"/>
          <w:highlight w:val="none"/>
          <w:lang w:eastAsia="zh-CN"/>
          <w14:textFill>
            <w14:solidFill>
              <w14:schemeClr w14:val="tx1"/>
            </w14:solidFill>
          </w14:textFill>
        </w:rPr>
        <w:t>响应</w:t>
      </w:r>
      <w:r>
        <w:rPr>
          <w:rFonts w:hint="eastAsia" w:ascii="宋体" w:hAnsi="宋体" w:cs="宋体"/>
          <w:color w:val="000000" w:themeColor="text1"/>
          <w:highlight w:val="none"/>
          <w14:textFill>
            <w14:solidFill>
              <w14:schemeClr w14:val="tx1"/>
            </w14:solidFill>
          </w14:textFill>
        </w:rPr>
        <w:t>）</w:t>
      </w:r>
    </w:p>
    <w:p w14:paraId="1CAE3623">
      <w:pPr>
        <w:spacing w:line="360" w:lineRule="exact"/>
        <w:ind w:left="2"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29.3如成交供应商有下列情形之一的，情节严重的，由财政部门将其列入不良行为记录名单，在一至三年内禁止参加政府采购活动，并予以通报。采购人或者采购代理机构可从评标委员会推荐的成交候选供应商中按顺序重新确定成交供应商或重新组织</w:t>
      </w:r>
      <w:r>
        <w:rPr>
          <w:rFonts w:hint="eastAsia" w:ascii="宋体" w:hAnsi="宋体" w:cs="宋体"/>
          <w:color w:val="000000" w:themeColor="text1"/>
          <w:szCs w:val="21"/>
          <w:highlight w:val="none"/>
          <w:lang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w:t>
      </w:r>
    </w:p>
    <w:p w14:paraId="3D585BF1">
      <w:pPr>
        <w:spacing w:line="360" w:lineRule="exact"/>
        <w:ind w:firstLine="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后不与采购人签订合同的（不可抗力除外）；</w:t>
      </w:r>
    </w:p>
    <w:p w14:paraId="4B9776A1">
      <w:pPr>
        <w:spacing w:line="360" w:lineRule="exact"/>
        <w:ind w:left="2" w:firstLine="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（2）将</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项目转让给他人，或者在投标文件中未说明，且未经采购人同意，将中标项目分包给他人的；</w:t>
      </w:r>
    </w:p>
    <w:p w14:paraId="2CDA0C23">
      <w:pPr>
        <w:spacing w:line="360" w:lineRule="exact"/>
        <w:ind w:firstLine="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（3）拒绝履行合同义务的。</w:t>
      </w:r>
    </w:p>
    <w:p w14:paraId="2FE63F25">
      <w:pPr>
        <w:spacing w:line="360" w:lineRule="exact"/>
        <w:ind w:left="2"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29.4合同备案存档：政府采购合同双方自签订之日起将自动存档于广西政府采购云平台上，采购人于合同签订之日起七个工作日内将一份合同原件送本级财政部门备案。</w:t>
      </w:r>
    </w:p>
    <w:p w14:paraId="4E26CBC0">
      <w:pPr>
        <w:pStyle w:val="18"/>
        <w:rPr>
          <w:rFonts w:hint="eastAsia"/>
          <w:color w:val="000000" w:themeColor="text1"/>
          <w:highlight w:val="none"/>
          <w14:textFill>
            <w14:solidFill>
              <w14:schemeClr w14:val="tx1"/>
            </w14:solidFill>
          </w14:textFill>
        </w:rPr>
      </w:pPr>
    </w:p>
    <w:p w14:paraId="088765E3">
      <w:pPr>
        <w:rPr>
          <w:rFonts w:hint="eastAsia"/>
          <w:color w:val="000000" w:themeColor="text1"/>
          <w:highlight w:val="none"/>
          <w14:textFill>
            <w14:solidFill>
              <w14:schemeClr w14:val="tx1"/>
            </w14:solidFill>
          </w14:textFill>
        </w:rPr>
      </w:pPr>
    </w:p>
    <w:p w14:paraId="5E7D9911">
      <w:pPr>
        <w:rPr>
          <w:rFonts w:hint="eastAsia"/>
          <w:color w:val="000000" w:themeColor="text1"/>
          <w:highlight w:val="none"/>
          <w14:textFill>
            <w14:solidFill>
              <w14:schemeClr w14:val="tx1"/>
            </w14:solidFill>
          </w14:textFill>
        </w:rPr>
      </w:pPr>
    </w:p>
    <w:p w14:paraId="3250B680">
      <w:pPr>
        <w:pStyle w:val="4"/>
        <w:jc w:val="center"/>
        <w:rPr>
          <w:rFonts w:hint="eastAsia"/>
          <w:b/>
          <w:bCs w:val="0"/>
          <w:color w:val="000000" w:themeColor="text1"/>
          <w:szCs w:val="28"/>
          <w:highlight w:val="none"/>
          <w14:textFill>
            <w14:solidFill>
              <w14:schemeClr w14:val="tx1"/>
            </w14:solidFill>
          </w14:textFill>
        </w:rPr>
      </w:pPr>
      <w:bookmarkStart w:id="498" w:name="_Toc655"/>
      <w:bookmarkStart w:id="499" w:name="_Toc17499"/>
      <w:bookmarkStart w:id="500" w:name="_Toc24168"/>
      <w:bookmarkStart w:id="501" w:name="_Toc24198"/>
      <w:bookmarkStart w:id="502" w:name="_Toc19422"/>
      <w:bookmarkStart w:id="503" w:name="_Toc19628"/>
      <w:bookmarkStart w:id="504" w:name="_Toc16154"/>
      <w:bookmarkStart w:id="505" w:name="_Toc3231"/>
      <w:bookmarkStart w:id="506" w:name="_Toc23949"/>
      <w:bookmarkStart w:id="507" w:name="_Toc15898"/>
      <w:bookmarkStart w:id="508" w:name="_Toc2401"/>
      <w:bookmarkStart w:id="509" w:name="_Toc7521"/>
      <w:r>
        <w:rPr>
          <w:rFonts w:hint="eastAsia"/>
          <w:b/>
          <w:bCs w:val="0"/>
          <w:color w:val="000000" w:themeColor="text1"/>
          <w:szCs w:val="28"/>
          <w:highlight w:val="none"/>
          <w14:textFill>
            <w14:solidFill>
              <w14:schemeClr w14:val="tx1"/>
            </w14:solidFill>
          </w14:textFill>
        </w:rPr>
        <w:t>六、其他事项</w:t>
      </w:r>
      <w:bookmarkEnd w:id="498"/>
      <w:bookmarkEnd w:id="499"/>
      <w:bookmarkEnd w:id="500"/>
      <w:bookmarkEnd w:id="501"/>
      <w:bookmarkEnd w:id="502"/>
      <w:bookmarkEnd w:id="503"/>
      <w:bookmarkEnd w:id="504"/>
      <w:bookmarkEnd w:id="505"/>
      <w:bookmarkEnd w:id="506"/>
      <w:bookmarkEnd w:id="507"/>
      <w:bookmarkEnd w:id="508"/>
      <w:bookmarkEnd w:id="509"/>
    </w:p>
    <w:p w14:paraId="6E8481EE">
      <w:pPr>
        <w:pStyle w:val="5"/>
        <w:spacing w:before="0" w:after="0" w:line="360" w:lineRule="auto"/>
        <w:ind w:firstLine="420"/>
        <w:rPr>
          <w:rFonts w:hint="eastAsia" w:ascii="宋体" w:hAnsi="宋体" w:cs="宋体"/>
          <w:color w:val="000000" w:themeColor="text1"/>
          <w:sz w:val="21"/>
          <w:szCs w:val="21"/>
          <w:highlight w:val="none"/>
          <w14:textFill>
            <w14:solidFill>
              <w14:schemeClr w14:val="tx1"/>
            </w14:solidFill>
          </w14:textFill>
        </w:rPr>
      </w:pPr>
      <w:bookmarkStart w:id="510" w:name="_Toc20464"/>
      <w:bookmarkStart w:id="511" w:name="_Toc14380"/>
      <w:bookmarkStart w:id="512" w:name="_Toc18028"/>
      <w:bookmarkStart w:id="513" w:name="_Toc22356"/>
      <w:bookmarkStart w:id="514" w:name="_Toc17200"/>
      <w:bookmarkStart w:id="515" w:name="_Toc10892"/>
      <w:bookmarkStart w:id="516" w:name="_Toc23031"/>
      <w:bookmarkStart w:id="517" w:name="_Toc5581"/>
      <w:bookmarkStart w:id="518" w:name="_Toc32532"/>
      <w:bookmarkStart w:id="519" w:name="_Toc8229"/>
      <w:bookmarkStart w:id="520" w:name="_Toc22779"/>
      <w:bookmarkStart w:id="521" w:name="_Toc9971"/>
      <w:r>
        <w:rPr>
          <w:rFonts w:hint="eastAsia" w:ascii="宋体" w:hAnsi="宋体" w:cs="宋体"/>
          <w:color w:val="000000" w:themeColor="text1"/>
          <w:sz w:val="21"/>
          <w:szCs w:val="21"/>
          <w:highlight w:val="none"/>
          <w14:textFill>
            <w14:solidFill>
              <w14:schemeClr w14:val="tx1"/>
            </w14:solidFill>
          </w14:textFill>
        </w:rPr>
        <w:t>30. 采购代理服务费</w:t>
      </w:r>
      <w:bookmarkEnd w:id="510"/>
      <w:bookmarkEnd w:id="511"/>
      <w:bookmarkEnd w:id="512"/>
      <w:bookmarkEnd w:id="513"/>
      <w:bookmarkEnd w:id="514"/>
      <w:bookmarkEnd w:id="515"/>
      <w:bookmarkEnd w:id="516"/>
      <w:bookmarkEnd w:id="517"/>
      <w:bookmarkEnd w:id="518"/>
      <w:bookmarkEnd w:id="519"/>
      <w:bookmarkEnd w:id="520"/>
      <w:bookmarkEnd w:id="521"/>
    </w:p>
    <w:p w14:paraId="4B9F5C74">
      <w:pPr>
        <w:pStyle w:val="41"/>
        <w:ind w:left="0" w:firstLine="840"/>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本项目不收取代理服务费。</w:t>
      </w:r>
    </w:p>
    <w:p w14:paraId="7072CA01">
      <w:pPr>
        <w:pStyle w:val="5"/>
        <w:spacing w:before="0" w:after="0" w:line="360" w:lineRule="exact"/>
        <w:ind w:firstLine="420"/>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bookmarkStart w:id="522" w:name="_Toc6373"/>
      <w:bookmarkStart w:id="523" w:name="_Toc5947"/>
      <w:bookmarkStart w:id="524" w:name="_Toc12162"/>
      <w:bookmarkStart w:id="525" w:name="_Toc8467"/>
      <w:bookmarkStart w:id="526" w:name="_Toc11529"/>
      <w:bookmarkStart w:id="527" w:name="_Toc8409"/>
      <w:bookmarkStart w:id="528" w:name="_Toc14535"/>
      <w:bookmarkStart w:id="529" w:name="_Toc2054"/>
      <w:bookmarkStart w:id="530" w:name="_Toc6949"/>
      <w:bookmarkStart w:id="531" w:name="_Toc23905"/>
      <w:bookmarkStart w:id="532" w:name="_Toc31204"/>
      <w:bookmarkStart w:id="533" w:name="_Toc10577"/>
      <w:bookmarkStart w:id="534" w:name="_Toc26051"/>
      <w:bookmarkStart w:id="535" w:name="_Toc11455"/>
      <w:bookmarkStart w:id="536" w:name="_Toc102"/>
      <w:r>
        <w:rPr>
          <w:rFonts w:hint="eastAsia" w:ascii="宋体" w:hAnsi="宋体" w:eastAsia="宋体" w:cs="宋体"/>
          <w:b/>
          <w:bCs w:val="0"/>
          <w:color w:val="000000" w:themeColor="text1"/>
          <w:sz w:val="21"/>
          <w:szCs w:val="21"/>
          <w:highlight w:val="none"/>
          <w:lang w:val="en-US" w:eastAsia="zh-CN" w:bidi="ar-SA"/>
          <w14:textFill>
            <w14:solidFill>
              <w14:schemeClr w14:val="tx1"/>
            </w14:solidFill>
          </w14:textFill>
        </w:rPr>
        <w:t>31.</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本国产品标准及相关政策</w:t>
      </w:r>
      <w:bookmarkEnd w:id="522"/>
      <w:bookmarkEnd w:id="523"/>
      <w:bookmarkEnd w:id="524"/>
    </w:p>
    <w:p w14:paraId="392C4CA7">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b w:val="0"/>
          <w:bCs w:val="0"/>
          <w:i w:val="0"/>
          <w:iCs w:val="0"/>
          <w:caps w:val="0"/>
          <w:color w:val="000000" w:themeColor="text1"/>
          <w:spacing w:val="0"/>
          <w:sz w:val="21"/>
          <w:szCs w:val="21"/>
          <w:highlight w:val="none"/>
          <w:shd w:val="clear" w:color="auto" w:fill="auto"/>
          <w14:textFill>
            <w14:solidFill>
              <w14:schemeClr w14:val="tx1"/>
            </w14:solidFill>
          </w14:textFill>
        </w:rPr>
        <w:t>国务院办公厅关于在政府采购中实施本国产品标准及相关政策的通知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》（国办发〔2025〕34号）的规定，本国产品</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标准及相关政策如下</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59E233A8">
      <w:pPr>
        <w:numPr>
          <w:ilvl w:val="0"/>
          <w:numId w:val="0"/>
        </w:numPr>
        <w:spacing w:line="360" w:lineRule="exact"/>
        <w:ind w:left="0" w:firstLine="420"/>
        <w:jc w:val="left"/>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31.1 本国产品标准</w:t>
      </w:r>
    </w:p>
    <w:p w14:paraId="1317E30B">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（一）在中国境内生产</w:t>
      </w:r>
    </w:p>
    <w:p w14:paraId="621B8422">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产品应当在中国境内生产，即在中华人民共和国关境内实现从原材料、组件到产品的属性改变。</w:t>
      </w:r>
    </w:p>
    <w:p w14:paraId="796E9E8F">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属性改变是指经过制造、加工或者组装等工序，产生完全不同于原材料、组件的新产品，并具有新的名称和特征（用途）。属性改变不包括以下细微操作：</w:t>
      </w:r>
    </w:p>
    <w:p w14:paraId="2492D545">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1.为确保产品在运输或者储存期间保持某种状态而进行的操作；</w:t>
      </w:r>
    </w:p>
    <w:p w14:paraId="667A8779">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2.为产品运输或者销售进行的包装或者展示；</w:t>
      </w:r>
    </w:p>
    <w:p w14:paraId="57D04CC1">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3.在产品或者其包装上粘贴或者印刷品牌、标志、标识以及其他用于区别的标记；</w:t>
      </w:r>
    </w:p>
    <w:p w14:paraId="591BA61D">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4.简单的上漆、磨光和分装；</w:t>
      </w:r>
    </w:p>
    <w:p w14:paraId="6901AE6F">
      <w:pPr>
        <w:numPr>
          <w:ilvl w:val="0"/>
          <w:numId w:val="0"/>
        </w:numPr>
        <w:spacing w:line="360" w:lineRule="exact"/>
        <w:ind w:left="0" w:firstLine="42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5.其他不属于属性改变的情形。</w:t>
      </w:r>
    </w:p>
    <w:p w14:paraId="25EE2A25">
      <w:pPr>
        <w:numPr>
          <w:ilvl w:val="0"/>
          <w:numId w:val="0"/>
        </w:numPr>
        <w:spacing w:line="360" w:lineRule="exact"/>
        <w:ind w:left="0" w:firstLine="420"/>
        <w:jc w:val="left"/>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default" w:ascii="宋体" w:hAnsi="宋体" w:cs="宋体"/>
          <w:b w:val="0"/>
          <w:bCs w:val="0"/>
          <w:color w:val="000000" w:themeColor="text1"/>
          <w:szCs w:val="21"/>
          <w:highlight w:val="none"/>
          <w:lang w:val="en-US" w:eastAsia="zh-CN"/>
          <w14:textFill>
            <w14:solidFill>
              <w14:schemeClr w14:val="tx1"/>
            </w14:solidFill>
          </w14:textFill>
        </w:rPr>
        <w:t>（二）在中国境内生产的组件成本占比达到规定比例</w:t>
      </w:r>
    </w:p>
    <w:p w14:paraId="0954B7B7">
      <w:pPr>
        <w:numPr>
          <w:ilvl w:val="0"/>
          <w:numId w:val="0"/>
        </w:numPr>
        <w:spacing w:line="360" w:lineRule="exact"/>
        <w:ind w:left="0" w:firstLine="420"/>
        <w:jc w:val="left"/>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default" w:ascii="宋体" w:hAnsi="宋体" w:cs="宋体"/>
          <w:b/>
          <w:bCs/>
          <w:color w:val="000000" w:themeColor="text1"/>
          <w:szCs w:val="21"/>
          <w:highlight w:val="none"/>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160020</wp:posOffset>
            </wp:positionH>
            <wp:positionV relativeFrom="paragraph">
              <wp:posOffset>518160</wp:posOffset>
            </wp:positionV>
            <wp:extent cx="4829175" cy="762000"/>
            <wp:effectExtent l="0" t="0" r="1905" b="0"/>
            <wp:wrapTopAndBottom/>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4"/>
                    <a:stretch>
                      <a:fillRect/>
                    </a:stretch>
                  </pic:blipFill>
                  <pic:spPr>
                    <a:xfrm>
                      <a:off x="0" y="0"/>
                      <a:ext cx="4829175" cy="762000"/>
                    </a:xfrm>
                    <a:prstGeom prst="rect">
                      <a:avLst/>
                    </a:prstGeom>
                    <a:noFill/>
                    <a:ln>
                      <a:noFill/>
                    </a:ln>
                  </pic:spPr>
                </pic:pic>
              </a:graphicData>
            </a:graphic>
          </wp:anchor>
        </w:drawing>
      </w:r>
      <w:r>
        <w:rPr>
          <w:rFonts w:hint="default" w:ascii="宋体" w:hAnsi="宋体" w:cs="宋体"/>
          <w:b w:val="0"/>
          <w:bCs w:val="0"/>
          <w:color w:val="000000" w:themeColor="text1"/>
          <w:szCs w:val="21"/>
          <w:highlight w:val="none"/>
          <w:lang w:val="en-US" w:eastAsia="zh-CN"/>
          <w14:textFill>
            <w14:solidFill>
              <w14:schemeClr w14:val="tx1"/>
            </w14:solidFill>
          </w14:textFill>
        </w:rPr>
        <w:t>产品在中国境内生产的组件成本占比应当达到规定比例，计算公式为：</w:t>
      </w:r>
    </w:p>
    <w:p w14:paraId="6CAAFF85">
      <w:pPr>
        <w:numPr>
          <w:ilvl w:val="0"/>
          <w:numId w:val="0"/>
        </w:numPr>
        <w:spacing w:line="360" w:lineRule="exact"/>
        <w:ind w:left="0" w:firstLine="420"/>
        <w:jc w:val="left"/>
        <w:rPr>
          <w:rFonts w:hint="default" w:ascii="宋体" w:hAnsi="宋体" w:cs="宋体"/>
          <w:b/>
          <w:bCs/>
          <w:color w:val="000000" w:themeColor="text1"/>
          <w:szCs w:val="21"/>
          <w:highlight w:val="none"/>
          <w:lang w:val="en-US" w:eastAsia="zh-CN"/>
          <w14:textFill>
            <w14:solidFill>
              <w14:schemeClr w14:val="tx1"/>
            </w14:solidFill>
          </w14:textFill>
        </w:rPr>
      </w:pPr>
    </w:p>
    <w:p w14:paraId="3C09CE88">
      <w:pPr>
        <w:numPr>
          <w:ilvl w:val="0"/>
          <w:numId w:val="0"/>
        </w:numPr>
        <w:spacing w:line="360" w:lineRule="exact"/>
        <w:ind w:left="0" w:firstLine="420"/>
        <w:jc w:val="left"/>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default" w:ascii="宋体" w:hAnsi="宋体" w:cs="宋体"/>
          <w:b w:val="0"/>
          <w:bCs w:val="0"/>
          <w:color w:val="000000" w:themeColor="text1"/>
          <w:szCs w:val="21"/>
          <w:highlight w:val="none"/>
          <w:lang w:val="en-US" w:eastAsia="zh-CN"/>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D274359">
      <w:pPr>
        <w:numPr>
          <w:ilvl w:val="0"/>
          <w:numId w:val="0"/>
        </w:numPr>
        <w:spacing w:line="360" w:lineRule="exact"/>
        <w:ind w:left="0" w:firstLine="420"/>
        <w:jc w:val="left"/>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default" w:ascii="宋体" w:hAnsi="宋体" w:cs="宋体"/>
          <w:b w:val="0"/>
          <w:bCs w:val="0"/>
          <w:color w:val="000000" w:themeColor="text1"/>
          <w:szCs w:val="21"/>
          <w:highlight w:val="none"/>
          <w:lang w:val="en-US" w:eastAsia="zh-CN"/>
          <w14:textFill>
            <w14:solidFill>
              <w14:schemeClr w14:val="tx1"/>
            </w14:solidFill>
          </w14:textFill>
        </w:rPr>
        <w:t>（三）特定产品的关键组件、关键工序符合相关要求</w:t>
      </w:r>
    </w:p>
    <w:p w14:paraId="6DDD6A01">
      <w:pPr>
        <w:numPr>
          <w:ilvl w:val="0"/>
          <w:numId w:val="0"/>
        </w:numPr>
        <w:spacing w:line="360" w:lineRule="exact"/>
        <w:ind w:left="0" w:firstLine="420"/>
        <w:jc w:val="left"/>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default" w:ascii="宋体" w:hAnsi="宋体" w:cs="宋体"/>
          <w:b w:val="0"/>
          <w:bCs w:val="0"/>
          <w:color w:val="000000" w:themeColor="text1"/>
          <w:szCs w:val="21"/>
          <w:highlight w:val="none"/>
          <w:lang w:val="en-US" w:eastAsia="zh-CN"/>
          <w14:textFill>
            <w14:solidFill>
              <w14:schemeClr w14:val="tx1"/>
            </w14:solidFill>
          </w14:textFill>
        </w:rPr>
        <w:t>对特定产品，在符合本通知第一条第（一）项和第（二）项条件的基础上，应当符合财政部会同有关行业主管部门确定的其关键组件、关键工序在中国境内生产、完成等要求。</w:t>
      </w:r>
    </w:p>
    <w:p w14:paraId="20E2B7E6">
      <w:pPr>
        <w:numPr>
          <w:ilvl w:val="0"/>
          <w:numId w:val="0"/>
        </w:numPr>
        <w:spacing w:line="360" w:lineRule="exact"/>
        <w:ind w:left="0" w:firstLine="420"/>
        <w:jc w:val="left"/>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default" w:ascii="宋体" w:hAnsi="宋体" w:cs="宋体"/>
          <w:b w:val="0"/>
          <w:bCs w:val="0"/>
          <w:color w:val="000000" w:themeColor="text1"/>
          <w:szCs w:val="21"/>
          <w:highlight w:val="none"/>
          <w:lang w:val="en-US" w:eastAsia="zh-CN"/>
          <w14:textFill>
            <w14:solidFill>
              <w14:schemeClr w14:val="tx1"/>
            </w14:solidFill>
          </w14:textFill>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694040F">
      <w:pPr>
        <w:numPr>
          <w:ilvl w:val="0"/>
          <w:numId w:val="0"/>
        </w:numPr>
        <w:spacing w:line="360" w:lineRule="exact"/>
        <w:ind w:left="0" w:firstLine="420"/>
        <w:jc w:val="left"/>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31.2本国产品标准的适用范围</w:t>
      </w:r>
    </w:p>
    <w:p w14:paraId="614B2696">
      <w:pPr>
        <w:numPr>
          <w:ilvl w:val="0"/>
          <w:numId w:val="0"/>
        </w:numPr>
        <w:spacing w:line="360" w:lineRule="exact"/>
        <w:ind w:left="0" w:firstLine="420"/>
        <w:jc w:val="left"/>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109E780">
      <w:pPr>
        <w:numPr>
          <w:ilvl w:val="0"/>
          <w:numId w:val="0"/>
        </w:numPr>
        <w:spacing w:line="360" w:lineRule="exact"/>
        <w:ind w:left="0" w:firstLine="420"/>
        <w:jc w:val="left"/>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31.3对本国产品的支持政策</w:t>
      </w:r>
    </w:p>
    <w:p w14:paraId="291851B2">
      <w:pPr>
        <w:numPr>
          <w:ilvl w:val="0"/>
          <w:numId w:val="0"/>
        </w:numPr>
        <w:spacing w:line="360" w:lineRule="exact"/>
        <w:ind w:left="0" w:firstLine="420"/>
        <w:jc w:val="left"/>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5FEAE315">
      <w:pPr>
        <w:numPr>
          <w:ilvl w:val="0"/>
          <w:numId w:val="0"/>
        </w:numPr>
        <w:spacing w:line="360" w:lineRule="exact"/>
        <w:ind w:left="0" w:firstLine="420"/>
        <w:jc w:val="left"/>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CF816C">
      <w:pPr>
        <w:pStyle w:val="5"/>
        <w:spacing w:before="0" w:after="0" w:line="360" w:lineRule="exact"/>
        <w:ind w:firstLine="420"/>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bidi="ar-SA"/>
          <w14:textFill>
            <w14:solidFill>
              <w14:schemeClr w14:val="tx1"/>
            </w14:solidFill>
          </w14:textFill>
        </w:rPr>
        <w:t>32.</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编制依据</w:t>
      </w:r>
    </w:p>
    <w:p w14:paraId="59758A7D">
      <w:pPr>
        <w:numPr>
          <w:ilvl w:val="0"/>
          <w:numId w:val="0"/>
        </w:numPr>
        <w:spacing w:line="360" w:lineRule="exact"/>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本竞争性谈判文件是根据《中华人民共和国政府采购法》《中华人民共和国政府采购法实施条例》《政府采购非招标采购方式管理办法》和政府采购管理有关规定编制。</w:t>
      </w:r>
      <w:bookmarkEnd w:id="525"/>
      <w:bookmarkEnd w:id="526"/>
      <w:bookmarkEnd w:id="527"/>
      <w:bookmarkEnd w:id="528"/>
      <w:bookmarkEnd w:id="529"/>
      <w:bookmarkEnd w:id="530"/>
      <w:bookmarkEnd w:id="531"/>
      <w:bookmarkEnd w:id="532"/>
      <w:bookmarkEnd w:id="533"/>
      <w:bookmarkEnd w:id="534"/>
      <w:bookmarkEnd w:id="535"/>
      <w:bookmarkEnd w:id="536"/>
    </w:p>
    <w:p w14:paraId="65B1BA88">
      <w:pPr>
        <w:pStyle w:val="5"/>
        <w:spacing w:before="0" w:after="0" w:line="360" w:lineRule="exact"/>
        <w:ind w:firstLine="420"/>
        <w:rPr>
          <w:rFonts w:hint="eastAsia" w:ascii="宋体" w:hAnsi="宋体" w:eastAsia="宋体" w:cs="宋体"/>
          <w:b/>
          <w:bCs w:val="0"/>
          <w:color w:val="000000" w:themeColor="text1"/>
          <w:sz w:val="21"/>
          <w:szCs w:val="21"/>
          <w:highlight w:val="none"/>
          <w14:textFill>
            <w14:solidFill>
              <w14:schemeClr w14:val="tx1"/>
            </w14:solidFill>
          </w14:textFill>
        </w:rPr>
      </w:pPr>
      <w:bookmarkStart w:id="537" w:name="_Toc27822"/>
      <w:bookmarkStart w:id="538" w:name="_Toc20007"/>
      <w:bookmarkStart w:id="539" w:name="_Toc2598"/>
      <w:bookmarkStart w:id="540" w:name="_Toc11535"/>
      <w:bookmarkStart w:id="541" w:name="_Toc30022"/>
      <w:bookmarkStart w:id="542" w:name="_Toc18121"/>
      <w:bookmarkStart w:id="543" w:name="_Toc10125"/>
      <w:bookmarkStart w:id="544" w:name="_Toc7388"/>
      <w:bookmarkStart w:id="545" w:name="_Toc10995"/>
      <w:bookmarkStart w:id="546" w:name="_Toc7638"/>
      <w:bookmarkStart w:id="547" w:name="_Toc13981"/>
      <w:bookmarkStart w:id="548" w:name="_Toc23832"/>
      <w:r>
        <w:rPr>
          <w:rFonts w:hint="eastAsia" w:ascii="宋体" w:hAnsi="宋体" w:eastAsia="宋体" w:cs="宋体"/>
          <w:b/>
          <w:bCs w:val="0"/>
          <w:color w:val="000000" w:themeColor="text1"/>
          <w:sz w:val="21"/>
          <w:szCs w:val="21"/>
          <w:highlight w:val="none"/>
          <w:lang w:val="en-US" w:eastAsia="zh-CN" w:bidi="ar-SA"/>
          <w14:textFill>
            <w14:solidFill>
              <w14:schemeClr w14:val="tx1"/>
            </w14:solidFill>
          </w14:textFill>
        </w:rPr>
        <w:t>33.</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监督管理机构</w:t>
      </w:r>
    </w:p>
    <w:p w14:paraId="2668EAF8">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桂林市叠彩区财政局</w:t>
      </w:r>
      <w:r>
        <w:rPr>
          <w:rFonts w:hint="eastAsia" w:ascii="宋体" w:hAnsi="宋体" w:cs="宋体"/>
          <w:color w:val="000000" w:themeColor="text1"/>
          <w:szCs w:val="21"/>
          <w:highlight w:val="none"/>
          <w14:textFill>
            <w14:solidFill>
              <w14:schemeClr w14:val="tx1"/>
            </w14:solidFill>
          </w14:textFill>
        </w:rPr>
        <w:t>，联系方式：</w:t>
      </w:r>
      <w:bookmarkEnd w:id="537"/>
      <w:bookmarkEnd w:id="538"/>
      <w:bookmarkEnd w:id="539"/>
      <w:bookmarkEnd w:id="540"/>
      <w:bookmarkEnd w:id="541"/>
      <w:bookmarkEnd w:id="542"/>
      <w:bookmarkEnd w:id="543"/>
      <w:bookmarkEnd w:id="544"/>
      <w:bookmarkEnd w:id="545"/>
      <w:bookmarkEnd w:id="546"/>
      <w:bookmarkEnd w:id="547"/>
      <w:bookmarkEnd w:id="548"/>
      <w:r>
        <w:rPr>
          <w:rFonts w:hint="eastAsia" w:ascii="宋体" w:hAnsi="宋体" w:cs="宋体"/>
          <w:color w:val="000000" w:themeColor="text1"/>
          <w:szCs w:val="21"/>
          <w:highlight w:val="none"/>
          <w14:textFill>
            <w14:solidFill>
              <w14:schemeClr w14:val="tx1"/>
            </w14:solidFill>
          </w14:textFill>
        </w:rPr>
        <w:t>0773-8983693</w:t>
      </w:r>
    </w:p>
    <w:p w14:paraId="73468AFB">
      <w:pPr>
        <w:spacing w:line="360" w:lineRule="exact"/>
        <w:ind w:firstLine="420"/>
        <w:rPr>
          <w:rFonts w:ascii="宋体" w:hAnsi="宋体" w:cs="宋体"/>
          <w:color w:val="000000" w:themeColor="text1"/>
          <w:szCs w:val="21"/>
          <w:highlight w:val="none"/>
          <w14:textFill>
            <w14:solidFill>
              <w14:schemeClr w14:val="tx1"/>
            </w14:solidFill>
          </w14:textFill>
        </w:rPr>
      </w:pPr>
    </w:p>
    <w:p w14:paraId="7D4EEED5">
      <w:pPr>
        <w:pStyle w:val="13"/>
        <w:rPr>
          <w:rFonts w:hint="eastAsia"/>
          <w:color w:val="000000" w:themeColor="text1"/>
          <w:highlight w:val="none"/>
          <w14:textFill>
            <w14:solidFill>
              <w14:schemeClr w14:val="tx1"/>
            </w14:solidFill>
          </w14:textFill>
        </w:rPr>
      </w:pPr>
    </w:p>
    <w:p w14:paraId="0C45A60E">
      <w:pPr>
        <w:pStyle w:val="13"/>
        <w:rPr>
          <w:rFonts w:hint="eastAsia"/>
          <w:color w:val="000000" w:themeColor="text1"/>
          <w:highlight w:val="none"/>
          <w14:textFill>
            <w14:solidFill>
              <w14:schemeClr w14:val="tx1"/>
            </w14:solidFill>
          </w14:textFill>
        </w:rPr>
      </w:pPr>
    </w:p>
    <w:p w14:paraId="4FEC3234">
      <w:pPr>
        <w:pStyle w:val="13"/>
        <w:rPr>
          <w:rFonts w:hint="eastAsia"/>
          <w:color w:val="000000" w:themeColor="text1"/>
          <w:highlight w:val="none"/>
          <w14:textFill>
            <w14:solidFill>
              <w14:schemeClr w14:val="tx1"/>
            </w14:solidFill>
          </w14:textFill>
        </w:rPr>
      </w:pPr>
    </w:p>
    <w:p w14:paraId="76869FF3">
      <w:pPr>
        <w:pStyle w:val="14"/>
        <w:rPr>
          <w:rFonts w:hint="eastAsia"/>
          <w:color w:val="000000" w:themeColor="text1"/>
          <w:highlight w:val="none"/>
          <w14:textFill>
            <w14:solidFill>
              <w14:schemeClr w14:val="tx1"/>
            </w14:solidFill>
          </w14:textFill>
        </w:rPr>
      </w:pPr>
    </w:p>
    <w:p w14:paraId="6FFD8D62">
      <w:pPr>
        <w:pStyle w:val="13"/>
        <w:rPr>
          <w:rFonts w:hint="eastAsia"/>
          <w:color w:val="000000" w:themeColor="text1"/>
          <w:highlight w:val="none"/>
          <w14:textFill>
            <w14:solidFill>
              <w14:schemeClr w14:val="tx1"/>
            </w14:solidFill>
          </w14:textFill>
        </w:rPr>
      </w:pPr>
    </w:p>
    <w:p w14:paraId="2699724E">
      <w:pPr>
        <w:pStyle w:val="14"/>
        <w:rPr>
          <w:rFonts w:hint="eastAsia"/>
          <w:color w:val="000000" w:themeColor="text1"/>
          <w:highlight w:val="none"/>
          <w14:textFill>
            <w14:solidFill>
              <w14:schemeClr w14:val="tx1"/>
            </w14:solidFill>
          </w14:textFill>
        </w:rPr>
      </w:pPr>
    </w:p>
    <w:p w14:paraId="7173A938">
      <w:pPr>
        <w:pStyle w:val="13"/>
        <w:rPr>
          <w:rFonts w:hint="eastAsia"/>
          <w:color w:val="000000" w:themeColor="text1"/>
          <w:highlight w:val="none"/>
          <w14:textFill>
            <w14:solidFill>
              <w14:schemeClr w14:val="tx1"/>
            </w14:solidFill>
          </w14:textFill>
        </w:rPr>
      </w:pPr>
    </w:p>
    <w:p w14:paraId="0E41E6D3">
      <w:pPr>
        <w:pStyle w:val="14"/>
        <w:rPr>
          <w:rFonts w:hint="eastAsia"/>
          <w:color w:val="000000" w:themeColor="text1"/>
          <w:highlight w:val="none"/>
          <w14:textFill>
            <w14:solidFill>
              <w14:schemeClr w14:val="tx1"/>
            </w14:solidFill>
          </w14:textFill>
        </w:rPr>
      </w:pPr>
    </w:p>
    <w:p w14:paraId="50C68B6F">
      <w:pPr>
        <w:pStyle w:val="13"/>
        <w:rPr>
          <w:rFonts w:hint="eastAsia"/>
          <w:color w:val="000000" w:themeColor="text1"/>
          <w:highlight w:val="none"/>
          <w14:textFill>
            <w14:solidFill>
              <w14:schemeClr w14:val="tx1"/>
            </w14:solidFill>
          </w14:textFill>
        </w:rPr>
      </w:pPr>
    </w:p>
    <w:p w14:paraId="6D32A614">
      <w:pPr>
        <w:pStyle w:val="14"/>
        <w:rPr>
          <w:rFonts w:hint="eastAsia"/>
          <w:color w:val="000000" w:themeColor="text1"/>
          <w:highlight w:val="none"/>
          <w14:textFill>
            <w14:solidFill>
              <w14:schemeClr w14:val="tx1"/>
            </w14:solidFill>
          </w14:textFill>
        </w:rPr>
      </w:pPr>
    </w:p>
    <w:p w14:paraId="0349B72B">
      <w:pPr>
        <w:pStyle w:val="13"/>
        <w:rPr>
          <w:rFonts w:hint="eastAsia"/>
          <w:color w:val="000000" w:themeColor="text1"/>
          <w:highlight w:val="none"/>
          <w14:textFill>
            <w14:solidFill>
              <w14:schemeClr w14:val="tx1"/>
            </w14:solidFill>
          </w14:textFill>
        </w:rPr>
      </w:pPr>
    </w:p>
    <w:p w14:paraId="0B96DCD3">
      <w:pPr>
        <w:pStyle w:val="14"/>
        <w:rPr>
          <w:rFonts w:hint="eastAsia"/>
          <w:color w:val="000000" w:themeColor="text1"/>
          <w:highlight w:val="none"/>
          <w14:textFill>
            <w14:solidFill>
              <w14:schemeClr w14:val="tx1"/>
            </w14:solidFill>
          </w14:textFill>
        </w:rPr>
      </w:pPr>
    </w:p>
    <w:p w14:paraId="03E91547">
      <w:pPr>
        <w:pStyle w:val="13"/>
        <w:rPr>
          <w:rFonts w:hint="eastAsia"/>
          <w:color w:val="000000" w:themeColor="text1"/>
          <w:highlight w:val="none"/>
          <w14:textFill>
            <w14:solidFill>
              <w14:schemeClr w14:val="tx1"/>
            </w14:solidFill>
          </w14:textFill>
        </w:rPr>
      </w:pPr>
    </w:p>
    <w:p w14:paraId="53B86B6D">
      <w:pPr>
        <w:pStyle w:val="14"/>
        <w:rPr>
          <w:rFonts w:hint="eastAsia"/>
          <w:color w:val="000000" w:themeColor="text1"/>
          <w:highlight w:val="none"/>
          <w14:textFill>
            <w14:solidFill>
              <w14:schemeClr w14:val="tx1"/>
            </w14:solidFill>
          </w14:textFill>
        </w:rPr>
      </w:pPr>
    </w:p>
    <w:p w14:paraId="2E2F1A75">
      <w:pPr>
        <w:pStyle w:val="3"/>
        <w:keepNext/>
        <w:keepLines/>
        <w:pageBreakBefore w:val="0"/>
        <w:widowControl w:val="0"/>
        <w:bidi w:val="0"/>
        <w:spacing w:before="0" w:after="0" w:line="240" w:lineRule="auto"/>
        <w:jc w:val="both"/>
        <w:rPr>
          <w:rFonts w:hint="eastAsia"/>
          <w:color w:val="000000" w:themeColor="text1"/>
          <w:sz w:val="32"/>
          <w:szCs w:val="32"/>
          <w:highlight w:val="none"/>
          <w14:textFill>
            <w14:solidFill>
              <w14:schemeClr w14:val="tx1"/>
            </w14:solidFill>
          </w14:textFill>
        </w:rPr>
      </w:pPr>
      <w:bookmarkStart w:id="549" w:name="_Toc819"/>
      <w:bookmarkStart w:id="550" w:name="_Toc11549"/>
      <w:bookmarkStart w:id="551" w:name="_Toc10703"/>
      <w:bookmarkStart w:id="552" w:name="_Toc18847"/>
      <w:bookmarkStart w:id="553" w:name="_Toc23082"/>
      <w:bookmarkStart w:id="554" w:name="_Toc11914"/>
      <w:bookmarkStart w:id="555" w:name="_Toc2351"/>
      <w:bookmarkStart w:id="556" w:name="_Toc7382"/>
      <w:bookmarkStart w:id="557" w:name="_Toc22005"/>
      <w:bookmarkStart w:id="558" w:name="_Toc5383"/>
      <w:bookmarkStart w:id="559" w:name="_Toc31989"/>
      <w:bookmarkStart w:id="560" w:name="_Toc9674"/>
      <w:bookmarkStart w:id="561" w:name="_Toc6208"/>
      <w:bookmarkStart w:id="562" w:name="_Toc10854"/>
      <w:bookmarkStart w:id="563" w:name="_Toc2583"/>
      <w:bookmarkStart w:id="564" w:name="_Toc15558"/>
      <w:bookmarkStart w:id="565" w:name="_Toc20982"/>
      <w:bookmarkStart w:id="566" w:name="_Toc2844"/>
      <w:bookmarkStart w:id="567" w:name="_Toc22045"/>
      <w:bookmarkStart w:id="568" w:name="_Toc6061"/>
      <w:bookmarkStart w:id="569" w:name="_Toc5642"/>
      <w:bookmarkStart w:id="570" w:name="_Toc7875"/>
    </w:p>
    <w:p w14:paraId="062C8CE0">
      <w:pPr>
        <w:pStyle w:val="3"/>
        <w:keepNext/>
        <w:keepLines/>
        <w:pageBreakBefore w:val="0"/>
        <w:widowControl w:val="0"/>
        <w:bidi w:val="0"/>
        <w:spacing w:before="0" w:after="0" w:line="240" w:lineRule="auto"/>
        <w:jc w:val="center"/>
        <w:rPr>
          <w:rFonts w:hint="eastAsia"/>
          <w:color w:val="000000" w:themeColor="text1"/>
          <w:sz w:val="32"/>
          <w:szCs w:val="32"/>
          <w:highlight w:val="none"/>
          <w14:textFill>
            <w14:solidFill>
              <w14:schemeClr w14:val="tx1"/>
            </w14:solidFill>
          </w14:textFill>
        </w:rPr>
      </w:pPr>
    </w:p>
    <w:p w14:paraId="2A988BC5">
      <w:pPr>
        <w:rPr>
          <w:rFonts w:hint="eastAsia"/>
          <w:color w:val="000000" w:themeColor="text1"/>
          <w:highlight w:val="none"/>
          <w14:textFill>
            <w14:solidFill>
              <w14:schemeClr w14:val="tx1"/>
            </w14:solidFill>
          </w14:textFill>
        </w:rPr>
      </w:pPr>
    </w:p>
    <w:p w14:paraId="191A0ED5">
      <w:pPr>
        <w:rPr>
          <w:rFonts w:hint="eastAsia"/>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br w:type="page" w:clear="all"/>
      </w:r>
    </w:p>
    <w:p w14:paraId="61BAE029">
      <w:pPr>
        <w:pStyle w:val="3"/>
        <w:keepNext/>
        <w:keepLines/>
        <w:pageBreakBefore w:val="0"/>
        <w:widowControl w:val="0"/>
        <w:bidi w:val="0"/>
        <w:spacing w:before="0" w:after="0" w:line="240" w:lineRule="auto"/>
        <w:jc w:val="center"/>
        <w:rPr>
          <w:rFonts w:hint="eastAsia"/>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第三章　采购需求</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09508131">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说明：</w:t>
      </w:r>
    </w:p>
    <w:p w14:paraId="3B01B685">
      <w:pPr>
        <w:ind w:firstLine="43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根据《关于调整优化节能产品、环境标志产品政府采购执行机制的通知》（财库〔2019〕9号）的规定，政府采购节能产品、环境标志产品实施品目清单管理，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报价人响应时须提供响应产品的相关证明材料。</w:t>
      </w:r>
    </w:p>
    <w:p w14:paraId="5A84546C">
      <w:pPr>
        <w:ind w:firstLine="43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《节能产品政府采购品目清单》中：</w:t>
      </w:r>
    </w:p>
    <w:p w14:paraId="2AA2E71E">
      <w:pPr>
        <w:numPr>
          <w:ilvl w:val="0"/>
          <w:numId w:val="4"/>
        </w:numPr>
        <w:ind w:left="845"/>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计算机设备（台式计算机、便携式计算机、平板式微型计算机）；</w:t>
      </w:r>
    </w:p>
    <w:p w14:paraId="70C159F2">
      <w:pPr>
        <w:numPr>
          <w:ilvl w:val="0"/>
          <w:numId w:val="4"/>
        </w:numPr>
        <w:ind w:left="845"/>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输入输出设备【打印设备（激光打印机、针式打印机）、显示设备（液晶显示器）】；</w:t>
      </w:r>
    </w:p>
    <w:p w14:paraId="699700A6">
      <w:pPr>
        <w:numPr>
          <w:ilvl w:val="0"/>
          <w:numId w:val="4"/>
        </w:numPr>
        <w:ind w:left="845"/>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制冷空调设备【制冷压缩机（冷水机组、水源热泵机组、溴化锂吸收式冷水机组）、空调机组（多联式空调（热泵）机组（制冷量＞14000W）、单元式空气调节机（制冷量＞14000W）、专用制冷、空调设备（机房空调）】；</w:t>
      </w:r>
    </w:p>
    <w:p w14:paraId="3BC4D3DD">
      <w:pPr>
        <w:numPr>
          <w:ilvl w:val="0"/>
          <w:numId w:val="4"/>
        </w:numPr>
        <w:ind w:left="845"/>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镇流器（管型荧光灯镇流器）；</w:t>
      </w:r>
    </w:p>
    <w:p w14:paraId="334B6F25">
      <w:pPr>
        <w:numPr>
          <w:ilvl w:val="0"/>
          <w:numId w:val="4"/>
        </w:numPr>
        <w:ind w:left="845"/>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生活用电器｛空调机【房间空气调节器、多联式空调（热泵）机组（制冷量≤14000W）、单元式空气调节机（制冷量≤14000W）】、热水器（电热水器）｝；</w:t>
      </w:r>
    </w:p>
    <w:p w14:paraId="20DB6BB8">
      <w:pPr>
        <w:numPr>
          <w:ilvl w:val="0"/>
          <w:numId w:val="4"/>
        </w:numPr>
        <w:ind w:left="845"/>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照明设备（普通照明用双端荧光灯）；</w:t>
      </w:r>
    </w:p>
    <w:p w14:paraId="0AA8EE46">
      <w:pPr>
        <w:numPr>
          <w:ilvl w:val="0"/>
          <w:numId w:val="4"/>
        </w:numPr>
        <w:ind w:left="845"/>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电视设备【普通电视设备（电视机）】；</w:t>
      </w:r>
    </w:p>
    <w:p w14:paraId="04E5A2E2">
      <w:pPr>
        <w:numPr>
          <w:ilvl w:val="0"/>
          <w:numId w:val="4"/>
        </w:numPr>
        <w:ind w:left="845"/>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视频设备【视频监控设备（监视器）】；</w:t>
      </w:r>
    </w:p>
    <w:p w14:paraId="127CD18D">
      <w:pPr>
        <w:numPr>
          <w:ilvl w:val="0"/>
          <w:numId w:val="4"/>
        </w:numPr>
        <w:ind w:left="845"/>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便器（坐便器、蹲便器、小便器）；</w:t>
      </w:r>
    </w:p>
    <w:p w14:paraId="79BDDF7E">
      <w:pPr>
        <w:numPr>
          <w:ilvl w:val="0"/>
          <w:numId w:val="4"/>
        </w:numPr>
        <w:ind w:left="845"/>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水嘴。</w:t>
      </w:r>
    </w:p>
    <w:p w14:paraId="04A8ADCE">
      <w:pPr>
        <w:ind w:firstLine="43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以上所罗列的设备为《节能产品政府采购品目清单》中政府强制采购节能产品，采购人拟采购的产品属于政府强制采购产品的，报价人响应时必须针对该产品出具依据国家确定的认证机构出具的、处于有效期之内的节能产品认证证书扫描件，并加盖报价人CA签章，否则响应无效。</w:t>
      </w:r>
    </w:p>
    <w:p w14:paraId="0B25BB30">
      <w:pPr>
        <w:ind w:firstLine="43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报价人应对响应内容所涉及的专利承担法律责任，并负责保护业主的利益不受任何损害。一切由于文字、商标、技术和软件专利授权引起的法律裁决、诉讼和赔偿费用均由成交供应商负责。同时，具有产品专利的报价人应在其响应文件中提供与其自有产品专利相关的有效证明材料，否则，不能就其产品的专利在本项目</w:t>
      </w:r>
      <w:r>
        <w:rPr>
          <w:rFonts w:hint="eastAsia" w:ascii="宋体" w:hAnsi="宋体" w:cs="宋体"/>
          <w:b/>
          <w:color w:val="000000" w:themeColor="text1"/>
          <w:szCs w:val="21"/>
          <w:highlight w:val="none"/>
          <w:lang w:eastAsia="zh-CN"/>
          <w14:textFill>
            <w14:solidFill>
              <w14:schemeClr w14:val="tx1"/>
            </w14:solidFill>
          </w14:textFill>
        </w:rPr>
        <w:t>响应</w:t>
      </w:r>
      <w:r>
        <w:rPr>
          <w:rFonts w:hint="eastAsia" w:ascii="宋体" w:hAnsi="宋体" w:cs="宋体"/>
          <w:b/>
          <w:color w:val="000000" w:themeColor="text1"/>
          <w:szCs w:val="21"/>
          <w:highlight w:val="none"/>
          <w14:textFill>
            <w14:solidFill>
              <w14:schemeClr w14:val="tx1"/>
            </w14:solidFill>
          </w14:textFill>
        </w:rPr>
        <w:t>过程中被侵权问题而提出异议。</w:t>
      </w:r>
    </w:p>
    <w:p w14:paraId="71698FFC">
      <w:pPr>
        <w:keepNext w:val="0"/>
        <w:keepLines w:val="0"/>
        <w:pageBreakBefore w:val="0"/>
        <w:widowControl w:val="0"/>
        <w:bidi w:val="0"/>
        <w:spacing w:line="240" w:lineRule="auto"/>
        <w:ind w:firstLine="431"/>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bCs/>
          <w:color w:val="000000" w:themeColor="text1"/>
          <w:highlight w:val="none"/>
          <w14:textFill>
            <w14:solidFill>
              <w14:schemeClr w14:val="tx1"/>
            </w14:solidFill>
          </w14:textFill>
        </w:rPr>
        <w:t>根据《关于调整网络安全专用产品安全管理有关事项的公告》(2023年1号)规定，列入《网络关键设备和网络安全专用产品目录》的网络安全专用产品应当按照《信息安全技术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本项目采购需求中的产品如果包括《网络关键设备和网络安全专用产品目录》的网络安全专用产品，供应商应在响应文件中提供国家互联网信息办公室会同工业和信息化部、公安部、国家认证认可监督管理委员会统一公布和更新符合要求的网络关键设备和网络安全专用产品清单的网页截图（同时提供该网页的详细网址），加盖CA签章。</w:t>
      </w:r>
    </w:p>
    <w:p w14:paraId="553CCA47">
      <w:pPr>
        <w:keepNext w:val="0"/>
        <w:keepLines w:val="0"/>
        <w:pageBreakBefore w:val="0"/>
        <w:widowControl w:val="0"/>
        <w:bidi w:val="0"/>
        <w:spacing w:line="240" w:lineRule="auto"/>
        <w:ind w:firstLine="431"/>
        <w:rPr>
          <w:rFonts w:hint="eastAsia" w:ascii="宋体" w:hAnsi="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shd w:val="clear" w:color="auto" w:fill="auto"/>
          <w:lang w:val="en-US" w:eastAsia="zh-CN" w:bidi="ar-SA"/>
          <w14:textFill>
            <w14:solidFill>
              <w14:schemeClr w14:val="tx1"/>
            </w14:solidFill>
          </w14:textFill>
        </w:rPr>
        <w:t>根据《国务院办公厅关于在政府采购中实施本国产品标准及相关政策的通知》（国办发〔2025〕34号），在政府采购活动中既有本国产品又有非本国产品参与竞争的情况下，依法对本国产品给予价格评审优惠。本项目对本国产品给予价格扣除，扣除比例详见评标方法。供应商如申请享受此项价格扣除，必须按本文件“响应文件（格式）”要求，填写并提交《关于符合本国产品标准的声明函》。未提交或提交不符合要求的，不享受扣除，按其原报价计算价格分。</w:t>
      </w:r>
    </w:p>
    <w:p w14:paraId="510DE175">
      <w:pPr>
        <w:keepNext w:val="0"/>
        <w:keepLines w:val="0"/>
        <w:pageBreakBefore w:val="0"/>
        <w:widowControl w:val="0"/>
        <w:bidi w:val="0"/>
        <w:spacing w:line="240" w:lineRule="auto"/>
        <w:ind w:firstLine="43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、报价人应注意下列内容：</w:t>
      </w:r>
    </w:p>
    <w:p w14:paraId="36467091">
      <w:pPr>
        <w:keepNext w:val="0"/>
        <w:keepLines w:val="0"/>
        <w:pageBreakBefore w:val="0"/>
        <w:widowControl w:val="0"/>
        <w:bidi w:val="0"/>
        <w:spacing w:line="240" w:lineRule="auto"/>
        <w:ind w:firstLine="43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1）本需求一览表中</w:t>
      </w:r>
      <w:r>
        <w:rPr>
          <w:rFonts w:hint="eastAsia" w:ascii="宋体" w:hAnsi="宋体" w:cs="宋体"/>
          <w:b/>
          <w:bCs/>
          <w:color w:val="000000" w:themeColor="text1"/>
          <w:szCs w:val="21"/>
          <w:highlight w:val="none"/>
          <w14:textFill>
            <w14:solidFill>
              <w14:schemeClr w14:val="tx1"/>
            </w14:solidFill>
          </w14:textFill>
        </w:rPr>
        <w:t>所有要求均为实质性要求</w:t>
      </w:r>
      <w:r>
        <w:rPr>
          <w:rFonts w:hint="eastAsia" w:ascii="宋体" w:hAnsi="宋体" w:cs="宋体"/>
          <w:b/>
          <w:color w:val="000000" w:themeColor="text1"/>
          <w:szCs w:val="21"/>
          <w:highlight w:val="none"/>
          <w14:textFill>
            <w14:solidFill>
              <w14:schemeClr w14:val="tx1"/>
            </w14:solidFill>
          </w14:textFill>
        </w:rPr>
        <w:t>，不允许负偏离，否则响应无效。报价人须满足或响应，若无法完全满足，将会被认定为无效报价。</w:t>
      </w:r>
    </w:p>
    <w:p w14:paraId="552E3C92">
      <w:pPr>
        <w:keepNext w:val="0"/>
        <w:keepLines w:val="0"/>
        <w:pageBreakBefore w:val="0"/>
        <w:widowControl w:val="0"/>
        <w:bidi w:val="0"/>
        <w:spacing w:line="240" w:lineRule="auto"/>
        <w:ind w:firstLine="420"/>
        <w:jc w:val="left"/>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报价人须在响应文件中填写/应答技术规格参数，当响应文件中技术参数与竞争性谈判文件中技术参数有偏离时，须在“偏离”栏内如实注明是“正偏离”或“负偏离”，“正偏离”指响应设备的技术参数优于竞争性谈判文件中要求，“负偏离”指</w:t>
      </w:r>
      <w:r>
        <w:rPr>
          <w:rFonts w:hint="eastAsia" w:ascii="宋体" w:hAnsi="宋体" w:cs="宋体"/>
          <w:b/>
          <w:color w:val="000000" w:themeColor="text1"/>
          <w:szCs w:val="21"/>
          <w:highlight w:val="none"/>
          <w:lang w:eastAsia="zh-CN"/>
          <w14:textFill>
            <w14:solidFill>
              <w14:schemeClr w14:val="tx1"/>
            </w14:solidFill>
          </w14:textFill>
        </w:rPr>
        <w:t>响应</w:t>
      </w:r>
      <w:r>
        <w:rPr>
          <w:rFonts w:hint="eastAsia" w:ascii="宋体" w:hAnsi="宋体" w:cs="宋体"/>
          <w:b/>
          <w:color w:val="000000" w:themeColor="text1"/>
          <w:szCs w:val="21"/>
          <w:highlight w:val="none"/>
          <w14:textFill>
            <w14:solidFill>
              <w14:schemeClr w14:val="tx1"/>
            </w14:solidFill>
          </w14:textFill>
        </w:rPr>
        <w:t>设备的技术参数低于竞争性谈判文件中要求。响应文件中的技术参数、功能或其它内容有“正偏离”的，报价人须对“正偏离”的情况单独作出说明。</w:t>
      </w:r>
    </w:p>
    <w:p w14:paraId="4AF255F6">
      <w:pPr>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14:paraId="244EF191">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采购需求</w:t>
      </w:r>
    </w:p>
    <w:p w14:paraId="78EC723C">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注：“采购需求”中所有要求均为实质性要求，不允许负偏离，否则视为无效响应</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报价人须满足或响应，若无法完全满足，将会被认定为无效报价。</w:t>
      </w:r>
    </w:p>
    <w:p w14:paraId="350FDA80">
      <w:pPr>
        <w:jc w:val="both"/>
        <w:outlineLvl w:val="0"/>
        <w:rPr>
          <w:rStyle w:val="254"/>
          <w:rFonts w:hint="eastAsia" w:ascii="宋体" w:hAnsi="宋体" w:cs="宋体"/>
          <w:color w:val="000000" w:themeColor="text1"/>
          <w:sz w:val="32"/>
          <w:szCs w:val="32"/>
          <w:highlight w:val="none"/>
          <w:lang w:val="en-US" w:eastAsia="zh-CN"/>
          <w14:textFill>
            <w14:solidFill>
              <w14:schemeClr w14:val="tx1"/>
            </w14:solidFill>
          </w14:textFill>
        </w:rPr>
      </w:pPr>
    </w:p>
    <w:p w14:paraId="1AA212DF">
      <w:pPr>
        <w:outlineLvl w:val="0"/>
        <w:rPr>
          <w:rFonts w:hint="eastAsia" w:ascii="宋体" w:hAnsi="宋体" w:cs="宋体"/>
          <w:b/>
          <w:color w:val="000000" w:themeColor="text1"/>
          <w:szCs w:val="21"/>
          <w:highlight w:val="none"/>
          <w14:textFill>
            <w14:solidFill>
              <w14:schemeClr w14:val="tx1"/>
            </w14:solidFill>
          </w14:textFill>
        </w:rPr>
      </w:pPr>
      <w:r>
        <w:rPr>
          <w:rStyle w:val="254"/>
          <w:rFonts w:hint="eastAsia" w:ascii="宋体" w:hAnsi="宋体" w:cs="宋体"/>
          <w:color w:val="000000" w:themeColor="text1"/>
          <w:sz w:val="32"/>
          <w:szCs w:val="32"/>
          <w:highlight w:val="none"/>
          <w:lang w:val="en-US" w:eastAsia="zh-CN"/>
          <w14:textFill>
            <w14:solidFill>
              <w14:schemeClr w14:val="tx1"/>
            </w14:solidFill>
          </w14:textFill>
        </w:rPr>
        <w:t>一、技术规格需求</w:t>
      </w:r>
    </w:p>
    <w:tbl>
      <w:tblPr>
        <w:tblStyle w:val="42"/>
        <w:tblW w:w="4913" w:type="pc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29"/>
        <w:gridCol w:w="5302"/>
        <w:gridCol w:w="499"/>
        <w:gridCol w:w="487"/>
        <w:gridCol w:w="1072"/>
        <w:gridCol w:w="1020"/>
      </w:tblGrid>
      <w:tr w14:paraId="18D6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51" w:type="pct"/>
            <w:noWrap w:val="0"/>
            <w:vAlign w:val="center"/>
          </w:tcPr>
          <w:p w14:paraId="6398F85E">
            <w:pPr>
              <w:spacing w:line="440" w:lineRule="exact"/>
              <w:jc w:val="center"/>
              <w:rPr>
                <w:rFonts w:ascii="宋体" w:hAnsi="宋体" w:cs="宋体"/>
                <w:b/>
                <w:color w:val="000000" w:themeColor="text1"/>
                <w:szCs w:val="21"/>
                <w:highlight w:val="none"/>
                <w14:textFill>
                  <w14:solidFill>
                    <w14:schemeClr w14:val="tx1"/>
                  </w14:solidFill>
                </w14:textFill>
              </w:rPr>
            </w:pPr>
            <w:bookmarkStart w:id="571" w:name="_Toc2465"/>
            <w:bookmarkStart w:id="572" w:name="bookmark1"/>
            <w:bookmarkStart w:id="573" w:name="_Toc7819"/>
            <w:bookmarkStart w:id="574" w:name="_Toc25576"/>
            <w:bookmarkStart w:id="575" w:name="_Toc14654"/>
            <w:bookmarkStart w:id="576" w:name="_Toc29717"/>
            <w:bookmarkStart w:id="577" w:name="_Toc26443"/>
            <w:bookmarkStart w:id="578" w:name="_Toc7414"/>
            <w:bookmarkStart w:id="579" w:name="_Toc13874"/>
            <w:bookmarkStart w:id="580" w:name="_Toc32593"/>
            <w:bookmarkStart w:id="581" w:name="_Toc6632"/>
            <w:bookmarkStart w:id="582" w:name="_Toc21572"/>
            <w:bookmarkStart w:id="583" w:name="_Toc3679_WPSOffice_Level1"/>
            <w:r>
              <w:rPr>
                <w:rFonts w:hint="eastAsia" w:ascii="宋体" w:hAnsi="宋体" w:cs="宋体"/>
                <w:b/>
                <w:bCs/>
                <w:color w:val="000000" w:themeColor="text1"/>
                <w:szCs w:val="21"/>
                <w:highlight w:val="none"/>
                <w14:textFill>
                  <w14:solidFill>
                    <w14:schemeClr w14:val="tx1"/>
                  </w14:solidFill>
                </w14:textFill>
              </w:rPr>
              <w:t>项号</w:t>
            </w:r>
          </w:p>
        </w:tc>
        <w:tc>
          <w:tcPr>
            <w:tcW w:w="551" w:type="pct"/>
            <w:noWrap w:val="0"/>
            <w:vAlign w:val="center"/>
          </w:tcPr>
          <w:p w14:paraId="5C311D03">
            <w:pPr>
              <w:spacing w:line="44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标的名称</w:t>
            </w:r>
          </w:p>
        </w:tc>
        <w:tc>
          <w:tcPr>
            <w:tcW w:w="2592" w:type="pct"/>
            <w:noWrap w:val="0"/>
            <w:vAlign w:val="center"/>
          </w:tcPr>
          <w:p w14:paraId="2359252B">
            <w:pPr>
              <w:spacing w:line="44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项</w:t>
            </w:r>
            <w:r>
              <w:rPr>
                <w:rFonts w:hint="eastAsia" w:ascii="宋体" w:hAnsi="宋体" w:cs="宋体"/>
                <w:b/>
                <w:bCs/>
                <w:color w:val="000000" w:themeColor="text1"/>
                <w:sz w:val="21"/>
                <w:szCs w:val="21"/>
                <w:highlight w:val="none"/>
                <w14:textFill>
                  <w14:solidFill>
                    <w14:schemeClr w14:val="tx1"/>
                  </w14:solidFill>
                </w14:textFill>
              </w:rPr>
              <w:t>目要求及技术需求</w:t>
            </w:r>
          </w:p>
        </w:tc>
        <w:tc>
          <w:tcPr>
            <w:tcW w:w="243" w:type="pct"/>
            <w:noWrap w:val="0"/>
            <w:vAlign w:val="center"/>
          </w:tcPr>
          <w:p w14:paraId="635A588E">
            <w:pPr>
              <w:spacing w:line="44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数量</w:t>
            </w:r>
          </w:p>
        </w:tc>
        <w:tc>
          <w:tcPr>
            <w:tcW w:w="238" w:type="pct"/>
            <w:noWrap w:val="0"/>
            <w:vAlign w:val="center"/>
          </w:tcPr>
          <w:p w14:paraId="51718873">
            <w:pPr>
              <w:spacing w:line="44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单位</w:t>
            </w:r>
          </w:p>
        </w:tc>
        <w:tc>
          <w:tcPr>
            <w:tcW w:w="524" w:type="pct"/>
            <w:noWrap w:val="0"/>
            <w:vAlign w:val="center"/>
          </w:tcPr>
          <w:p w14:paraId="1A9F4320">
            <w:pPr>
              <w:spacing w:line="44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参考单价（元）</w:t>
            </w:r>
          </w:p>
        </w:tc>
        <w:tc>
          <w:tcPr>
            <w:tcW w:w="498" w:type="pct"/>
            <w:noWrap w:val="0"/>
            <w:vAlign w:val="center"/>
          </w:tcPr>
          <w:p w14:paraId="683DFEDF">
            <w:pPr>
              <w:spacing w:line="44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参考合价（元）</w:t>
            </w:r>
          </w:p>
        </w:tc>
      </w:tr>
      <w:tr w14:paraId="28BD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7DBCCF03">
            <w:pPr>
              <w:widowControl/>
              <w:spacing w:line="44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p>
        </w:tc>
        <w:tc>
          <w:tcPr>
            <w:tcW w:w="551" w:type="pct"/>
            <w:noWrap w:val="0"/>
            <w:vAlign w:val="center"/>
          </w:tcPr>
          <w:p w14:paraId="2FF2AD05">
            <w:pPr>
              <w:keepNext w:val="0"/>
              <w:keepLines w:val="0"/>
              <w:widowControl/>
              <w:suppressLineNumbers w:val="0"/>
              <w:jc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智慧黑板</w:t>
            </w:r>
          </w:p>
        </w:tc>
        <w:tc>
          <w:tcPr>
            <w:tcW w:w="2592" w:type="pct"/>
            <w:noWrap w:val="0"/>
            <w:vAlign w:val="center"/>
          </w:tcPr>
          <w:p w14:paraId="52214529">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一、屏显技术设计</w:t>
            </w:r>
          </w:p>
          <w:p w14:paraId="16691A03">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1、整机采⽤超⾼清LED液晶屏，显示分辨率</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w:t>
            </w: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3840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w:t>
            </w: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2160，可视角度≥178°。</w:t>
            </w:r>
          </w:p>
          <w:p w14:paraId="77C85543">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2、整机内置全视角背光增光膜，通过增光膜对背光光源进行均光，整机屏幕中心亮度三分之一的亮度观看视角≥130°。</w:t>
            </w:r>
          </w:p>
          <w:p w14:paraId="45FA0D44">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3、整机内置全视角背光增光膜，通过增光膜对背光光源进行均光，在屏幕中心亮度≥350cd/㎡下，增加屏幕两侧亮度，使得整机水平方向法线60度视角下，实际屏幕的观看有效亮度≥110cd/㎡。</w:t>
            </w:r>
          </w:p>
          <w:p w14:paraId="7712D0C3">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4、整机内置全视角背光增光膜，通过增光膜对背光光源进行均光，整机白场画面下亮度均匀性≥85%。</w:t>
            </w:r>
          </w:p>
          <w:p w14:paraId="3BCB7E03">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5、屏幕采用≤3mm钢化玻璃保护，表⾯硬度≥9H或莫氏硬度7级，透光率不低于91%，雾度≤8%。</w:t>
            </w:r>
          </w:p>
          <w:p w14:paraId="51FF94BC">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6、整机背光系统支持DC调光方式，多级亮度调节，支持白颜色背景下最暗亮度≤100nit。</w:t>
            </w:r>
          </w:p>
          <w:p w14:paraId="6F2B01FE">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7、整机屏幕蓝光占比（有害蓝光415～455nm能量综合）/（整体蓝光400～500nm能量综合）＜50%。</w:t>
            </w:r>
          </w:p>
          <w:p w14:paraId="12E36C45">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二、基础硬件设计</w:t>
            </w:r>
          </w:p>
          <w:p w14:paraId="4FA4B282">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1、整体外观尺寸：宽≥4200mm，高≥1200mm，厚≤111mm。</w:t>
            </w:r>
          </w:p>
          <w:p w14:paraId="72A2A516">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2、整机采用全金属外壳，三拼接平面一体化设计。</w:t>
            </w:r>
          </w:p>
          <w:p w14:paraId="05ACF084">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3、整机屏幕边缘采用金属圆角包边防护，整机背板采用金属材质，有效屏蔽内部电路器件辐射；防潮耐盐雾蚀锈，适应多种教学环境。</w:t>
            </w:r>
          </w:p>
          <w:p w14:paraId="47C8D128">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4、无推拉式结构，外部无任何可见内部功能模块连接线。</w:t>
            </w:r>
          </w:p>
          <w:p w14:paraId="32A75F53">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5、整机屏幕采用≥86英寸液晶显示器。</w:t>
            </w:r>
          </w:p>
          <w:p w14:paraId="3E6CA985">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6、前置USB接口支持Android系统、Windows系统读取外接移动存储设备。</w:t>
            </w:r>
          </w:p>
          <w:p w14:paraId="466629B0">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7、侧置输入接口具备≥2路HDMI、≥1路RS232（RJ45形态）、≥1路USB接口。</w:t>
            </w:r>
          </w:p>
          <w:p w14:paraId="4EC8ADF0">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8、侧置输出接口具备≥1路音频输出、≥1路触控USB输出。</w:t>
            </w:r>
          </w:p>
          <w:p w14:paraId="7FE19EE0">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9、前置输入接口≥3路USB接口（至少包含1路Type-C、2路USB）。</w:t>
            </w:r>
          </w:p>
          <w:p w14:paraId="1B8D02AF">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10、整机具备≥6前置按键，可实现开关机、音量＋－、护眼、录屏、设置功能。</w:t>
            </w:r>
          </w:p>
          <w:p w14:paraId="5F064E8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1</w:t>
            </w: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整机前置按键支持自定义设置，可通过自定义设置实现前置面板功能按键一键启用任一全局小工具（批注、截屏、计时、降半屏、放大镜、倒数日、日历）、快捷开关（节能模式、纸质护眼模式、经典护眼模式、自动亮度模式）。</w:t>
            </w:r>
          </w:p>
          <w:p w14:paraId="3B012ED4">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三、音频模块功能</w:t>
            </w:r>
          </w:p>
          <w:p w14:paraId="34600505">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1、整机设备内置2.2声道扬声器，≥12W高音扬声器≥2个，≥30W中低音扬声器≥2个，最大功率≥84W。</w:t>
            </w:r>
          </w:p>
          <w:p w14:paraId="7C0C7F1B">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2、整机全部扬声器无需打开背板即可单独拆卸。</w:t>
            </w:r>
          </w:p>
          <w:p w14:paraId="092CB5B4">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3、整机可选择高级音效设置，支持在左右声道平衡显示范围中进行更改。中低频段可选择调节范围125Hz～1kHz,高频段可选择调节范围 2kHz～16kHz,分贝可选择调节范围-12dB～12dB。</w:t>
            </w:r>
          </w:p>
          <w:p w14:paraId="0202E0E4">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4、整机内置不低于非独立外扩展的8阵列麦克风，拾音角度≥180°，可用于对教室环境音频进行采集，拾音距离≥12m。</w:t>
            </w:r>
          </w:p>
          <w:p w14:paraId="318E4DF9">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5、整机内置麦克风声源定位算法，声源定位精度≤5度，可以识别回答问题的学生方位。</w:t>
            </w:r>
          </w:p>
          <w:p w14:paraId="194F6E5D">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6、整机内置扬声器采用缝隙发声技术，喇叭采用槽式开口设计。</w:t>
            </w:r>
          </w:p>
          <w:p w14:paraId="7A3047AD">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7、内置摄像头、麦克风无需外接线材连接，无任何可见外接线材及模块化拼接痕迹，未占用整机设备端口。</w:t>
            </w:r>
          </w:p>
          <w:p w14:paraId="6A856F08">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8、支持标准、听力、观影和AI空间感知音效模式，AI空间感知音效模式可通过内置麦克风采集教室物理环境声音，自动生成符合当前教室物理环境的频段、音量、音效。</w:t>
            </w:r>
          </w:p>
          <w:p w14:paraId="1E7DE4A5">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9、整机听力模式下具备AI人声语言增强功能，支持三</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档</w:t>
            </w: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强弱调节。扩声系统语言传输指数（STIPA）≥0.75。</w:t>
            </w:r>
          </w:p>
          <w:p w14:paraId="517B12DA">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10、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p>
          <w:p w14:paraId="5022898D">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11、整机具备熄屏扩声功能，在关闭显示部分的情况下可播放音频及本地扩音。</w:t>
            </w:r>
          </w:p>
          <w:p w14:paraId="1F21F948">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12、整机支持在无任何外部设备的情况下，实时录制用户朗读内容，识别用户声纹并进行统一身份登录。</w:t>
            </w:r>
          </w:p>
          <w:p w14:paraId="77BDF93C">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13、整机侧边栏内置朗读工具，通过整机麦克风监测教室中学生的朗读情况，并以游戏化界面反馈学生朗读音量大小。</w:t>
            </w:r>
          </w:p>
          <w:p w14:paraId="09CE6C49">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14、整机侧边栏内置自习工具，通过整机麦克风监测教室中学生音量大小，当学生音量大于阈值时，屏幕自动弹窗提醒进行自习纪律干预。</w:t>
            </w:r>
          </w:p>
          <w:p w14:paraId="321FAA35">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15、整机内置交互式白板软件支持汉字语音测评功能，通过整机拾音麦进行用户声音采集分析，判断用户发音是否标准。</w:t>
            </w:r>
          </w:p>
          <w:p w14:paraId="20714246">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16、整机侧边栏内置智能语音转文字工具，将整机内置麦克风拾取的语音进行文字转译，以悬浮字幕形式将转译文字显示在屏幕上。</w:t>
            </w:r>
          </w:p>
          <w:p w14:paraId="46208817">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四、视频模块功能</w:t>
            </w:r>
          </w:p>
          <w:p w14:paraId="3EFC29EA">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1、整机内置摄像头（非外扩），PC通道下支持通过视频展台软件调用摄像头进行二维码扫码识别。</w:t>
            </w:r>
          </w:p>
          <w:p w14:paraId="1606762A">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2、整机内置非独立摄像头，可拍摄≥5000万像素数的照片。</w:t>
            </w:r>
          </w:p>
          <w:p w14:paraId="31549C49">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3、整机内置非独立广角高清摄像头，视场角≥135度且水平视场角≥120度，支持输出4:3、16:9比例的图片和视频；在清晰度不低于3840x2160（4K）分辨率下，支持不少于30帧的视频输出，支持画面畸变矫正功能 。</w:t>
            </w:r>
          </w:p>
          <w:p w14:paraId="60BEE6E8">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4、整机支持距离摄像头位置≥10米距离的AI识别人脸。</w:t>
            </w:r>
          </w:p>
          <w:p w14:paraId="08F2828F">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5、整机上边框内置非独立式广角高清摄像头， 均支持 3D 降噪算法和数字宽动态范围成像WDR 技术，支持输出 MJPG、 H.264 视频格式。</w:t>
            </w:r>
          </w:p>
          <w:p w14:paraId="2CF1250C">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6、具备摄像头工作指示灯，摄像头运行时，有指示灯提示。</w:t>
            </w:r>
          </w:p>
          <w:p w14:paraId="4E0C620F">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7、整机内置非独立的高清摄像头，可用于远程巡课。</w:t>
            </w:r>
          </w:p>
          <w:p w14:paraId="1F06B9F9">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8、整机摄像头支持人脸识别、清点人数、随机抽人；识别所有学生，显示标记，然后随机抽选，同时显示标记不少于60人。</w:t>
            </w:r>
          </w:p>
          <w:p w14:paraId="726892EC">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9、整机支持通过人脸识别进行登录账号。</w:t>
            </w:r>
          </w:p>
          <w:p w14:paraId="4C5474FD">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10、整机摄像头支持环境色温判断，根据环境调节合适的显示图像效果。</w:t>
            </w:r>
          </w:p>
          <w:p w14:paraId="323190BB">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11、整机具备班级视力检测功能，学⽣站在距离屏幕前，可通过⼿势识别方式来标识方向进行视力测试，测试完成后可直接生成视力检测结果，并建立学生视力档案，对学生视力情况进⾏管理</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w:t>
            </w:r>
          </w:p>
          <w:p w14:paraId="06B8088C">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五、OPS模块设计</w:t>
            </w:r>
          </w:p>
          <w:p w14:paraId="75DE32DA">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1、CPU：搭载Intel酷睿系列 i5 CPU</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同性能及以上配置</w:t>
            </w: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；内存：</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w:t>
            </w: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 GB DDR4笔记本内存；硬盘：</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≥256</w:t>
            </w: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 xml:space="preserve"> GB</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 xml:space="preserve"> </w:t>
            </w: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SSD固态硬盘。</w:t>
            </w:r>
          </w:p>
          <w:p w14:paraId="05FB677A">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2、采用按压式卡扣，无需工具即可快速拆卸电脑模块。</w:t>
            </w:r>
          </w:p>
          <w:p w14:paraId="7C8177C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3、PC 模块可抽拉式插入整机，可实现无单独接线的拔插。</w:t>
            </w:r>
          </w:p>
          <w:p w14:paraId="7AFD11F4">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4、具有独立非外拓展的视频输出接口：≥1 路 HDMI。</w:t>
            </w:r>
          </w:p>
          <w:p w14:paraId="68B72BF8">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5、具有独立非外拓展的电脑 USB 接口：至少具备 4个USB3.0 接口。</w:t>
            </w:r>
          </w:p>
          <w:p w14:paraId="48E38ED6">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6、具有标准 PC 防盗锁孔，确保电脑模块安全防盗。</w:t>
            </w:r>
          </w:p>
          <w:p w14:paraId="53DB0CC4">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7、和整机的连接采用万兆级接口，传输速率≥10Gbps。</w:t>
            </w:r>
          </w:p>
          <w:p w14:paraId="670C5D89">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8、和整机的连接接口针脚数≤40pin。</w:t>
            </w:r>
          </w:p>
          <w:p w14:paraId="4701D89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六、无线互联功能</w:t>
            </w:r>
          </w:p>
          <w:p w14:paraId="5629EF1D">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1、整机无线模块（Wi-Fi和蓝牙）采用独立模块化设计，无需拆卸整机后壳即可独立拆装。</w:t>
            </w:r>
          </w:p>
          <w:p w14:paraId="46648E39">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2、Wi-Fi和AP热点工作距离≥12m。</w:t>
            </w:r>
          </w:p>
          <w:p w14:paraId="109E38A9">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3、整机支持蓝牙Bluetooth 5.4标准。</w:t>
            </w:r>
          </w:p>
          <w:p w14:paraId="605F239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4、整机PC端支持主动发现蓝牙外设从而连接（无需整机进入发现模式），支持连接外部蓝牙音箱播放音频。</w:t>
            </w:r>
          </w:p>
          <w:p w14:paraId="222D2A1C">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5、整机支持发出频率为18kHz-22kHz超声波信号，智能手机和笔记本电脑接收超声波信号后可以自动识别附近投屏设备，点击对应设备即可完成投屏操作。</w:t>
            </w:r>
          </w:p>
          <w:p w14:paraId="77F498C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6、整机配套教学应用APP可通过Wi-Fi直连技术，近场发现附近教学大屏设备，无需扫码、账号密码输入步骤，即可直接连接并登录教学大屏设备，基于统一身份认证机制可实现其他教学软件免登录操作。</w:t>
            </w:r>
          </w:p>
          <w:p w14:paraId="26426A04">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p>
          <w:p w14:paraId="7578DDB0">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8、整机内置双Wi-Fi6无线网卡（不接受外接），在Android和Windows系统下，可实现Wi-Fi无线上网连接、AP无线热点发射。</w:t>
            </w:r>
          </w:p>
          <w:p w14:paraId="4ED25AC2">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9、整机PC通道及安卓通道各具备一颗Wi-Fi6无线芯片，PC和安卓通道均可通过大屏发送Wi-Fi6热点以及连接Wi-Fi6的路由器。</w:t>
            </w:r>
          </w:p>
          <w:p w14:paraId="3B8A8099">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七、侧边栏教学设计</w:t>
            </w:r>
          </w:p>
          <w:p w14:paraId="5571CA00">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1、整机安卓和外接通道(至少2路HDMI)下侧边栏支持设置倒数日。</w:t>
            </w:r>
          </w:p>
          <w:p w14:paraId="64D005D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整机安卓和外接通道(至少2路HDMI)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6AE9E304">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3、整机支持在设备上通过摄像头获取教室内图像并自动识别图像内所有人员，并随机抽选1人，支持在大屏幕上手动框选特定教室区域作为抽选范围进行抽选。</w:t>
            </w:r>
          </w:p>
          <w:p w14:paraId="40700140">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4、教学桌面支持增加网页快捷打开方式，数量≥8个，并支持自定义网址命名。</w:t>
            </w:r>
          </w:p>
          <w:p w14:paraId="6A610EF4">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5、整机全通道侧边栏快捷菜单包含如下小工具：批注、降半屏、截屏、放大镜、倒计时、日历、聚光灯、秒表、冻屏、倒数日、答题、节拍器。</w:t>
            </w:r>
          </w:p>
          <w:p w14:paraId="753EE33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八、触摸系统设计</w:t>
            </w:r>
          </w:p>
          <w:p w14:paraId="0A496A4A">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1、整机采用红外触控技术，Windows系统和Android系统均支持≥50点触控及书写划线。</w:t>
            </w:r>
          </w:p>
          <w:p w14:paraId="155D1927">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2、触摸分辨率不低于32768×32768。</w:t>
            </w:r>
          </w:p>
          <w:p w14:paraId="492A0DC9">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3、整机触控书写功能集成预测算法，支持多档预测速度可调节，在书写速度≥50cm/s，支持笔迹距离笔的距离小于20mm。</w:t>
            </w:r>
          </w:p>
          <w:p w14:paraId="21A07138">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4、触摸最小识别物≤3mm。</w:t>
            </w:r>
          </w:p>
          <w:p w14:paraId="2EF83412">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5、触摸响应≤4ms。</w:t>
            </w:r>
          </w:p>
          <w:p w14:paraId="55C5617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6、整机支持提笔书写，在Windows系统下可实现无需点击任意功能入口，当检测到红外笔笔尖接触屏幕时，自动进入书写模式。</w:t>
            </w:r>
          </w:p>
          <w:p w14:paraId="59FFFF0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7、整机支持手笔分离，通过提笔即写唤醒批注功能后，可进行手笔分离功能，使用笔正常书写，使用手指可以操作应用，进行点击操作。</w:t>
            </w:r>
          </w:p>
          <w:p w14:paraId="68DD12AA">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8、整机触摸支持动态压力感应，支持无任何电子功能的普通书写笔在整机上书写或点压时，整机能感应压力变化，书写或点压过程笔迹呈现不同粗细。</w:t>
            </w:r>
          </w:p>
          <w:p w14:paraId="5A06E495">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九、嵌入式系统</w:t>
            </w:r>
          </w:p>
          <w:p w14:paraId="28469F0B">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1、整机嵌入式系统版本≥Android 15，CPU≥8核，主频≥1.6GHz，内存≥2GB，存储空间≥32GB。</w:t>
            </w:r>
          </w:p>
          <w:p w14:paraId="5CD6C29A">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2、整机从待机状态下（待机功耗≤0.5W），可12s内开机进入到系统主页，并达到可触控状态。</w:t>
            </w:r>
          </w:p>
          <w:p w14:paraId="2962C470">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3、整机全通道支持4K显示，包括安卓通道、PC通道、HDMI通道。</w:t>
            </w:r>
          </w:p>
          <w:p w14:paraId="2CBED9AC">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4、长时间无人使用屏幕可自动息屏，用户可通过整机内置触摸中控菜单进行开启和关闭，可自定义无人操作息屏时间间隔为1小时、2小时。</w:t>
            </w:r>
          </w:p>
          <w:p w14:paraId="48B55490">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5、整机CPU芯片，Wi-Fi与蓝牙芯片、摄像头图像处理芯片、均采用国产自主芯片。</w:t>
            </w:r>
          </w:p>
          <w:p w14:paraId="7DF80739">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十、教学功能应用</w:t>
            </w:r>
          </w:p>
          <w:p w14:paraId="3276B1DC">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整机内置交互式白板软件支持课件多人在线协同编辑，支持以链接的形式进行课件分享、邀请协作，支持查看当前在线用户，针对邀请协同的用户可设置可编辑、可阅读权限，支持将PPT课件转化为交互式课件进行协同编辑。</w:t>
            </w:r>
          </w:p>
          <w:p w14:paraId="3DDCEF5F">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2、整机白板软件支持智能图表绘制，可将手绘表格转化为智能表格，形成表格对象后表格中书写区域可根据书写内容自适应调整大小，支持将表格外书写内容一键拖动到表格中。</w:t>
            </w:r>
          </w:p>
          <w:p w14:paraId="214683AD">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3、交互式白板软件支持手写笔迹的智能编辑，支持通过手绘置换符置换前后文字语序，支持手动涂抹笔迹对象进行删除，支持圈选笔迹对象进行手写笔迹缩放，支持文字间手绘竖线进行文字间距的调整。</w:t>
            </w:r>
          </w:p>
          <w:p w14:paraId="31D4EC20">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4、整机内置计算器应用，支持多项式复杂计算，对多项式进行积分、求导、多项式展开和多项式分解，支持对多项式进行绘制图像，展示绘制结果。</w:t>
            </w:r>
          </w:p>
          <w:p w14:paraId="241BA2E2">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5、支持通过悬浮球调起元素周期表，支持对不同类别元素进行颜色区分，可通过点击对不同元素进行分类展示，展示样式支持按原子数/原子结构/相对原子质量/电子构型配置元素方式进行调整。</w:t>
            </w:r>
          </w:p>
          <w:p w14:paraId="50D3521E">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6、整机内置学生日历功能，支持全屏查看日历、显示法定节日；用户可以添加日历事件，设定特定时间并关联本机安卓应用，事件到期后，可以通过事件提醒打开关联的应用，如欢迎词、白板应用。</w:t>
            </w:r>
          </w:p>
          <w:p w14:paraId="1F0824F8">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7、整机内置欢迎词应用，可自定义欢迎词或选择使用默认模板，欢迎词可展示、替换背景、添加文字、设置倒计时。</w:t>
            </w:r>
          </w:p>
          <w:p w14:paraId="6890C2DE">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十一、教学备授课软件设计</w:t>
            </w:r>
          </w:p>
          <w:p w14:paraId="01E9018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（一）白板教学PC端应用</w:t>
            </w:r>
          </w:p>
          <w:p w14:paraId="45AC2662">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1、教学系统为全校教师提供可扩展，易于学校管理，安全可靠的云存储空间。</w:t>
            </w:r>
          </w:p>
          <w:p w14:paraId="1180B737">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教学系统须为使用方全体教师配备个人账号，形成一体的信息化教学账号体系；根据教师账号信息将教师云空间匹配至对应学校、学科校本资源库。支持通过数字账号、微信二维码、硬件密钥方式登录教师个人账号。</w:t>
            </w:r>
          </w:p>
          <w:p w14:paraId="4721643B">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3、互动教学课件支持定向精准分享：分享者可将互动课件、课件组精准推送至指定接收方账号云空间，接收方可在云空间接收并打开分享课件。</w:t>
            </w:r>
          </w:p>
          <w:p w14:paraId="2ABFD04A">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上传下载一体化云存储：备课时支持将云空间中存储图片、音频、视频等素材插入课件，同时支持将课件中的图片、音频、视频等素材右键上传至云空间。互动教学课件支持开放式云分享：分享者可将互动课件、课件组以公开或加密的 web 链接和二维码形式进行分享，分享链接可设置访问有效期。</w:t>
            </w:r>
          </w:p>
          <w:p w14:paraId="33EDBECF">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5、语文工具：具备汉字生字卡，直观展示汉字部首、笔画数量，笔画书写支持分步展示和连续展示，教师可一次性生成多个汉字生字卡，同步生成数量不少于 5 个。可以调出可直接书写的田字格、四线三格，书写笔画笔顺指导功能。支持授课助手：同步教学写字的视频、朗读泛读音频、支持手机扫学生作品能够投影大屏幕、手机现场录音支持上传视听、支持连接绘本教学资源及字理教学视频播放、支持笔顺笔画的视频教学播放。</w:t>
            </w:r>
          </w:p>
          <w:p w14:paraId="4A17EA90">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6、支持软件联网自动静默升级，无需用户手动更新。</w:t>
            </w:r>
          </w:p>
          <w:p w14:paraId="38546F62">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7、课件背景：提供不少于8种以上背景模板供老师选择，持自定义背景。</w:t>
            </w:r>
          </w:p>
          <w:p w14:paraId="60821CFA">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9种游戏模板，直接选择并输入相应内容即可轻松生成互动分类游戏，提升课堂趣味性。</w:t>
            </w:r>
          </w:p>
          <w:p w14:paraId="49230ED6">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9、智能选词填空：支持创建智能选词填空游戏，教师可随意编辑填空题题干以及相应的答案选项，将选项拖到对应题干空白处，系统将自动判别答案是否正确。系统需提供不少于 8 种游戏模板供老师选择，且模板样式支持自定义修改。</w:t>
            </w:r>
          </w:p>
          <w:p w14:paraId="1A7F49A0">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10、智能配对游戏：支持创建配对游戏，教师可随意将知识点进行配对。当开始配对游戏时，拖动知识点进行配对，系统将自动判断是否正确。系统至少提供7种游戏模板，且模板样式支持自定义修改。</w:t>
            </w:r>
          </w:p>
          <w:p w14:paraId="6B353BD4">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11、分组竞争游戏：支持创建分组竞争游戏，教师可设置正确项／干扰项，让两组学生开展竞争游戏。系统提供不少于 3 种难度、10种游戏模板选择，且模板样式支持自定义修改。</w:t>
            </w:r>
          </w:p>
          <w:p w14:paraId="716D805B">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12、数学公式编辑器：支持复杂数学公式输入，提供不少于 20 个数学符号及模板，输出的公式内容支持不同颜色标记及二次编辑。</w:t>
            </w:r>
          </w:p>
          <w:p w14:paraId="7D7CB61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13、数学画板功能：</w:t>
            </w:r>
          </w:p>
          <w:p w14:paraId="0FB08F6B">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a)能在白板中插入在线画板，授课时可以一键打开,方便老师配合课件内容进行讲解。</w:t>
            </w:r>
          </w:p>
          <w:p w14:paraId="17278CFE">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b)提供不少于 500 个数学画板资源，覆盖小学、初中、高中学段数学学科主要知识点，并按照知识点分类，便于老师查找。</w:t>
            </w:r>
          </w:p>
          <w:p w14:paraId="2BB0F93A">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c)画板资源互动性强，利于老师讲解抽象知识点，如小学阶段的四边形互相转换资源，可支持点击，动态切换四边形形态；中学阶段的平方差公式资源，可支持图形展示平方差公式计算原理，并可改变数值，重复演示。</w:t>
            </w:r>
          </w:p>
          <w:p w14:paraId="580C680D">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d)老师创建个人画板，除了点、线、面等基础元素以外，画板还可提供线段中点、椭圆焦点、极坐标方程等数十种数学常用工具，保证老师日常备授课所需。创建完成后，老师可一键将画板插入白板，与课件无缝连接。</w:t>
            </w:r>
          </w:p>
          <w:p w14:paraId="5262AD3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14、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p w14:paraId="7B7F988C">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15、表格：</w:t>
            </w:r>
          </w:p>
          <w:p w14:paraId="22D0E3A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a)具有表格插入功能，并提供5种以上表格样式供老师选择。</w:t>
            </w:r>
          </w:p>
          <w:p w14:paraId="77F48C8A">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b)表格能自适应，可一键将表格的行、列调整到最合适的大小。</w:t>
            </w:r>
          </w:p>
          <w:p w14:paraId="712777A4">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c)具有表格遮罩功能，可对表格中任意一格添加遮罩，在授课模式下通过点击可消除遮罩，方便老师设置互动活动。</w:t>
            </w:r>
          </w:p>
          <w:p w14:paraId="5829D217">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d)在授课模式下，支持表格克隆功能，可克隆出多个相同表格，</w:t>
            </w:r>
          </w:p>
          <w:p w14:paraId="7290FB7E">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方便老师请多位同学进行答题互动。</w:t>
            </w:r>
          </w:p>
          <w:p w14:paraId="4DE4BEE9">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16、图表：</w:t>
            </w:r>
          </w:p>
          <w:p w14:paraId="08616C5B">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a)具有图表插入功能，并提供柱状图、扇形图、折线图 3 种图表形式，且每种形式提供不少于5种样式供选择。</w:t>
            </w:r>
          </w:p>
          <w:p w14:paraId="51934423">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b)具有图表二维及三维展示形式任意切换，且三维图表支持旋转，方便多角度展示数据变化。</w:t>
            </w:r>
          </w:p>
          <w:p w14:paraId="6E053F10">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c)具有图表添加超链接，可连接至课件其他页面、网页、软件自带小工具等地方。</w:t>
            </w:r>
          </w:p>
          <w:p w14:paraId="71FD9E9B">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d)在授课模式下，支持图表克隆功能，可克隆出多个相同图表，</w:t>
            </w:r>
          </w:p>
          <w:p w14:paraId="44E84400">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方便老师进行对比观察。</w:t>
            </w:r>
          </w:p>
          <w:p w14:paraId="7DA17BA5">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17、古诗词资源：</w:t>
            </w:r>
          </w:p>
          <w:p w14:paraId="2A99CD4B">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a)提供覆盖多学段的古诗词、古文资源，包含原文、翻译、背景介绍、作者介绍、朗诵音频等。</w:t>
            </w:r>
          </w:p>
          <w:p w14:paraId="4150AC2A">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b)支持用户根据年级、朝代、诗人等进行分类查找，也可直接搜索诗词、古文名称或作者名查找。</w:t>
            </w:r>
          </w:p>
          <w:p w14:paraId="6B9149DD">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c)提供不少于9种古诗词专用背景模板，老师可贴合古诗词意境选择合适背景进行教学。</w:t>
            </w:r>
          </w:p>
          <w:p w14:paraId="4AC863C2">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d)每篇古诗词、古文均提供原文及翻译、背景介绍、作者介绍等，同时支持一键跳转打开网页，展示对应的背景或作者介绍。</w:t>
            </w:r>
          </w:p>
          <w:p w14:paraId="1F25F80B">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e)支持老师备课时对原文进行注释、标重点等操作，方便老师讲解重点字词。</w:t>
            </w:r>
          </w:p>
          <w:p w14:paraId="4653E03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f)提供原文朗读功能，全部诗词、古文均配备专业朗读配音，且支持老师在备课时对朗读音频进行打点操作，上课时可播放提前选择好的片段。</w:t>
            </w:r>
          </w:p>
          <w:p w14:paraId="7A5FE825">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18、3D星球模型：提供3D立体星球模型，包括地球、太阳、火星、水星等太阳系行星，支持360°自由旋转、缩放展示；并支持在地球教学工具中，清晰展现地球表面的六大板块、降水分布、气温分布、气候分布、人口分布、表层洋流、陆地自然带、海平面等压线等内容；且支持三维、二维切换展示，方便地理学科教学。</w:t>
            </w:r>
          </w:p>
          <w:p w14:paraId="49E17415">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19、美术画板：具有美术画板工具，提供铅笔、毛笔、油画笔，可实现模拟调色盘功能，老师可自由选择不同颜色进行混合调色，搭配出任意色彩。</w:t>
            </w:r>
          </w:p>
          <w:p w14:paraId="31260CF0">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20、美术工具：具备图形自由创作工具，教师可自由绘制复杂的任意多边图形及曲边图形；教师自主创作的图形可存储至个人云空间便于后续使用。</w:t>
            </w:r>
          </w:p>
          <w:p w14:paraId="47D76482">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（二）白板软件移动端应用</w:t>
            </w:r>
          </w:p>
          <w:p w14:paraId="7AD74C91">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1、课件预览保留课件对象拖拽移动、克隆复制、置顶、删除等互动功能，并可通过移动端进行思维导图、课堂互动游戏的触控交互操作，并支持显示课件备注内容。</w:t>
            </w:r>
          </w:p>
          <w:p w14:paraId="179BEFD4">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2、可在移动平台选择是否接收获取的分享课件，接收后课件储存至个人云空间，可在移动平台的互动课件列表预览。</w:t>
            </w:r>
          </w:p>
          <w:p w14:paraId="4925E2B8">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3、移动平台可对云空间互动课件和课件组移动、删除和重命名，课件及课件组支持批量移动、删除。</w:t>
            </w:r>
          </w:p>
          <w:p w14:paraId="3E357764">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4、移动平台可将课件通过微信、朋友圈、云空间</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账</w:t>
            </w: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号、二维码、公开链接、加密链接等方式进行分享，分享有效期支持自定义。</w:t>
            </w:r>
          </w:p>
          <w:p w14:paraId="5378C989">
            <w:pPr>
              <w:keepNext w:val="0"/>
              <w:keepLines w:val="0"/>
              <w:widowControl/>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5、移动平台可查看教师个人云空间里所有互动课件列表，并可打开互动课件进行预览，预览时支持上下翻页、页面缩略图预览、页面跳转。</w:t>
            </w:r>
          </w:p>
          <w:p w14:paraId="24C7742A">
            <w:pPr>
              <w:keepNext w:val="0"/>
              <w:keepLines w:val="0"/>
              <w:widowControl/>
              <w:suppressLineNumbers w:val="0"/>
              <w:jc w:val="left"/>
              <w:rPr>
                <w:rFonts w:ascii="宋体" w:hAnsi="宋体" w:cs="宋体"/>
                <w:color w:val="000000" w:themeColor="text1"/>
                <w:szCs w:val="21"/>
                <w:highlight w:val="none"/>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6、移动平台可以上传手机相册中的照片和视频到资料夹，且能调用系统相机拍摄照片并直接上传。教师可以在备课端选择资源插入课件。</w:t>
            </w:r>
          </w:p>
        </w:tc>
        <w:tc>
          <w:tcPr>
            <w:tcW w:w="243" w:type="pct"/>
            <w:noWrap w:val="0"/>
            <w:vAlign w:val="center"/>
          </w:tcPr>
          <w:p w14:paraId="64BC1E1F">
            <w:pPr>
              <w:keepNext w:val="0"/>
              <w:keepLines w:val="0"/>
              <w:widowControl/>
              <w:suppressLineNumbers w:val="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13</w:t>
            </w:r>
          </w:p>
        </w:tc>
        <w:tc>
          <w:tcPr>
            <w:tcW w:w="238" w:type="pct"/>
            <w:noWrap w:val="0"/>
            <w:vAlign w:val="center"/>
          </w:tcPr>
          <w:p w14:paraId="21FE5AA9">
            <w:pPr>
              <w:keepNext w:val="0"/>
              <w:keepLines w:val="0"/>
              <w:widowControl/>
              <w:suppressLineNumbers w:val="0"/>
              <w:jc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台</w:t>
            </w:r>
          </w:p>
        </w:tc>
        <w:tc>
          <w:tcPr>
            <w:tcW w:w="524" w:type="pct"/>
            <w:noWrap w:val="0"/>
            <w:vAlign w:val="center"/>
          </w:tcPr>
          <w:p w14:paraId="426E1DC9">
            <w:pPr>
              <w:keepNext w:val="0"/>
              <w:keepLines w:val="0"/>
              <w:widowControl/>
              <w:suppressLineNumbers w:val="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22100</w:t>
            </w:r>
          </w:p>
        </w:tc>
        <w:tc>
          <w:tcPr>
            <w:tcW w:w="498" w:type="pct"/>
            <w:noWrap w:val="0"/>
            <w:vAlign w:val="center"/>
          </w:tcPr>
          <w:p w14:paraId="30ABF094">
            <w:pPr>
              <w:keepNext w:val="0"/>
              <w:keepLines w:val="0"/>
              <w:widowControl/>
              <w:suppressLineNumbers w:val="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287300</w:t>
            </w:r>
          </w:p>
        </w:tc>
      </w:tr>
      <w:tr w14:paraId="2595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59A9D71B">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551" w:type="pct"/>
            <w:noWrap w:val="0"/>
            <w:vAlign w:val="center"/>
          </w:tcPr>
          <w:p w14:paraId="2A773DD1">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高清壁挂展台</w:t>
            </w:r>
          </w:p>
        </w:tc>
        <w:tc>
          <w:tcPr>
            <w:tcW w:w="2592" w:type="pct"/>
            <w:noWrap w:val="0"/>
            <w:vAlign w:val="center"/>
          </w:tcPr>
          <w:p w14:paraId="73FB9F88">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（一）硬件部分：</w:t>
            </w:r>
          </w:p>
          <w:p w14:paraId="3EF8E861">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1、整机采用圆弧式设计，无锐角；同时托板采用磁吸吸附式机构。</w:t>
            </w:r>
          </w:p>
          <w:p w14:paraId="24441576">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2、采用≥800万像素摄像头；采用 USB五伏电源直接供电，无需额外配置电源适配器，环保无辐射；箱内USB连线采用隐藏式设计，箱内无可见连线且USB口下出，有效防止积尘，且方便布线和返修。</w:t>
            </w:r>
          </w:p>
          <w:p w14:paraId="7BD03C81">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3、A4大小拍摄幅面，1080P动态视频预览达到30帧/秒；托板及挂墙部分采用金属加强，托板可承重</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3kg，整机壁挂式安装。</w:t>
            </w:r>
          </w:p>
          <w:p w14:paraId="1A7F44A0">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4、支持展台成像画面实时批注，预设多种笔划粗细及颜色供选择，且支持对展台成像画面联同批注内容进行同步缩放、移动。</w:t>
            </w:r>
          </w:p>
          <w:p w14:paraId="0741F82E">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5、展示托板正上方具备LED补光灯，保证展示区域的亮度及展示效果，补光灯开关采用触摸按键设计，同时可通过交互智能平板中的软件直接控制开关。</w:t>
            </w:r>
          </w:p>
          <w:p w14:paraId="40CBE4C6">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6、带自动对焦摄像头；外壳在摄像头部分带保护镜片密封，防止灰尘沾染摄像头，防护等级达到IP4X级别。</w:t>
            </w:r>
          </w:p>
          <w:p w14:paraId="6C6725E9">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7、具有故障自动检测功能：在调用展台却无法出现镜头采集画面信号时，可自动出现检测链接，并给出导致性原因（如硬件连接、摄像头占用、配套软件版本等问题）。</w:t>
            </w:r>
          </w:p>
          <w:p w14:paraId="58E12AF6">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（二）软件部分：</w:t>
            </w:r>
          </w:p>
          <w:p w14:paraId="274FBA45">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1、支持对展台实时画面进行放大、缩小、旋转、自适应、冻结画面等操作。</w:t>
            </w:r>
          </w:p>
          <w:p w14:paraId="0BA4B7C3">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2、支持展台画面实时批注，预设多种笔划粗细及颜色供选择，且支持对展台画面联同批注内容进行同步缩放、移动。</w:t>
            </w:r>
          </w:p>
          <w:p w14:paraId="47598C0D">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3、支持展台画面拍照截图并进行多图预览，可对任一图片进行全屏显示。</w:t>
            </w:r>
          </w:p>
          <w:p w14:paraId="14D3DBCC">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4、老师可在一体机或电脑上选择延时拍照功能，支持5秒或10秒延时模式，预留充足时间以便调整拍摄内容。</w:t>
            </w:r>
          </w:p>
          <w:p w14:paraId="0E048BCC">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5、可选择图像、文本或动态三种情景模式，适应不同展示内容。</w:t>
            </w:r>
          </w:p>
          <w:p w14:paraId="3CDCCFD6">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6、具备图像增强功能，可自动裁剪背景并增强文字显示，使文档画面更清晰。</w:t>
            </w:r>
          </w:p>
          <w:p w14:paraId="70A888A6">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7、支持故障自动检测，在软件无法出现展台拍摄画面时，自动出现检测链接，帮助用户检测“无画面”的原因，并给出引导性解决方案。可判断硬件连接、显卡驱动、摄像头占用、软件版本等问题。</w:t>
            </w:r>
          </w:p>
          <w:p w14:paraId="16C7BCF0">
            <w:pPr>
              <w:keepNext w:val="0"/>
              <w:keepLines w:val="0"/>
              <w:widowControl/>
              <w:suppressLineNumbers w:val="0"/>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8、支持二维码扫码功能：打开扫一扫功能后，将书本上的二维码放入扫描框内即可自动扫描，并进入系统浏览器获取二维码的链接内容，帮助老师快速获取电子教学资源。</w:t>
            </w:r>
          </w:p>
        </w:tc>
        <w:tc>
          <w:tcPr>
            <w:tcW w:w="243" w:type="pct"/>
            <w:noWrap w:val="0"/>
            <w:vAlign w:val="center"/>
          </w:tcPr>
          <w:p w14:paraId="2F0EFF21">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13</w:t>
            </w:r>
          </w:p>
        </w:tc>
        <w:tc>
          <w:tcPr>
            <w:tcW w:w="238" w:type="pct"/>
            <w:noWrap w:val="0"/>
            <w:vAlign w:val="center"/>
          </w:tcPr>
          <w:p w14:paraId="2078F3AC">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台</w:t>
            </w:r>
          </w:p>
        </w:tc>
        <w:tc>
          <w:tcPr>
            <w:tcW w:w="524" w:type="pct"/>
            <w:noWrap w:val="0"/>
            <w:vAlign w:val="center"/>
          </w:tcPr>
          <w:p w14:paraId="385696B0">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600</w:t>
            </w:r>
          </w:p>
        </w:tc>
        <w:tc>
          <w:tcPr>
            <w:tcW w:w="498" w:type="pct"/>
            <w:noWrap w:val="0"/>
            <w:vAlign w:val="center"/>
          </w:tcPr>
          <w:p w14:paraId="0190D008">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7800</w:t>
            </w:r>
          </w:p>
        </w:tc>
      </w:tr>
      <w:tr w14:paraId="4384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6D94913B">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551" w:type="pct"/>
            <w:noWrap w:val="0"/>
            <w:vAlign w:val="center"/>
          </w:tcPr>
          <w:p w14:paraId="2F05D4F1">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智能笔</w:t>
            </w:r>
          </w:p>
        </w:tc>
        <w:tc>
          <w:tcPr>
            <w:tcW w:w="2592" w:type="pct"/>
            <w:noWrap w:val="0"/>
            <w:vAlign w:val="center"/>
          </w:tcPr>
          <w:p w14:paraId="5E401CDF">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1、采用笔型设计，具有三个遥控按键（上下翻页和功能键），既可用于触摸书写，也可用于远程操控。</w:t>
            </w:r>
          </w:p>
          <w:p w14:paraId="79AD3075">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2、采用2.4G蓝牙无线连接技术，无线接收距离最大可达15米。</w:t>
            </w:r>
          </w:p>
          <w:p w14:paraId="11D2C8BE">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、笔尖采用PE材质，经久耐磨，书写精度≤3mm。</w:t>
            </w:r>
          </w:p>
          <w:p w14:paraId="06AF5463">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、使用单节7号电池驱动，并带自动休眠节电设计。</w:t>
            </w:r>
          </w:p>
          <w:p w14:paraId="6BD6E735">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、具备单接收器，支持Android、windows双系统响应智能笔的操作指令。</w:t>
            </w:r>
          </w:p>
          <w:p w14:paraId="17DDF056">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、支持白板课件、PPT、WPS、PDF等多种格式的课件进行远程无线翻页。</w:t>
            </w:r>
          </w:p>
          <w:p w14:paraId="37A33CF5">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、功能按键可通过长按/短按实现两种快捷功能。</w:t>
            </w:r>
          </w:p>
          <w:p w14:paraId="1CD34569">
            <w:pPr>
              <w:keepNext w:val="0"/>
              <w:keepLines w:val="0"/>
              <w:widowControl/>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、支持自定义按键功能，可选功能包括：一键启动任意通道批注、一键启动/退出PPT播放、一键启动其他应用软件等。</w:t>
            </w:r>
          </w:p>
        </w:tc>
        <w:tc>
          <w:tcPr>
            <w:tcW w:w="243" w:type="pct"/>
            <w:noWrap w:val="0"/>
            <w:vAlign w:val="center"/>
          </w:tcPr>
          <w:p w14:paraId="63A94ADA">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13</w:t>
            </w:r>
          </w:p>
        </w:tc>
        <w:tc>
          <w:tcPr>
            <w:tcW w:w="238" w:type="pct"/>
            <w:noWrap w:val="0"/>
            <w:vAlign w:val="center"/>
          </w:tcPr>
          <w:p w14:paraId="3ACD518E">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只</w:t>
            </w:r>
          </w:p>
        </w:tc>
        <w:tc>
          <w:tcPr>
            <w:tcW w:w="524" w:type="pct"/>
            <w:noWrap w:val="0"/>
            <w:vAlign w:val="center"/>
          </w:tcPr>
          <w:p w14:paraId="35CFE92F">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300</w:t>
            </w:r>
          </w:p>
        </w:tc>
        <w:tc>
          <w:tcPr>
            <w:tcW w:w="498" w:type="pct"/>
            <w:noWrap w:val="0"/>
            <w:vAlign w:val="center"/>
          </w:tcPr>
          <w:p w14:paraId="759C1E94">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3900</w:t>
            </w:r>
          </w:p>
        </w:tc>
      </w:tr>
      <w:tr w14:paraId="246C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599C4685">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551" w:type="pct"/>
            <w:noWrap w:val="0"/>
            <w:vAlign w:val="center"/>
          </w:tcPr>
          <w:p w14:paraId="194C716C">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有源一体化音箱</w:t>
            </w:r>
          </w:p>
        </w:tc>
        <w:tc>
          <w:tcPr>
            <w:tcW w:w="2592" w:type="pct"/>
            <w:noWrap w:val="0"/>
            <w:vAlign w:val="center"/>
          </w:tcPr>
          <w:p w14:paraId="31579158">
            <w:pPr>
              <w:keepNext w:val="0"/>
              <w:keepLines w:val="0"/>
              <w:widowControl/>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1、采用功放与有源音箱一体化设计，内置麦克风无线接收模块，帮助教师实现多媒体扩音以及本地扩声功能。</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2、双音箱有线连接，机箱采用塑胶材质，保护设备免受环境影响。</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3、输出额定功率: 2×15W，喇叭单元尺寸≥5寸。</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4、端口：220V电源接口×1、Line in×1、USB×1。</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5、专门为教室声学环境设计的合适扩声效果，距离音箱10米处声压级≥75dB。</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6、麦克风和功放音箱之间采用数字U段传输技术，有效避免环境中2.4G信号干扰，例如蓝牙及Wi-Fi设备。</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7、配置独立音频数字信号处理芯片，支持啸叫抑制功能。</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8、支持教师扩声和输入音源叠加输出，可对接录播系统实现教师扩声音频的纯净采集，避免环境杂音干扰采集效果。</w:t>
            </w:r>
          </w:p>
        </w:tc>
        <w:tc>
          <w:tcPr>
            <w:tcW w:w="243" w:type="pct"/>
            <w:noWrap w:val="0"/>
            <w:vAlign w:val="center"/>
          </w:tcPr>
          <w:p w14:paraId="642A0C2E">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13</w:t>
            </w:r>
          </w:p>
        </w:tc>
        <w:tc>
          <w:tcPr>
            <w:tcW w:w="238" w:type="pct"/>
            <w:noWrap w:val="0"/>
            <w:vAlign w:val="center"/>
          </w:tcPr>
          <w:p w14:paraId="5EE837EE">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个</w:t>
            </w:r>
          </w:p>
        </w:tc>
        <w:tc>
          <w:tcPr>
            <w:tcW w:w="524" w:type="pct"/>
            <w:noWrap w:val="0"/>
            <w:vAlign w:val="center"/>
          </w:tcPr>
          <w:p w14:paraId="24C8F178">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700</w:t>
            </w:r>
          </w:p>
        </w:tc>
        <w:tc>
          <w:tcPr>
            <w:tcW w:w="498" w:type="pct"/>
            <w:noWrap w:val="0"/>
            <w:vAlign w:val="center"/>
          </w:tcPr>
          <w:p w14:paraId="75607427">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9100</w:t>
            </w:r>
          </w:p>
        </w:tc>
      </w:tr>
      <w:tr w14:paraId="195D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18AB0415">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c>
          <w:tcPr>
            <w:tcW w:w="551" w:type="pct"/>
            <w:noWrap w:val="0"/>
            <w:vAlign w:val="center"/>
          </w:tcPr>
          <w:p w14:paraId="056A7CEF">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无线麦克风</w:t>
            </w:r>
          </w:p>
        </w:tc>
        <w:tc>
          <w:tcPr>
            <w:tcW w:w="2592" w:type="pct"/>
            <w:noWrap w:val="0"/>
            <w:vAlign w:val="center"/>
          </w:tcPr>
          <w:p w14:paraId="37CC754E">
            <w:pPr>
              <w:keepNext w:val="0"/>
              <w:keepLines w:val="0"/>
              <w:widowControl/>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1、无线麦克风集音频发射处理器、天线、电池、拾音麦克风于一体，配合一体化有源音箱，无需任何外接辅助设备即可实现本地扩声功能。</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2、麦克风和功放音箱之间采用数字U段传输技术，有效避免环境中2.4G信号干扰，例如蓝牙及Wi-Fi设备。</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3、支持智能红外对码及UHF对码，可在2s内快速完成与教学扩声音箱对码，无需繁琐操作。可与移动音箱或录播主机对码连接。</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4、采用触点磁吸式充电方式，支持快速充电与超低功耗工作模式，课间充电10分钟，实现80分钟续航。</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5、麦克风距离音箱最大有效工作距离≥10米，保证全教室覆盖。</w:t>
            </w:r>
          </w:p>
        </w:tc>
        <w:tc>
          <w:tcPr>
            <w:tcW w:w="243" w:type="pct"/>
            <w:noWrap w:val="0"/>
            <w:vAlign w:val="center"/>
          </w:tcPr>
          <w:p w14:paraId="5053B421">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13</w:t>
            </w:r>
          </w:p>
        </w:tc>
        <w:tc>
          <w:tcPr>
            <w:tcW w:w="238" w:type="pct"/>
            <w:noWrap w:val="0"/>
            <w:vAlign w:val="center"/>
          </w:tcPr>
          <w:p w14:paraId="7C0A130F">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个</w:t>
            </w:r>
          </w:p>
        </w:tc>
        <w:tc>
          <w:tcPr>
            <w:tcW w:w="524" w:type="pct"/>
            <w:noWrap w:val="0"/>
            <w:vAlign w:val="center"/>
          </w:tcPr>
          <w:p w14:paraId="24F02C05">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300</w:t>
            </w:r>
          </w:p>
        </w:tc>
        <w:tc>
          <w:tcPr>
            <w:tcW w:w="498" w:type="pct"/>
            <w:noWrap w:val="0"/>
            <w:vAlign w:val="center"/>
          </w:tcPr>
          <w:p w14:paraId="20ADB091">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3900</w:t>
            </w:r>
          </w:p>
        </w:tc>
      </w:tr>
      <w:tr w14:paraId="3CD7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1FA4168D">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551" w:type="pct"/>
            <w:noWrap w:val="0"/>
            <w:vAlign w:val="center"/>
          </w:tcPr>
          <w:p w14:paraId="63F76F9B">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消毒柜</w:t>
            </w:r>
          </w:p>
        </w:tc>
        <w:tc>
          <w:tcPr>
            <w:tcW w:w="2592" w:type="pct"/>
            <w:noWrap w:val="0"/>
            <w:vAlign w:val="center"/>
          </w:tcPr>
          <w:p w14:paraId="5F634FCA">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1、容量：≥751升；</w:t>
            </w:r>
          </w:p>
          <w:p w14:paraId="1D48465C">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2、产品样式：双门5层+双门独立 ；</w:t>
            </w:r>
          </w:p>
          <w:p w14:paraId="5608E8CF">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3、消毒方式:高温红外线消毒+热风循环；</w:t>
            </w:r>
          </w:p>
          <w:p w14:paraId="0113C527">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4、烘干方式：臭氯+红外线温度；</w:t>
            </w:r>
          </w:p>
          <w:p w14:paraId="410A472D">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5、额定功率:≥3650W；</w:t>
            </w:r>
          </w:p>
          <w:p w14:paraId="6F84E070">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6、额定电压:≥220V；</w:t>
            </w:r>
          </w:p>
          <w:p w14:paraId="73176899">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7、机身材质:无磁201不锈钢；</w:t>
            </w:r>
          </w:p>
          <w:p w14:paraId="0FC900DA">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8、层架尺寸:550×410×235mm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w:t>
            </w:r>
          </w:p>
          <w:p w14:paraId="29708769">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9、产品尺寸:1250mm×590mm×1960mm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w:t>
            </w:r>
          </w:p>
          <w:p w14:paraId="38BCB4E4">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10、内胆尺寸:1210×450×1380mm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w:t>
            </w:r>
          </w:p>
          <w:p w14:paraId="5C2BCF60">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11、调节:≥25-120℃调温；</w:t>
            </w:r>
          </w:p>
          <w:p w14:paraId="3661F6E0">
            <w:pPr>
              <w:keepNext w:val="0"/>
              <w:keepLines w:val="0"/>
              <w:widowControl/>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12、时间调节:至少1-800分钟调时；</w:t>
            </w:r>
          </w:p>
          <w:p w14:paraId="2ABD63C7">
            <w:pPr>
              <w:keepNext w:val="0"/>
              <w:keepLines w:val="0"/>
              <w:widowControl/>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13、控制方式:电脑智能触屏。</w:t>
            </w:r>
          </w:p>
        </w:tc>
        <w:tc>
          <w:tcPr>
            <w:tcW w:w="243" w:type="pct"/>
            <w:noWrap w:val="0"/>
            <w:vAlign w:val="center"/>
          </w:tcPr>
          <w:p w14:paraId="13CA13A6">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w:t>
            </w:r>
          </w:p>
        </w:tc>
        <w:tc>
          <w:tcPr>
            <w:tcW w:w="238" w:type="pct"/>
            <w:noWrap w:val="0"/>
            <w:vAlign w:val="center"/>
          </w:tcPr>
          <w:p w14:paraId="6ED34599">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台</w:t>
            </w:r>
          </w:p>
        </w:tc>
        <w:tc>
          <w:tcPr>
            <w:tcW w:w="524" w:type="pct"/>
            <w:noWrap w:val="0"/>
            <w:vAlign w:val="center"/>
          </w:tcPr>
          <w:p w14:paraId="7280E2F6">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10000</w:t>
            </w:r>
          </w:p>
        </w:tc>
        <w:tc>
          <w:tcPr>
            <w:tcW w:w="498" w:type="pct"/>
            <w:noWrap w:val="0"/>
            <w:vAlign w:val="center"/>
          </w:tcPr>
          <w:p w14:paraId="2D4555AE">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10000</w:t>
            </w:r>
          </w:p>
        </w:tc>
      </w:tr>
      <w:tr w14:paraId="6D65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4E931180">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551" w:type="pct"/>
            <w:noWrap w:val="0"/>
            <w:vAlign w:val="center"/>
          </w:tcPr>
          <w:p w14:paraId="7BD63824">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和面机</w:t>
            </w:r>
          </w:p>
        </w:tc>
        <w:tc>
          <w:tcPr>
            <w:tcW w:w="2592" w:type="pct"/>
            <w:noWrap w:val="0"/>
            <w:vAlign w:val="center"/>
          </w:tcPr>
          <w:p w14:paraId="74ACBA2C">
            <w:pPr>
              <w:keepNext w:val="0"/>
              <w:keepLines w:val="0"/>
              <w:widowControl/>
              <w:numPr>
                <w:ilvl w:val="0"/>
                <w:numId w:val="5"/>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和面搅拌机：最大和面量≥10kg；</w:t>
            </w:r>
          </w:p>
          <w:p w14:paraId="382A8A37">
            <w:pPr>
              <w:keepNext w:val="0"/>
              <w:keepLines w:val="0"/>
              <w:widowControl/>
              <w:numPr>
                <w:ilvl w:val="0"/>
                <w:numId w:val="5"/>
              </w:numPr>
              <w:suppressLineNumbers w:val="0"/>
              <w:ind w:left="0" w:firstLine="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料桶容量：≥40L；</w:t>
            </w:r>
          </w:p>
          <w:p w14:paraId="2EF90225">
            <w:pPr>
              <w:keepNext w:val="0"/>
              <w:keepLines w:val="0"/>
              <w:widowControl/>
              <w:numPr>
                <w:ilvl w:val="0"/>
                <w:numId w:val="5"/>
              </w:numPr>
              <w:suppressLineNumbers w:val="0"/>
              <w:ind w:left="0" w:firstLine="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电压功率：≥220V/50H</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z</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w:t>
            </w:r>
          </w:p>
          <w:p w14:paraId="6FA511A4">
            <w:pPr>
              <w:keepNext w:val="0"/>
              <w:keepLines w:val="0"/>
              <w:widowControl/>
              <w:numPr>
                <w:ilvl w:val="0"/>
                <w:numId w:val="5"/>
              </w:numPr>
              <w:suppressLineNumbers w:val="0"/>
              <w:ind w:left="0" w:firstLine="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整机重量：≥120k；</w:t>
            </w:r>
          </w:p>
          <w:p w14:paraId="454EB453">
            <w:pPr>
              <w:keepNext w:val="0"/>
              <w:keepLines w:val="0"/>
              <w:widowControl/>
              <w:numPr>
                <w:ilvl w:val="0"/>
                <w:numId w:val="5"/>
              </w:numPr>
              <w:suppressLineNumbers w:val="0"/>
              <w:ind w:left="0" w:firstLine="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机身尺寸：65×61×98cm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w:t>
            </w:r>
          </w:p>
          <w:p w14:paraId="192D1577">
            <w:pPr>
              <w:keepNext w:val="0"/>
              <w:keepLines w:val="0"/>
              <w:widowControl/>
              <w:numPr>
                <w:ilvl w:val="0"/>
                <w:numId w:val="0"/>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6、功率1.3kw-2.2kw，三级以上变速。</w:t>
            </w:r>
          </w:p>
        </w:tc>
        <w:tc>
          <w:tcPr>
            <w:tcW w:w="243" w:type="pct"/>
            <w:noWrap w:val="0"/>
            <w:vAlign w:val="center"/>
          </w:tcPr>
          <w:p w14:paraId="0F20374B">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w:t>
            </w:r>
          </w:p>
        </w:tc>
        <w:tc>
          <w:tcPr>
            <w:tcW w:w="238" w:type="pct"/>
            <w:noWrap w:val="0"/>
            <w:vAlign w:val="center"/>
          </w:tcPr>
          <w:p w14:paraId="237ADE2D">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台</w:t>
            </w:r>
          </w:p>
        </w:tc>
        <w:tc>
          <w:tcPr>
            <w:tcW w:w="524" w:type="pct"/>
            <w:noWrap w:val="0"/>
            <w:vAlign w:val="center"/>
          </w:tcPr>
          <w:p w14:paraId="13B47354">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7500</w:t>
            </w:r>
          </w:p>
        </w:tc>
        <w:tc>
          <w:tcPr>
            <w:tcW w:w="498" w:type="pct"/>
            <w:noWrap w:val="0"/>
            <w:vAlign w:val="center"/>
          </w:tcPr>
          <w:p w14:paraId="045F38CC">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7500</w:t>
            </w:r>
          </w:p>
        </w:tc>
      </w:tr>
      <w:tr w14:paraId="6CB4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51" w:type="pct"/>
            <w:noWrap w:val="0"/>
            <w:vAlign w:val="center"/>
          </w:tcPr>
          <w:p w14:paraId="4DEF3684">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551" w:type="pct"/>
            <w:noWrap w:val="0"/>
            <w:vAlign w:val="center"/>
          </w:tcPr>
          <w:p w14:paraId="56212F0C">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制冷设备</w:t>
            </w:r>
          </w:p>
        </w:tc>
        <w:tc>
          <w:tcPr>
            <w:tcW w:w="2592" w:type="pct"/>
            <w:noWrap w:val="0"/>
            <w:vAlign w:val="center"/>
          </w:tcPr>
          <w:p w14:paraId="4397BF2F">
            <w:pPr>
              <w:keepNext w:val="0"/>
              <w:keepLines w:val="0"/>
              <w:widowControl/>
              <w:numPr>
                <w:ilvl w:val="0"/>
                <w:numId w:val="6"/>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功率：≥1.5匹；</w:t>
            </w:r>
          </w:p>
          <w:p w14:paraId="4095C96F">
            <w:pPr>
              <w:keepNext w:val="0"/>
              <w:keepLines w:val="0"/>
              <w:widowControl/>
              <w:numPr>
                <w:ilvl w:val="0"/>
                <w:numId w:val="6"/>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类型：壁挂式；</w:t>
            </w:r>
          </w:p>
          <w:p w14:paraId="2DAA987A">
            <w:pPr>
              <w:keepNext w:val="0"/>
              <w:keepLines w:val="0"/>
              <w:widowControl/>
              <w:numPr>
                <w:ilvl w:val="0"/>
                <w:numId w:val="6"/>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变频/定频：变频；</w:t>
            </w:r>
          </w:p>
          <w:p w14:paraId="1DC668CD">
            <w:pPr>
              <w:keepNext w:val="0"/>
              <w:keepLines w:val="0"/>
              <w:widowControl/>
              <w:numPr>
                <w:ilvl w:val="0"/>
                <w:numId w:val="6"/>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冷暖类型：冷暖；</w:t>
            </w:r>
          </w:p>
          <w:p w14:paraId="58826892">
            <w:pPr>
              <w:keepNext w:val="0"/>
              <w:keepLines w:val="0"/>
              <w:widowControl/>
              <w:numPr>
                <w:ilvl w:val="0"/>
                <w:numId w:val="6"/>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能效等级：一级能效；</w:t>
            </w:r>
          </w:p>
          <w:p w14:paraId="30653AE9">
            <w:pPr>
              <w:keepNext w:val="0"/>
              <w:keepLines w:val="0"/>
              <w:widowControl/>
              <w:numPr>
                <w:ilvl w:val="0"/>
                <w:numId w:val="6"/>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制冷功率：≥870W；</w:t>
            </w:r>
          </w:p>
          <w:p w14:paraId="41378BDE">
            <w:pPr>
              <w:keepNext w:val="0"/>
              <w:keepLines w:val="0"/>
              <w:widowControl/>
              <w:numPr>
                <w:ilvl w:val="0"/>
                <w:numId w:val="6"/>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制热功率：≥1250W；</w:t>
            </w:r>
          </w:p>
          <w:p w14:paraId="75D05AD4">
            <w:pPr>
              <w:keepNext w:val="0"/>
              <w:keepLines w:val="0"/>
              <w:widowControl/>
              <w:numPr>
                <w:ilvl w:val="0"/>
                <w:numId w:val="6"/>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制冷量：≥3510W；</w:t>
            </w:r>
          </w:p>
          <w:p w14:paraId="0D8FD517">
            <w:pPr>
              <w:keepNext w:val="0"/>
              <w:keepLines w:val="0"/>
              <w:widowControl/>
              <w:numPr>
                <w:ilvl w:val="0"/>
                <w:numId w:val="6"/>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制热量：≥1250W；</w:t>
            </w:r>
          </w:p>
          <w:p w14:paraId="738003E3">
            <w:pPr>
              <w:keepNext w:val="0"/>
              <w:keepLines w:val="0"/>
              <w:widowControl/>
              <w:numPr>
                <w:ilvl w:val="0"/>
                <w:numId w:val="6"/>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制冷剂：R32；</w:t>
            </w:r>
          </w:p>
          <w:p w14:paraId="19579BCB">
            <w:pPr>
              <w:keepNext w:val="0"/>
              <w:keepLines w:val="0"/>
              <w:widowControl/>
              <w:numPr>
                <w:ilvl w:val="0"/>
                <w:numId w:val="6"/>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循环风量：≥740立方米/小时；</w:t>
            </w:r>
          </w:p>
          <w:p w14:paraId="1889665A">
            <w:pPr>
              <w:keepNext w:val="0"/>
              <w:keepLines w:val="0"/>
              <w:widowControl/>
              <w:numPr>
                <w:ilvl w:val="0"/>
                <w:numId w:val="6"/>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内机机身尺寸：290mm×190mm×880mm（以上尺寸允许偏差±10mm）；</w:t>
            </w:r>
          </w:p>
          <w:p w14:paraId="23405A20">
            <w:pPr>
              <w:keepNext w:val="0"/>
              <w:keepLines w:val="0"/>
              <w:widowControl/>
              <w:numPr>
                <w:ilvl w:val="0"/>
                <w:numId w:val="6"/>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外机尺寸：800mm×550mm×350mm（以上尺寸允许偏差±10mm）。</w:t>
            </w:r>
          </w:p>
          <w:p w14:paraId="20AC3D0F">
            <w:pPr>
              <w:keepNext w:val="0"/>
              <w:keepLines w:val="0"/>
              <w:widowControl/>
              <w:numPr>
                <w:ilvl w:val="0"/>
                <w:numId w:val="0"/>
              </w:numPr>
              <w:suppressLineNumbers w:val="0"/>
              <w:jc w:val="left"/>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14、含设备安装及材料；</w:t>
            </w:r>
          </w:p>
        </w:tc>
        <w:tc>
          <w:tcPr>
            <w:tcW w:w="243" w:type="pct"/>
            <w:noWrap w:val="0"/>
            <w:vAlign w:val="center"/>
          </w:tcPr>
          <w:p w14:paraId="640F4C68">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w:t>
            </w:r>
          </w:p>
        </w:tc>
        <w:tc>
          <w:tcPr>
            <w:tcW w:w="238" w:type="pct"/>
            <w:noWrap w:val="0"/>
            <w:vAlign w:val="center"/>
          </w:tcPr>
          <w:p w14:paraId="7B3D5E9F">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台</w:t>
            </w:r>
          </w:p>
        </w:tc>
        <w:tc>
          <w:tcPr>
            <w:tcW w:w="524" w:type="pct"/>
            <w:noWrap w:val="0"/>
            <w:vAlign w:val="center"/>
          </w:tcPr>
          <w:p w14:paraId="0E178876">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3800</w:t>
            </w:r>
          </w:p>
        </w:tc>
        <w:tc>
          <w:tcPr>
            <w:tcW w:w="498" w:type="pct"/>
            <w:noWrap w:val="0"/>
            <w:vAlign w:val="center"/>
          </w:tcPr>
          <w:p w14:paraId="2592BD36">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15200</w:t>
            </w:r>
          </w:p>
        </w:tc>
      </w:tr>
      <w:tr w14:paraId="1F0B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06834732">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551" w:type="pct"/>
            <w:noWrap w:val="0"/>
            <w:vAlign w:val="center"/>
          </w:tcPr>
          <w:p w14:paraId="7A527673">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沙水迷宫玩具套装</w:t>
            </w:r>
          </w:p>
        </w:tc>
        <w:tc>
          <w:tcPr>
            <w:tcW w:w="2592" w:type="pct"/>
            <w:noWrap w:val="0"/>
            <w:vAlign w:val="center"/>
          </w:tcPr>
          <w:p w14:paraId="7CCDF819">
            <w:pPr>
              <w:keepNext w:val="0"/>
              <w:keepLines w:val="0"/>
              <w:widowControl/>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1、沙水迷宫教师资源：指导手册1本；</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2、游戏图卡1套；玩法视频1套。                                                3、透明短管：20根</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外直径≥50mm，长度≥200mm 塑料；透明中管：30根</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 xml:space="preserve">外直径≥50mm，长度≥300mm 塑料；透明长管：20 根 外直径≥50mm，长度≥500mm 塑料；半圆长管：10 根 直径≥100mm,长度≥700mm（黄色） 塑料。                                  4、管道链接件：2通直管 6 个 内直径≥50mm（蓝色）塑料、直角2通 15 个 内直径≥50mm（蓝色）塑料、斜角2通5个 内直径≥50mm（蓝色）塑料、3通(垂直）5个内直径≥50mm（蓝色）塑料、3通 15个内直径≥50mm（蓝色）塑料、4通管5个内直径≥50mm（蓝色）塑料、5通5个内直径≥50mm（蓝色）塑料、6通5个 内直径≥50mm（蓝色）塑料、控水阀 10个内直径≥50mm（蓝色）塑料、进水漏斗（大）15 个大口内直径≥110mm/小口内径≥50mm（蓝色）塑料；                                                         </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、沙水道具：趣味水车 2 辆 ≥760mm×≥400mm×≥475mm（不含轮子高度）木质、小球 30个直径≥40mm（彩色随机）eva、玩沙组合4套玩沙桌:≥370mmm×≥440mm×≥440mm 塑料、20个5L沙水桶（方形）塑料、20把沙铲（大） 塑料、洞洞板2块金属洞洞板≥1200mm×≥500mm，折边厚度≥20mm 镀锌板、防撞角20个≥40mm×≥40mm×≥12mm 硅胶、 挂钩 20 个 卡扣挂钩 塑料、水轮 1 个 Φ≥280mm×≥145mm 木、筛网1个≥ 450mm×≥450mm×≥117mm 木+</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金属</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 xml:space="preserve">网；                                                                       </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小方</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套装：支架片10片154mm×110mm×15mm</w:t>
            </w:r>
            <w:r>
              <w:rPr>
                <w:rFonts w:hint="eastAsia" w:ascii="宋体" w:hAnsi="宋体" w:eastAsia="宋体" w:cs="宋体"/>
                <w:color w:val="000000" w:themeColor="text1"/>
                <w:highlight w:val="none"/>
                <w:lang w:val="en-US" w:eastAsia="zh-CN"/>
                <w14:textFill>
                  <w14:solidFill>
                    <w14:schemeClr w14:val="tx1"/>
                  </w14:solidFill>
                </w14:textFill>
              </w:rPr>
              <w:t>（以上尺寸允许偏差±</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木、小方 30 个 120mm×120mm×120mm</w:t>
            </w:r>
            <w:r>
              <w:rPr>
                <w:rFonts w:hint="eastAsia" w:ascii="宋体" w:hAnsi="宋体" w:eastAsia="宋体" w:cs="宋体"/>
                <w:color w:val="000000" w:themeColor="text1"/>
                <w:highlight w:val="none"/>
                <w:lang w:val="en-US" w:eastAsia="zh-CN"/>
                <w14:textFill>
                  <w14:solidFill>
                    <w14:schemeClr w14:val="tx1"/>
                  </w14:solidFill>
                </w14:textFill>
              </w:rPr>
              <w:t>（以上尺寸允许偏差±</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 xml:space="preserve">塑料、小方片 6 个 木色，120mm×120mm×15mm </w:t>
            </w:r>
            <w:r>
              <w:rPr>
                <w:rFonts w:hint="eastAsia" w:ascii="宋体" w:hAnsi="宋体" w:eastAsia="宋体" w:cs="宋体"/>
                <w:color w:val="000000" w:themeColor="text1"/>
                <w:highlight w:val="none"/>
                <w:lang w:val="en-US" w:eastAsia="zh-CN"/>
                <w14:textFill>
                  <w14:solidFill>
                    <w14:schemeClr w14:val="tx1"/>
                  </w14:solidFill>
                </w14:textFill>
              </w:rPr>
              <w:t>（以上尺寸允许偏差±</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塑料、弧形片 4 个 木色，120mm×120mm×15mm</w:t>
            </w:r>
            <w:r>
              <w:rPr>
                <w:rFonts w:hint="eastAsia" w:ascii="宋体" w:hAnsi="宋体" w:eastAsia="宋体" w:cs="宋体"/>
                <w:color w:val="000000" w:themeColor="text1"/>
                <w:highlight w:val="none"/>
                <w:lang w:val="en-US" w:eastAsia="zh-CN"/>
                <w14:textFill>
                  <w14:solidFill>
                    <w14:schemeClr w14:val="tx1"/>
                  </w14:solidFill>
                </w14:textFill>
              </w:rPr>
              <w:t>（以上尺寸允许偏差±</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 xml:space="preserve"> 塑料、1孔片 4 个 木色，480mm×120mm×15mm</w:t>
            </w:r>
            <w:r>
              <w:rPr>
                <w:rFonts w:hint="eastAsia" w:ascii="宋体" w:hAnsi="宋体" w:eastAsia="宋体" w:cs="宋体"/>
                <w:color w:val="000000" w:themeColor="text1"/>
                <w:highlight w:val="none"/>
                <w:lang w:val="en-US" w:eastAsia="zh-CN"/>
                <w14:textFill>
                  <w14:solidFill>
                    <w14:schemeClr w14:val="tx1"/>
                  </w14:solidFill>
                </w14:textFill>
              </w:rPr>
              <w:t>（以上尺寸允许偏差±</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 xml:space="preserve">  塑料、2孔片 4 个 木色，720mm×120mm×15mm </w:t>
            </w:r>
            <w:r>
              <w:rPr>
                <w:rFonts w:hint="eastAsia" w:ascii="宋体" w:hAnsi="宋体" w:eastAsia="宋体" w:cs="宋体"/>
                <w:color w:val="000000" w:themeColor="text1"/>
                <w:highlight w:val="none"/>
                <w:lang w:val="en-US" w:eastAsia="zh-CN"/>
                <w14:textFill>
                  <w14:solidFill>
                    <w14:schemeClr w14:val="tx1"/>
                  </w14:solidFill>
                </w14:textFill>
              </w:rPr>
              <w:t>（以上尺寸允许偏差±</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 xml:space="preserve">塑料、迷你棒 30 根 木色，长≥80mm，直径≥25mm 塑料；                                                               </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、布艺辅材：密网格布 2 张 1500mm×480mm</w:t>
            </w:r>
            <w:r>
              <w:rPr>
                <w:rFonts w:hint="eastAsia" w:ascii="宋体" w:hAnsi="宋体" w:eastAsia="宋体" w:cs="宋体"/>
                <w:color w:val="000000" w:themeColor="text1"/>
                <w:highlight w:val="none"/>
                <w:lang w:val="en-US" w:eastAsia="zh-CN"/>
                <w14:textFill>
                  <w14:solidFill>
                    <w14:schemeClr w14:val="tx1"/>
                  </w14:solidFill>
                </w14:textFill>
              </w:rPr>
              <w:t>（以上尺寸允许偏差±</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 xml:space="preserve"> 网格+防水布、投掷布 2 张 1500mm×480mm</w:t>
            </w:r>
            <w:r>
              <w:rPr>
                <w:rFonts w:hint="eastAsia" w:ascii="宋体" w:hAnsi="宋体" w:eastAsia="宋体" w:cs="宋体"/>
                <w:color w:val="000000" w:themeColor="text1"/>
                <w:highlight w:val="none"/>
                <w:lang w:val="en-US" w:eastAsia="zh-CN"/>
                <w14:textFill>
                  <w14:solidFill>
                    <w14:schemeClr w14:val="tx1"/>
                  </w14:solidFill>
                </w14:textFill>
              </w:rPr>
              <w:t>（以上尺寸允许偏差±</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 xml:space="preserve"> 防水布、手套 20 双 彩色随机 防水布+橡胶、折叠收纳箱： 5个600mm×400mm×320mm</w:t>
            </w:r>
            <w:r>
              <w:rPr>
                <w:rFonts w:hint="eastAsia" w:ascii="宋体" w:hAnsi="宋体" w:eastAsia="宋体" w:cs="宋体"/>
                <w:color w:val="000000" w:themeColor="text1"/>
                <w:highlight w:val="none"/>
                <w:lang w:val="en-US" w:eastAsia="zh-CN"/>
                <w14:textFill>
                  <w14:solidFill>
                    <w14:schemeClr w14:val="tx1"/>
                  </w14:solidFill>
                </w14:textFill>
              </w:rPr>
              <w:t>（以上尺寸允许偏差±</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（灰色） 塑料。</w:t>
            </w:r>
          </w:p>
        </w:tc>
        <w:tc>
          <w:tcPr>
            <w:tcW w:w="243" w:type="pct"/>
            <w:noWrap w:val="0"/>
            <w:vAlign w:val="center"/>
          </w:tcPr>
          <w:p w14:paraId="2297C2F2">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w:t>
            </w:r>
          </w:p>
        </w:tc>
        <w:tc>
          <w:tcPr>
            <w:tcW w:w="238" w:type="pct"/>
            <w:noWrap w:val="0"/>
            <w:vAlign w:val="center"/>
          </w:tcPr>
          <w:p w14:paraId="68C2490A">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套</w:t>
            </w:r>
          </w:p>
        </w:tc>
        <w:tc>
          <w:tcPr>
            <w:tcW w:w="524" w:type="pct"/>
            <w:noWrap w:val="0"/>
            <w:vAlign w:val="center"/>
          </w:tcPr>
          <w:p w14:paraId="5542F046">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30000</w:t>
            </w:r>
          </w:p>
        </w:tc>
        <w:tc>
          <w:tcPr>
            <w:tcW w:w="498" w:type="pct"/>
            <w:noWrap w:val="0"/>
            <w:vAlign w:val="center"/>
          </w:tcPr>
          <w:p w14:paraId="0BC5232B">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30000</w:t>
            </w:r>
          </w:p>
        </w:tc>
      </w:tr>
      <w:tr w14:paraId="0E0E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4B4804D5">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551" w:type="pct"/>
            <w:noWrap w:val="0"/>
            <w:vAlign w:val="center"/>
          </w:tcPr>
          <w:p w14:paraId="68E2D19D">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幼儿原木打击乐器套装</w:t>
            </w:r>
          </w:p>
        </w:tc>
        <w:tc>
          <w:tcPr>
            <w:tcW w:w="2592" w:type="pct"/>
            <w:noWrap w:val="0"/>
            <w:vAlign w:val="center"/>
          </w:tcPr>
          <w:p w14:paraId="259FDC14">
            <w:pPr>
              <w:keepNext w:val="0"/>
              <w:keepLines w:val="0"/>
              <w:widowControl/>
              <w:suppressLineNumbers w:val="0"/>
              <w:jc w:val="both"/>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奥尔夫打击乐器；7件套原木（响板；碰铃；6寸铃鼓（直径≥15cm）；4寸三角铁(直径≥10cm）；双响筒；摇铃；大号沙锤（长度≥20cm）。</w:t>
            </w:r>
            <w:bookmarkStart w:id="1018" w:name="_GoBack"/>
            <w:bookmarkEnd w:id="1018"/>
          </w:p>
        </w:tc>
        <w:tc>
          <w:tcPr>
            <w:tcW w:w="243" w:type="pct"/>
            <w:noWrap w:val="0"/>
            <w:vAlign w:val="center"/>
          </w:tcPr>
          <w:p w14:paraId="18B3D28E">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9</w:t>
            </w:r>
          </w:p>
        </w:tc>
        <w:tc>
          <w:tcPr>
            <w:tcW w:w="238" w:type="pct"/>
            <w:noWrap w:val="0"/>
            <w:vAlign w:val="center"/>
          </w:tcPr>
          <w:p w14:paraId="6C6467EA">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套</w:t>
            </w:r>
          </w:p>
        </w:tc>
        <w:tc>
          <w:tcPr>
            <w:tcW w:w="524" w:type="pct"/>
            <w:noWrap w:val="0"/>
            <w:vAlign w:val="center"/>
          </w:tcPr>
          <w:p w14:paraId="2094C82C">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100</w:t>
            </w:r>
          </w:p>
        </w:tc>
        <w:tc>
          <w:tcPr>
            <w:tcW w:w="498" w:type="pct"/>
            <w:noWrap w:val="0"/>
            <w:vAlign w:val="center"/>
          </w:tcPr>
          <w:p w14:paraId="32D49A72">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900</w:t>
            </w:r>
          </w:p>
        </w:tc>
      </w:tr>
      <w:tr w14:paraId="4AB0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2E215DB9">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551" w:type="pct"/>
            <w:noWrap w:val="0"/>
            <w:vAlign w:val="center"/>
          </w:tcPr>
          <w:p w14:paraId="4B70CD3D">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人行通道闸机人脸识别机</w:t>
            </w:r>
          </w:p>
        </w:tc>
        <w:tc>
          <w:tcPr>
            <w:tcW w:w="2592" w:type="pct"/>
            <w:noWrap w:val="0"/>
            <w:vAlign w:val="center"/>
          </w:tcPr>
          <w:p w14:paraId="3C9F10E5">
            <w:pPr>
              <w:keepNext w:val="0"/>
              <w:keepLines w:val="0"/>
              <w:widowControl/>
              <w:numPr>
                <w:ilvl w:val="0"/>
                <w:numId w:val="7"/>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通道数量：两个；</w:t>
            </w:r>
          </w:p>
          <w:p w14:paraId="18C2A89E">
            <w:pPr>
              <w:keepNext w:val="0"/>
              <w:keepLines w:val="0"/>
              <w:widowControl/>
              <w:numPr>
                <w:ilvl w:val="0"/>
                <w:numId w:val="7"/>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通行方向:双向；</w:t>
            </w:r>
          </w:p>
          <w:p w14:paraId="7439F1C0">
            <w:pPr>
              <w:keepNext w:val="0"/>
              <w:keepLines w:val="0"/>
              <w:widowControl/>
              <w:numPr>
                <w:ilvl w:val="0"/>
                <w:numId w:val="7"/>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产品款式:平面摆闸；</w:t>
            </w:r>
          </w:p>
          <w:p w14:paraId="3C408C8E">
            <w:pPr>
              <w:keepNext w:val="0"/>
              <w:keepLines w:val="0"/>
              <w:widowControl/>
              <w:numPr>
                <w:ilvl w:val="0"/>
                <w:numId w:val="7"/>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防护等级:密封、防水、防尘；</w:t>
            </w:r>
          </w:p>
          <w:p w14:paraId="3C5995CB">
            <w:pPr>
              <w:keepNext w:val="0"/>
              <w:keepLines w:val="0"/>
              <w:widowControl/>
              <w:numPr>
                <w:ilvl w:val="0"/>
                <w:numId w:val="7"/>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工作电压:AC220V</w:t>
            </w:r>
            <w:r>
              <w:rPr>
                <w:rFonts w:ascii="Segoe UI Emoji" w:hAnsi="Segoe UI Emoji" w:eastAsia="Segoe UI Emoji" w:cs="Segoe UI Emoji"/>
                <w:i w:val="0"/>
                <w:iCs w:val="0"/>
                <w:caps w:val="0"/>
                <w:color w:val="000000" w:themeColor="text1"/>
                <w:spacing w:val="0"/>
                <w:sz w:val="15"/>
                <w:szCs w:val="15"/>
                <w:highlight w:val="none"/>
                <w14:textFill>
                  <w14:solidFill>
                    <w14:schemeClr w14:val="tx1"/>
                  </w14:solidFill>
                </w14:textFill>
              </w:rPr>
              <w:t>±</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10% 50H</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z</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w:t>
            </w:r>
          </w:p>
          <w:p w14:paraId="6552655A">
            <w:pPr>
              <w:keepNext w:val="0"/>
              <w:keepLines w:val="0"/>
              <w:widowControl/>
              <w:numPr>
                <w:ilvl w:val="0"/>
                <w:numId w:val="7"/>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外形尺寸:≥1000mm×185mm×980mm；</w:t>
            </w:r>
          </w:p>
          <w:p w14:paraId="447CDC2D">
            <w:pPr>
              <w:keepNext w:val="0"/>
              <w:keepLines w:val="0"/>
              <w:widowControl/>
              <w:numPr>
                <w:ilvl w:val="0"/>
                <w:numId w:val="7"/>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通道宽度:≥600mm；通行速度:≥40人/分钟；</w:t>
            </w:r>
          </w:p>
          <w:p w14:paraId="524C66C0">
            <w:pPr>
              <w:keepNext w:val="0"/>
              <w:keepLines w:val="0"/>
              <w:widowControl/>
              <w:numPr>
                <w:ilvl w:val="0"/>
                <w:numId w:val="7"/>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电机机芯:无刷防撞机芯；</w:t>
            </w:r>
          </w:p>
          <w:p w14:paraId="0459A05E">
            <w:pPr>
              <w:keepNext w:val="0"/>
              <w:keepLines w:val="0"/>
              <w:widowControl/>
              <w:numPr>
                <w:ilvl w:val="0"/>
                <w:numId w:val="7"/>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机箱材料:不锈钢材质；</w:t>
            </w:r>
          </w:p>
          <w:p w14:paraId="4BFA36BF">
            <w:pPr>
              <w:keepNext w:val="0"/>
              <w:keepLines w:val="0"/>
              <w:widowControl/>
              <w:numPr>
                <w:ilvl w:val="0"/>
                <w:numId w:val="7"/>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感应方式:红外对射；</w:t>
            </w:r>
          </w:p>
          <w:p w14:paraId="22D7DE0F">
            <w:pPr>
              <w:keepNext w:val="0"/>
              <w:keepLines w:val="0"/>
              <w:widowControl/>
              <w:numPr>
                <w:ilvl w:val="0"/>
                <w:numId w:val="7"/>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功能：人脸识别、自动统计数据、无刷防撞、断电开闸、通道宽度定制。</w:t>
            </w:r>
          </w:p>
        </w:tc>
        <w:tc>
          <w:tcPr>
            <w:tcW w:w="243" w:type="pct"/>
            <w:noWrap w:val="0"/>
            <w:vAlign w:val="center"/>
          </w:tcPr>
          <w:p w14:paraId="453771D3">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w:t>
            </w:r>
          </w:p>
        </w:tc>
        <w:tc>
          <w:tcPr>
            <w:tcW w:w="238" w:type="pct"/>
            <w:noWrap w:val="0"/>
            <w:vAlign w:val="center"/>
          </w:tcPr>
          <w:p w14:paraId="59ED1BB2">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套</w:t>
            </w:r>
          </w:p>
        </w:tc>
        <w:tc>
          <w:tcPr>
            <w:tcW w:w="524" w:type="pct"/>
            <w:noWrap w:val="0"/>
            <w:vAlign w:val="center"/>
          </w:tcPr>
          <w:p w14:paraId="3094F92C">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10000</w:t>
            </w:r>
          </w:p>
        </w:tc>
        <w:tc>
          <w:tcPr>
            <w:tcW w:w="498" w:type="pct"/>
            <w:noWrap w:val="0"/>
            <w:vAlign w:val="center"/>
          </w:tcPr>
          <w:p w14:paraId="205BA68A">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10000</w:t>
            </w:r>
          </w:p>
        </w:tc>
      </w:tr>
      <w:tr w14:paraId="15F7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17437DE2">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551" w:type="pct"/>
            <w:noWrap w:val="0"/>
            <w:vAlign w:val="center"/>
          </w:tcPr>
          <w:p w14:paraId="502B18B7">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平板</w:t>
            </w:r>
          </w:p>
        </w:tc>
        <w:tc>
          <w:tcPr>
            <w:tcW w:w="2592" w:type="pct"/>
            <w:noWrap w:val="0"/>
            <w:vAlign w:val="center"/>
          </w:tcPr>
          <w:p w14:paraId="4334EBE1">
            <w:pPr>
              <w:keepNext w:val="0"/>
              <w:keepLines w:val="0"/>
              <w:widowControl/>
              <w:numPr>
                <w:ilvl w:val="0"/>
                <w:numId w:val="8"/>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处理器</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瑞芯微 RK3566同性能及以上配置</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系统</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定制系统</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w:t>
            </w:r>
          </w:p>
          <w:p w14:paraId="44CF6850">
            <w:pPr>
              <w:keepNext w:val="0"/>
              <w:keepLines w:val="0"/>
              <w:widowControl/>
              <w:numPr>
                <w:ilvl w:val="0"/>
                <w:numId w:val="8"/>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屏幕：≥8.2英寸E-Ink墨水屏，≥1920×1440分辨率；</w:t>
            </w:r>
          </w:p>
          <w:p w14:paraId="3570DD64">
            <w:pPr>
              <w:keepNext w:val="0"/>
              <w:keepLines w:val="0"/>
              <w:widowControl/>
              <w:numPr>
                <w:ilvl w:val="0"/>
                <w:numId w:val="8"/>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存储：≥64GB存储空间，4GB运行内存；</w:t>
            </w:r>
          </w:p>
          <w:p w14:paraId="61198C22">
            <w:pPr>
              <w:keepNext w:val="0"/>
              <w:keepLines w:val="0"/>
              <w:widowControl/>
              <w:numPr>
                <w:ilvl w:val="0"/>
                <w:numId w:val="8"/>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网络：支持4G全网通(移动/电信/联通)，双频Wi-Fi，蓝牙5.2；</w:t>
            </w:r>
          </w:p>
          <w:p w14:paraId="04934ADE">
            <w:pPr>
              <w:keepNext w:val="0"/>
              <w:keepLines w:val="0"/>
              <w:widowControl/>
              <w:numPr>
                <w:ilvl w:val="0"/>
                <w:numId w:val="8"/>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电池：≥2600mAh电池，≥230g重，≥5mm机身，</w:t>
            </w:r>
          </w:p>
          <w:p w14:paraId="127022D1">
            <w:pPr>
              <w:keepNext w:val="0"/>
              <w:keepLines w:val="0"/>
              <w:widowControl/>
              <w:numPr>
                <w:ilvl w:val="0"/>
                <w:numId w:val="8"/>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支持微信读书、Kindle等应用；</w:t>
            </w:r>
          </w:p>
          <w:p w14:paraId="43AD6EC1">
            <w:pPr>
              <w:keepNext w:val="0"/>
              <w:keepLines w:val="0"/>
              <w:widowControl/>
              <w:numPr>
                <w:ilvl w:val="0"/>
                <w:numId w:val="8"/>
              </w:numPr>
              <w:suppressLineNumbers w:val="0"/>
              <w:jc w:val="left"/>
              <w:rPr>
                <w:rFonts w:hint="default"/>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操作系统：定制的智能办公系统，优化AI办公应用，支持语音转文字、分角色转写等；包配件（皮套、手写笔：定制磁吸电磁笔）。</w:t>
            </w:r>
          </w:p>
        </w:tc>
        <w:tc>
          <w:tcPr>
            <w:tcW w:w="243" w:type="pct"/>
            <w:noWrap w:val="0"/>
            <w:vAlign w:val="center"/>
          </w:tcPr>
          <w:p w14:paraId="0123DD10">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10</w:t>
            </w:r>
          </w:p>
        </w:tc>
        <w:tc>
          <w:tcPr>
            <w:tcW w:w="238" w:type="pct"/>
            <w:noWrap w:val="0"/>
            <w:vAlign w:val="center"/>
          </w:tcPr>
          <w:p w14:paraId="25ADB601">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套</w:t>
            </w:r>
          </w:p>
        </w:tc>
        <w:tc>
          <w:tcPr>
            <w:tcW w:w="524" w:type="pct"/>
            <w:noWrap w:val="0"/>
            <w:vAlign w:val="center"/>
          </w:tcPr>
          <w:p w14:paraId="1E1B9356">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3600</w:t>
            </w:r>
          </w:p>
        </w:tc>
        <w:tc>
          <w:tcPr>
            <w:tcW w:w="498" w:type="pct"/>
            <w:noWrap w:val="0"/>
            <w:vAlign w:val="center"/>
          </w:tcPr>
          <w:p w14:paraId="7B58F6D4">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36000</w:t>
            </w:r>
          </w:p>
        </w:tc>
      </w:tr>
      <w:tr w14:paraId="4E24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04387AD4">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551" w:type="pct"/>
            <w:noWrap w:val="0"/>
            <w:vAlign w:val="center"/>
          </w:tcPr>
          <w:p w14:paraId="39269688">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8T监控硬盘</w:t>
            </w:r>
          </w:p>
        </w:tc>
        <w:tc>
          <w:tcPr>
            <w:tcW w:w="2592" w:type="pct"/>
            <w:noWrap w:val="0"/>
            <w:vAlign w:val="center"/>
          </w:tcPr>
          <w:p w14:paraId="06355657">
            <w:pPr>
              <w:keepNext w:val="0"/>
              <w:keepLines w:val="0"/>
              <w:widowControl/>
              <w:numPr>
                <w:ilvl w:val="0"/>
                <w:numId w:val="9"/>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容量：≥8TB。</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2、转速：≥7200 转/分钟。</w:t>
            </w:r>
          </w:p>
          <w:p w14:paraId="355EFDB4">
            <w:pPr>
              <w:keepNext w:val="0"/>
              <w:keepLines w:val="0"/>
              <w:widowControl/>
              <w:numPr>
                <w:ilvl w:val="0"/>
                <w:numId w:val="0"/>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3、传输速度：传输速度≥160MB/s。</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4、接口类型：SATA 接口。</w:t>
            </w:r>
          </w:p>
        </w:tc>
        <w:tc>
          <w:tcPr>
            <w:tcW w:w="243" w:type="pct"/>
            <w:noWrap w:val="0"/>
            <w:vAlign w:val="center"/>
          </w:tcPr>
          <w:p w14:paraId="58055D44">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w:t>
            </w:r>
          </w:p>
        </w:tc>
        <w:tc>
          <w:tcPr>
            <w:tcW w:w="238" w:type="pct"/>
            <w:noWrap w:val="0"/>
            <w:vAlign w:val="center"/>
          </w:tcPr>
          <w:p w14:paraId="684B98FF">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个</w:t>
            </w:r>
          </w:p>
        </w:tc>
        <w:tc>
          <w:tcPr>
            <w:tcW w:w="524" w:type="pct"/>
            <w:noWrap w:val="0"/>
            <w:vAlign w:val="center"/>
          </w:tcPr>
          <w:p w14:paraId="7D805AFC">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4500</w:t>
            </w:r>
          </w:p>
        </w:tc>
        <w:tc>
          <w:tcPr>
            <w:tcW w:w="498" w:type="pct"/>
            <w:noWrap w:val="0"/>
            <w:vAlign w:val="center"/>
          </w:tcPr>
          <w:p w14:paraId="6EA2444D">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9000</w:t>
            </w:r>
          </w:p>
        </w:tc>
      </w:tr>
      <w:tr w14:paraId="4C24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316A0AC6">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551" w:type="pct"/>
            <w:noWrap w:val="0"/>
            <w:vAlign w:val="center"/>
          </w:tcPr>
          <w:p w14:paraId="6B448237">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幼儿图书柜</w:t>
            </w:r>
          </w:p>
        </w:tc>
        <w:tc>
          <w:tcPr>
            <w:tcW w:w="2592" w:type="pct"/>
            <w:noWrap w:val="0"/>
            <w:vAlign w:val="center"/>
          </w:tcPr>
          <w:p w14:paraId="6BB86FA0">
            <w:pPr>
              <w:keepNext w:val="0"/>
              <w:keepLines w:val="0"/>
              <w:widowControl/>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由两个柜子组成</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第一个柜子规格：60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1.材质：采用AA级橡胶木板材+多层板材质；</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2.涂层：环保水性漆，三底两面喷涂工艺；</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3.结构：卡通汽车造型收纳柜，前部弧形储物区，侧面竖向双格开放式收纳格，分区收纳，儿童友好仿真设计。</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第二个柜子规格：60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×35</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1.材质：采用AA级橡胶木板材+多层板材质；</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2.涂层：环保水性漆，三底两面喷涂工艺；</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3.结构：卧式双门收纳柜，顶部配有皮革软垫（可作坐面），正面是双门设计，每扇门上带有拱形镂空区域，内部可储物，是兼具坐具与收纳功能的样式。</w:t>
            </w:r>
          </w:p>
        </w:tc>
        <w:tc>
          <w:tcPr>
            <w:tcW w:w="243" w:type="pct"/>
            <w:noWrap w:val="0"/>
            <w:vAlign w:val="center"/>
          </w:tcPr>
          <w:p w14:paraId="7D4FE4F1">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w:t>
            </w:r>
          </w:p>
        </w:tc>
        <w:tc>
          <w:tcPr>
            <w:tcW w:w="238" w:type="pct"/>
            <w:noWrap w:val="0"/>
            <w:vAlign w:val="center"/>
          </w:tcPr>
          <w:p w14:paraId="507F7555">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个</w:t>
            </w:r>
          </w:p>
        </w:tc>
        <w:tc>
          <w:tcPr>
            <w:tcW w:w="524" w:type="pct"/>
            <w:noWrap w:val="0"/>
            <w:vAlign w:val="center"/>
          </w:tcPr>
          <w:p w14:paraId="1CF382FE">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2100</w:t>
            </w:r>
          </w:p>
        </w:tc>
        <w:tc>
          <w:tcPr>
            <w:tcW w:w="498" w:type="pct"/>
            <w:noWrap w:val="0"/>
            <w:vAlign w:val="center"/>
          </w:tcPr>
          <w:p w14:paraId="015CFDEC">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14700</w:t>
            </w:r>
          </w:p>
        </w:tc>
      </w:tr>
      <w:tr w14:paraId="29EE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4ADF58A9">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551" w:type="pct"/>
            <w:noWrap w:val="0"/>
            <w:vAlign w:val="center"/>
          </w:tcPr>
          <w:p w14:paraId="68310E53">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铁皮带锁资料柜</w:t>
            </w:r>
          </w:p>
        </w:tc>
        <w:tc>
          <w:tcPr>
            <w:tcW w:w="2592" w:type="pct"/>
            <w:noWrap w:val="0"/>
            <w:vAlign w:val="center"/>
          </w:tcPr>
          <w:p w14:paraId="38B47E43">
            <w:pPr>
              <w:keepNext w:val="0"/>
              <w:keepLines w:val="0"/>
              <w:widowControl/>
              <w:suppressLineNumbers w:val="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1、尺寸：</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180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×85</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×39</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p>
          <w:p w14:paraId="2ADE81C1">
            <w:pPr>
              <w:keepNext w:val="0"/>
              <w:keepLines w:val="0"/>
              <w:widowControl/>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≥1.2mm厚冷轧钢板，防锈处理，中二斗带锁文件柜，环保无磷粉末。</w:t>
            </w:r>
          </w:p>
        </w:tc>
        <w:tc>
          <w:tcPr>
            <w:tcW w:w="243" w:type="pct"/>
            <w:noWrap w:val="0"/>
            <w:vAlign w:val="center"/>
          </w:tcPr>
          <w:p w14:paraId="2A4028D0">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w:t>
            </w:r>
          </w:p>
        </w:tc>
        <w:tc>
          <w:tcPr>
            <w:tcW w:w="238" w:type="pct"/>
            <w:noWrap w:val="0"/>
            <w:vAlign w:val="center"/>
          </w:tcPr>
          <w:p w14:paraId="0CFF830C">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个</w:t>
            </w:r>
          </w:p>
        </w:tc>
        <w:tc>
          <w:tcPr>
            <w:tcW w:w="524" w:type="pct"/>
            <w:noWrap w:val="0"/>
            <w:vAlign w:val="center"/>
          </w:tcPr>
          <w:p w14:paraId="422AEF08">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600</w:t>
            </w:r>
          </w:p>
        </w:tc>
        <w:tc>
          <w:tcPr>
            <w:tcW w:w="498" w:type="pct"/>
            <w:noWrap w:val="0"/>
            <w:vAlign w:val="center"/>
          </w:tcPr>
          <w:p w14:paraId="75B4FA00">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600</w:t>
            </w:r>
          </w:p>
        </w:tc>
      </w:tr>
      <w:tr w14:paraId="362D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3852A81B">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551" w:type="pct"/>
            <w:noWrap w:val="0"/>
            <w:vAlign w:val="center"/>
          </w:tcPr>
          <w:p w14:paraId="5DEDA7E8">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实本3层玩具柜</w:t>
            </w:r>
          </w:p>
        </w:tc>
        <w:tc>
          <w:tcPr>
            <w:tcW w:w="2592" w:type="pct"/>
            <w:noWrap w:val="0"/>
            <w:vAlign w:val="center"/>
          </w:tcPr>
          <w:p w14:paraId="7AC2EEFC">
            <w:pPr>
              <w:keepNext w:val="0"/>
              <w:keepLines w:val="0"/>
              <w:widowControl/>
              <w:numPr>
                <w:ilvl w:val="0"/>
                <w:numId w:val="10"/>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 xml:space="preserve">实木3层玩具柜，松木，原色，清漆，有背板，三层六格；                 </w:t>
            </w:r>
          </w:p>
          <w:p w14:paraId="6EE3F624">
            <w:pPr>
              <w:keepNext w:val="0"/>
              <w:keepLines w:val="0"/>
              <w:widowControl/>
              <w:numPr>
                <w:ilvl w:val="0"/>
                <w:numId w:val="10"/>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尺寸≥120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w:t>
            </w:r>
          </w:p>
        </w:tc>
        <w:tc>
          <w:tcPr>
            <w:tcW w:w="243" w:type="pct"/>
            <w:noWrap w:val="0"/>
            <w:vAlign w:val="center"/>
          </w:tcPr>
          <w:p w14:paraId="22A4E574">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10</w:t>
            </w:r>
          </w:p>
        </w:tc>
        <w:tc>
          <w:tcPr>
            <w:tcW w:w="238" w:type="pct"/>
            <w:noWrap w:val="0"/>
            <w:vAlign w:val="center"/>
          </w:tcPr>
          <w:p w14:paraId="0CAB2655">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个</w:t>
            </w:r>
          </w:p>
        </w:tc>
        <w:tc>
          <w:tcPr>
            <w:tcW w:w="524" w:type="pct"/>
            <w:noWrap w:val="0"/>
            <w:vAlign w:val="center"/>
          </w:tcPr>
          <w:p w14:paraId="013907B0">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800</w:t>
            </w:r>
          </w:p>
        </w:tc>
        <w:tc>
          <w:tcPr>
            <w:tcW w:w="498" w:type="pct"/>
            <w:noWrap w:val="0"/>
            <w:vAlign w:val="center"/>
          </w:tcPr>
          <w:p w14:paraId="093E3955">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8000</w:t>
            </w:r>
          </w:p>
        </w:tc>
      </w:tr>
      <w:tr w14:paraId="13BD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6C5CC65B">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551" w:type="pct"/>
            <w:noWrap w:val="0"/>
            <w:vAlign w:val="center"/>
          </w:tcPr>
          <w:p w14:paraId="30A085E5">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不锈钢户外玩具架</w:t>
            </w:r>
          </w:p>
        </w:tc>
        <w:tc>
          <w:tcPr>
            <w:tcW w:w="2592" w:type="pct"/>
            <w:noWrap w:val="0"/>
            <w:vAlign w:val="center"/>
          </w:tcPr>
          <w:p w14:paraId="29638548">
            <w:pPr>
              <w:keepNext w:val="0"/>
              <w:keepLines w:val="0"/>
              <w:widowControl/>
              <w:numPr>
                <w:ilvl w:val="0"/>
                <w:numId w:val="0"/>
              </w:numPr>
              <w:suppressLineNumbers w:val="0"/>
              <w:jc w:val="both"/>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一组合计4个如下：</w:t>
            </w:r>
          </w:p>
          <w:p w14:paraId="2D4CAF42">
            <w:pPr>
              <w:keepNext w:val="0"/>
              <w:keepLines w:val="0"/>
              <w:widowControl/>
              <w:numPr>
                <w:ilvl w:val="0"/>
                <w:numId w:val="0"/>
              </w:numPr>
              <w:suppressLineNumbers w:val="0"/>
              <w:jc w:val="both"/>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1.长22</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×15</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00mm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，三层</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2.长249</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，宽7</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00mm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 高18</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00mm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，最下面一层无架子，空着放小车，从倒数第二层开始做，距离地面68</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，杆子方形，≥5</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粗</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w:t>
            </w:r>
          </w:p>
          <w:p w14:paraId="5A9F5450">
            <w:pPr>
              <w:keepNext w:val="0"/>
              <w:keepLines w:val="0"/>
              <w:widowControl/>
              <w:numPr>
                <w:ilvl w:val="0"/>
                <w:numId w:val="0"/>
              </w:numPr>
              <w:suppressLineNumbers w:val="0"/>
              <w:ind w:left="0" w:firstLine="0"/>
              <w:jc w:val="both"/>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3.6</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×14</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00mm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。做2个。</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（所有架子都带轮子，可移动。所有隔板采用不锈钢板）</w:t>
            </w:r>
          </w:p>
        </w:tc>
        <w:tc>
          <w:tcPr>
            <w:tcW w:w="243" w:type="pct"/>
            <w:noWrap w:val="0"/>
            <w:vAlign w:val="center"/>
          </w:tcPr>
          <w:p w14:paraId="6259D64D">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w:t>
            </w:r>
          </w:p>
        </w:tc>
        <w:tc>
          <w:tcPr>
            <w:tcW w:w="238" w:type="pct"/>
            <w:noWrap w:val="0"/>
            <w:vAlign w:val="center"/>
          </w:tcPr>
          <w:p w14:paraId="314E61F4">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组</w:t>
            </w:r>
          </w:p>
        </w:tc>
        <w:tc>
          <w:tcPr>
            <w:tcW w:w="524" w:type="pct"/>
            <w:noWrap w:val="0"/>
            <w:vAlign w:val="center"/>
          </w:tcPr>
          <w:p w14:paraId="0099F8E0">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3200</w:t>
            </w:r>
          </w:p>
        </w:tc>
        <w:tc>
          <w:tcPr>
            <w:tcW w:w="498" w:type="pct"/>
            <w:noWrap w:val="0"/>
            <w:vAlign w:val="center"/>
          </w:tcPr>
          <w:p w14:paraId="35A961F6">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3200</w:t>
            </w:r>
          </w:p>
        </w:tc>
      </w:tr>
      <w:tr w14:paraId="433D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700D3621">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18</w:t>
            </w:r>
          </w:p>
        </w:tc>
        <w:tc>
          <w:tcPr>
            <w:tcW w:w="551" w:type="pct"/>
            <w:noWrap w:val="0"/>
            <w:vAlign w:val="center"/>
          </w:tcPr>
          <w:p w14:paraId="5187BDB8">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可移动实木绘本架</w:t>
            </w:r>
          </w:p>
        </w:tc>
        <w:tc>
          <w:tcPr>
            <w:tcW w:w="2592" w:type="pct"/>
            <w:noWrap w:val="0"/>
            <w:vAlign w:val="center"/>
          </w:tcPr>
          <w:p w14:paraId="20401DFC">
            <w:pPr>
              <w:keepNext w:val="0"/>
              <w:keepLines w:val="0"/>
              <w:widowControl/>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≥12</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m加厚松木，原木色，环保清漆，带刹车万向轮，抽屉款，有收纳及展示功能（书柜储物柜一体），100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×32</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×120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cs="宋体"/>
                <w:color w:val="000000" w:themeColor="text1"/>
                <w:highlight w:val="none"/>
                <w:lang w:val="en-US" w:eastAsia="zh-CN"/>
                <w14:textFill>
                  <w14:solidFill>
                    <w14:schemeClr w14:val="tx1"/>
                  </w14:solidFill>
                </w14:textFill>
              </w:rPr>
              <w:t>。</w:t>
            </w:r>
          </w:p>
        </w:tc>
        <w:tc>
          <w:tcPr>
            <w:tcW w:w="243" w:type="pct"/>
            <w:noWrap w:val="0"/>
            <w:vAlign w:val="center"/>
          </w:tcPr>
          <w:p w14:paraId="1D0C9F50">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7</w:t>
            </w:r>
          </w:p>
        </w:tc>
        <w:tc>
          <w:tcPr>
            <w:tcW w:w="238" w:type="pct"/>
            <w:noWrap w:val="0"/>
            <w:vAlign w:val="center"/>
          </w:tcPr>
          <w:p w14:paraId="3187BEA5">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个</w:t>
            </w:r>
          </w:p>
        </w:tc>
        <w:tc>
          <w:tcPr>
            <w:tcW w:w="524" w:type="pct"/>
            <w:noWrap w:val="0"/>
            <w:vAlign w:val="center"/>
          </w:tcPr>
          <w:p w14:paraId="661EC6C5">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800</w:t>
            </w:r>
          </w:p>
        </w:tc>
        <w:tc>
          <w:tcPr>
            <w:tcW w:w="498" w:type="pct"/>
            <w:noWrap w:val="0"/>
            <w:vAlign w:val="center"/>
          </w:tcPr>
          <w:p w14:paraId="34DB8F06">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5600</w:t>
            </w:r>
          </w:p>
        </w:tc>
      </w:tr>
      <w:tr w14:paraId="4EE9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1012DC5E">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19</w:t>
            </w:r>
          </w:p>
        </w:tc>
        <w:tc>
          <w:tcPr>
            <w:tcW w:w="551" w:type="pct"/>
            <w:noWrap w:val="0"/>
            <w:vAlign w:val="center"/>
          </w:tcPr>
          <w:p w14:paraId="3F204604">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不锈钢户外宣传栏</w:t>
            </w:r>
          </w:p>
        </w:tc>
        <w:tc>
          <w:tcPr>
            <w:tcW w:w="2592" w:type="pct"/>
            <w:noWrap w:val="0"/>
            <w:vAlign w:val="center"/>
          </w:tcPr>
          <w:p w14:paraId="1B9BC150">
            <w:pPr>
              <w:keepNext w:val="0"/>
              <w:keepLines w:val="0"/>
              <w:widowControl/>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掀盖式宣传栏（照样定制）；整体大小270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×120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，总体厚度为≥10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m；每组由4个5</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m×5</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不锈钢方管制成的130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m×130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的方形框组成（2个底板框，2个面板框）；方框中间用三根长≥10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m的5</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方管横向连接而成，三根方管上下间距≥29</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m，主体方管材质厚度为≥2mm，钢化玻璃面板：120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×120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（2块）；PVC底板：120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×120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×10mm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（2块），底部锁扣，周边密封条，带雨棚。</w:t>
            </w:r>
          </w:p>
        </w:tc>
        <w:tc>
          <w:tcPr>
            <w:tcW w:w="243" w:type="pct"/>
            <w:noWrap w:val="0"/>
            <w:vAlign w:val="center"/>
          </w:tcPr>
          <w:p w14:paraId="71A52F01">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w:t>
            </w:r>
          </w:p>
        </w:tc>
        <w:tc>
          <w:tcPr>
            <w:tcW w:w="238" w:type="pct"/>
            <w:noWrap w:val="0"/>
            <w:vAlign w:val="center"/>
          </w:tcPr>
          <w:p w14:paraId="0AE5856D">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个</w:t>
            </w:r>
          </w:p>
        </w:tc>
        <w:tc>
          <w:tcPr>
            <w:tcW w:w="524" w:type="pct"/>
            <w:noWrap w:val="0"/>
            <w:vAlign w:val="center"/>
          </w:tcPr>
          <w:p w14:paraId="36BAD287">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3100</w:t>
            </w:r>
          </w:p>
        </w:tc>
        <w:tc>
          <w:tcPr>
            <w:tcW w:w="498" w:type="pct"/>
            <w:noWrap w:val="0"/>
            <w:vAlign w:val="center"/>
          </w:tcPr>
          <w:p w14:paraId="060F23D1">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9300</w:t>
            </w:r>
          </w:p>
        </w:tc>
      </w:tr>
      <w:tr w14:paraId="1A94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7A00E84D">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p>
        </w:tc>
        <w:tc>
          <w:tcPr>
            <w:tcW w:w="551" w:type="pct"/>
            <w:noWrap w:val="0"/>
            <w:vAlign w:val="center"/>
          </w:tcPr>
          <w:p w14:paraId="0452466B">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幼儿厕所冲水箱</w:t>
            </w:r>
          </w:p>
        </w:tc>
        <w:tc>
          <w:tcPr>
            <w:tcW w:w="2592" w:type="pct"/>
            <w:noWrap w:val="0"/>
            <w:vAlign w:val="center"/>
          </w:tcPr>
          <w:p w14:paraId="2ED524FE">
            <w:pPr>
              <w:keepNext w:val="0"/>
              <w:keepLines w:val="0"/>
              <w:widowControl/>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电镀按钮，双档节能，白色水箱带增压喷枪，储水量8L—10L，全新PP料厚度≥4mm，箱体尺寸：360×110×360mm</w:t>
            </w:r>
            <w:r>
              <w:rPr>
                <w:rFonts w:hint="eastAsia" w:ascii="宋体" w:hAnsi="宋体" w:eastAsia="宋体" w:cs="宋体"/>
                <w:color w:val="000000" w:themeColor="text1"/>
                <w:highlight w:val="none"/>
                <w:lang w:val="en-US" w:eastAsia="zh-CN"/>
                <w14:textFill>
                  <w14:solidFill>
                    <w14:schemeClr w14:val="tx1"/>
                  </w14:solidFill>
                </w14:textFill>
              </w:rPr>
              <w:t>（以上尺寸允许偏差±5mm）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，不锈钢角阀，包配件及安装。</w:t>
            </w:r>
          </w:p>
        </w:tc>
        <w:tc>
          <w:tcPr>
            <w:tcW w:w="243" w:type="pct"/>
            <w:noWrap w:val="0"/>
            <w:vAlign w:val="center"/>
          </w:tcPr>
          <w:p w14:paraId="547309E0">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35</w:t>
            </w:r>
          </w:p>
        </w:tc>
        <w:tc>
          <w:tcPr>
            <w:tcW w:w="238" w:type="pct"/>
            <w:noWrap w:val="0"/>
            <w:vAlign w:val="center"/>
          </w:tcPr>
          <w:p w14:paraId="3CF010A4">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个</w:t>
            </w:r>
          </w:p>
        </w:tc>
        <w:tc>
          <w:tcPr>
            <w:tcW w:w="524" w:type="pct"/>
            <w:noWrap w:val="0"/>
            <w:vAlign w:val="center"/>
          </w:tcPr>
          <w:p w14:paraId="09B47DF0">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160</w:t>
            </w:r>
          </w:p>
        </w:tc>
        <w:tc>
          <w:tcPr>
            <w:tcW w:w="498" w:type="pct"/>
            <w:noWrap w:val="0"/>
            <w:vAlign w:val="center"/>
          </w:tcPr>
          <w:p w14:paraId="0BCEAAD4">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5600</w:t>
            </w:r>
          </w:p>
        </w:tc>
      </w:tr>
      <w:tr w14:paraId="77C3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noWrap w:val="0"/>
            <w:vAlign w:val="center"/>
          </w:tcPr>
          <w:p w14:paraId="3370976E">
            <w:pPr>
              <w:widowControl/>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21</w:t>
            </w:r>
          </w:p>
        </w:tc>
        <w:tc>
          <w:tcPr>
            <w:tcW w:w="551" w:type="pct"/>
            <w:noWrap w:val="0"/>
            <w:vAlign w:val="center"/>
          </w:tcPr>
          <w:p w14:paraId="03323AA0">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立式钢琴</w:t>
            </w:r>
          </w:p>
        </w:tc>
        <w:tc>
          <w:tcPr>
            <w:tcW w:w="2592" w:type="pct"/>
            <w:noWrap w:val="0"/>
            <w:vAlign w:val="center"/>
          </w:tcPr>
          <w:p w14:paraId="6AB0E009">
            <w:pPr>
              <w:keepNext w:val="0"/>
              <w:keepLines w:val="0"/>
              <w:widowControl/>
              <w:numPr>
                <w:ilvl w:val="0"/>
                <w:numId w:val="11"/>
              </w:numPr>
              <w:suppressLineNumbers w:val="0"/>
              <w:jc w:val="left"/>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基本规格：类型：立式钢琴；</w:t>
            </w:r>
          </w:p>
          <w:p w14:paraId="71AD82C3">
            <w:pPr>
              <w:keepNext w:val="0"/>
              <w:keepLines w:val="0"/>
              <w:widowControl/>
              <w:numPr>
                <w:ilvl w:val="0"/>
                <w:numId w:val="11"/>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高度</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120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m；宽度</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150</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w:t>
            </w:r>
          </w:p>
          <w:p w14:paraId="02C39FAF">
            <w:pPr>
              <w:keepNext w:val="0"/>
              <w:keepLines w:val="0"/>
              <w:widowControl/>
              <w:numPr>
                <w:ilvl w:val="0"/>
                <w:numId w:val="11"/>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深度</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62</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0m</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m；重量</w:t>
            </w:r>
            <w:r>
              <w:rPr>
                <w:rFonts w:hint="eastAsia" w:ascii="宋体" w:hAnsi="宋体" w:cs="宋体"/>
                <w:i w:val="0"/>
                <w:iCs w:val="0"/>
                <w:color w:val="000000" w:themeColor="text1"/>
                <w:sz w:val="22"/>
                <w:szCs w:val="22"/>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245kg；</w:t>
            </w:r>
          </w:p>
          <w:p w14:paraId="6FCF4562">
            <w:pPr>
              <w:keepNext w:val="0"/>
              <w:keepLines w:val="0"/>
              <w:widowControl/>
              <w:numPr>
                <w:ilvl w:val="0"/>
                <w:numId w:val="11"/>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外观颜色：黑色亮光、白色亮光（可选）；</w:t>
            </w:r>
          </w:p>
          <w:p w14:paraId="102CD59C">
            <w:pPr>
              <w:keepNext w:val="0"/>
              <w:keepLines w:val="0"/>
              <w:widowControl/>
              <w:numPr>
                <w:ilvl w:val="0"/>
                <w:numId w:val="11"/>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外壳工艺：高级聚酯亮光涂层，漆面光滑耐磨、色泽均匀。​</w:t>
            </w:r>
          </w:p>
          <w:p w14:paraId="6B9D4761">
            <w:pPr>
              <w:keepNext w:val="0"/>
              <w:keepLines w:val="0"/>
              <w:widowControl/>
              <w:numPr>
                <w:ilvl w:val="0"/>
                <w:numId w:val="11"/>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核心部件参数：音板：云杉实木单层音板，弧度共鸣设计，木材年轮细密均匀；琴弦：低音弦采用纯铜缠绕工艺；铁板（铸铁板）：采用传统翻砂铸造工艺，结构坚固，可承受高张力；弦码：硬木层压材质，传导性能稳定；击弦机：专用精密击弦机系统，反应灵敏、传动高效；榔头：钢琴专用榔头，胡桃木芯，外层采用加厚羊毛毡；键盘：白键为云杉实木材质；黑键为黑檀木，吸汗防滑；琴键数88键（7组完整音域）。​</w:t>
            </w:r>
          </w:p>
          <w:p w14:paraId="39622ADF">
            <w:pPr>
              <w:keepNext w:val="0"/>
              <w:keepLines w:val="0"/>
              <w:widowControl/>
              <w:numPr>
                <w:ilvl w:val="0"/>
                <w:numId w:val="11"/>
              </w:numPr>
              <w:suppressLineNumbers w:val="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结构与工艺：弦列设计：交叉式弦列布局，低音弦有效弦长充足，共鸣饱满；五金配件：黑色款配镀铬五金，白色款配镀金五金，防锈耐用；踏板：3踏板系统（延音、选择性延音、弱音），金属支架，踩踏顺滑；背柱：实木加固背柱，支撑稳定，保证琴身长期不变形；音板框：硬木材质，增强音板共鸣与结构强度。​</w:t>
            </w:r>
          </w:p>
        </w:tc>
        <w:tc>
          <w:tcPr>
            <w:tcW w:w="243" w:type="pct"/>
            <w:noWrap w:val="0"/>
            <w:vAlign w:val="center"/>
          </w:tcPr>
          <w:p w14:paraId="31798E91">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1</w:t>
            </w:r>
          </w:p>
        </w:tc>
        <w:tc>
          <w:tcPr>
            <w:tcW w:w="238" w:type="pct"/>
            <w:noWrap w:val="0"/>
            <w:vAlign w:val="center"/>
          </w:tcPr>
          <w:p w14:paraId="3E4DF9D0">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台</w:t>
            </w:r>
          </w:p>
        </w:tc>
        <w:tc>
          <w:tcPr>
            <w:tcW w:w="524" w:type="pct"/>
            <w:noWrap w:val="0"/>
            <w:vAlign w:val="center"/>
          </w:tcPr>
          <w:p w14:paraId="6280838A">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22400</w:t>
            </w:r>
          </w:p>
        </w:tc>
        <w:tc>
          <w:tcPr>
            <w:tcW w:w="498" w:type="pct"/>
            <w:noWrap w:val="0"/>
            <w:vAlign w:val="center"/>
          </w:tcPr>
          <w:p w14:paraId="14410056">
            <w:pPr>
              <w:keepNext w:val="0"/>
              <w:keepLines w:val="0"/>
              <w:widowControl/>
              <w:suppressLineNumbers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default" w:ascii="宋体" w:hAnsi="宋体" w:eastAsia="宋体" w:cs="宋体"/>
                <w:i w:val="0"/>
                <w:iCs w:val="0"/>
                <w:color w:val="000000" w:themeColor="text1"/>
                <w:sz w:val="22"/>
                <w:szCs w:val="22"/>
                <w:highlight w:val="none"/>
                <w:u w:val="none"/>
                <w:lang w:val="en-US" w:eastAsia="zh-CN" w:bidi="ar"/>
                <w14:textFill>
                  <w14:solidFill>
                    <w14:schemeClr w14:val="tx1"/>
                  </w14:solidFill>
                </w14:textFill>
              </w:rPr>
              <w:t>22400</w:t>
            </w:r>
          </w:p>
        </w:tc>
      </w:tr>
      <w:tr w14:paraId="32B4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03" w:type="pct"/>
            <w:gridSpan w:val="2"/>
            <w:noWrap w:val="0"/>
            <w:vAlign w:val="center"/>
          </w:tcPr>
          <w:p w14:paraId="2939858F">
            <w:pPr>
              <w:widowControl/>
              <w:spacing w:line="440" w:lineRule="exact"/>
              <w:jc w:val="center"/>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合计</w:t>
            </w:r>
          </w:p>
        </w:tc>
        <w:tc>
          <w:tcPr>
            <w:tcW w:w="4096" w:type="pct"/>
            <w:gridSpan w:val="5"/>
            <w:noWrap w:val="0"/>
            <w:vAlign w:val="top"/>
          </w:tcPr>
          <w:p w14:paraId="45455C5C">
            <w:pPr>
              <w:spacing w:line="44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default" w:ascii="Arial" w:hAnsi="Arial" w:cs="Arial"/>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500000.00</w:t>
            </w:r>
          </w:p>
        </w:tc>
      </w:tr>
    </w:tbl>
    <w:p w14:paraId="26C77D2E">
      <w:pPr>
        <w:jc w:val="both"/>
        <w:outlineLvl w:val="0"/>
        <w:rPr>
          <w:rStyle w:val="254"/>
          <w:rFonts w:hint="eastAsia" w:ascii="宋体" w:hAnsi="宋体" w:eastAsia="宋体" w:cs="宋体"/>
          <w:color w:val="000000" w:themeColor="text1"/>
          <w:sz w:val="32"/>
          <w:szCs w:val="32"/>
          <w:highlight w:val="none"/>
          <w14:textFill>
            <w14:solidFill>
              <w14:schemeClr w14:val="tx1"/>
            </w14:solidFill>
          </w14:textFill>
        </w:rPr>
      </w:pPr>
      <w:r>
        <w:rPr>
          <w:rStyle w:val="254"/>
          <w:rFonts w:eastAsia="宋体"/>
          <w:color w:val="000000" w:themeColor="text1"/>
          <w:sz w:val="32"/>
          <w:szCs w:val="32"/>
          <w:highlight w:val="none"/>
          <w14:textFill>
            <w14:solidFill>
              <w14:schemeClr w14:val="tx1"/>
            </w14:solidFill>
          </w14:textFill>
        </w:rPr>
        <w:t>二、商务要求</w:t>
      </w:r>
    </w:p>
    <w:p w14:paraId="762D79BC">
      <w:pPr>
        <w:rPr>
          <w:rFonts w:hint="eastAsia"/>
          <w:color w:val="000000" w:themeColor="text1"/>
          <w:highlight w:val="none"/>
          <w14:textFill>
            <w14:solidFill>
              <w14:schemeClr w14:val="tx1"/>
            </w14:solidFill>
          </w14:textFill>
        </w:rPr>
      </w:pPr>
    </w:p>
    <w:tbl>
      <w:tblPr>
        <w:tblStyle w:val="4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77"/>
        <w:gridCol w:w="8129"/>
      </w:tblGrid>
      <w:tr w14:paraId="3E73A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5000" w:type="pct"/>
            <w:gridSpan w:val="2"/>
            <w:noWrap w:val="0"/>
            <w:vAlign w:val="center"/>
          </w:tcPr>
          <w:p w14:paraId="106622D8">
            <w:pPr>
              <w:keepNext w:val="0"/>
              <w:keepLines w:val="0"/>
              <w:pageBreakBefore w:val="0"/>
              <w:widowControl w:val="0"/>
              <w:bidi w:val="0"/>
              <w:spacing w:line="360" w:lineRule="auto"/>
              <w:ind w:left="0" w:right="0" w:firstLine="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bidi="ar"/>
                <w14:textFill>
                  <w14:solidFill>
                    <w14:schemeClr w14:val="tx1"/>
                  </w14:solidFill>
                </w14:textFill>
              </w:rPr>
              <w:t>商务要求</w:t>
            </w:r>
          </w:p>
        </w:tc>
      </w:tr>
      <w:tr w14:paraId="0D34F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094" w:type="pct"/>
            <w:noWrap w:val="0"/>
            <w:vAlign w:val="center"/>
          </w:tcPr>
          <w:p w14:paraId="7E82C5B4">
            <w:pPr>
              <w:keepNext w:val="0"/>
              <w:keepLines w:val="0"/>
              <w:pageBreakBefore w:val="0"/>
              <w:widowControl w:val="0"/>
              <w:bidi w:val="0"/>
              <w:spacing w:line="360" w:lineRule="auto"/>
              <w:ind w:left="0" w:right="0" w:firstLine="0"/>
              <w:jc w:val="center"/>
              <w:rPr>
                <w:rFonts w:hint="eastAsia" w:ascii="宋体" w:hAnsi="宋体" w:cs="宋体"/>
                <w:color w:val="000000" w:themeColor="text1"/>
                <w:highlight w:val="none"/>
                <w:lang w:bidi="ar"/>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售后服务要求</w:t>
            </w:r>
          </w:p>
        </w:tc>
        <w:tc>
          <w:tcPr>
            <w:tcW w:w="3905" w:type="pct"/>
            <w:noWrap w:val="0"/>
            <w:vAlign w:val="center"/>
          </w:tcPr>
          <w:p w14:paraId="5F427F07">
            <w:pPr>
              <w:keepNext w:val="0"/>
              <w:keepLines w:val="0"/>
              <w:pageBreakBefore w:val="0"/>
              <w:widowControl w:val="0"/>
              <w:bidi w:val="0"/>
              <w:spacing w:line="360" w:lineRule="auto"/>
              <w:ind w:left="0" w:right="0" w:firstLine="0"/>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1、所有响应产品必须是厂家合法渠道的全新正品，符合规定的质量、规格、性能，并按照相关国家及专业标准检验的合格产品，其产品须符合国家有关规定及厂家承诺实行“三包”。</w:t>
            </w:r>
          </w:p>
          <w:p w14:paraId="424AD89B">
            <w:pPr>
              <w:keepNext w:val="0"/>
              <w:keepLines w:val="0"/>
              <w:pageBreakBefore w:val="0"/>
              <w:widowControl w:val="0"/>
              <w:bidi w:val="0"/>
              <w:spacing w:line="360" w:lineRule="auto"/>
              <w:ind w:left="0" w:right="0" w:firstLine="0"/>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2、保修年限：各项货物免费保修期最短不得少于3年。</w:t>
            </w:r>
          </w:p>
          <w:p w14:paraId="7300A2E3">
            <w:pPr>
              <w:keepNext w:val="0"/>
              <w:keepLines w:val="0"/>
              <w:pageBreakBefore w:val="0"/>
              <w:widowControl w:val="0"/>
              <w:bidi w:val="0"/>
              <w:spacing w:line="360" w:lineRule="auto"/>
              <w:ind w:left="0" w:right="0" w:firstLine="0"/>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3、免费送货上门，免费安装调试合格。</w:t>
            </w:r>
          </w:p>
          <w:p w14:paraId="56DBC310">
            <w:pPr>
              <w:keepNext w:val="0"/>
              <w:keepLines w:val="0"/>
              <w:pageBreakBefore w:val="0"/>
              <w:widowControl w:val="0"/>
              <w:bidi w:val="0"/>
              <w:spacing w:line="360" w:lineRule="auto"/>
              <w:ind w:left="0" w:right="0" w:firstLine="0"/>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4、服务响应时间：接到用户故障通知后2小时内给予答复，4小时内给出解决方案，24小时内解决故障。未能在规定时间内排除故障的，必须在48小时内提供同档次的备用机并提交故障解决处理方案。</w:t>
            </w:r>
          </w:p>
          <w:p w14:paraId="248E8C0C">
            <w:pPr>
              <w:keepNext w:val="0"/>
              <w:keepLines w:val="0"/>
              <w:pageBreakBefore w:val="0"/>
              <w:widowControl w:val="0"/>
              <w:bidi w:val="0"/>
              <w:spacing w:line="360" w:lineRule="auto"/>
              <w:ind w:left="0" w:right="0" w:firstLine="0"/>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5、质保期内所有货物免费上门维修服务、免费更换零部件；质保期过后提供电话咨询服务，并应承诺提供产品终身上门维护；其余按厂家承诺进行。</w:t>
            </w:r>
          </w:p>
          <w:p w14:paraId="16B2B7EA">
            <w:pPr>
              <w:keepNext w:val="0"/>
              <w:keepLines w:val="0"/>
              <w:pageBreakBefore w:val="0"/>
              <w:widowControl w:val="0"/>
              <w:bidi w:val="0"/>
              <w:spacing w:line="360" w:lineRule="auto"/>
              <w:ind w:left="0" w:right="0" w:firstLine="0"/>
              <w:rPr>
                <w:rFonts w:hint="eastAsia" w:ascii="宋体" w:hAnsi="宋体" w:cs="宋体"/>
                <w:color w:val="000000" w:themeColor="text1"/>
                <w:highlight w:val="none"/>
                <w:lang w:eastAsia="zh-CN" w:bidi="ar"/>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6、在质保期内，如果成交供应商或制造商的产品技术升级，成交供应商应及时通知采购人，如采购人有相应要求，成交供应商或制造商应对采购人购买的产品进行升级服务。</w:t>
            </w:r>
          </w:p>
        </w:tc>
      </w:tr>
      <w:tr w14:paraId="1B2E0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094" w:type="pct"/>
            <w:noWrap w:val="0"/>
            <w:vAlign w:val="center"/>
          </w:tcPr>
          <w:p w14:paraId="45D455A8">
            <w:pPr>
              <w:keepNext w:val="0"/>
              <w:keepLines w:val="0"/>
              <w:pageBreakBefore w:val="0"/>
              <w:widowControl w:val="0"/>
              <w:bidi w:val="0"/>
              <w:spacing w:line="360" w:lineRule="auto"/>
              <w:ind w:left="0" w:right="0" w:firstLine="0"/>
              <w:jc w:val="center"/>
              <w:rPr>
                <w:rFonts w:hint="eastAsia" w:ascii="宋体" w:hAnsi="宋体" w:cs="宋体"/>
                <w:color w:val="000000" w:themeColor="text1"/>
                <w:highlight w:val="none"/>
                <w:lang w:bidi="ar"/>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验收</w:t>
            </w:r>
            <w:r>
              <w:rPr>
                <w:rFonts w:hint="eastAsia" w:ascii="宋体" w:hAnsi="宋体" w:eastAsia="宋体" w:cs="宋体"/>
                <w:color w:val="000000" w:themeColor="text1"/>
                <w:highlight w:val="none"/>
                <w:lang w:eastAsia="zh-CN"/>
                <w14:textFill>
                  <w14:solidFill>
                    <w14:schemeClr w14:val="tx1"/>
                  </w14:solidFill>
                </w14:textFill>
              </w:rPr>
              <w:t>标准</w:t>
            </w:r>
          </w:p>
        </w:tc>
        <w:tc>
          <w:tcPr>
            <w:tcW w:w="3905" w:type="pct"/>
            <w:noWrap w:val="0"/>
            <w:vAlign w:val="center"/>
          </w:tcPr>
          <w:p w14:paraId="10E5EDBE">
            <w:pPr>
              <w:keepNext w:val="0"/>
              <w:keepLines w:val="0"/>
              <w:pageBreakBefore w:val="0"/>
              <w:widowControl w:val="0"/>
              <w:bidi w:val="0"/>
              <w:spacing w:line="360" w:lineRule="auto"/>
              <w:ind w:left="0" w:right="0" w:firstLine="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采购人将组织相关人员及专家对采购项目进行验收，验收意见作为验收书的参考资料存档备查，验收将严格按照竞争性谈判文件的规定和响应文件的响应及承诺执行，验收不合格的将根据合同有关条款进行处理。</w:t>
            </w:r>
          </w:p>
          <w:p w14:paraId="34D09483">
            <w:pPr>
              <w:keepNext w:val="0"/>
              <w:keepLines w:val="0"/>
              <w:pageBreakBefore w:val="0"/>
              <w:widowControl w:val="0"/>
              <w:bidi w:val="0"/>
              <w:spacing w:line="360" w:lineRule="auto"/>
              <w:ind w:left="0" w:right="0" w:firstLine="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2、验收依据：按照竞争性谈判文件要求及成交供应商的响应文件。</w:t>
            </w:r>
          </w:p>
          <w:p w14:paraId="6F24CF19">
            <w:pPr>
              <w:keepNext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成交供应商必须提供原装正品的、全新的、符合有关质量标准的产品和按要求提供资料。交货时，采购人现场根据竞争性谈判文件要求及响应文件承诺逐条对应进行核验，若发现产品不符合竞争性谈判文件和响应文件承诺要求的，采购人不予验收，同时报相关监督管理部门处理，由此造成采购人经济损失的由成交供应商负责承担全部赔偿责任。</w:t>
            </w:r>
          </w:p>
          <w:p w14:paraId="5E4DFC12">
            <w:pPr>
              <w:keepNext w:val="0"/>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验收时成交供应商必须在现场，验收完毕后作出验收结果报告，验收费用由成交供应商负责。</w:t>
            </w:r>
          </w:p>
          <w:p w14:paraId="47F6480F">
            <w:pPr>
              <w:keepNext w:val="0"/>
              <w:spacing w:line="360" w:lineRule="auto"/>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采购人对验收有异议的，在验收后五个工作日内以书面形式向成交供应商提出，成交供应商应自收到采购人书面异议后五个工作日内及时予以解决。</w:t>
            </w:r>
          </w:p>
        </w:tc>
      </w:tr>
      <w:tr w14:paraId="3DFC6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094" w:type="pct"/>
            <w:noWrap w:val="0"/>
            <w:vAlign w:val="center"/>
          </w:tcPr>
          <w:p w14:paraId="48066183">
            <w:pPr>
              <w:keepNext w:val="0"/>
              <w:keepLines w:val="0"/>
              <w:pageBreakBefore w:val="0"/>
              <w:widowControl w:val="0"/>
              <w:bidi w:val="0"/>
              <w:spacing w:line="360" w:lineRule="auto"/>
              <w:ind w:left="0" w:right="0" w:firstLine="0"/>
              <w:jc w:val="center"/>
              <w:rPr>
                <w:rFonts w:hint="eastAsia" w:ascii="宋体" w:hAnsi="宋体" w:cs="宋体"/>
                <w:color w:val="000000" w:themeColor="text1"/>
                <w:highlight w:val="none"/>
                <w:lang w:bidi="ar"/>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交付使用时间及地点</w:t>
            </w:r>
          </w:p>
        </w:tc>
        <w:tc>
          <w:tcPr>
            <w:tcW w:w="3905" w:type="pct"/>
            <w:noWrap w:val="0"/>
            <w:vAlign w:val="center"/>
          </w:tcPr>
          <w:p w14:paraId="4CD765E0">
            <w:pPr>
              <w:keepNext w:val="0"/>
              <w:keepLines w:val="0"/>
              <w:pageBreakBefore w:val="0"/>
              <w:widowControl w:val="0"/>
              <w:bidi w:val="0"/>
              <w:spacing w:line="360" w:lineRule="auto"/>
              <w:ind w:left="0" w:right="0" w:firstLine="0"/>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1、交付使用期：自签订合同之日起</w:t>
            </w: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lang w:eastAsia="zh-CN"/>
                <w14:textFill>
                  <w14:solidFill>
                    <w14:schemeClr w14:val="tx1"/>
                  </w14:solidFill>
                </w14:textFill>
              </w:rPr>
              <w:t>日历日内全部安装调试合格完毕并交付使用，超期未安装调试完毕则视为违约。</w:t>
            </w:r>
          </w:p>
          <w:p w14:paraId="1607618D">
            <w:pPr>
              <w:keepNext w:val="0"/>
              <w:keepLines w:val="0"/>
              <w:pageBreakBefore w:val="0"/>
              <w:widowControl w:val="0"/>
              <w:bidi w:val="0"/>
              <w:spacing w:line="360" w:lineRule="auto"/>
              <w:ind w:left="0" w:right="0" w:firstLine="0"/>
              <w:rPr>
                <w:rFonts w:hint="eastAsia" w:ascii="宋体" w:hAnsi="宋体" w:cs="宋体"/>
                <w:color w:val="000000" w:themeColor="text1"/>
                <w:highlight w:val="none"/>
                <w:lang w:eastAsia="zh-CN" w:bidi="ar"/>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2、交货地点：采购人指定地点。</w:t>
            </w:r>
          </w:p>
        </w:tc>
      </w:tr>
      <w:tr w14:paraId="21080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094" w:type="pct"/>
            <w:noWrap w:val="0"/>
            <w:vAlign w:val="center"/>
          </w:tcPr>
          <w:p w14:paraId="7CAAED3E">
            <w:pPr>
              <w:keepNext w:val="0"/>
              <w:keepLines w:val="0"/>
              <w:pageBreakBefore w:val="0"/>
              <w:widowControl w:val="0"/>
              <w:bidi w:val="0"/>
              <w:spacing w:line="360" w:lineRule="auto"/>
              <w:ind w:left="0" w:right="0" w:firstLine="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核心产品</w:t>
            </w:r>
          </w:p>
        </w:tc>
        <w:tc>
          <w:tcPr>
            <w:tcW w:w="3905" w:type="pct"/>
            <w:noWrap w:val="0"/>
            <w:vAlign w:val="center"/>
          </w:tcPr>
          <w:p w14:paraId="5A5E29E1">
            <w:pPr>
              <w:keepNext w:val="0"/>
              <w:keepLines w:val="0"/>
              <w:pageBreakBefore w:val="0"/>
              <w:widowControl w:val="0"/>
              <w:bidi w:val="0"/>
              <w:spacing w:line="360" w:lineRule="auto"/>
              <w:ind w:left="0" w:right="0" w:firstLine="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第1项货物“</w:t>
            </w:r>
            <w:r>
              <w:rPr>
                <w:rFonts w:hint="eastAsia" w:ascii="宋体" w:hAnsi="宋体" w:cs="宋体"/>
                <w:b/>
                <w:bCs/>
                <w:color w:val="000000" w:themeColor="text1"/>
                <w:szCs w:val="21"/>
                <w:highlight w:val="none"/>
                <w:lang w:val="en-US" w:eastAsia="zh-CN"/>
                <w14:textFill>
                  <w14:solidFill>
                    <w14:schemeClr w14:val="tx1"/>
                  </w14:solidFill>
                </w14:textFill>
              </w:rPr>
              <w:t>智慧黑板</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eastAsia="zh-CN"/>
                <w14:textFill>
                  <w14:solidFill>
                    <w14:schemeClr w14:val="tx1"/>
                  </w14:solidFill>
                </w14:textFill>
              </w:rPr>
              <w:t>。</w:t>
            </w:r>
          </w:p>
        </w:tc>
      </w:tr>
      <w:tr w14:paraId="4E674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094" w:type="pct"/>
            <w:noWrap w:val="0"/>
            <w:vAlign w:val="center"/>
          </w:tcPr>
          <w:p w14:paraId="7E24E0F8">
            <w:pPr>
              <w:keepNext w:val="0"/>
              <w:keepLines w:val="0"/>
              <w:pageBreakBefore w:val="0"/>
              <w:widowControl w:val="0"/>
              <w:bidi w:val="0"/>
              <w:spacing w:line="360" w:lineRule="auto"/>
              <w:ind w:left="0" w:right="0" w:firstLine="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付款方式</w:t>
            </w:r>
          </w:p>
        </w:tc>
        <w:tc>
          <w:tcPr>
            <w:tcW w:w="3905" w:type="pct"/>
            <w:noWrap w:val="0"/>
            <w:vAlign w:val="center"/>
          </w:tcPr>
          <w:p w14:paraId="6ECA70C0">
            <w:pPr>
              <w:pStyle w:val="255"/>
              <w:keepNext w:val="0"/>
              <w:keepLines w:val="0"/>
              <w:pageBreakBefore w:val="0"/>
              <w:widowControl w:val="0"/>
              <w:bidi w:val="0"/>
              <w:spacing w:line="360" w:lineRule="auto"/>
              <w:ind w:left="0" w:right="0" w:firstLine="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本合同生效且乙方按要求提交相关完整资料后，甲方在</w:t>
            </w:r>
            <w:r>
              <w:rPr>
                <w:rFonts w:hint="eastAsia" w:ascii="宋体" w:hAnsi="宋体" w:cs="宋体"/>
                <w:color w:val="000000" w:themeColor="text1"/>
                <w:highlight w:val="none"/>
                <w:lang w:val="en-US" w:eastAsia="zh-CN"/>
                <w14:textFill>
                  <w14:solidFill>
                    <w14:schemeClr w14:val="tx1"/>
                  </w14:solidFill>
                </w14:textFill>
              </w:rPr>
              <w:t>30日</w:t>
            </w:r>
            <w:r>
              <w:rPr>
                <w:rFonts w:hint="eastAsia" w:ascii="宋体" w:hAnsi="宋体" w:eastAsia="宋体" w:cs="宋体"/>
                <w:color w:val="000000" w:themeColor="text1"/>
                <w:highlight w:val="none"/>
                <w:lang w:eastAsia="zh-CN"/>
                <w14:textFill>
                  <w14:solidFill>
                    <w14:schemeClr w14:val="tx1"/>
                  </w14:solidFill>
                </w14:textFill>
              </w:rPr>
              <w:t>内向乙方支付合同总金额的20%作为项目预付款。乙方完成本合同全部设备的送货、安装、调试、试运行等工作，且经甲方验收合格后，甲方</w:t>
            </w:r>
            <w:r>
              <w:rPr>
                <w:rFonts w:hint="eastAsia" w:ascii="宋体" w:hAnsi="宋体" w:cs="宋体"/>
                <w:color w:val="000000" w:themeColor="text1"/>
                <w:highlight w:val="none"/>
                <w:lang w:eastAsia="zh-CN"/>
                <w14:textFill>
                  <w14:solidFill>
                    <w14:schemeClr w14:val="tx1"/>
                  </w14:solidFill>
                </w14:textFill>
              </w:rPr>
              <w:t>在</w:t>
            </w:r>
            <w:r>
              <w:rPr>
                <w:rFonts w:hint="eastAsia" w:ascii="宋体" w:hAnsi="宋体" w:cs="宋体"/>
                <w:color w:val="000000" w:themeColor="text1"/>
                <w:highlight w:val="none"/>
                <w:lang w:val="en-US" w:eastAsia="zh-CN"/>
                <w14:textFill>
                  <w14:solidFill>
                    <w14:schemeClr w14:val="tx1"/>
                  </w14:solidFill>
                </w14:textFill>
              </w:rPr>
              <w:t>30日内</w:t>
            </w:r>
            <w:r>
              <w:rPr>
                <w:rFonts w:hint="eastAsia" w:ascii="宋体" w:hAnsi="宋体" w:eastAsia="宋体" w:cs="宋体"/>
                <w:color w:val="000000" w:themeColor="text1"/>
                <w:highlight w:val="none"/>
                <w:lang w:eastAsia="zh-CN"/>
                <w14:textFill>
                  <w14:solidFill>
                    <w14:schemeClr w14:val="tx1"/>
                  </w14:solidFill>
                </w14:textFill>
              </w:rPr>
              <w:t>按规定程序支付至合同总金额的100%（含已付 20% 预付款）</w:t>
            </w:r>
            <w:r>
              <w:rPr>
                <w:rFonts w:hint="eastAsia" w:ascii="宋体" w:hAnsi="宋体" w:cs="宋体"/>
                <w:color w:val="000000" w:themeColor="text1"/>
                <w:szCs w:val="21"/>
                <w:highlight w:val="none"/>
                <w14:textFill>
                  <w14:solidFill>
                    <w14:schemeClr w14:val="tx1"/>
                  </w14:solidFill>
                </w14:textFill>
              </w:rPr>
              <w:t>。</w:t>
            </w:r>
          </w:p>
        </w:tc>
      </w:tr>
      <w:tr w14:paraId="3C757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094" w:type="pct"/>
            <w:noWrap w:val="0"/>
            <w:vAlign w:val="center"/>
          </w:tcPr>
          <w:p w14:paraId="6569D6F1">
            <w:pPr>
              <w:keepNext w:val="0"/>
              <w:keepLines w:val="0"/>
              <w:pageBreakBefore w:val="0"/>
              <w:widowControl w:val="0"/>
              <w:bidi w:val="0"/>
              <w:spacing w:line="360" w:lineRule="auto"/>
              <w:ind w:left="0" w:right="0" w:firstLine="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其他要求</w:t>
            </w:r>
          </w:p>
        </w:tc>
        <w:tc>
          <w:tcPr>
            <w:tcW w:w="3905" w:type="pct"/>
            <w:noWrap w:val="0"/>
            <w:vAlign w:val="center"/>
          </w:tcPr>
          <w:p w14:paraId="132BEA63">
            <w:pPr>
              <w:pStyle w:val="245"/>
              <w:keepNext w:val="0"/>
              <w:keepLines w:val="0"/>
              <w:pageBreakBefore w:val="0"/>
              <w:widowControl w:val="0"/>
              <w:bidi w:val="0"/>
              <w:spacing w:line="360" w:lineRule="auto"/>
              <w:ind w:left="0" w:right="0" w:firstLine="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1、确定成交供应商后，成交后的各型号单价不随时间、市场价格等因素的变动而改变，直至采购人完成采购任务为止，否则按</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供应商违约处理并取消</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资格。</w:t>
            </w:r>
          </w:p>
          <w:p w14:paraId="2B1993A7">
            <w:pPr>
              <w:pStyle w:val="245"/>
              <w:keepNext w:val="0"/>
              <w:keepLines w:val="0"/>
              <w:pageBreakBefore w:val="0"/>
              <w:widowControl w:val="0"/>
              <w:bidi w:val="0"/>
              <w:spacing w:line="360" w:lineRule="auto"/>
              <w:ind w:left="0" w:right="0" w:firstLine="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2、本项目采购预算（人民币）：</w:t>
            </w:r>
            <w:r>
              <w:rPr>
                <w:rFonts w:hint="eastAsia" w:ascii="宋体" w:hAnsi="宋体" w:cs="宋体"/>
                <w:b/>
                <w:bCs/>
                <w:color w:val="000000" w:themeColor="text1"/>
                <w:szCs w:val="21"/>
                <w:highlight w:val="none"/>
                <w:lang w:val="en-US" w:eastAsia="zh-CN"/>
                <w14:textFill>
                  <w14:solidFill>
                    <w14:schemeClr w14:val="tx1"/>
                  </w14:solidFill>
                </w14:textFill>
              </w:rPr>
              <w:t>伍拾万</w:t>
            </w:r>
            <w:r>
              <w:rPr>
                <w:rFonts w:hint="eastAsia" w:ascii="宋体" w:hAnsi="宋体" w:cs="宋体"/>
                <w:b/>
                <w:bCs/>
                <w:color w:val="000000" w:themeColor="text1"/>
                <w:szCs w:val="21"/>
                <w:highlight w:val="none"/>
                <w:lang w:eastAsia="zh-CN"/>
                <w14:textFill>
                  <w14:solidFill>
                    <w14:schemeClr w14:val="tx1"/>
                  </w14:solidFill>
                </w14:textFill>
              </w:rPr>
              <w:t>元整（¥</w:t>
            </w:r>
            <w:r>
              <w:rPr>
                <w:rFonts w:hint="eastAsia" w:ascii="宋体" w:hAnsi="宋体" w:cs="宋体"/>
                <w:b/>
                <w:bCs/>
                <w:color w:val="000000" w:themeColor="text1"/>
                <w:szCs w:val="21"/>
                <w:highlight w:val="none"/>
                <w:lang w:val="en-US" w:eastAsia="zh-CN"/>
                <w14:textFill>
                  <w14:solidFill>
                    <w14:schemeClr w14:val="tx1"/>
                  </w14:solidFill>
                </w14:textFill>
              </w:rPr>
              <w:t xml:space="preserve">500000 </w:t>
            </w:r>
            <w:r>
              <w:rPr>
                <w:rFonts w:hint="eastAsia" w:ascii="宋体" w:hAnsi="宋体" w:cs="宋体"/>
                <w:b/>
                <w:bCs/>
                <w:color w:val="000000" w:themeColor="text1"/>
                <w:szCs w:val="21"/>
                <w:highlight w:val="none"/>
                <w:lang w:eastAsia="zh-CN"/>
                <w14:textFill>
                  <w14:solidFill>
                    <w14:schemeClr w14:val="tx1"/>
                  </w14:solidFill>
                </w14:textFill>
              </w:rPr>
              <w:t>.00）</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eastAsia="zh-CN"/>
                <w14:textFill>
                  <w14:solidFill>
                    <w14:schemeClr w14:val="tx1"/>
                  </w14:solidFill>
                </w14:textFill>
              </w:rPr>
              <w:t>竞标</w:t>
            </w:r>
            <w:r>
              <w:rPr>
                <w:rFonts w:hint="eastAsia" w:ascii="宋体" w:hAnsi="宋体" w:cs="宋体"/>
                <w:b/>
                <w:bCs/>
                <w:color w:val="000000" w:themeColor="text1"/>
                <w:szCs w:val="21"/>
                <w:highlight w:val="none"/>
                <w14:textFill>
                  <w14:solidFill>
                    <w14:schemeClr w14:val="tx1"/>
                  </w14:solidFill>
                </w14:textFill>
              </w:rPr>
              <w:t>报价不得超出采购预算，否则，作投标无效处理。</w:t>
            </w:r>
          </w:p>
          <w:p w14:paraId="2C371450">
            <w:pPr>
              <w:pStyle w:val="245"/>
              <w:keepNext w:val="0"/>
              <w:keepLines w:val="0"/>
              <w:pageBreakBefore w:val="0"/>
              <w:widowControl w:val="0"/>
              <w:bidi w:val="0"/>
              <w:spacing w:line="360" w:lineRule="auto"/>
              <w:ind w:left="0" w:right="0" w:firstLine="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3、本项目货物不接受进口产品（即通过中国海关报关验放进入中国境内且产自关境外的产品）参与响应，如有此类产品参与响应的作无效响应处理。</w:t>
            </w:r>
          </w:p>
          <w:p w14:paraId="66E6F8A7">
            <w:pPr>
              <w:pStyle w:val="245"/>
              <w:keepNext w:val="0"/>
              <w:keepLines w:val="0"/>
              <w:pageBreakBefore w:val="0"/>
              <w:widowControl w:val="0"/>
              <w:bidi w:val="0"/>
              <w:spacing w:line="360" w:lineRule="auto"/>
              <w:ind w:left="0" w:right="0" w:firstLine="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4、本项目货物所属行业为工业。</w:t>
            </w:r>
          </w:p>
        </w:tc>
      </w:tr>
    </w:tbl>
    <w:p w14:paraId="4B9D114F">
      <w:pPr>
        <w:rPr>
          <w:rFonts w:hint="eastAsia" w:eastAsia="宋体"/>
          <w:color w:val="000000" w:themeColor="text1"/>
          <w:sz w:val="32"/>
          <w:szCs w:val="32"/>
          <w:highlight w:val="none"/>
          <w:lang w:val="en-US" w:eastAsia="zh-CN"/>
          <w14:textFill>
            <w14:solidFill>
              <w14:schemeClr w14:val="tx1"/>
            </w14:solidFill>
          </w14:textFill>
        </w:rPr>
      </w:pPr>
    </w:p>
    <w:p w14:paraId="23BD9008">
      <w:pPr>
        <w:rPr>
          <w:rFonts w:hint="eastAsia"/>
          <w:color w:val="000000" w:themeColor="text1"/>
          <w:sz w:val="32"/>
          <w:szCs w:val="32"/>
          <w:highlight w:val="none"/>
          <w14:textFill>
            <w14:solidFill>
              <w14:schemeClr w14:val="tx1"/>
            </w14:solidFill>
          </w14:textFill>
        </w:rPr>
      </w:pPr>
    </w:p>
    <w:p w14:paraId="26DD8D04">
      <w:pPr>
        <w:rPr>
          <w:rFonts w:hint="eastAsia"/>
          <w:color w:val="000000" w:themeColor="text1"/>
          <w:sz w:val="32"/>
          <w:szCs w:val="32"/>
          <w:highlight w:val="none"/>
          <w14:textFill>
            <w14:solidFill>
              <w14:schemeClr w14:val="tx1"/>
            </w14:solidFill>
          </w14:textFill>
        </w:rPr>
      </w:pPr>
    </w:p>
    <w:p w14:paraId="57F21C07">
      <w:pPr>
        <w:rPr>
          <w:rFonts w:hint="eastAsia"/>
          <w:color w:val="000000" w:themeColor="text1"/>
          <w:sz w:val="32"/>
          <w:szCs w:val="32"/>
          <w:highlight w:val="none"/>
          <w14:textFill>
            <w14:solidFill>
              <w14:schemeClr w14:val="tx1"/>
            </w14:solidFill>
          </w14:textFill>
        </w:rPr>
      </w:pPr>
    </w:p>
    <w:p w14:paraId="004F9328">
      <w:pPr>
        <w:rPr>
          <w:rFonts w:hint="eastAsia"/>
          <w:color w:val="000000" w:themeColor="text1"/>
          <w:sz w:val="32"/>
          <w:szCs w:val="32"/>
          <w:highlight w:val="none"/>
          <w14:textFill>
            <w14:solidFill>
              <w14:schemeClr w14:val="tx1"/>
            </w14:solidFill>
          </w14:textFill>
        </w:rPr>
      </w:pPr>
    </w:p>
    <w:p w14:paraId="7FB6EDA3">
      <w:pPr>
        <w:rPr>
          <w:rFonts w:hint="eastAsia"/>
          <w:color w:val="000000" w:themeColor="text1"/>
          <w:sz w:val="32"/>
          <w:szCs w:val="32"/>
          <w:highlight w:val="none"/>
          <w14:textFill>
            <w14:solidFill>
              <w14:schemeClr w14:val="tx1"/>
            </w14:solidFill>
          </w14:textFill>
        </w:rPr>
      </w:pPr>
    </w:p>
    <w:p w14:paraId="00B19D88">
      <w:pPr>
        <w:rPr>
          <w:rFonts w:hint="eastAsia"/>
          <w:color w:val="000000" w:themeColor="text1"/>
          <w:sz w:val="32"/>
          <w:szCs w:val="32"/>
          <w:highlight w:val="none"/>
          <w14:textFill>
            <w14:solidFill>
              <w14:schemeClr w14:val="tx1"/>
            </w14:solidFill>
          </w14:textFill>
        </w:rPr>
      </w:pPr>
    </w:p>
    <w:p w14:paraId="2C6CF0D0">
      <w:pPr>
        <w:rPr>
          <w:rFonts w:hint="eastAsia"/>
          <w:color w:val="000000" w:themeColor="text1"/>
          <w:sz w:val="32"/>
          <w:szCs w:val="32"/>
          <w:highlight w:val="none"/>
          <w14:textFill>
            <w14:solidFill>
              <w14:schemeClr w14:val="tx1"/>
            </w14:solidFill>
          </w14:textFill>
        </w:rPr>
      </w:pPr>
    </w:p>
    <w:p w14:paraId="468F110D">
      <w:pPr>
        <w:rPr>
          <w:rFonts w:hint="eastAsia"/>
          <w:color w:val="000000" w:themeColor="text1"/>
          <w:sz w:val="32"/>
          <w:szCs w:val="32"/>
          <w:highlight w:val="none"/>
          <w14:textFill>
            <w14:solidFill>
              <w14:schemeClr w14:val="tx1"/>
            </w14:solidFill>
          </w14:textFill>
        </w:rPr>
      </w:pPr>
    </w:p>
    <w:p w14:paraId="53C5F298">
      <w:pPr>
        <w:rPr>
          <w:rFonts w:hint="eastAsia"/>
          <w:color w:val="000000" w:themeColor="text1"/>
          <w:sz w:val="32"/>
          <w:szCs w:val="32"/>
          <w:highlight w:val="none"/>
          <w14:textFill>
            <w14:solidFill>
              <w14:schemeClr w14:val="tx1"/>
            </w14:solidFill>
          </w14:textFill>
        </w:rPr>
      </w:pPr>
    </w:p>
    <w:p w14:paraId="419265DD">
      <w:pPr>
        <w:rPr>
          <w:rFonts w:hint="eastAsia"/>
          <w:color w:val="000000" w:themeColor="text1"/>
          <w:sz w:val="32"/>
          <w:szCs w:val="32"/>
          <w:highlight w:val="none"/>
          <w14:textFill>
            <w14:solidFill>
              <w14:schemeClr w14:val="tx1"/>
            </w14:solidFill>
          </w14:textFill>
        </w:rPr>
      </w:pPr>
    </w:p>
    <w:p w14:paraId="77A2E2B2">
      <w:pPr>
        <w:rPr>
          <w:rFonts w:hint="eastAsia"/>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br w:type="page" w:clear="all"/>
      </w:r>
    </w:p>
    <w:p w14:paraId="610AF575">
      <w:pPr>
        <w:pStyle w:val="3"/>
        <w:spacing w:line="360" w:lineRule="auto"/>
        <w:ind w:firstLine="3840"/>
        <w:jc w:val="both"/>
        <w:rPr>
          <w:rFonts w:hint="eastAsia"/>
          <w:color w:val="000000" w:themeColor="text1"/>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第四章 评审办法</w:t>
      </w:r>
      <w:bookmarkEnd w:id="571"/>
      <w:bookmarkEnd w:id="572"/>
      <w:bookmarkEnd w:id="573"/>
      <w:bookmarkEnd w:id="574"/>
      <w:bookmarkEnd w:id="575"/>
      <w:bookmarkEnd w:id="576"/>
      <w:bookmarkEnd w:id="577"/>
      <w:bookmarkEnd w:id="578"/>
      <w:bookmarkEnd w:id="579"/>
      <w:bookmarkEnd w:id="580"/>
      <w:bookmarkEnd w:id="581"/>
      <w:bookmarkEnd w:id="582"/>
    </w:p>
    <w:p w14:paraId="0DF9A806">
      <w:pPr>
        <w:spacing w:line="360" w:lineRule="auto"/>
        <w:ind w:firstLine="42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一、评审依据</w:t>
      </w:r>
    </w:p>
    <w:p w14:paraId="63010314">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 </w:t>
      </w:r>
      <w:r>
        <w:rPr>
          <w:rFonts w:hint="eastAsia" w:ascii="宋体" w:hAnsi="宋体" w:cs="宋体"/>
          <w:color w:val="000000" w:themeColor="text1"/>
          <w:szCs w:val="21"/>
          <w:highlight w:val="none"/>
          <w14:textFill>
            <w14:solidFill>
              <w14:schemeClr w14:val="tx1"/>
            </w14:solidFill>
          </w14:textFill>
        </w:rPr>
        <w:t>评审依据：谈判小组以谈判文件和响应文件为评审依据。</w:t>
      </w:r>
    </w:p>
    <w:p w14:paraId="4F14773C">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采购人和采购代理机构、竞争性谈判小组成员要严格遵守政府采购相关法律制度，依法履行各自职责，公正、客观、审慎地组织和参与评审工作。</w:t>
      </w:r>
    </w:p>
    <w:p w14:paraId="19E91288">
      <w:pPr>
        <w:ind w:firstLine="42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二、评审办法</w:t>
      </w:r>
    </w:p>
    <w:p w14:paraId="5230895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一</w:t>
      </w:r>
      <w:r>
        <w:rPr>
          <w:rFonts w:hint="eastAsia" w:ascii="宋体" w:hAnsi="宋体" w:cs="宋体"/>
          <w:color w:val="000000" w:themeColor="text1"/>
          <w:szCs w:val="21"/>
          <w:highlight w:val="none"/>
          <w:lang w:eastAsia="zh-CN"/>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谈判小组应当从质量和服务均能满足竞争性谈判文件全部实质性响应要求的供应商中，按照评审报价由低到高顺序提出</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名以上（含</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名）成交候选供应商。</w:t>
      </w:r>
    </w:p>
    <w:p w14:paraId="4C3623A4">
      <w:pPr>
        <w:spacing w:line="360" w:lineRule="auto"/>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（二）政策性扣除</w:t>
      </w:r>
    </w:p>
    <w:p w14:paraId="2B04643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根据</w:t>
      </w:r>
      <w:r>
        <w:rPr>
          <w:rFonts w:hint="default" w:ascii="宋体" w:hAnsi="宋体" w:eastAsia="宋体" w:cs="宋体"/>
          <w:bCs w:val="0"/>
          <w:color w:val="000000" w:themeColor="text1"/>
          <w:szCs w:val="21"/>
          <w:highlight w:val="none"/>
          <w:lang w:eastAsia="zh-CN"/>
          <w14:textFill>
            <w14:solidFill>
              <w14:schemeClr w14:val="tx1"/>
            </w14:solidFill>
          </w14:textFill>
        </w:rPr>
        <w:t>《广西壮族自治区财政厅关于持续优化政府采购营商环境推动高质量发展的通知》（桂财采〔2024〕55号）</w:t>
      </w:r>
      <w:r>
        <w:rPr>
          <w:rFonts w:hint="eastAsia" w:ascii="宋体" w:hAnsi="宋体" w:eastAsia="宋体" w:cs="宋体"/>
          <w:bCs/>
          <w:color w:val="000000" w:themeColor="text1"/>
          <w:szCs w:val="21"/>
          <w:highlight w:val="none"/>
          <w14:textFill>
            <w14:solidFill>
              <w14:schemeClr w14:val="tx1"/>
            </w14:solidFill>
          </w14:textFill>
        </w:rPr>
        <w:t>的规定</w:t>
      </w:r>
      <w:r>
        <w:rPr>
          <w:rFonts w:hint="eastAsia" w:ascii="宋体" w:hAnsi="宋体" w:cs="宋体"/>
          <w:color w:val="000000" w:themeColor="text1"/>
          <w:szCs w:val="21"/>
          <w:highlight w:val="none"/>
          <w14:textFill>
            <w14:solidFill>
              <w14:schemeClr w14:val="tx1"/>
            </w14:solidFill>
          </w14:textFill>
        </w:rPr>
        <w:t>，凡符合《政府采购促进中小企业发展管理办法》（财库〔2020〕46号）规定条件且按该办法中规定的格式提供了《中小企业声明函》的小型和微型企业，对其最后报价给予20%的扣除，扣除后的价格为评审报价，即评审报价=最后报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（1-20%）。</w:t>
      </w:r>
    </w:p>
    <w:p w14:paraId="4040AAE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根据《关于政府采购支持监狱企业发展有关问题的通知》(财库〔2014〕68号)和《关于促进残疾人就业政府采购政策的通知》（财库〔2017〕141 号）</w:t>
      </w:r>
      <w:r>
        <w:rPr>
          <w:rFonts w:hint="eastAsia" w:ascii="宋体" w:hAnsi="宋体" w:eastAsia="宋体" w:cs="宋体"/>
          <w:bCs/>
          <w:color w:val="000000" w:themeColor="text1"/>
          <w:szCs w:val="21"/>
          <w:highlight w:val="none"/>
          <w14:textFill>
            <w14:solidFill>
              <w14:schemeClr w14:val="tx1"/>
            </w14:solidFill>
          </w14:textFill>
        </w:rPr>
        <w:t>的规定</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监狱企业和符合条件的残疾人福利性单位视同小型、微型企业，享受小型、微型企业评审中价格扣除的政府采购政策，不重复享受政策。监狱企业参加政府采购活动时，应当提供由省级以上监狱管理局、戒毒管理局(含新疆生产建设兵团)出具的属于监狱企业的证明文件；符合条件的残疾人福利性单位在参加政府采购活动时，应当提供本通知规定的《残疾人福利性单位声明函》，并对声明的真实性负责。</w:t>
      </w:r>
    </w:p>
    <w:p w14:paraId="6BD0209A">
      <w:pPr>
        <w:pStyle w:val="23"/>
        <w:spacing w:line="360" w:lineRule="auto"/>
        <w:ind w:firstLine="42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3.根据《</w:t>
      </w:r>
      <w:r>
        <w:rPr>
          <w:rFonts w:hint="eastAsia" w:ascii="宋体" w:hAnsi="宋体" w:eastAsia="宋体" w:cs="宋体"/>
          <w:b/>
          <w:bCs/>
          <w:i w:val="0"/>
          <w:iCs w:val="0"/>
          <w:caps w:val="0"/>
          <w:color w:val="000000" w:themeColor="text1"/>
          <w:spacing w:val="0"/>
          <w:sz w:val="21"/>
          <w:szCs w:val="21"/>
          <w:highlight w:val="none"/>
          <w:shd w:val="clear" w:color="auto" w:fill="auto"/>
          <w14:textFill>
            <w14:solidFill>
              <w14:schemeClr w14:val="tx1"/>
            </w14:solidFill>
          </w14:textFill>
        </w:rPr>
        <w:t>国务院办公厅关于在政府采购中实施本国产品标准及相关政策的通知</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》（国办发〔2025〕34号）的规定，供应商在其响应文件中提供</w:t>
      </w:r>
      <w:r>
        <w:rPr>
          <w:rFonts w:hint="eastAsia" w:ascii="宋体" w:hAnsi="宋体" w:cs="宋体"/>
          <w:b/>
          <w:bCs/>
          <w:color w:val="000000" w:themeColor="text1"/>
          <w:sz w:val="21"/>
          <w:szCs w:val="21"/>
          <w:highlight w:val="none"/>
          <w:lang w:val="en-US" w:eastAsia="zh-CN"/>
          <w14:textFill>
            <w14:solidFill>
              <w14:schemeClr w14:val="tx1"/>
            </w14:solidFill>
          </w14:textFill>
        </w:rPr>
        <w:t>符合要求的</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关于符合本国产品标准的声明函》或财政部会同有关部门规定的有关证明文件的，对其最后报价给予20%的扣除，扣除后的价格为评审价，即评审报价=最后报价×（1-20%）。（注：如所有参与竞争性谈判的供应商提供的都是本国产品，则不再执行该项价格评审优惠的扶持政策。）</w:t>
      </w:r>
    </w:p>
    <w:p w14:paraId="70AE97DF">
      <w:pPr>
        <w:spacing w:line="360" w:lineRule="auto"/>
        <w:ind w:firstLine="420"/>
        <w:rPr>
          <w:rFonts w:hint="eastAsia" w:ascii="宋体" w:hAnsi="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如供应商同时满足小微企业（含监狱企业和符合条件的残疾人福利性单位）和符合本国产品标准的企业，</w:t>
      </w:r>
      <w:r>
        <w:rPr>
          <w:rFonts w:hint="eastAsia" w:ascii="宋体" w:hAnsi="宋体" w:cs="宋体"/>
          <w:b/>
          <w:bCs/>
          <w:color w:val="000000" w:themeColor="text1"/>
          <w:szCs w:val="21"/>
          <w:highlight w:val="none"/>
          <w:lang w:eastAsia="zh-CN"/>
          <w14:textFill>
            <w14:solidFill>
              <w14:schemeClr w14:val="tx1"/>
            </w14:solidFill>
          </w14:textFill>
        </w:rPr>
        <w:t>其</w:t>
      </w:r>
      <w:r>
        <w:rPr>
          <w:rFonts w:hint="eastAsia" w:ascii="宋体" w:hAnsi="宋体" w:cs="宋体"/>
          <w:b/>
          <w:bCs/>
          <w:color w:val="000000" w:themeColor="text1"/>
          <w:szCs w:val="21"/>
          <w:highlight w:val="none"/>
          <w14:textFill>
            <w14:solidFill>
              <w14:schemeClr w14:val="tx1"/>
            </w14:solidFill>
          </w14:textFill>
        </w:rPr>
        <w:t>报价</w:t>
      </w:r>
      <w:r>
        <w:rPr>
          <w:rFonts w:hint="eastAsia" w:ascii="宋体" w:hAnsi="宋体" w:cs="宋体"/>
          <w:b/>
          <w:bCs/>
          <w:color w:val="000000" w:themeColor="text1"/>
          <w:szCs w:val="21"/>
          <w:highlight w:val="none"/>
          <w:lang w:eastAsia="zh-CN"/>
          <w14:textFill>
            <w14:solidFill>
              <w14:schemeClr w14:val="tx1"/>
            </w14:solidFill>
          </w14:textFill>
        </w:rPr>
        <w:t>可以同时进行扣除，</w:t>
      </w:r>
      <w:r>
        <w:rPr>
          <w:rFonts w:hint="eastAsia" w:ascii="宋体" w:hAnsi="宋体" w:cs="宋体"/>
          <w:b/>
          <w:bCs/>
          <w:color w:val="000000" w:themeColor="text1"/>
          <w:szCs w:val="21"/>
          <w:highlight w:val="none"/>
          <w14:textFill>
            <w14:solidFill>
              <w14:schemeClr w14:val="tx1"/>
            </w14:solidFill>
          </w14:textFill>
        </w:rPr>
        <w:t>扣除后的价格为评审</w:t>
      </w:r>
      <w:r>
        <w:rPr>
          <w:rFonts w:hint="eastAsia" w:ascii="宋体" w:hAnsi="宋体" w:cs="宋体"/>
          <w:b/>
          <w:bCs/>
          <w:color w:val="000000" w:themeColor="text1"/>
          <w:szCs w:val="21"/>
          <w:highlight w:val="none"/>
          <w:lang w:eastAsia="zh-CN"/>
          <w14:textFill>
            <w14:solidFill>
              <w14:schemeClr w14:val="tx1"/>
            </w14:solidFill>
          </w14:textFill>
        </w:rPr>
        <w:t>报</w:t>
      </w:r>
      <w:r>
        <w:rPr>
          <w:rFonts w:hint="eastAsia" w:ascii="宋体" w:hAnsi="宋体" w:cs="宋体"/>
          <w:b/>
          <w:bCs/>
          <w:color w:val="000000" w:themeColor="text1"/>
          <w:szCs w:val="21"/>
          <w:highlight w:val="none"/>
          <w14:textFill>
            <w14:solidFill>
              <w14:schemeClr w14:val="tx1"/>
            </w14:solidFill>
          </w14:textFill>
        </w:rPr>
        <w:t>价，即评审报价=最后报价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（1-20%-20%）</w:t>
      </w:r>
      <w:r>
        <w:rPr>
          <w:rFonts w:hint="eastAsia" w:ascii="宋体" w:hAnsi="宋体" w:cs="宋体"/>
          <w:b/>
          <w:bCs/>
          <w:color w:val="000000" w:themeColor="text1"/>
          <w:szCs w:val="21"/>
          <w:highlight w:val="none"/>
          <w:lang w:eastAsia="zh-CN"/>
          <w14:textFill>
            <w14:solidFill>
              <w14:schemeClr w14:val="tx1"/>
            </w14:solidFill>
          </w14:textFill>
        </w:rPr>
        <w:t>。</w:t>
      </w:r>
    </w:p>
    <w:p w14:paraId="6A3144F8">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除上述情况外，评审报价</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最后报价。</w:t>
      </w:r>
    </w:p>
    <w:p w14:paraId="171A88CD">
      <w:pPr>
        <w:pStyle w:val="21"/>
        <w:spacing w:line="400" w:lineRule="exact"/>
        <w:rPr>
          <w:rFonts w:hint="eastAsia"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注：①谈判小组应当按扣除后的报价由低到高进行排序，该扣除后报价仅作为评审报价排序，不作为合同签订报价，合同将按实际最后报价签订。</w:t>
      </w:r>
    </w:p>
    <w:p w14:paraId="3B121279">
      <w:pPr>
        <w:pStyle w:val="21"/>
        <w:spacing w:line="400" w:lineRule="exact"/>
        <w:ind w:firstLine="420"/>
        <w:rPr>
          <w:rFonts w:hint="eastAsia"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②中小微型企业划分标准按照《国家统计局关于印发&lt;统计上大中小微型企业划分办法〔2017〕&gt;的通知》（国统字〔2017〕213号）执行，具体划分标准见附表《统计上大中小微型企业划分标准》。</w:t>
      </w:r>
    </w:p>
    <w:p w14:paraId="1DE17F07">
      <w:pPr>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三</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评审时，应当将通过资格性审查和符合性审查各供应商的评审报价，按照由低到高顺序排序，当评审报价相同时，以最后报价低的优先排序；当最后报价相同时，则依次按技术指标高优先、售后服务优先原则排序。</w:t>
      </w:r>
    </w:p>
    <w:p w14:paraId="3A7A2A9F">
      <w:pPr>
        <w:ind w:firstLine="42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三、成交候选人推荐原则</w:t>
      </w:r>
    </w:p>
    <w:p w14:paraId="36124869">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）采购单位应当确定谈判小组推荐排名第一的成交候选人为成交供应商。</w:t>
      </w:r>
    </w:p>
    <w:p w14:paraId="0C300B87">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排名第一的成交候选人放弃成交、因不可抗力提出不能履行合同，或者竞争性谈判文件规定应当提交履约保证金而在规定的期限内未能提交的，或因失信行为被取消成交候选人资格的，采购单位可以确定排名第二的成交候选人为成交供应商。</w:t>
      </w:r>
    </w:p>
    <w:p w14:paraId="15227E8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）排名第二的成交候选人因前款规定的同样原因不能签订合同的，采购单位可以确定排名第三的成交候选人为成交供应商。</w:t>
      </w:r>
    </w:p>
    <w:p w14:paraId="71757B84">
      <w:pPr>
        <w:spacing w:line="360" w:lineRule="auto"/>
        <w:ind w:firstLine="42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四、特别说明</w:t>
      </w:r>
    </w:p>
    <w:p w14:paraId="460A5842">
      <w:pPr>
        <w:spacing w:line="360" w:lineRule="auto"/>
        <w:ind w:firstLine="420"/>
        <w:rPr>
          <w:rFonts w:hint="eastAsia"/>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14:textFill>
            <w14:solidFill>
              <w14:schemeClr w14:val="tx1"/>
            </w14:solidFill>
          </w14:textFill>
        </w:rPr>
        <w:t>评审时，谈判小组根据《关于推动解决政府采购异常低价问题的通知》</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14:textFill>
            <w14:solidFill>
              <w14:schemeClr w14:val="tx1"/>
            </w14:solidFill>
          </w14:textFill>
        </w:rPr>
        <w:t>财库〔2026〕2号</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）相关规定</w:t>
      </w:r>
      <w:r>
        <w:rPr>
          <w:rFonts w:hint="eastAsia" w:ascii="宋体" w:hAnsi="宋体" w:eastAsia="宋体" w:cs="宋体"/>
          <w:b/>
          <w:bCs/>
          <w:color w:val="000000" w:themeColor="text1"/>
          <w:sz w:val="21"/>
          <w:szCs w:val="21"/>
          <w:highlight w:val="none"/>
          <w:lang w:val="en-US"/>
          <w14:textFill>
            <w14:solidFill>
              <w14:schemeClr w14:val="tx1"/>
            </w14:solidFill>
          </w14:textFill>
        </w:rPr>
        <w:t>启动异常低价投标（响应）审查程序</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b/>
          <w:bCs/>
          <w:color w:val="000000" w:themeColor="text1"/>
          <w:szCs w:val="21"/>
          <w:highlight w:val="none"/>
          <w14:textFill>
            <w14:solidFill>
              <w14:schemeClr w14:val="tx1"/>
            </w14:solidFill>
          </w14:textFill>
        </w:rPr>
        <w:t>启动异常低价投标（响应）审查后，</w:t>
      </w:r>
      <w:r>
        <w:rPr>
          <w:rStyle w:val="253"/>
          <w:rFonts w:ascii="宋体" w:hAnsi="宋体"/>
          <w:b/>
          <w:bCs/>
          <w:color w:val="000000" w:themeColor="text1"/>
          <w:szCs w:val="21"/>
          <w:highlight w:val="none"/>
          <w14:textFill>
            <w14:solidFill>
              <w14:schemeClr w14:val="tx1"/>
            </w14:solidFill>
          </w14:textFill>
        </w:rPr>
        <w:t>应当要求</w:t>
      </w:r>
      <w:r>
        <w:rPr>
          <w:rStyle w:val="253"/>
          <w:rFonts w:hint="eastAsia" w:ascii="宋体" w:hAnsi="宋体"/>
          <w:b/>
          <w:bCs/>
          <w:color w:val="000000" w:themeColor="text1"/>
          <w:szCs w:val="21"/>
          <w:highlight w:val="none"/>
          <w14:textFill>
            <w14:solidFill>
              <w14:schemeClr w14:val="tx1"/>
            </w14:solidFill>
          </w14:textFill>
        </w:rPr>
        <w:t>供应商</w:t>
      </w:r>
      <w:r>
        <w:rPr>
          <w:rStyle w:val="253"/>
          <w:rFonts w:ascii="宋体" w:hAnsi="宋体"/>
          <w:b/>
          <w:bCs/>
          <w:color w:val="000000" w:themeColor="text1"/>
          <w:szCs w:val="21"/>
          <w:highlight w:val="none"/>
          <w14:textFill>
            <w14:solidFill>
              <w14:schemeClr w14:val="tx1"/>
            </w14:solidFill>
          </w14:textFill>
        </w:rPr>
        <w:t>在</w:t>
      </w:r>
      <w:r>
        <w:rPr>
          <w:rStyle w:val="253"/>
          <w:rFonts w:hint="eastAsia" w:ascii="宋体" w:hAnsi="宋体"/>
          <w:b/>
          <w:bCs/>
          <w:color w:val="000000" w:themeColor="text1"/>
          <w:szCs w:val="21"/>
          <w:highlight w:val="none"/>
          <w:lang w:val="en-US"/>
          <w14:textFill>
            <w14:solidFill>
              <w14:schemeClr w14:val="tx1"/>
            </w14:solidFill>
          </w14:textFill>
        </w:rPr>
        <w:t>谈判小组要求的时间内</w:t>
      </w:r>
      <w:r>
        <w:rPr>
          <w:rFonts w:hint="eastAsia"/>
          <w:b/>
          <w:bCs/>
          <w:color w:val="000000" w:themeColor="text1"/>
          <w:szCs w:val="21"/>
          <w:highlight w:val="none"/>
          <w14:textFill>
            <w14:solidFill>
              <w14:schemeClr w14:val="tx1"/>
            </w14:solidFill>
          </w14:textFill>
        </w:rPr>
        <w:t>对投标（响应）价格作出解释，</w:t>
      </w:r>
      <w:r>
        <w:rPr>
          <w:rFonts w:hint="eastAsia"/>
          <w:b/>
          <w:bCs/>
          <w:color w:val="000000" w:themeColor="text1"/>
          <w:szCs w:val="21"/>
          <w:highlight w:val="none"/>
          <w:shd w:val="clear" w:color="auto" w:fill="FFFFFF"/>
          <w14:textFill>
            <w14:solidFill>
              <w14:schemeClr w14:val="tx1"/>
            </w14:solidFill>
          </w14:textFill>
        </w:rPr>
        <w:t>提供项目具体成本测算等与报价合理性相关的书面说明及必要的证明材料（包括但不限于原材料成本、人工成本、制造费用等）。</w:t>
      </w:r>
      <w:r>
        <w:rPr>
          <w:rFonts w:hint="eastAsia"/>
          <w:b/>
          <w:bCs/>
          <w:color w:val="000000" w:themeColor="text1"/>
          <w:szCs w:val="21"/>
          <w:highlight w:val="none"/>
          <w14:textFill>
            <w14:solidFill>
              <w14:schemeClr w14:val="tx1"/>
            </w14:solidFill>
          </w14:textFill>
        </w:rPr>
        <w:t>投标（响应）供应商不能提供书面说明、证明材料，或者提供的书面说明、证明材料不能证明其报价合理性的，</w:t>
      </w:r>
      <w:r>
        <w:rPr>
          <w:rFonts w:hint="eastAsia"/>
          <w:b/>
          <w:bCs/>
          <w:color w:val="000000" w:themeColor="text1"/>
          <w:szCs w:val="21"/>
          <w:highlight w:val="none"/>
          <w:lang w:val="en-US"/>
          <w14:textFill>
            <w14:solidFill>
              <w14:schemeClr w14:val="tx1"/>
            </w14:solidFill>
          </w14:textFill>
        </w:rPr>
        <w:t>谈判小组</w:t>
      </w:r>
      <w:r>
        <w:rPr>
          <w:rFonts w:hint="eastAsia"/>
          <w:b/>
          <w:bCs/>
          <w:color w:val="000000" w:themeColor="text1"/>
          <w:szCs w:val="21"/>
          <w:highlight w:val="none"/>
          <w14:textFill>
            <w14:solidFill>
              <w14:schemeClr w14:val="tx1"/>
            </w14:solidFill>
          </w14:textFill>
        </w:rPr>
        <w:t>应当将其作为无效投标（响应）处理。 异常低价投标（响应）审查的启动原因、审查意见和审查结果应当在评审报告中记录</w:t>
      </w:r>
      <w:r>
        <w:rPr>
          <w:rFonts w:hint="eastAsia"/>
          <w:b/>
          <w:bCs/>
          <w:color w:val="000000" w:themeColor="text1"/>
          <w:szCs w:val="21"/>
          <w:highlight w:val="none"/>
          <w:lang w:eastAsia="zh-CN"/>
          <w14:textFill>
            <w14:solidFill>
              <w14:schemeClr w14:val="tx1"/>
            </w14:solidFill>
          </w14:textFill>
        </w:rPr>
        <w:t>。</w:t>
      </w:r>
    </w:p>
    <w:p w14:paraId="1CEB7B16">
      <w:pPr>
        <w:spacing w:line="360" w:lineRule="auto"/>
        <w:ind w:firstLine="420"/>
        <w:rPr>
          <w:rFonts w:hint="default" w:eastAsia="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为避免因未能及时提供说明而导致被</w:t>
      </w:r>
      <w:r>
        <w:rPr>
          <w:rFonts w:hint="eastAsia" w:ascii="宋体" w:hAnsi="宋体" w:cs="宋体"/>
          <w:b/>
          <w:bCs/>
          <w:color w:val="000000" w:themeColor="text1"/>
          <w:szCs w:val="21"/>
          <w:highlight w:val="none"/>
          <w:lang w:eastAsia="zh-CN"/>
          <w14:textFill>
            <w14:solidFill>
              <w14:schemeClr w14:val="tx1"/>
            </w14:solidFill>
          </w14:textFill>
        </w:rPr>
        <w:t>谈判小组</w:t>
      </w:r>
      <w:r>
        <w:rPr>
          <w:rFonts w:hint="eastAsia" w:ascii="宋体" w:hAnsi="宋体" w:cs="宋体"/>
          <w:b/>
          <w:bCs/>
          <w:color w:val="000000" w:themeColor="text1"/>
          <w:szCs w:val="21"/>
          <w:highlight w:val="none"/>
          <w14:textFill>
            <w14:solidFill>
              <w14:schemeClr w14:val="tx1"/>
            </w14:solidFill>
          </w14:textFill>
        </w:rPr>
        <w:t>作为无效投标情形，</w:t>
      </w:r>
      <w:r>
        <w:rPr>
          <w:rFonts w:hint="eastAsia"/>
          <w:b/>
          <w:bCs/>
          <w:color w:val="000000" w:themeColor="text1"/>
          <w:szCs w:val="21"/>
          <w:highlight w:val="none"/>
          <w:shd w:val="clear" w:color="auto" w:fill="FFFFFF"/>
          <w14:textFill>
            <w14:solidFill>
              <w14:schemeClr w14:val="tx1"/>
            </w14:solidFill>
          </w14:textFill>
        </w:rPr>
        <w:t>供应商可提前准备或随投标（响应）文件一并提交相关书面说明及必要的证明材料。</w:t>
      </w:r>
    </w:p>
    <w:p w14:paraId="21986D87">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54970694">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1E8855EB">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7F19D6CC">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3E494A64">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0626F8C7">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5FFA61E7">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2F05D905">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47B7E592">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194A80CA">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5DCD3892">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2CED1DF3">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0F2C43A9">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36F4FB69">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3DBD723C">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4E66DEE5">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06183ABB">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7A11B9C2">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69E37D54">
      <w:pPr>
        <w:spacing w:line="340" w:lineRule="exact"/>
        <w:ind w:firstLine="420"/>
        <w:rPr>
          <w:rFonts w:hint="eastAsia" w:ascii="宋体" w:hAnsi="宋体" w:cs="宋体"/>
          <w:b/>
          <w:bCs/>
          <w:color w:val="000000" w:themeColor="text1"/>
          <w:szCs w:val="21"/>
          <w:highlight w:val="none"/>
          <w:u w:val="single"/>
          <w14:textFill>
            <w14:solidFill>
              <w14:schemeClr w14:val="tx1"/>
            </w14:solidFill>
          </w14:textFill>
        </w:rPr>
      </w:pPr>
    </w:p>
    <w:p w14:paraId="17636BCA">
      <w:pPr>
        <w:spacing w:line="340" w:lineRule="exact"/>
        <w:ind w:firstLine="0"/>
        <w:rPr>
          <w:rFonts w:hint="eastAsia" w:ascii="宋体" w:hAnsi="宋体" w:cs="宋体"/>
          <w:b/>
          <w:bCs/>
          <w:color w:val="000000" w:themeColor="text1"/>
          <w:szCs w:val="21"/>
          <w:highlight w:val="none"/>
          <w:u w:val="single"/>
          <w14:textFill>
            <w14:solidFill>
              <w14:schemeClr w14:val="tx1"/>
            </w14:solidFill>
          </w14:textFill>
        </w:rPr>
      </w:pPr>
    </w:p>
    <w:p w14:paraId="06C2A34C">
      <w:pPr>
        <w:rPr>
          <w:rFonts w:hint="eastAsia"/>
          <w:b/>
          <w:bCs/>
          <w:color w:val="000000" w:themeColor="text1"/>
          <w:sz w:val="24"/>
          <w:highlight w:val="none"/>
          <w14:textFill>
            <w14:solidFill>
              <w14:schemeClr w14:val="tx1"/>
            </w14:solidFill>
          </w14:textFill>
        </w:rPr>
      </w:pPr>
      <w:bookmarkStart w:id="584" w:name="_Toc21526"/>
      <w:bookmarkStart w:id="585" w:name="_Toc13442"/>
      <w:bookmarkStart w:id="586" w:name="_Toc3132"/>
      <w:bookmarkStart w:id="587" w:name="_Toc26491"/>
      <w:bookmarkStart w:id="588" w:name="_Toc9683"/>
      <w:r>
        <w:rPr>
          <w:rFonts w:hint="eastAsia"/>
          <w:b/>
          <w:bCs/>
          <w:color w:val="000000" w:themeColor="text1"/>
          <w:sz w:val="24"/>
          <w:highlight w:val="none"/>
          <w14:textFill>
            <w14:solidFill>
              <w14:schemeClr w14:val="tx1"/>
            </w14:solidFill>
          </w14:textFill>
        </w:rPr>
        <w:br w:type="page"/>
      </w:r>
    </w:p>
    <w:p w14:paraId="1C777EC4">
      <w:pPr>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w:t>
      </w:r>
      <w:bookmarkEnd w:id="584"/>
      <w:bookmarkEnd w:id="585"/>
      <w:bookmarkEnd w:id="586"/>
      <w:bookmarkEnd w:id="587"/>
      <w:bookmarkEnd w:id="588"/>
    </w:p>
    <w:p w14:paraId="4BD82B40">
      <w:pPr>
        <w:widowControl/>
        <w:spacing w:before="156" w:after="156" w:line="400" w:lineRule="exact"/>
        <w:jc w:val="center"/>
        <w:rPr>
          <w:rFonts w:hint="eastAsia" w:ascii="宋体" w:hAnsi="宋体" w:cs="宋体"/>
          <w:b/>
          <w:bCs/>
          <w:color w:val="000000" w:themeColor="text1"/>
          <w:sz w:val="30"/>
          <w:szCs w:val="30"/>
          <w:highlight w:val="none"/>
          <w14:textFill>
            <w14:solidFill>
              <w14:schemeClr w14:val="tx1"/>
            </w14:solidFill>
          </w14:textFill>
        </w:rPr>
      </w:pPr>
      <w:bookmarkStart w:id="589" w:name="_Toc28361_WPSOffice_Level2"/>
      <w:r>
        <w:rPr>
          <w:rFonts w:hint="eastAsia" w:ascii="宋体" w:hAnsi="宋体" w:cs="宋体"/>
          <w:b/>
          <w:bCs/>
          <w:color w:val="000000" w:themeColor="text1"/>
          <w:sz w:val="30"/>
          <w:szCs w:val="30"/>
          <w:highlight w:val="none"/>
          <w14:textFill>
            <w14:solidFill>
              <w14:schemeClr w14:val="tx1"/>
            </w14:solidFill>
          </w14:textFill>
        </w:rPr>
        <w:t>统计上大中小微型企业划分标准</w:t>
      </w:r>
      <w:bookmarkEnd w:id="589"/>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9C3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14:paraId="4C1DB896">
            <w:pPr>
              <w:widowControl/>
              <w:spacing w:line="240" w:lineRule="exact"/>
              <w:jc w:val="center"/>
              <w:rPr>
                <w:b/>
                <w:bCs/>
                <w:color w:val="000000" w:themeColor="text1"/>
                <w:sz w:val="18"/>
                <w:szCs w:val="21"/>
                <w:highlight w:val="none"/>
                <w14:textFill>
                  <w14:solidFill>
                    <w14:schemeClr w14:val="tx1"/>
                  </w14:solidFill>
                </w14:textFill>
              </w:rPr>
            </w:pPr>
            <w:r>
              <w:rPr>
                <w:b/>
                <w:bCs/>
                <w:color w:val="000000" w:themeColor="text1"/>
                <w:sz w:val="18"/>
                <w:szCs w:val="21"/>
                <w:highlight w:val="none"/>
                <w14:textFill>
                  <w14:solidFill>
                    <w14:schemeClr w14:val="tx1"/>
                  </w14:solidFill>
                </w14:textFill>
              </w:rPr>
              <w:t>行业名称</w:t>
            </w:r>
          </w:p>
        </w:tc>
        <w:tc>
          <w:tcPr>
            <w:tcW w:w="1369" w:type="dxa"/>
            <w:shd w:val="clear" w:color="auto" w:fill="FFFFFF"/>
            <w:noWrap w:val="0"/>
            <w:vAlign w:val="center"/>
          </w:tcPr>
          <w:p w14:paraId="7B781EC9">
            <w:pPr>
              <w:widowControl/>
              <w:jc w:val="center"/>
              <w:rPr>
                <w:b/>
                <w:bCs/>
                <w:color w:val="000000" w:themeColor="text1"/>
                <w:sz w:val="18"/>
                <w:szCs w:val="18"/>
                <w:highlight w:val="none"/>
                <w14:textFill>
                  <w14:solidFill>
                    <w14:schemeClr w14:val="tx1"/>
                  </w14:solidFill>
                </w14:textFill>
              </w:rPr>
            </w:pPr>
            <w:r>
              <w:rPr>
                <w:b/>
                <w:bCs/>
                <w:color w:val="000000" w:themeColor="text1"/>
                <w:sz w:val="18"/>
                <w:szCs w:val="18"/>
                <w:highlight w:val="none"/>
                <w14:textFill>
                  <w14:solidFill>
                    <w14:schemeClr w14:val="tx1"/>
                  </w14:solidFill>
                </w14:textFill>
              </w:rPr>
              <w:t>指标名称</w:t>
            </w:r>
          </w:p>
        </w:tc>
        <w:tc>
          <w:tcPr>
            <w:tcW w:w="709" w:type="dxa"/>
            <w:shd w:val="clear" w:color="auto" w:fill="FFFFFF"/>
            <w:noWrap w:val="0"/>
            <w:vAlign w:val="center"/>
          </w:tcPr>
          <w:p w14:paraId="60CF1B12">
            <w:pPr>
              <w:widowControl/>
              <w:jc w:val="center"/>
              <w:rPr>
                <w:rFonts w:hint="eastAsia"/>
                <w:b/>
                <w:bCs/>
                <w:color w:val="000000" w:themeColor="text1"/>
                <w:sz w:val="18"/>
                <w:szCs w:val="18"/>
                <w:highlight w:val="none"/>
                <w14:textFill>
                  <w14:solidFill>
                    <w14:schemeClr w14:val="tx1"/>
                  </w14:solidFill>
                </w14:textFill>
              </w:rPr>
            </w:pPr>
            <w:r>
              <w:rPr>
                <w:b/>
                <w:bCs/>
                <w:color w:val="000000" w:themeColor="text1"/>
                <w:sz w:val="18"/>
                <w:szCs w:val="18"/>
                <w:highlight w:val="none"/>
                <w14:textFill>
                  <w14:solidFill>
                    <w14:schemeClr w14:val="tx1"/>
                  </w14:solidFill>
                </w14:textFill>
              </w:rPr>
              <w:t>计量</w:t>
            </w:r>
          </w:p>
          <w:p w14:paraId="5E623362">
            <w:pPr>
              <w:widowControl/>
              <w:jc w:val="center"/>
              <w:rPr>
                <w:b/>
                <w:bCs/>
                <w:color w:val="000000" w:themeColor="text1"/>
                <w:sz w:val="18"/>
                <w:szCs w:val="18"/>
                <w:highlight w:val="none"/>
                <w14:textFill>
                  <w14:solidFill>
                    <w14:schemeClr w14:val="tx1"/>
                  </w14:solidFill>
                </w14:textFill>
              </w:rPr>
            </w:pPr>
            <w:r>
              <w:rPr>
                <w:b/>
                <w:bCs/>
                <w:color w:val="000000" w:themeColor="text1"/>
                <w:sz w:val="18"/>
                <w:szCs w:val="18"/>
                <w:highlight w:val="none"/>
                <w14:textFill>
                  <w14:solidFill>
                    <w14:schemeClr w14:val="tx1"/>
                  </w14:solidFill>
                </w14:textFill>
              </w:rPr>
              <w:t>单位</w:t>
            </w:r>
          </w:p>
        </w:tc>
        <w:tc>
          <w:tcPr>
            <w:tcW w:w="1125" w:type="dxa"/>
            <w:shd w:val="clear" w:color="auto" w:fill="FFFFFF"/>
            <w:noWrap w:val="0"/>
            <w:vAlign w:val="center"/>
          </w:tcPr>
          <w:p w14:paraId="4DD39937">
            <w:pPr>
              <w:widowControl/>
              <w:jc w:val="center"/>
              <w:rPr>
                <w:b/>
                <w:bCs/>
                <w:color w:val="000000" w:themeColor="text1"/>
                <w:sz w:val="18"/>
                <w:szCs w:val="18"/>
                <w:highlight w:val="none"/>
                <w14:textFill>
                  <w14:solidFill>
                    <w14:schemeClr w14:val="tx1"/>
                  </w14:solidFill>
                </w14:textFill>
              </w:rPr>
            </w:pPr>
            <w:r>
              <w:rPr>
                <w:b/>
                <w:bCs/>
                <w:color w:val="000000" w:themeColor="text1"/>
                <w:sz w:val="18"/>
                <w:szCs w:val="18"/>
                <w:highlight w:val="none"/>
                <w14:textFill>
                  <w14:solidFill>
                    <w14:schemeClr w14:val="tx1"/>
                  </w14:solidFill>
                </w14:textFill>
              </w:rPr>
              <w:t>大型</w:t>
            </w:r>
          </w:p>
        </w:tc>
        <w:tc>
          <w:tcPr>
            <w:tcW w:w="1701" w:type="dxa"/>
            <w:shd w:val="clear" w:color="auto" w:fill="FFFFFF"/>
            <w:noWrap w:val="0"/>
            <w:vAlign w:val="center"/>
          </w:tcPr>
          <w:p w14:paraId="100915B6">
            <w:pPr>
              <w:widowControl/>
              <w:jc w:val="center"/>
              <w:rPr>
                <w:b/>
                <w:bCs/>
                <w:color w:val="000000" w:themeColor="text1"/>
                <w:sz w:val="18"/>
                <w:szCs w:val="18"/>
                <w:highlight w:val="none"/>
                <w14:textFill>
                  <w14:solidFill>
                    <w14:schemeClr w14:val="tx1"/>
                  </w14:solidFill>
                </w14:textFill>
              </w:rPr>
            </w:pPr>
            <w:r>
              <w:rPr>
                <w:b/>
                <w:bCs/>
                <w:color w:val="000000" w:themeColor="text1"/>
                <w:sz w:val="18"/>
                <w:szCs w:val="18"/>
                <w:highlight w:val="none"/>
                <w14:textFill>
                  <w14:solidFill>
                    <w14:schemeClr w14:val="tx1"/>
                  </w14:solidFill>
                </w14:textFill>
              </w:rPr>
              <w:t>中型</w:t>
            </w:r>
          </w:p>
        </w:tc>
        <w:tc>
          <w:tcPr>
            <w:tcW w:w="1426" w:type="dxa"/>
            <w:shd w:val="clear" w:color="auto" w:fill="FFFFFF"/>
            <w:noWrap w:val="0"/>
            <w:vAlign w:val="center"/>
          </w:tcPr>
          <w:p w14:paraId="055A53B0">
            <w:pPr>
              <w:widowControl/>
              <w:jc w:val="center"/>
              <w:rPr>
                <w:b/>
                <w:bCs/>
                <w:color w:val="000000" w:themeColor="text1"/>
                <w:sz w:val="18"/>
                <w:szCs w:val="18"/>
                <w:highlight w:val="none"/>
                <w14:textFill>
                  <w14:solidFill>
                    <w14:schemeClr w14:val="tx1"/>
                  </w14:solidFill>
                </w14:textFill>
              </w:rPr>
            </w:pPr>
            <w:r>
              <w:rPr>
                <w:b/>
                <w:bCs/>
                <w:color w:val="000000" w:themeColor="text1"/>
                <w:sz w:val="18"/>
                <w:szCs w:val="18"/>
                <w:highlight w:val="none"/>
                <w14:textFill>
                  <w14:solidFill>
                    <w14:schemeClr w14:val="tx1"/>
                  </w14:solidFill>
                </w14:textFill>
              </w:rPr>
              <w:t>小型</w:t>
            </w:r>
          </w:p>
        </w:tc>
        <w:tc>
          <w:tcPr>
            <w:tcW w:w="992" w:type="dxa"/>
            <w:shd w:val="clear" w:color="auto" w:fill="FFFFFF"/>
            <w:noWrap w:val="0"/>
            <w:vAlign w:val="center"/>
          </w:tcPr>
          <w:p w14:paraId="42BB8EA7">
            <w:pPr>
              <w:widowControl/>
              <w:jc w:val="center"/>
              <w:rPr>
                <w:b/>
                <w:bCs/>
                <w:color w:val="000000" w:themeColor="text1"/>
                <w:sz w:val="18"/>
                <w:szCs w:val="18"/>
                <w:highlight w:val="none"/>
                <w14:textFill>
                  <w14:solidFill>
                    <w14:schemeClr w14:val="tx1"/>
                  </w14:solidFill>
                </w14:textFill>
              </w:rPr>
            </w:pPr>
            <w:r>
              <w:rPr>
                <w:b/>
                <w:bCs/>
                <w:color w:val="000000" w:themeColor="text1"/>
                <w:sz w:val="18"/>
                <w:szCs w:val="18"/>
                <w:highlight w:val="none"/>
                <w14:textFill>
                  <w14:solidFill>
                    <w14:schemeClr w14:val="tx1"/>
                  </w14:solidFill>
                </w14:textFill>
              </w:rPr>
              <w:t>微型</w:t>
            </w:r>
          </w:p>
        </w:tc>
      </w:tr>
      <w:tr w14:paraId="487C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169F456">
            <w:pPr>
              <w:widowControl/>
              <w:spacing w:line="240" w:lineRule="exact"/>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农、林、牧、渔业</w:t>
            </w:r>
          </w:p>
        </w:tc>
        <w:tc>
          <w:tcPr>
            <w:tcW w:w="1369" w:type="dxa"/>
            <w:noWrap w:val="0"/>
            <w:vAlign w:val="center"/>
          </w:tcPr>
          <w:p w14:paraId="3C34ED6A">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营业收入(Y)</w:t>
            </w:r>
          </w:p>
        </w:tc>
        <w:tc>
          <w:tcPr>
            <w:tcW w:w="709" w:type="dxa"/>
            <w:noWrap w:val="0"/>
            <w:vAlign w:val="center"/>
          </w:tcPr>
          <w:p w14:paraId="2C215FAB">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0F6E2A40">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Y≥20000</w:t>
            </w:r>
          </w:p>
        </w:tc>
        <w:tc>
          <w:tcPr>
            <w:tcW w:w="1701" w:type="dxa"/>
            <w:noWrap w:val="0"/>
            <w:vAlign w:val="center"/>
          </w:tcPr>
          <w:p w14:paraId="5F1BCBD0">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500≤Y＜20000</w:t>
            </w:r>
          </w:p>
        </w:tc>
        <w:tc>
          <w:tcPr>
            <w:tcW w:w="1426" w:type="dxa"/>
            <w:noWrap w:val="0"/>
            <w:vAlign w:val="center"/>
          </w:tcPr>
          <w:p w14:paraId="29C392E0">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50≤Y＜500</w:t>
            </w:r>
          </w:p>
        </w:tc>
        <w:tc>
          <w:tcPr>
            <w:tcW w:w="992" w:type="dxa"/>
            <w:noWrap w:val="0"/>
            <w:vAlign w:val="center"/>
          </w:tcPr>
          <w:p w14:paraId="3E588416">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Y＜50</w:t>
            </w:r>
          </w:p>
        </w:tc>
      </w:tr>
      <w:tr w14:paraId="2824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E9158E0">
            <w:pPr>
              <w:widowControl/>
              <w:spacing w:line="240" w:lineRule="exact"/>
              <w:jc w:val="left"/>
              <w:rPr>
                <w:rFonts w:hint="eastAsia"/>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工业</w:t>
            </w:r>
            <w:r>
              <w:rPr>
                <w:rFonts w:hint="eastAsia" w:ascii="宋体" w:hAnsi="宋体" w:cs="宋体"/>
                <w:color w:val="000000" w:themeColor="text1"/>
                <w:sz w:val="18"/>
                <w:szCs w:val="18"/>
                <w:highlight w:val="none"/>
                <w14:textFill>
                  <w14:solidFill>
                    <w14:schemeClr w14:val="tx1"/>
                  </w14:solidFill>
                </w14:textFill>
              </w:rPr>
              <w:t>※</w:t>
            </w:r>
          </w:p>
        </w:tc>
        <w:tc>
          <w:tcPr>
            <w:tcW w:w="1369" w:type="dxa"/>
            <w:noWrap w:val="0"/>
            <w:vAlign w:val="center"/>
          </w:tcPr>
          <w:p w14:paraId="0B4B1381">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从业人员(X)</w:t>
            </w:r>
          </w:p>
        </w:tc>
        <w:tc>
          <w:tcPr>
            <w:tcW w:w="709" w:type="dxa"/>
            <w:noWrap w:val="0"/>
            <w:vAlign w:val="center"/>
          </w:tcPr>
          <w:p w14:paraId="79A7BB68">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125" w:type="dxa"/>
            <w:noWrap w:val="0"/>
            <w:vAlign w:val="center"/>
          </w:tcPr>
          <w:p w14:paraId="5EDC266F">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X≥1000</w:t>
            </w:r>
          </w:p>
        </w:tc>
        <w:tc>
          <w:tcPr>
            <w:tcW w:w="1701" w:type="dxa"/>
            <w:noWrap w:val="0"/>
            <w:vAlign w:val="center"/>
          </w:tcPr>
          <w:p w14:paraId="2F6EC2EC">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300≤X＜1000</w:t>
            </w:r>
          </w:p>
        </w:tc>
        <w:tc>
          <w:tcPr>
            <w:tcW w:w="1426" w:type="dxa"/>
            <w:noWrap w:val="0"/>
            <w:vAlign w:val="center"/>
          </w:tcPr>
          <w:p w14:paraId="08F9F340">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20≤X＜300</w:t>
            </w:r>
          </w:p>
        </w:tc>
        <w:tc>
          <w:tcPr>
            <w:tcW w:w="992" w:type="dxa"/>
            <w:noWrap w:val="0"/>
            <w:vAlign w:val="center"/>
          </w:tcPr>
          <w:p w14:paraId="4ABBA66A">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X＜20</w:t>
            </w:r>
          </w:p>
        </w:tc>
      </w:tr>
      <w:tr w14:paraId="5D64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EBEDACC">
            <w:pPr>
              <w:widowControl/>
              <w:jc w:val="left"/>
              <w:rPr>
                <w:color w:val="000000" w:themeColor="text1"/>
                <w:sz w:val="18"/>
                <w:szCs w:val="18"/>
                <w:highlight w:val="none"/>
                <w14:textFill>
                  <w14:solidFill>
                    <w14:schemeClr w14:val="tx1"/>
                  </w14:solidFill>
                </w14:textFill>
              </w:rPr>
            </w:pPr>
          </w:p>
        </w:tc>
        <w:tc>
          <w:tcPr>
            <w:tcW w:w="1369" w:type="dxa"/>
            <w:noWrap w:val="0"/>
            <w:vAlign w:val="center"/>
          </w:tcPr>
          <w:p w14:paraId="70577D4A">
            <w:pPr>
              <w:widowControl/>
              <w:spacing w:line="240" w:lineRule="exact"/>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营业收入(Y)</w:t>
            </w:r>
          </w:p>
        </w:tc>
        <w:tc>
          <w:tcPr>
            <w:tcW w:w="709" w:type="dxa"/>
            <w:noWrap w:val="0"/>
            <w:vAlign w:val="center"/>
          </w:tcPr>
          <w:p w14:paraId="6D8781D9">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11EBF589">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Y≥40000</w:t>
            </w:r>
          </w:p>
        </w:tc>
        <w:tc>
          <w:tcPr>
            <w:tcW w:w="1701" w:type="dxa"/>
            <w:noWrap w:val="0"/>
            <w:vAlign w:val="center"/>
          </w:tcPr>
          <w:p w14:paraId="3A0FBD60">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2000≤Y＜40000</w:t>
            </w:r>
          </w:p>
        </w:tc>
        <w:tc>
          <w:tcPr>
            <w:tcW w:w="1426" w:type="dxa"/>
            <w:noWrap w:val="0"/>
            <w:vAlign w:val="center"/>
          </w:tcPr>
          <w:p w14:paraId="0F7EBB03">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300≤Y＜2000</w:t>
            </w:r>
          </w:p>
        </w:tc>
        <w:tc>
          <w:tcPr>
            <w:tcW w:w="992" w:type="dxa"/>
            <w:noWrap w:val="0"/>
            <w:vAlign w:val="center"/>
          </w:tcPr>
          <w:p w14:paraId="39CE8604">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Y＜300</w:t>
            </w:r>
          </w:p>
        </w:tc>
      </w:tr>
      <w:tr w14:paraId="7E52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0C39DD7">
            <w:pPr>
              <w:widowControl/>
              <w:spacing w:line="240" w:lineRule="exact"/>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建筑业</w:t>
            </w:r>
          </w:p>
        </w:tc>
        <w:tc>
          <w:tcPr>
            <w:tcW w:w="1369" w:type="dxa"/>
            <w:noWrap w:val="0"/>
            <w:vAlign w:val="center"/>
          </w:tcPr>
          <w:p w14:paraId="1C478D23">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营业收入(Y)</w:t>
            </w:r>
          </w:p>
        </w:tc>
        <w:tc>
          <w:tcPr>
            <w:tcW w:w="709" w:type="dxa"/>
            <w:noWrap w:val="0"/>
            <w:vAlign w:val="center"/>
          </w:tcPr>
          <w:p w14:paraId="60D28D66">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4DA45123">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Y≥80000</w:t>
            </w:r>
          </w:p>
        </w:tc>
        <w:tc>
          <w:tcPr>
            <w:tcW w:w="1701" w:type="dxa"/>
            <w:noWrap w:val="0"/>
            <w:vAlign w:val="center"/>
          </w:tcPr>
          <w:p w14:paraId="66C30C52">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6000≤Y＜80000</w:t>
            </w:r>
          </w:p>
        </w:tc>
        <w:tc>
          <w:tcPr>
            <w:tcW w:w="1426" w:type="dxa"/>
            <w:noWrap w:val="0"/>
            <w:vAlign w:val="center"/>
          </w:tcPr>
          <w:p w14:paraId="63949B33">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300≤Y＜6000</w:t>
            </w:r>
          </w:p>
        </w:tc>
        <w:tc>
          <w:tcPr>
            <w:tcW w:w="992" w:type="dxa"/>
            <w:noWrap w:val="0"/>
            <w:vAlign w:val="center"/>
          </w:tcPr>
          <w:p w14:paraId="67EFB90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Y＜300</w:t>
            </w:r>
          </w:p>
        </w:tc>
      </w:tr>
      <w:tr w14:paraId="5C6C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4B8C246">
            <w:pPr>
              <w:widowControl/>
              <w:jc w:val="left"/>
              <w:rPr>
                <w:color w:val="000000" w:themeColor="text1"/>
                <w:sz w:val="18"/>
                <w:szCs w:val="18"/>
                <w:highlight w:val="none"/>
                <w14:textFill>
                  <w14:solidFill>
                    <w14:schemeClr w14:val="tx1"/>
                  </w14:solidFill>
                </w14:textFill>
              </w:rPr>
            </w:pPr>
          </w:p>
        </w:tc>
        <w:tc>
          <w:tcPr>
            <w:tcW w:w="1369" w:type="dxa"/>
            <w:noWrap w:val="0"/>
            <w:vAlign w:val="center"/>
          </w:tcPr>
          <w:p w14:paraId="3BC8F7AA">
            <w:pPr>
              <w:widowControl/>
              <w:spacing w:line="240" w:lineRule="exact"/>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资产总额(Z)</w:t>
            </w:r>
          </w:p>
        </w:tc>
        <w:tc>
          <w:tcPr>
            <w:tcW w:w="709" w:type="dxa"/>
            <w:noWrap w:val="0"/>
            <w:vAlign w:val="center"/>
          </w:tcPr>
          <w:p w14:paraId="23E2FB7D">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5106909C">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Z≥80000</w:t>
            </w:r>
          </w:p>
        </w:tc>
        <w:tc>
          <w:tcPr>
            <w:tcW w:w="1701" w:type="dxa"/>
            <w:noWrap w:val="0"/>
            <w:vAlign w:val="center"/>
          </w:tcPr>
          <w:p w14:paraId="2AD2FE11">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5000≤Z＜80000</w:t>
            </w:r>
          </w:p>
        </w:tc>
        <w:tc>
          <w:tcPr>
            <w:tcW w:w="1426" w:type="dxa"/>
            <w:noWrap w:val="0"/>
            <w:vAlign w:val="center"/>
          </w:tcPr>
          <w:p w14:paraId="37913382">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300≤Z＜5000</w:t>
            </w:r>
          </w:p>
        </w:tc>
        <w:tc>
          <w:tcPr>
            <w:tcW w:w="992" w:type="dxa"/>
            <w:noWrap w:val="0"/>
            <w:vAlign w:val="center"/>
          </w:tcPr>
          <w:p w14:paraId="38AACABA">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Z＜300</w:t>
            </w:r>
          </w:p>
        </w:tc>
      </w:tr>
      <w:tr w14:paraId="68B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D5939D9">
            <w:pPr>
              <w:widowControl/>
              <w:spacing w:line="240" w:lineRule="exact"/>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批发业</w:t>
            </w:r>
          </w:p>
        </w:tc>
        <w:tc>
          <w:tcPr>
            <w:tcW w:w="1369" w:type="dxa"/>
            <w:noWrap w:val="0"/>
            <w:vAlign w:val="center"/>
          </w:tcPr>
          <w:p w14:paraId="1847EF28">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从业人员(X)</w:t>
            </w:r>
          </w:p>
        </w:tc>
        <w:tc>
          <w:tcPr>
            <w:tcW w:w="709" w:type="dxa"/>
            <w:noWrap w:val="0"/>
            <w:vAlign w:val="center"/>
          </w:tcPr>
          <w:p w14:paraId="6C97B302">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125" w:type="dxa"/>
            <w:noWrap w:val="0"/>
            <w:vAlign w:val="center"/>
          </w:tcPr>
          <w:p w14:paraId="4CD9E6C5">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X≥200</w:t>
            </w:r>
          </w:p>
        </w:tc>
        <w:tc>
          <w:tcPr>
            <w:tcW w:w="1701" w:type="dxa"/>
            <w:noWrap w:val="0"/>
            <w:vAlign w:val="center"/>
          </w:tcPr>
          <w:p w14:paraId="63286863">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20≤X＜200</w:t>
            </w:r>
          </w:p>
        </w:tc>
        <w:tc>
          <w:tcPr>
            <w:tcW w:w="1426" w:type="dxa"/>
            <w:noWrap w:val="0"/>
            <w:vAlign w:val="center"/>
          </w:tcPr>
          <w:p w14:paraId="5B39F361">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5≤X＜20</w:t>
            </w:r>
          </w:p>
        </w:tc>
        <w:tc>
          <w:tcPr>
            <w:tcW w:w="992" w:type="dxa"/>
            <w:noWrap w:val="0"/>
            <w:vAlign w:val="center"/>
          </w:tcPr>
          <w:p w14:paraId="1AC2BC4D">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X＜5</w:t>
            </w:r>
          </w:p>
        </w:tc>
      </w:tr>
      <w:tr w14:paraId="6268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A07E7B">
            <w:pPr>
              <w:widowControl/>
              <w:jc w:val="left"/>
              <w:rPr>
                <w:color w:val="000000" w:themeColor="text1"/>
                <w:sz w:val="18"/>
                <w:szCs w:val="18"/>
                <w:highlight w:val="none"/>
                <w14:textFill>
                  <w14:solidFill>
                    <w14:schemeClr w14:val="tx1"/>
                  </w14:solidFill>
                </w14:textFill>
              </w:rPr>
            </w:pPr>
          </w:p>
        </w:tc>
        <w:tc>
          <w:tcPr>
            <w:tcW w:w="1369" w:type="dxa"/>
            <w:noWrap w:val="0"/>
            <w:vAlign w:val="center"/>
          </w:tcPr>
          <w:p w14:paraId="5D9AD0D5">
            <w:pPr>
              <w:widowControl/>
              <w:spacing w:line="240" w:lineRule="exact"/>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营业收入(Y)</w:t>
            </w:r>
          </w:p>
        </w:tc>
        <w:tc>
          <w:tcPr>
            <w:tcW w:w="709" w:type="dxa"/>
            <w:noWrap w:val="0"/>
            <w:vAlign w:val="center"/>
          </w:tcPr>
          <w:p w14:paraId="6CE7B8B4">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312C3DBB">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Y≥40000</w:t>
            </w:r>
          </w:p>
        </w:tc>
        <w:tc>
          <w:tcPr>
            <w:tcW w:w="1701" w:type="dxa"/>
            <w:noWrap w:val="0"/>
            <w:vAlign w:val="center"/>
          </w:tcPr>
          <w:p w14:paraId="2B7F86BD">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5000≤Y＜40000</w:t>
            </w:r>
          </w:p>
        </w:tc>
        <w:tc>
          <w:tcPr>
            <w:tcW w:w="1426" w:type="dxa"/>
            <w:noWrap w:val="0"/>
            <w:vAlign w:val="center"/>
          </w:tcPr>
          <w:p w14:paraId="75AF347A">
            <w:pPr>
              <w:widowControl/>
              <w:ind w:left="-1" w:hanging="1"/>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1000≤Y＜5000</w:t>
            </w:r>
          </w:p>
        </w:tc>
        <w:tc>
          <w:tcPr>
            <w:tcW w:w="992" w:type="dxa"/>
            <w:noWrap w:val="0"/>
            <w:vAlign w:val="center"/>
          </w:tcPr>
          <w:p w14:paraId="53CEEF5F">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Y＜1000</w:t>
            </w:r>
          </w:p>
        </w:tc>
      </w:tr>
      <w:tr w14:paraId="54A9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B32DCA3">
            <w:pPr>
              <w:widowControl/>
              <w:spacing w:line="240" w:lineRule="exact"/>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零售业</w:t>
            </w:r>
          </w:p>
        </w:tc>
        <w:tc>
          <w:tcPr>
            <w:tcW w:w="1369" w:type="dxa"/>
            <w:noWrap w:val="0"/>
            <w:vAlign w:val="center"/>
          </w:tcPr>
          <w:p w14:paraId="46DBDB57">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从业人员(X)</w:t>
            </w:r>
          </w:p>
        </w:tc>
        <w:tc>
          <w:tcPr>
            <w:tcW w:w="709" w:type="dxa"/>
            <w:noWrap w:val="0"/>
            <w:vAlign w:val="center"/>
          </w:tcPr>
          <w:p w14:paraId="40FBD5D2">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125" w:type="dxa"/>
            <w:noWrap w:val="0"/>
            <w:vAlign w:val="center"/>
          </w:tcPr>
          <w:p w14:paraId="7F18718A">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X≥300</w:t>
            </w:r>
          </w:p>
        </w:tc>
        <w:tc>
          <w:tcPr>
            <w:tcW w:w="1701" w:type="dxa"/>
            <w:noWrap w:val="0"/>
            <w:vAlign w:val="center"/>
          </w:tcPr>
          <w:p w14:paraId="5705B77B">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50≤X＜300</w:t>
            </w:r>
          </w:p>
        </w:tc>
        <w:tc>
          <w:tcPr>
            <w:tcW w:w="1426" w:type="dxa"/>
            <w:noWrap w:val="0"/>
            <w:vAlign w:val="center"/>
          </w:tcPr>
          <w:p w14:paraId="0A8AC52B">
            <w:pPr>
              <w:widowControl/>
              <w:ind w:left="-1" w:hanging="1"/>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10≤X＜50 </w:t>
            </w:r>
          </w:p>
        </w:tc>
        <w:tc>
          <w:tcPr>
            <w:tcW w:w="992" w:type="dxa"/>
            <w:noWrap w:val="0"/>
            <w:vAlign w:val="center"/>
          </w:tcPr>
          <w:p w14:paraId="57D20DB1">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X＜10</w:t>
            </w:r>
          </w:p>
        </w:tc>
      </w:tr>
      <w:tr w14:paraId="190C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36E771C">
            <w:pPr>
              <w:widowControl/>
              <w:jc w:val="left"/>
              <w:rPr>
                <w:color w:val="000000" w:themeColor="text1"/>
                <w:sz w:val="18"/>
                <w:szCs w:val="18"/>
                <w:highlight w:val="none"/>
                <w14:textFill>
                  <w14:solidFill>
                    <w14:schemeClr w14:val="tx1"/>
                  </w14:solidFill>
                </w14:textFill>
              </w:rPr>
            </w:pPr>
          </w:p>
        </w:tc>
        <w:tc>
          <w:tcPr>
            <w:tcW w:w="1369" w:type="dxa"/>
            <w:noWrap w:val="0"/>
            <w:vAlign w:val="center"/>
          </w:tcPr>
          <w:p w14:paraId="62BAF46C">
            <w:pPr>
              <w:widowControl/>
              <w:spacing w:line="240" w:lineRule="exact"/>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营业收入(Y)</w:t>
            </w:r>
          </w:p>
        </w:tc>
        <w:tc>
          <w:tcPr>
            <w:tcW w:w="709" w:type="dxa"/>
            <w:noWrap w:val="0"/>
            <w:vAlign w:val="center"/>
          </w:tcPr>
          <w:p w14:paraId="0A179B90">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7AA0613B">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Y≥20000</w:t>
            </w:r>
          </w:p>
        </w:tc>
        <w:tc>
          <w:tcPr>
            <w:tcW w:w="1701" w:type="dxa"/>
            <w:noWrap w:val="0"/>
            <w:vAlign w:val="center"/>
          </w:tcPr>
          <w:p w14:paraId="2FD7A332">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500≤Y＜20000</w:t>
            </w:r>
          </w:p>
        </w:tc>
        <w:tc>
          <w:tcPr>
            <w:tcW w:w="1426" w:type="dxa"/>
            <w:noWrap w:val="0"/>
            <w:vAlign w:val="center"/>
          </w:tcPr>
          <w:p w14:paraId="243C44C9">
            <w:pPr>
              <w:widowControl/>
              <w:ind w:left="-1" w:hanging="1"/>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100≤Y＜500</w:t>
            </w:r>
          </w:p>
        </w:tc>
        <w:tc>
          <w:tcPr>
            <w:tcW w:w="992" w:type="dxa"/>
            <w:noWrap w:val="0"/>
            <w:vAlign w:val="center"/>
          </w:tcPr>
          <w:p w14:paraId="0C7FB10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Y＜100</w:t>
            </w:r>
          </w:p>
        </w:tc>
      </w:tr>
      <w:tr w14:paraId="70AC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6DC1AE">
            <w:pPr>
              <w:widowControl/>
              <w:spacing w:line="240" w:lineRule="exact"/>
              <w:jc w:val="left"/>
              <w:rPr>
                <w:rFonts w:hint="eastAsia"/>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交通运输业</w:t>
            </w:r>
            <w:r>
              <w:rPr>
                <w:rFonts w:hint="eastAsia" w:ascii="宋体" w:hAnsi="宋体" w:cs="宋体"/>
                <w:color w:val="000000" w:themeColor="text1"/>
                <w:sz w:val="18"/>
                <w:szCs w:val="18"/>
                <w:highlight w:val="none"/>
                <w14:textFill>
                  <w14:solidFill>
                    <w14:schemeClr w14:val="tx1"/>
                  </w14:solidFill>
                </w14:textFill>
              </w:rPr>
              <w:t>※</w:t>
            </w:r>
          </w:p>
        </w:tc>
        <w:tc>
          <w:tcPr>
            <w:tcW w:w="1369" w:type="dxa"/>
            <w:noWrap w:val="0"/>
            <w:vAlign w:val="center"/>
          </w:tcPr>
          <w:p w14:paraId="5D860132">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从业人员(X)</w:t>
            </w:r>
          </w:p>
        </w:tc>
        <w:tc>
          <w:tcPr>
            <w:tcW w:w="709" w:type="dxa"/>
            <w:noWrap w:val="0"/>
            <w:vAlign w:val="center"/>
          </w:tcPr>
          <w:p w14:paraId="2E5744D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125" w:type="dxa"/>
            <w:noWrap w:val="0"/>
            <w:vAlign w:val="center"/>
          </w:tcPr>
          <w:p w14:paraId="13361F98">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X≥1000</w:t>
            </w:r>
          </w:p>
        </w:tc>
        <w:tc>
          <w:tcPr>
            <w:tcW w:w="1701" w:type="dxa"/>
            <w:noWrap w:val="0"/>
            <w:vAlign w:val="center"/>
          </w:tcPr>
          <w:p w14:paraId="75BF4C05">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300≤X＜1000</w:t>
            </w:r>
          </w:p>
        </w:tc>
        <w:tc>
          <w:tcPr>
            <w:tcW w:w="1426" w:type="dxa"/>
            <w:noWrap w:val="0"/>
            <w:vAlign w:val="center"/>
          </w:tcPr>
          <w:p w14:paraId="690C2926">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20≤X＜300</w:t>
            </w:r>
          </w:p>
        </w:tc>
        <w:tc>
          <w:tcPr>
            <w:tcW w:w="992" w:type="dxa"/>
            <w:noWrap w:val="0"/>
            <w:vAlign w:val="center"/>
          </w:tcPr>
          <w:p w14:paraId="30BACF74">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X＜20</w:t>
            </w:r>
          </w:p>
        </w:tc>
      </w:tr>
      <w:tr w14:paraId="6650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A6FDA5C">
            <w:pPr>
              <w:widowControl/>
              <w:jc w:val="left"/>
              <w:rPr>
                <w:color w:val="000000" w:themeColor="text1"/>
                <w:sz w:val="18"/>
                <w:szCs w:val="18"/>
                <w:highlight w:val="none"/>
                <w14:textFill>
                  <w14:solidFill>
                    <w14:schemeClr w14:val="tx1"/>
                  </w14:solidFill>
                </w14:textFill>
              </w:rPr>
            </w:pPr>
          </w:p>
        </w:tc>
        <w:tc>
          <w:tcPr>
            <w:tcW w:w="1369" w:type="dxa"/>
            <w:noWrap w:val="0"/>
            <w:vAlign w:val="center"/>
          </w:tcPr>
          <w:p w14:paraId="25720174">
            <w:pPr>
              <w:widowControl/>
              <w:spacing w:line="240" w:lineRule="exact"/>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营业收入(Y)</w:t>
            </w:r>
          </w:p>
        </w:tc>
        <w:tc>
          <w:tcPr>
            <w:tcW w:w="709" w:type="dxa"/>
            <w:noWrap w:val="0"/>
            <w:vAlign w:val="center"/>
          </w:tcPr>
          <w:p w14:paraId="2E7C1114">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433A309C">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Y≥30000</w:t>
            </w:r>
          </w:p>
        </w:tc>
        <w:tc>
          <w:tcPr>
            <w:tcW w:w="1701" w:type="dxa"/>
            <w:noWrap w:val="0"/>
            <w:vAlign w:val="center"/>
          </w:tcPr>
          <w:p w14:paraId="0B2BBC11">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3000≤Y＜30000</w:t>
            </w:r>
          </w:p>
        </w:tc>
        <w:tc>
          <w:tcPr>
            <w:tcW w:w="1426" w:type="dxa"/>
            <w:noWrap w:val="0"/>
            <w:vAlign w:val="center"/>
          </w:tcPr>
          <w:p w14:paraId="2375A764">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200≤Y＜3000</w:t>
            </w:r>
          </w:p>
        </w:tc>
        <w:tc>
          <w:tcPr>
            <w:tcW w:w="992" w:type="dxa"/>
            <w:noWrap w:val="0"/>
            <w:vAlign w:val="center"/>
          </w:tcPr>
          <w:p w14:paraId="6B836458">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Y＜200</w:t>
            </w:r>
          </w:p>
        </w:tc>
      </w:tr>
      <w:tr w14:paraId="364B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49AB201">
            <w:pPr>
              <w:widowControl/>
              <w:spacing w:line="240" w:lineRule="exact"/>
              <w:jc w:val="left"/>
              <w:rPr>
                <w:rFonts w:hint="eastAsia"/>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仓储业</w:t>
            </w:r>
            <w:r>
              <w:rPr>
                <w:rFonts w:hint="eastAsia" w:ascii="宋体" w:hAnsi="宋体" w:cs="宋体"/>
                <w:color w:val="000000" w:themeColor="text1"/>
                <w:sz w:val="18"/>
                <w:szCs w:val="18"/>
                <w:highlight w:val="none"/>
                <w14:textFill>
                  <w14:solidFill>
                    <w14:schemeClr w14:val="tx1"/>
                  </w14:solidFill>
                </w14:textFill>
              </w:rPr>
              <w:t>※</w:t>
            </w:r>
          </w:p>
        </w:tc>
        <w:tc>
          <w:tcPr>
            <w:tcW w:w="1369" w:type="dxa"/>
            <w:noWrap w:val="0"/>
            <w:vAlign w:val="center"/>
          </w:tcPr>
          <w:p w14:paraId="57A698FC">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从业人员(X)</w:t>
            </w:r>
          </w:p>
        </w:tc>
        <w:tc>
          <w:tcPr>
            <w:tcW w:w="709" w:type="dxa"/>
            <w:noWrap w:val="0"/>
            <w:vAlign w:val="center"/>
          </w:tcPr>
          <w:p w14:paraId="3074C15A">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125" w:type="dxa"/>
            <w:noWrap w:val="0"/>
            <w:vAlign w:val="center"/>
          </w:tcPr>
          <w:p w14:paraId="669A964D">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X≥200</w:t>
            </w:r>
          </w:p>
        </w:tc>
        <w:tc>
          <w:tcPr>
            <w:tcW w:w="1701" w:type="dxa"/>
            <w:noWrap w:val="0"/>
            <w:vAlign w:val="center"/>
          </w:tcPr>
          <w:p w14:paraId="347B059E">
            <w:pPr>
              <w:widowControl/>
              <w:ind w:left="1" w:hanging="108"/>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100≤X＜200</w:t>
            </w:r>
          </w:p>
        </w:tc>
        <w:tc>
          <w:tcPr>
            <w:tcW w:w="1426" w:type="dxa"/>
            <w:noWrap w:val="0"/>
            <w:vAlign w:val="center"/>
          </w:tcPr>
          <w:p w14:paraId="070C9DC7">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20≤X＜100</w:t>
            </w:r>
          </w:p>
        </w:tc>
        <w:tc>
          <w:tcPr>
            <w:tcW w:w="992" w:type="dxa"/>
            <w:noWrap w:val="0"/>
            <w:vAlign w:val="center"/>
          </w:tcPr>
          <w:p w14:paraId="628F1A3D">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X＜20</w:t>
            </w:r>
          </w:p>
        </w:tc>
      </w:tr>
      <w:tr w14:paraId="7DDA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E7387C3">
            <w:pPr>
              <w:widowControl/>
              <w:jc w:val="left"/>
              <w:rPr>
                <w:color w:val="000000" w:themeColor="text1"/>
                <w:sz w:val="18"/>
                <w:szCs w:val="18"/>
                <w:highlight w:val="none"/>
                <w14:textFill>
                  <w14:solidFill>
                    <w14:schemeClr w14:val="tx1"/>
                  </w14:solidFill>
                </w14:textFill>
              </w:rPr>
            </w:pPr>
          </w:p>
        </w:tc>
        <w:tc>
          <w:tcPr>
            <w:tcW w:w="1369" w:type="dxa"/>
            <w:noWrap w:val="0"/>
            <w:vAlign w:val="center"/>
          </w:tcPr>
          <w:p w14:paraId="6B0A9413">
            <w:pPr>
              <w:widowControl/>
              <w:spacing w:line="240" w:lineRule="exact"/>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营业收入(Y)</w:t>
            </w:r>
          </w:p>
        </w:tc>
        <w:tc>
          <w:tcPr>
            <w:tcW w:w="709" w:type="dxa"/>
            <w:noWrap w:val="0"/>
            <w:vAlign w:val="center"/>
          </w:tcPr>
          <w:p w14:paraId="482A53D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1215B665">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Y≥30000</w:t>
            </w:r>
          </w:p>
        </w:tc>
        <w:tc>
          <w:tcPr>
            <w:tcW w:w="1701" w:type="dxa"/>
            <w:noWrap w:val="0"/>
            <w:vAlign w:val="center"/>
          </w:tcPr>
          <w:p w14:paraId="641B8E47">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1000≤Y＜30000</w:t>
            </w:r>
          </w:p>
        </w:tc>
        <w:tc>
          <w:tcPr>
            <w:tcW w:w="1426" w:type="dxa"/>
            <w:noWrap w:val="0"/>
            <w:vAlign w:val="center"/>
          </w:tcPr>
          <w:p w14:paraId="6C5AAE1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100≤Y＜1000</w:t>
            </w:r>
          </w:p>
        </w:tc>
        <w:tc>
          <w:tcPr>
            <w:tcW w:w="992" w:type="dxa"/>
            <w:noWrap w:val="0"/>
            <w:vAlign w:val="center"/>
          </w:tcPr>
          <w:p w14:paraId="7AEC3565">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Y＜100</w:t>
            </w:r>
          </w:p>
        </w:tc>
      </w:tr>
      <w:tr w14:paraId="1DEE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B92E393">
            <w:pPr>
              <w:widowControl/>
              <w:spacing w:line="240" w:lineRule="exact"/>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邮政业</w:t>
            </w:r>
          </w:p>
        </w:tc>
        <w:tc>
          <w:tcPr>
            <w:tcW w:w="1369" w:type="dxa"/>
            <w:noWrap w:val="0"/>
            <w:vAlign w:val="center"/>
          </w:tcPr>
          <w:p w14:paraId="60AFE7FF">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从业人员(X)</w:t>
            </w:r>
          </w:p>
        </w:tc>
        <w:tc>
          <w:tcPr>
            <w:tcW w:w="709" w:type="dxa"/>
            <w:noWrap w:val="0"/>
            <w:vAlign w:val="center"/>
          </w:tcPr>
          <w:p w14:paraId="377B01CC">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125" w:type="dxa"/>
            <w:noWrap w:val="0"/>
            <w:vAlign w:val="center"/>
          </w:tcPr>
          <w:p w14:paraId="07A1DA0D">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X≥1000</w:t>
            </w:r>
          </w:p>
        </w:tc>
        <w:tc>
          <w:tcPr>
            <w:tcW w:w="1701" w:type="dxa"/>
            <w:noWrap w:val="0"/>
            <w:vAlign w:val="center"/>
          </w:tcPr>
          <w:p w14:paraId="23739FD7">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300≤X＜1000</w:t>
            </w:r>
          </w:p>
        </w:tc>
        <w:tc>
          <w:tcPr>
            <w:tcW w:w="1426" w:type="dxa"/>
            <w:noWrap w:val="0"/>
            <w:vAlign w:val="center"/>
          </w:tcPr>
          <w:p w14:paraId="0B9D5E1B">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20≤X＜300</w:t>
            </w:r>
          </w:p>
        </w:tc>
        <w:tc>
          <w:tcPr>
            <w:tcW w:w="992" w:type="dxa"/>
            <w:noWrap w:val="0"/>
            <w:vAlign w:val="center"/>
          </w:tcPr>
          <w:p w14:paraId="66E8E09C">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X＜20</w:t>
            </w:r>
          </w:p>
        </w:tc>
      </w:tr>
      <w:tr w14:paraId="327A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B1B326D">
            <w:pPr>
              <w:widowControl/>
              <w:jc w:val="left"/>
              <w:rPr>
                <w:color w:val="000000" w:themeColor="text1"/>
                <w:sz w:val="18"/>
                <w:szCs w:val="18"/>
                <w:highlight w:val="none"/>
                <w14:textFill>
                  <w14:solidFill>
                    <w14:schemeClr w14:val="tx1"/>
                  </w14:solidFill>
                </w14:textFill>
              </w:rPr>
            </w:pPr>
          </w:p>
        </w:tc>
        <w:tc>
          <w:tcPr>
            <w:tcW w:w="1369" w:type="dxa"/>
            <w:noWrap w:val="0"/>
            <w:vAlign w:val="center"/>
          </w:tcPr>
          <w:p w14:paraId="254B3761">
            <w:pPr>
              <w:widowControl/>
              <w:spacing w:line="240" w:lineRule="exact"/>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营业收入(Y)</w:t>
            </w:r>
          </w:p>
        </w:tc>
        <w:tc>
          <w:tcPr>
            <w:tcW w:w="709" w:type="dxa"/>
            <w:noWrap w:val="0"/>
            <w:vAlign w:val="center"/>
          </w:tcPr>
          <w:p w14:paraId="43FCDB4A">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5E809B8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Y≥30000</w:t>
            </w:r>
          </w:p>
        </w:tc>
        <w:tc>
          <w:tcPr>
            <w:tcW w:w="1701" w:type="dxa"/>
            <w:noWrap w:val="0"/>
            <w:vAlign w:val="center"/>
          </w:tcPr>
          <w:p w14:paraId="3719CA07">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2000≤Y＜30000</w:t>
            </w:r>
          </w:p>
        </w:tc>
        <w:tc>
          <w:tcPr>
            <w:tcW w:w="1426" w:type="dxa"/>
            <w:noWrap w:val="0"/>
            <w:vAlign w:val="center"/>
          </w:tcPr>
          <w:p w14:paraId="6596C008">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100≤Y＜2000</w:t>
            </w:r>
          </w:p>
        </w:tc>
        <w:tc>
          <w:tcPr>
            <w:tcW w:w="992" w:type="dxa"/>
            <w:noWrap w:val="0"/>
            <w:vAlign w:val="center"/>
          </w:tcPr>
          <w:p w14:paraId="7B73DE4D">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Y＜100</w:t>
            </w:r>
          </w:p>
        </w:tc>
      </w:tr>
      <w:tr w14:paraId="2E0D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EF1768E">
            <w:pPr>
              <w:widowControl/>
              <w:spacing w:line="240" w:lineRule="exact"/>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住宿业</w:t>
            </w:r>
          </w:p>
        </w:tc>
        <w:tc>
          <w:tcPr>
            <w:tcW w:w="1369" w:type="dxa"/>
            <w:noWrap w:val="0"/>
            <w:vAlign w:val="center"/>
          </w:tcPr>
          <w:p w14:paraId="2890E6CD">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从业人员(X)</w:t>
            </w:r>
          </w:p>
        </w:tc>
        <w:tc>
          <w:tcPr>
            <w:tcW w:w="709" w:type="dxa"/>
            <w:noWrap w:val="0"/>
            <w:vAlign w:val="center"/>
          </w:tcPr>
          <w:p w14:paraId="767AEE94">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125" w:type="dxa"/>
            <w:noWrap w:val="0"/>
            <w:vAlign w:val="center"/>
          </w:tcPr>
          <w:p w14:paraId="7E2496B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X≥300</w:t>
            </w:r>
          </w:p>
        </w:tc>
        <w:tc>
          <w:tcPr>
            <w:tcW w:w="1701" w:type="dxa"/>
            <w:noWrap w:val="0"/>
            <w:vAlign w:val="center"/>
          </w:tcPr>
          <w:p w14:paraId="64DB8DB1">
            <w:pPr>
              <w:widowControl/>
              <w:ind w:left="1" w:hanging="108"/>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100≤X＜300</w:t>
            </w:r>
          </w:p>
        </w:tc>
        <w:tc>
          <w:tcPr>
            <w:tcW w:w="1426" w:type="dxa"/>
            <w:noWrap w:val="0"/>
            <w:vAlign w:val="center"/>
          </w:tcPr>
          <w:p w14:paraId="362F83FA">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10≤X＜100</w:t>
            </w:r>
          </w:p>
        </w:tc>
        <w:tc>
          <w:tcPr>
            <w:tcW w:w="992" w:type="dxa"/>
            <w:noWrap w:val="0"/>
            <w:vAlign w:val="center"/>
          </w:tcPr>
          <w:p w14:paraId="3226FF9C">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X＜10</w:t>
            </w:r>
          </w:p>
        </w:tc>
      </w:tr>
      <w:tr w14:paraId="4413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E332F43">
            <w:pPr>
              <w:widowControl/>
              <w:jc w:val="left"/>
              <w:rPr>
                <w:color w:val="000000" w:themeColor="text1"/>
                <w:sz w:val="18"/>
                <w:szCs w:val="18"/>
                <w:highlight w:val="none"/>
                <w14:textFill>
                  <w14:solidFill>
                    <w14:schemeClr w14:val="tx1"/>
                  </w14:solidFill>
                </w14:textFill>
              </w:rPr>
            </w:pPr>
          </w:p>
        </w:tc>
        <w:tc>
          <w:tcPr>
            <w:tcW w:w="1369" w:type="dxa"/>
            <w:noWrap w:val="0"/>
            <w:vAlign w:val="center"/>
          </w:tcPr>
          <w:p w14:paraId="6D656E74">
            <w:pPr>
              <w:widowControl/>
              <w:spacing w:line="240" w:lineRule="exact"/>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营业收入(Y)</w:t>
            </w:r>
          </w:p>
        </w:tc>
        <w:tc>
          <w:tcPr>
            <w:tcW w:w="709" w:type="dxa"/>
            <w:noWrap w:val="0"/>
            <w:vAlign w:val="center"/>
          </w:tcPr>
          <w:p w14:paraId="15295D14">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72E443ED">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Y≥10000</w:t>
            </w:r>
          </w:p>
        </w:tc>
        <w:tc>
          <w:tcPr>
            <w:tcW w:w="1701" w:type="dxa"/>
            <w:noWrap w:val="0"/>
            <w:vAlign w:val="center"/>
          </w:tcPr>
          <w:p w14:paraId="64CD4A8B">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2000≤Y＜10000</w:t>
            </w:r>
          </w:p>
        </w:tc>
        <w:tc>
          <w:tcPr>
            <w:tcW w:w="1426" w:type="dxa"/>
            <w:noWrap w:val="0"/>
            <w:vAlign w:val="center"/>
          </w:tcPr>
          <w:p w14:paraId="62C1FB12">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100≤Y＜2000</w:t>
            </w:r>
          </w:p>
        </w:tc>
        <w:tc>
          <w:tcPr>
            <w:tcW w:w="992" w:type="dxa"/>
            <w:noWrap w:val="0"/>
            <w:vAlign w:val="center"/>
          </w:tcPr>
          <w:p w14:paraId="440EC45C">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Y＜100</w:t>
            </w:r>
          </w:p>
        </w:tc>
      </w:tr>
      <w:tr w14:paraId="28EE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00975D8">
            <w:pPr>
              <w:widowControl/>
              <w:spacing w:line="240" w:lineRule="exact"/>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餐饮业</w:t>
            </w:r>
          </w:p>
        </w:tc>
        <w:tc>
          <w:tcPr>
            <w:tcW w:w="1369" w:type="dxa"/>
            <w:noWrap w:val="0"/>
            <w:vAlign w:val="center"/>
          </w:tcPr>
          <w:p w14:paraId="524905CB">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从业人员(X)</w:t>
            </w:r>
          </w:p>
        </w:tc>
        <w:tc>
          <w:tcPr>
            <w:tcW w:w="709" w:type="dxa"/>
            <w:noWrap w:val="0"/>
            <w:vAlign w:val="center"/>
          </w:tcPr>
          <w:p w14:paraId="300D4C1A">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125" w:type="dxa"/>
            <w:noWrap w:val="0"/>
            <w:vAlign w:val="center"/>
          </w:tcPr>
          <w:p w14:paraId="2C846FB5">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X≥300</w:t>
            </w:r>
          </w:p>
        </w:tc>
        <w:tc>
          <w:tcPr>
            <w:tcW w:w="1701" w:type="dxa"/>
            <w:noWrap w:val="0"/>
            <w:vAlign w:val="center"/>
          </w:tcPr>
          <w:p w14:paraId="5C88679E">
            <w:pPr>
              <w:widowControl/>
              <w:ind w:left="1" w:hanging="108"/>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100≤X＜300 </w:t>
            </w:r>
          </w:p>
        </w:tc>
        <w:tc>
          <w:tcPr>
            <w:tcW w:w="1426" w:type="dxa"/>
            <w:noWrap w:val="0"/>
            <w:vAlign w:val="center"/>
          </w:tcPr>
          <w:p w14:paraId="3AD8F9E5">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10≤X＜100</w:t>
            </w:r>
          </w:p>
        </w:tc>
        <w:tc>
          <w:tcPr>
            <w:tcW w:w="992" w:type="dxa"/>
            <w:noWrap w:val="0"/>
            <w:vAlign w:val="center"/>
          </w:tcPr>
          <w:p w14:paraId="2954C9E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X＜10</w:t>
            </w:r>
          </w:p>
        </w:tc>
      </w:tr>
      <w:tr w14:paraId="74A9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7AE2E6">
            <w:pPr>
              <w:widowControl/>
              <w:jc w:val="left"/>
              <w:rPr>
                <w:color w:val="000000" w:themeColor="text1"/>
                <w:sz w:val="18"/>
                <w:szCs w:val="18"/>
                <w:highlight w:val="none"/>
                <w14:textFill>
                  <w14:solidFill>
                    <w14:schemeClr w14:val="tx1"/>
                  </w14:solidFill>
                </w14:textFill>
              </w:rPr>
            </w:pPr>
          </w:p>
        </w:tc>
        <w:tc>
          <w:tcPr>
            <w:tcW w:w="1369" w:type="dxa"/>
            <w:noWrap w:val="0"/>
            <w:vAlign w:val="center"/>
          </w:tcPr>
          <w:p w14:paraId="20A8A922">
            <w:pPr>
              <w:widowControl/>
              <w:spacing w:line="240" w:lineRule="exact"/>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营业收入(Y)</w:t>
            </w:r>
          </w:p>
        </w:tc>
        <w:tc>
          <w:tcPr>
            <w:tcW w:w="709" w:type="dxa"/>
            <w:noWrap w:val="0"/>
            <w:vAlign w:val="center"/>
          </w:tcPr>
          <w:p w14:paraId="7042596B">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61D588AB">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Y≥10000</w:t>
            </w:r>
          </w:p>
        </w:tc>
        <w:tc>
          <w:tcPr>
            <w:tcW w:w="1701" w:type="dxa"/>
            <w:noWrap w:val="0"/>
            <w:vAlign w:val="center"/>
          </w:tcPr>
          <w:p w14:paraId="36669026">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2000≤Y＜10000</w:t>
            </w:r>
          </w:p>
        </w:tc>
        <w:tc>
          <w:tcPr>
            <w:tcW w:w="1426" w:type="dxa"/>
            <w:noWrap w:val="0"/>
            <w:vAlign w:val="center"/>
          </w:tcPr>
          <w:p w14:paraId="7FEF0FE8">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100≤Y＜2000</w:t>
            </w:r>
          </w:p>
        </w:tc>
        <w:tc>
          <w:tcPr>
            <w:tcW w:w="992" w:type="dxa"/>
            <w:noWrap w:val="0"/>
            <w:vAlign w:val="center"/>
          </w:tcPr>
          <w:p w14:paraId="22C25E1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Y＜100</w:t>
            </w:r>
          </w:p>
        </w:tc>
      </w:tr>
      <w:tr w14:paraId="03FA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25650FE">
            <w:pPr>
              <w:widowControl/>
              <w:spacing w:line="240" w:lineRule="exact"/>
              <w:jc w:val="left"/>
              <w:rPr>
                <w:rFonts w:hint="eastAsia"/>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信息传输业</w:t>
            </w:r>
            <w:r>
              <w:rPr>
                <w:rFonts w:hint="eastAsia" w:ascii="宋体" w:hAnsi="宋体" w:cs="宋体"/>
                <w:color w:val="000000" w:themeColor="text1"/>
                <w:sz w:val="18"/>
                <w:szCs w:val="18"/>
                <w:highlight w:val="none"/>
                <w14:textFill>
                  <w14:solidFill>
                    <w14:schemeClr w14:val="tx1"/>
                  </w14:solidFill>
                </w14:textFill>
              </w:rPr>
              <w:t>※</w:t>
            </w:r>
          </w:p>
        </w:tc>
        <w:tc>
          <w:tcPr>
            <w:tcW w:w="1369" w:type="dxa"/>
            <w:noWrap w:val="0"/>
            <w:vAlign w:val="center"/>
          </w:tcPr>
          <w:p w14:paraId="502AF228">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从业人员(X)</w:t>
            </w:r>
          </w:p>
        </w:tc>
        <w:tc>
          <w:tcPr>
            <w:tcW w:w="709" w:type="dxa"/>
            <w:noWrap w:val="0"/>
            <w:vAlign w:val="center"/>
          </w:tcPr>
          <w:p w14:paraId="3C8D0FAF">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125" w:type="dxa"/>
            <w:noWrap w:val="0"/>
            <w:vAlign w:val="center"/>
          </w:tcPr>
          <w:p w14:paraId="08ECAB10">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X≥2000</w:t>
            </w:r>
          </w:p>
        </w:tc>
        <w:tc>
          <w:tcPr>
            <w:tcW w:w="1701" w:type="dxa"/>
            <w:noWrap w:val="0"/>
            <w:vAlign w:val="center"/>
          </w:tcPr>
          <w:p w14:paraId="5E902AD4">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100≤X＜2000</w:t>
            </w:r>
          </w:p>
        </w:tc>
        <w:tc>
          <w:tcPr>
            <w:tcW w:w="1426" w:type="dxa"/>
            <w:noWrap w:val="0"/>
            <w:vAlign w:val="center"/>
          </w:tcPr>
          <w:p w14:paraId="0E03B943">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10≤X＜100</w:t>
            </w:r>
          </w:p>
        </w:tc>
        <w:tc>
          <w:tcPr>
            <w:tcW w:w="992" w:type="dxa"/>
            <w:noWrap w:val="0"/>
            <w:vAlign w:val="center"/>
          </w:tcPr>
          <w:p w14:paraId="443B2AA7">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X＜10</w:t>
            </w:r>
          </w:p>
        </w:tc>
      </w:tr>
      <w:tr w14:paraId="1320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0CE9F32">
            <w:pPr>
              <w:widowControl/>
              <w:jc w:val="left"/>
              <w:rPr>
                <w:color w:val="000000" w:themeColor="text1"/>
                <w:sz w:val="18"/>
                <w:szCs w:val="18"/>
                <w:highlight w:val="none"/>
                <w14:textFill>
                  <w14:solidFill>
                    <w14:schemeClr w14:val="tx1"/>
                  </w14:solidFill>
                </w14:textFill>
              </w:rPr>
            </w:pPr>
          </w:p>
        </w:tc>
        <w:tc>
          <w:tcPr>
            <w:tcW w:w="1369" w:type="dxa"/>
            <w:noWrap w:val="0"/>
            <w:vAlign w:val="center"/>
          </w:tcPr>
          <w:p w14:paraId="42E4C2D0">
            <w:pPr>
              <w:widowControl/>
              <w:spacing w:line="240" w:lineRule="exact"/>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营业收入(Y)</w:t>
            </w:r>
          </w:p>
        </w:tc>
        <w:tc>
          <w:tcPr>
            <w:tcW w:w="709" w:type="dxa"/>
            <w:noWrap w:val="0"/>
            <w:vAlign w:val="center"/>
          </w:tcPr>
          <w:p w14:paraId="74121E88">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6F0B2975">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Y≥100000</w:t>
            </w:r>
          </w:p>
        </w:tc>
        <w:tc>
          <w:tcPr>
            <w:tcW w:w="1701" w:type="dxa"/>
            <w:noWrap w:val="0"/>
            <w:vAlign w:val="center"/>
          </w:tcPr>
          <w:p w14:paraId="52AB70E0">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1000≤Y＜100000</w:t>
            </w:r>
          </w:p>
        </w:tc>
        <w:tc>
          <w:tcPr>
            <w:tcW w:w="1426" w:type="dxa"/>
            <w:noWrap w:val="0"/>
            <w:vAlign w:val="center"/>
          </w:tcPr>
          <w:p w14:paraId="0B639D41">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100≤Y＜1000</w:t>
            </w:r>
          </w:p>
        </w:tc>
        <w:tc>
          <w:tcPr>
            <w:tcW w:w="992" w:type="dxa"/>
            <w:noWrap w:val="0"/>
            <w:vAlign w:val="center"/>
          </w:tcPr>
          <w:p w14:paraId="6E6338B9">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Y＜100</w:t>
            </w:r>
          </w:p>
        </w:tc>
      </w:tr>
      <w:tr w14:paraId="55C7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4D469F7">
            <w:pPr>
              <w:widowControl/>
              <w:spacing w:line="240" w:lineRule="exact"/>
              <w:jc w:val="left"/>
              <w:rPr>
                <w:color w:val="000000" w:themeColor="text1"/>
                <w:spacing w:val="-12"/>
                <w:sz w:val="18"/>
                <w:szCs w:val="18"/>
                <w:highlight w:val="none"/>
                <w14:textFill>
                  <w14:solidFill>
                    <w14:schemeClr w14:val="tx1"/>
                  </w14:solidFill>
                </w14:textFill>
              </w:rPr>
            </w:pPr>
            <w:r>
              <w:rPr>
                <w:color w:val="000000" w:themeColor="text1"/>
                <w:spacing w:val="-12"/>
                <w:sz w:val="18"/>
                <w:szCs w:val="18"/>
                <w:highlight w:val="none"/>
                <w14:textFill>
                  <w14:solidFill>
                    <w14:schemeClr w14:val="tx1"/>
                  </w14:solidFill>
                </w14:textFill>
              </w:rPr>
              <w:t>软件和信息技术服</w:t>
            </w:r>
            <w:r>
              <w:rPr>
                <w:color w:val="000000" w:themeColor="text1"/>
                <w:sz w:val="18"/>
                <w:szCs w:val="18"/>
                <w:highlight w:val="none"/>
                <w14:textFill>
                  <w14:solidFill>
                    <w14:schemeClr w14:val="tx1"/>
                  </w14:solidFill>
                </w14:textFill>
              </w:rPr>
              <w:t>务业</w:t>
            </w:r>
          </w:p>
        </w:tc>
        <w:tc>
          <w:tcPr>
            <w:tcW w:w="1369" w:type="dxa"/>
            <w:noWrap w:val="0"/>
            <w:vAlign w:val="center"/>
          </w:tcPr>
          <w:p w14:paraId="27236BE6">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从业人员(X)</w:t>
            </w:r>
          </w:p>
        </w:tc>
        <w:tc>
          <w:tcPr>
            <w:tcW w:w="709" w:type="dxa"/>
            <w:noWrap w:val="0"/>
            <w:vAlign w:val="center"/>
          </w:tcPr>
          <w:p w14:paraId="5D432CC4">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125" w:type="dxa"/>
            <w:noWrap w:val="0"/>
            <w:vAlign w:val="center"/>
          </w:tcPr>
          <w:p w14:paraId="2B8A255F">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X≥300</w:t>
            </w:r>
          </w:p>
        </w:tc>
        <w:tc>
          <w:tcPr>
            <w:tcW w:w="1701" w:type="dxa"/>
            <w:noWrap w:val="0"/>
            <w:vAlign w:val="center"/>
          </w:tcPr>
          <w:p w14:paraId="041ED7F6">
            <w:pPr>
              <w:widowControl/>
              <w:ind w:left="1" w:hanging="108"/>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100≤X＜300 </w:t>
            </w:r>
          </w:p>
        </w:tc>
        <w:tc>
          <w:tcPr>
            <w:tcW w:w="1426" w:type="dxa"/>
            <w:noWrap w:val="0"/>
            <w:vAlign w:val="center"/>
          </w:tcPr>
          <w:p w14:paraId="3B9A56B8">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10≤X＜100</w:t>
            </w:r>
          </w:p>
        </w:tc>
        <w:tc>
          <w:tcPr>
            <w:tcW w:w="992" w:type="dxa"/>
            <w:noWrap w:val="0"/>
            <w:vAlign w:val="center"/>
          </w:tcPr>
          <w:p w14:paraId="54E5985A">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X＜10</w:t>
            </w:r>
          </w:p>
        </w:tc>
      </w:tr>
      <w:tr w14:paraId="0F25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0D07590">
            <w:pPr>
              <w:widowControl/>
              <w:jc w:val="left"/>
              <w:rPr>
                <w:color w:val="000000" w:themeColor="text1"/>
                <w:spacing w:val="-12"/>
                <w:sz w:val="18"/>
                <w:szCs w:val="18"/>
                <w:highlight w:val="none"/>
                <w14:textFill>
                  <w14:solidFill>
                    <w14:schemeClr w14:val="tx1"/>
                  </w14:solidFill>
                </w14:textFill>
              </w:rPr>
            </w:pPr>
          </w:p>
        </w:tc>
        <w:tc>
          <w:tcPr>
            <w:tcW w:w="1369" w:type="dxa"/>
            <w:noWrap w:val="0"/>
            <w:vAlign w:val="center"/>
          </w:tcPr>
          <w:p w14:paraId="7452BA3D">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营业收入(Y)</w:t>
            </w:r>
          </w:p>
        </w:tc>
        <w:tc>
          <w:tcPr>
            <w:tcW w:w="709" w:type="dxa"/>
            <w:noWrap w:val="0"/>
            <w:vAlign w:val="center"/>
          </w:tcPr>
          <w:p w14:paraId="461A593C">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2BEF8506">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Y≥10000</w:t>
            </w:r>
          </w:p>
        </w:tc>
        <w:tc>
          <w:tcPr>
            <w:tcW w:w="1701" w:type="dxa"/>
            <w:noWrap w:val="0"/>
            <w:vAlign w:val="center"/>
          </w:tcPr>
          <w:p w14:paraId="54E6F353">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1000≤Y＜10000</w:t>
            </w:r>
          </w:p>
        </w:tc>
        <w:tc>
          <w:tcPr>
            <w:tcW w:w="1426" w:type="dxa"/>
            <w:noWrap w:val="0"/>
            <w:vAlign w:val="center"/>
          </w:tcPr>
          <w:p w14:paraId="17DD20F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50≤Y＜1000</w:t>
            </w:r>
          </w:p>
        </w:tc>
        <w:tc>
          <w:tcPr>
            <w:tcW w:w="992" w:type="dxa"/>
            <w:noWrap w:val="0"/>
            <w:vAlign w:val="center"/>
          </w:tcPr>
          <w:p w14:paraId="277B4FCB">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Y＜50</w:t>
            </w:r>
          </w:p>
        </w:tc>
      </w:tr>
      <w:tr w14:paraId="385D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D70F129">
            <w:pPr>
              <w:widowControl/>
              <w:spacing w:line="240" w:lineRule="exact"/>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房地产开发经营</w:t>
            </w:r>
          </w:p>
        </w:tc>
        <w:tc>
          <w:tcPr>
            <w:tcW w:w="1369" w:type="dxa"/>
            <w:noWrap w:val="0"/>
            <w:vAlign w:val="center"/>
          </w:tcPr>
          <w:p w14:paraId="698EDA13">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营业收入(Y)</w:t>
            </w:r>
          </w:p>
        </w:tc>
        <w:tc>
          <w:tcPr>
            <w:tcW w:w="709" w:type="dxa"/>
            <w:noWrap w:val="0"/>
            <w:vAlign w:val="center"/>
          </w:tcPr>
          <w:p w14:paraId="2C17386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4796B708">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Y≥200000</w:t>
            </w:r>
          </w:p>
        </w:tc>
        <w:tc>
          <w:tcPr>
            <w:tcW w:w="1701" w:type="dxa"/>
            <w:noWrap w:val="0"/>
            <w:vAlign w:val="center"/>
          </w:tcPr>
          <w:p w14:paraId="49901833">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1000≤Y＜200000</w:t>
            </w:r>
          </w:p>
        </w:tc>
        <w:tc>
          <w:tcPr>
            <w:tcW w:w="1426" w:type="dxa"/>
            <w:noWrap w:val="0"/>
            <w:vAlign w:val="center"/>
          </w:tcPr>
          <w:p w14:paraId="25464559">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100≤Y＜1000</w:t>
            </w:r>
          </w:p>
        </w:tc>
        <w:tc>
          <w:tcPr>
            <w:tcW w:w="992" w:type="dxa"/>
            <w:noWrap w:val="0"/>
            <w:vAlign w:val="center"/>
          </w:tcPr>
          <w:p w14:paraId="50107355">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Y＜100</w:t>
            </w:r>
          </w:p>
        </w:tc>
      </w:tr>
      <w:tr w14:paraId="743E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342DAD0">
            <w:pPr>
              <w:widowControl/>
              <w:jc w:val="left"/>
              <w:rPr>
                <w:color w:val="000000" w:themeColor="text1"/>
                <w:sz w:val="18"/>
                <w:szCs w:val="18"/>
                <w:highlight w:val="none"/>
                <w14:textFill>
                  <w14:solidFill>
                    <w14:schemeClr w14:val="tx1"/>
                  </w14:solidFill>
                </w14:textFill>
              </w:rPr>
            </w:pPr>
          </w:p>
        </w:tc>
        <w:tc>
          <w:tcPr>
            <w:tcW w:w="1369" w:type="dxa"/>
            <w:noWrap w:val="0"/>
            <w:vAlign w:val="center"/>
          </w:tcPr>
          <w:p w14:paraId="244DC0B9">
            <w:pPr>
              <w:widowControl/>
              <w:spacing w:line="240" w:lineRule="exact"/>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资产总额(Z)</w:t>
            </w:r>
          </w:p>
        </w:tc>
        <w:tc>
          <w:tcPr>
            <w:tcW w:w="709" w:type="dxa"/>
            <w:noWrap w:val="0"/>
            <w:vAlign w:val="center"/>
          </w:tcPr>
          <w:p w14:paraId="500AC5D0">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0076EC6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Z≥10000</w:t>
            </w:r>
          </w:p>
        </w:tc>
        <w:tc>
          <w:tcPr>
            <w:tcW w:w="1701" w:type="dxa"/>
            <w:noWrap w:val="0"/>
            <w:vAlign w:val="center"/>
          </w:tcPr>
          <w:p w14:paraId="43CAB708">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5000≤Z＜10000</w:t>
            </w:r>
          </w:p>
        </w:tc>
        <w:tc>
          <w:tcPr>
            <w:tcW w:w="1426" w:type="dxa"/>
            <w:noWrap w:val="0"/>
            <w:vAlign w:val="center"/>
          </w:tcPr>
          <w:p w14:paraId="4A83DA11">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2000≤Z＜5000</w:t>
            </w:r>
          </w:p>
        </w:tc>
        <w:tc>
          <w:tcPr>
            <w:tcW w:w="992" w:type="dxa"/>
            <w:noWrap w:val="0"/>
            <w:vAlign w:val="center"/>
          </w:tcPr>
          <w:p w14:paraId="5AD8374A">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Z＜2000</w:t>
            </w:r>
          </w:p>
        </w:tc>
      </w:tr>
      <w:tr w14:paraId="26E9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2287F59">
            <w:pPr>
              <w:widowControl/>
              <w:spacing w:line="240" w:lineRule="exact"/>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物业管理</w:t>
            </w:r>
          </w:p>
        </w:tc>
        <w:tc>
          <w:tcPr>
            <w:tcW w:w="1369" w:type="dxa"/>
            <w:noWrap w:val="0"/>
            <w:vAlign w:val="center"/>
          </w:tcPr>
          <w:p w14:paraId="30AC47E8">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从业人员(X)</w:t>
            </w:r>
          </w:p>
        </w:tc>
        <w:tc>
          <w:tcPr>
            <w:tcW w:w="709" w:type="dxa"/>
            <w:noWrap w:val="0"/>
            <w:vAlign w:val="center"/>
          </w:tcPr>
          <w:p w14:paraId="7F453E61">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125" w:type="dxa"/>
            <w:noWrap w:val="0"/>
            <w:vAlign w:val="center"/>
          </w:tcPr>
          <w:p w14:paraId="2E0D4344">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X≥1000</w:t>
            </w:r>
          </w:p>
        </w:tc>
        <w:tc>
          <w:tcPr>
            <w:tcW w:w="1701" w:type="dxa"/>
            <w:noWrap w:val="0"/>
            <w:vAlign w:val="center"/>
          </w:tcPr>
          <w:p w14:paraId="4CF0DFF4">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300≤X＜1000</w:t>
            </w:r>
          </w:p>
        </w:tc>
        <w:tc>
          <w:tcPr>
            <w:tcW w:w="1426" w:type="dxa"/>
            <w:noWrap w:val="0"/>
            <w:vAlign w:val="center"/>
          </w:tcPr>
          <w:p w14:paraId="7A835A0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100≤X＜300</w:t>
            </w:r>
          </w:p>
        </w:tc>
        <w:tc>
          <w:tcPr>
            <w:tcW w:w="992" w:type="dxa"/>
            <w:noWrap w:val="0"/>
            <w:vAlign w:val="center"/>
          </w:tcPr>
          <w:p w14:paraId="2DF44D34">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X＜100</w:t>
            </w:r>
          </w:p>
        </w:tc>
      </w:tr>
      <w:tr w14:paraId="1D55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D4DB3C1">
            <w:pPr>
              <w:widowControl/>
              <w:jc w:val="left"/>
              <w:rPr>
                <w:color w:val="000000" w:themeColor="text1"/>
                <w:sz w:val="18"/>
                <w:szCs w:val="18"/>
                <w:highlight w:val="none"/>
                <w14:textFill>
                  <w14:solidFill>
                    <w14:schemeClr w14:val="tx1"/>
                  </w14:solidFill>
                </w14:textFill>
              </w:rPr>
            </w:pPr>
          </w:p>
        </w:tc>
        <w:tc>
          <w:tcPr>
            <w:tcW w:w="1369" w:type="dxa"/>
            <w:noWrap w:val="0"/>
            <w:vAlign w:val="center"/>
          </w:tcPr>
          <w:p w14:paraId="68FB4A69">
            <w:pPr>
              <w:widowControl/>
              <w:spacing w:line="240" w:lineRule="exact"/>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营业收入(Y)</w:t>
            </w:r>
          </w:p>
        </w:tc>
        <w:tc>
          <w:tcPr>
            <w:tcW w:w="709" w:type="dxa"/>
            <w:noWrap w:val="0"/>
            <w:vAlign w:val="center"/>
          </w:tcPr>
          <w:p w14:paraId="42CE3A1C">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70FD8E1A">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Y≥5000</w:t>
            </w:r>
          </w:p>
        </w:tc>
        <w:tc>
          <w:tcPr>
            <w:tcW w:w="1701" w:type="dxa"/>
            <w:noWrap w:val="0"/>
            <w:vAlign w:val="center"/>
          </w:tcPr>
          <w:p w14:paraId="250547A0">
            <w:pPr>
              <w:widowControl/>
              <w:ind w:left="1" w:hanging="108"/>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1000≤Y＜5000</w:t>
            </w:r>
          </w:p>
        </w:tc>
        <w:tc>
          <w:tcPr>
            <w:tcW w:w="1426" w:type="dxa"/>
            <w:noWrap w:val="0"/>
            <w:vAlign w:val="center"/>
          </w:tcPr>
          <w:p w14:paraId="4D5103E6">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500≤Y＜1000</w:t>
            </w:r>
          </w:p>
        </w:tc>
        <w:tc>
          <w:tcPr>
            <w:tcW w:w="992" w:type="dxa"/>
            <w:noWrap w:val="0"/>
            <w:vAlign w:val="center"/>
          </w:tcPr>
          <w:p w14:paraId="50AD421C">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Y＜500</w:t>
            </w:r>
          </w:p>
        </w:tc>
      </w:tr>
      <w:tr w14:paraId="4736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2F8C348">
            <w:pPr>
              <w:widowControl/>
              <w:spacing w:line="240" w:lineRule="exact"/>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租赁和商务服务业</w:t>
            </w:r>
          </w:p>
        </w:tc>
        <w:tc>
          <w:tcPr>
            <w:tcW w:w="1369" w:type="dxa"/>
            <w:noWrap w:val="0"/>
            <w:vAlign w:val="center"/>
          </w:tcPr>
          <w:p w14:paraId="3322B862">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从业人员(X)</w:t>
            </w:r>
          </w:p>
        </w:tc>
        <w:tc>
          <w:tcPr>
            <w:tcW w:w="709" w:type="dxa"/>
            <w:noWrap w:val="0"/>
            <w:vAlign w:val="center"/>
          </w:tcPr>
          <w:p w14:paraId="07A24464">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125" w:type="dxa"/>
            <w:noWrap w:val="0"/>
            <w:vAlign w:val="center"/>
          </w:tcPr>
          <w:p w14:paraId="66F4EE12">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X≥300</w:t>
            </w:r>
          </w:p>
        </w:tc>
        <w:tc>
          <w:tcPr>
            <w:tcW w:w="1701" w:type="dxa"/>
            <w:noWrap w:val="0"/>
            <w:vAlign w:val="center"/>
          </w:tcPr>
          <w:p w14:paraId="2112209B">
            <w:pPr>
              <w:widowControl/>
              <w:ind w:left="1" w:hanging="108"/>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100≤X＜300</w:t>
            </w:r>
          </w:p>
        </w:tc>
        <w:tc>
          <w:tcPr>
            <w:tcW w:w="1426" w:type="dxa"/>
            <w:noWrap w:val="0"/>
            <w:vAlign w:val="center"/>
          </w:tcPr>
          <w:p w14:paraId="310A7F1F">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10≤X＜100</w:t>
            </w:r>
          </w:p>
        </w:tc>
        <w:tc>
          <w:tcPr>
            <w:tcW w:w="992" w:type="dxa"/>
            <w:noWrap w:val="0"/>
            <w:vAlign w:val="center"/>
          </w:tcPr>
          <w:p w14:paraId="213AE680">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X＜10</w:t>
            </w:r>
          </w:p>
        </w:tc>
      </w:tr>
      <w:tr w14:paraId="3144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BFC90BD">
            <w:pPr>
              <w:widowControl/>
              <w:jc w:val="left"/>
              <w:rPr>
                <w:color w:val="000000" w:themeColor="text1"/>
                <w:sz w:val="18"/>
                <w:szCs w:val="18"/>
                <w:highlight w:val="none"/>
                <w14:textFill>
                  <w14:solidFill>
                    <w14:schemeClr w14:val="tx1"/>
                  </w14:solidFill>
                </w14:textFill>
              </w:rPr>
            </w:pPr>
          </w:p>
        </w:tc>
        <w:tc>
          <w:tcPr>
            <w:tcW w:w="1369" w:type="dxa"/>
            <w:noWrap w:val="0"/>
            <w:vAlign w:val="center"/>
          </w:tcPr>
          <w:p w14:paraId="44724297">
            <w:pPr>
              <w:widowControl/>
              <w:spacing w:line="240" w:lineRule="exact"/>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资产总额(Z)</w:t>
            </w:r>
          </w:p>
        </w:tc>
        <w:tc>
          <w:tcPr>
            <w:tcW w:w="709" w:type="dxa"/>
            <w:noWrap w:val="0"/>
            <w:vAlign w:val="center"/>
          </w:tcPr>
          <w:p w14:paraId="69FB0FA1">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万元</w:t>
            </w:r>
          </w:p>
        </w:tc>
        <w:tc>
          <w:tcPr>
            <w:tcW w:w="1125" w:type="dxa"/>
            <w:noWrap w:val="0"/>
            <w:vAlign w:val="center"/>
          </w:tcPr>
          <w:p w14:paraId="13BB0D46">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Z≥120000</w:t>
            </w:r>
          </w:p>
        </w:tc>
        <w:tc>
          <w:tcPr>
            <w:tcW w:w="1701" w:type="dxa"/>
            <w:noWrap w:val="0"/>
            <w:vAlign w:val="center"/>
          </w:tcPr>
          <w:p w14:paraId="0C22E0E7">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8000≤Z＜120000</w:t>
            </w:r>
          </w:p>
        </w:tc>
        <w:tc>
          <w:tcPr>
            <w:tcW w:w="1426" w:type="dxa"/>
            <w:noWrap w:val="0"/>
            <w:vAlign w:val="center"/>
          </w:tcPr>
          <w:p w14:paraId="51BAA509">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100≤Z＜8000</w:t>
            </w:r>
          </w:p>
        </w:tc>
        <w:tc>
          <w:tcPr>
            <w:tcW w:w="992" w:type="dxa"/>
            <w:noWrap w:val="0"/>
            <w:vAlign w:val="center"/>
          </w:tcPr>
          <w:p w14:paraId="709F2367">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Z＜100</w:t>
            </w:r>
          </w:p>
        </w:tc>
      </w:tr>
      <w:tr w14:paraId="3E49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5EB6E6">
            <w:pPr>
              <w:widowControl/>
              <w:spacing w:line="240" w:lineRule="exact"/>
              <w:jc w:val="left"/>
              <w:rPr>
                <w:rFonts w:hint="eastAsia"/>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其他未列明行业</w:t>
            </w:r>
            <w:r>
              <w:rPr>
                <w:rFonts w:hint="eastAsia" w:ascii="宋体" w:hAnsi="宋体" w:cs="宋体"/>
                <w:color w:val="000000" w:themeColor="text1"/>
                <w:sz w:val="18"/>
                <w:szCs w:val="18"/>
                <w:highlight w:val="none"/>
                <w14:textFill>
                  <w14:solidFill>
                    <w14:schemeClr w14:val="tx1"/>
                  </w14:solidFill>
                </w14:textFill>
              </w:rPr>
              <w:t>※</w:t>
            </w:r>
          </w:p>
        </w:tc>
        <w:tc>
          <w:tcPr>
            <w:tcW w:w="1369" w:type="dxa"/>
            <w:noWrap w:val="0"/>
            <w:vAlign w:val="center"/>
          </w:tcPr>
          <w:p w14:paraId="2184C6DA">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从业人员(X)</w:t>
            </w:r>
          </w:p>
        </w:tc>
        <w:tc>
          <w:tcPr>
            <w:tcW w:w="709" w:type="dxa"/>
            <w:noWrap w:val="0"/>
            <w:vAlign w:val="center"/>
          </w:tcPr>
          <w:p w14:paraId="739B782D">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125" w:type="dxa"/>
            <w:noWrap w:val="0"/>
            <w:vAlign w:val="center"/>
          </w:tcPr>
          <w:p w14:paraId="6A374E9B">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X≥300</w:t>
            </w:r>
          </w:p>
        </w:tc>
        <w:tc>
          <w:tcPr>
            <w:tcW w:w="1701" w:type="dxa"/>
            <w:noWrap w:val="0"/>
            <w:vAlign w:val="center"/>
          </w:tcPr>
          <w:p w14:paraId="3C89E22C">
            <w:pPr>
              <w:widowControl/>
              <w:ind w:left="1" w:hanging="108"/>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100≤X＜300</w:t>
            </w:r>
          </w:p>
        </w:tc>
        <w:tc>
          <w:tcPr>
            <w:tcW w:w="1426" w:type="dxa"/>
            <w:noWrap w:val="0"/>
            <w:vAlign w:val="center"/>
          </w:tcPr>
          <w:p w14:paraId="47C5211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10≤X＜100</w:t>
            </w:r>
          </w:p>
        </w:tc>
        <w:tc>
          <w:tcPr>
            <w:tcW w:w="992" w:type="dxa"/>
            <w:noWrap w:val="0"/>
            <w:vAlign w:val="center"/>
          </w:tcPr>
          <w:p w14:paraId="166EB53E">
            <w:pPr>
              <w:widowControl/>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X＜10</w:t>
            </w:r>
          </w:p>
        </w:tc>
      </w:tr>
    </w:tbl>
    <w:p w14:paraId="3E70140B">
      <w:pPr>
        <w:widowControl/>
        <w:spacing w:line="540" w:lineRule="exact"/>
        <w:rPr>
          <w:rFonts w:hint="eastAsia" w:ascii="宋体" w:hAnsi="宋体" w:cs="宋体"/>
          <w:color w:val="000000" w:themeColor="text1"/>
          <w:spacing w:val="8"/>
          <w:sz w:val="24"/>
          <w:highlight w:val="none"/>
          <w14:textFill>
            <w14:solidFill>
              <w14:schemeClr w14:val="tx1"/>
            </w14:solidFill>
          </w14:textFill>
        </w:rPr>
      </w:pPr>
      <w:r>
        <w:rPr>
          <w:rFonts w:hint="eastAsia" w:ascii="宋体" w:hAnsi="宋体" w:cs="宋体"/>
          <w:color w:val="000000" w:themeColor="text1"/>
          <w:spacing w:val="8"/>
          <w:sz w:val="24"/>
          <w:highlight w:val="none"/>
          <w14:textFill>
            <w14:solidFill>
              <w14:schemeClr w14:val="tx1"/>
            </w14:solidFill>
          </w14:textFill>
        </w:rPr>
        <w:t>说明：</w:t>
      </w:r>
    </w:p>
    <w:p w14:paraId="6B540CA4">
      <w:pPr>
        <w:pStyle w:val="21"/>
        <w:spacing w:line="380" w:lineRule="exact"/>
        <w:ind w:firstLine="512"/>
        <w:contextualSpacing/>
        <w:rPr>
          <w:rFonts w:hint="eastAsia" w:hAnsi="宋体" w:cs="宋体"/>
          <w:color w:val="000000" w:themeColor="text1"/>
          <w:spacing w:val="8"/>
          <w:sz w:val="24"/>
          <w:szCs w:val="24"/>
          <w:highlight w:val="none"/>
          <w14:textFill>
            <w14:solidFill>
              <w14:schemeClr w14:val="tx1"/>
            </w14:solidFill>
          </w14:textFill>
        </w:rPr>
      </w:pPr>
      <w:r>
        <w:rPr>
          <w:rFonts w:hint="eastAsia" w:hAnsi="宋体" w:cs="宋体"/>
          <w:color w:val="000000" w:themeColor="text1"/>
          <w:spacing w:val="8"/>
          <w:sz w:val="24"/>
          <w:szCs w:val="24"/>
          <w:highlight w:val="none"/>
          <w14:textFill>
            <w14:solidFill>
              <w14:schemeClr w14:val="tx1"/>
            </w14:solidFill>
          </w14:textFill>
        </w:rPr>
        <w:t>1.大型、中型和小型企业须同时满足所列指标的下限，否则下划一档；微型企业只须满足所列指标中的一项即可。</w:t>
      </w:r>
    </w:p>
    <w:p w14:paraId="4EFF4B08">
      <w:pPr>
        <w:pStyle w:val="21"/>
        <w:spacing w:line="380" w:lineRule="exact"/>
        <w:ind w:firstLine="512"/>
        <w:contextualSpacing/>
        <w:rPr>
          <w:rFonts w:hint="eastAsia" w:hAnsi="宋体" w:cs="宋体"/>
          <w:color w:val="000000" w:themeColor="text1"/>
          <w:spacing w:val="8"/>
          <w:sz w:val="24"/>
          <w:szCs w:val="24"/>
          <w:highlight w:val="none"/>
          <w14:textFill>
            <w14:solidFill>
              <w14:schemeClr w14:val="tx1"/>
            </w14:solidFill>
          </w14:textFill>
        </w:rPr>
      </w:pPr>
      <w:r>
        <w:rPr>
          <w:rFonts w:hint="eastAsia" w:hAnsi="宋体" w:cs="宋体"/>
          <w:color w:val="000000" w:themeColor="text1"/>
          <w:spacing w:val="8"/>
          <w:sz w:val="24"/>
          <w:szCs w:val="24"/>
          <w:highlight w:val="none"/>
          <w14:textFill>
            <w14:solidFill>
              <w14:schemeClr w14:val="tx1"/>
            </w14:solidFill>
          </w14:textFill>
        </w:rPr>
        <w:t>2.附表中各行业的范围以《国民经济行业分类》（GB/T4754-2017）为准。带</w:t>
      </w:r>
      <w:r>
        <w:rPr>
          <w:rFonts w:hint="eastAsia" w:hAnsi="宋体" w:cs="宋体"/>
          <w:color w:val="000000" w:themeColor="text1"/>
          <w:sz w:val="18"/>
          <w:szCs w:val="18"/>
          <w:highlight w:val="none"/>
          <w14:textFill>
            <w14:solidFill>
              <w14:schemeClr w14:val="tx1"/>
            </w14:solidFill>
          </w14:textFill>
        </w:rPr>
        <w:t>※</w:t>
      </w:r>
      <w:r>
        <w:rPr>
          <w:rFonts w:hint="eastAsia" w:hAnsi="宋体" w:cs="宋体"/>
          <w:color w:val="000000" w:themeColor="text1"/>
          <w:spacing w:val="8"/>
          <w:sz w:val="24"/>
          <w:szCs w:val="24"/>
          <w:highlight w:val="none"/>
          <w14:textFill>
            <w14:solidFill>
              <w14:schemeClr w14:val="tx1"/>
            </w14:solidFill>
          </w14:textFill>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000000" w:themeColor="text1"/>
          <w:spacing w:val="8"/>
          <w:sz w:val="24"/>
          <w:szCs w:val="24"/>
          <w:highlight w:val="none"/>
          <w:lang w:eastAsia="zh-CN"/>
          <w14:textFill>
            <w14:solidFill>
              <w14:schemeClr w14:val="tx1"/>
            </w14:solidFill>
          </w14:textFill>
        </w:rPr>
        <w:t>；</w:t>
      </w:r>
      <w:r>
        <w:rPr>
          <w:rFonts w:hint="eastAsia" w:hAnsi="宋体" w:cs="宋体"/>
          <w:color w:val="000000" w:themeColor="text1"/>
          <w:spacing w:val="8"/>
          <w:sz w:val="24"/>
          <w:szCs w:val="24"/>
          <w:highlight w:val="none"/>
          <w14:textFill>
            <w14:solidFill>
              <w14:schemeClr w14:val="tx1"/>
            </w14:solidFill>
          </w14:textFill>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A18E0C5">
      <w:pPr>
        <w:pStyle w:val="21"/>
        <w:spacing w:line="380" w:lineRule="exact"/>
        <w:ind w:firstLine="512"/>
        <w:rPr>
          <w:rFonts w:hint="eastAsia" w:hAnsi="宋体" w:cs="宋体"/>
          <w:color w:val="000000" w:themeColor="text1"/>
          <w:spacing w:val="8"/>
          <w:sz w:val="24"/>
          <w:szCs w:val="24"/>
          <w:highlight w:val="none"/>
          <w14:textFill>
            <w14:solidFill>
              <w14:schemeClr w14:val="tx1"/>
            </w14:solidFill>
          </w14:textFill>
        </w:rPr>
      </w:pPr>
      <w:r>
        <w:rPr>
          <w:rFonts w:hint="eastAsia" w:hAnsi="宋体" w:cs="宋体"/>
          <w:color w:val="000000" w:themeColor="text1"/>
          <w:spacing w:val="8"/>
          <w:sz w:val="24"/>
          <w:szCs w:val="24"/>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ACCD1EF">
      <w:pPr>
        <w:pStyle w:val="12"/>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337F1EA2">
      <w:pPr>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51CD1D76">
      <w:pPr>
        <w:pStyle w:val="18"/>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5886290A">
      <w:pPr>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6DD754A0">
      <w:pPr>
        <w:pStyle w:val="18"/>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4EA9FB05">
      <w:pPr>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650FAEA2">
      <w:pPr>
        <w:pStyle w:val="18"/>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6834DA27">
      <w:pPr>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30D2D1F8">
      <w:pPr>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19183181">
      <w:pPr>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69E2AA45">
      <w:pPr>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6E11EBA3">
      <w:pPr>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7000E6ED">
      <w:pPr>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39438287">
      <w:pPr>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2A4B71BA">
      <w:pPr>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5361E049">
      <w:pPr>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19095BB7">
      <w:pPr>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56ED4B30">
      <w:pPr>
        <w:rPr>
          <w:rFonts w:hint="eastAsia" w:ascii="仿宋_GB2312" w:hAnsi="Times New Roman" w:eastAsia="仿宋_GB2312" w:cs="宋体"/>
          <w:color w:val="000000" w:themeColor="text1"/>
          <w:spacing w:val="8"/>
          <w:sz w:val="24"/>
          <w:highlight w:val="none"/>
          <w14:textFill>
            <w14:solidFill>
              <w14:schemeClr w14:val="tx1"/>
            </w14:solidFill>
          </w14:textFill>
        </w:rPr>
      </w:pPr>
    </w:p>
    <w:p w14:paraId="6EF8B5D5">
      <w:pPr>
        <w:pStyle w:val="18"/>
        <w:rPr>
          <w:rFonts w:hint="eastAsia"/>
          <w:color w:val="000000" w:themeColor="text1"/>
          <w:highlight w:val="none"/>
          <w14:textFill>
            <w14:solidFill>
              <w14:schemeClr w14:val="tx1"/>
            </w14:solidFill>
          </w14:textFill>
        </w:rPr>
      </w:pPr>
    </w:p>
    <w:p w14:paraId="2A9E6932">
      <w:pPr>
        <w:rPr>
          <w:rFonts w:hint="eastAsia"/>
          <w:color w:val="000000" w:themeColor="text1"/>
          <w:highlight w:val="none"/>
          <w14:textFill>
            <w14:solidFill>
              <w14:schemeClr w14:val="tx1"/>
            </w14:solidFill>
          </w14:textFill>
        </w:rPr>
      </w:pPr>
    </w:p>
    <w:p w14:paraId="443435E0">
      <w:pPr>
        <w:rPr>
          <w:rFonts w:hint="eastAsia" w:ascii="宋体" w:hAnsi="宋体" w:cs="宋体"/>
          <w:color w:val="000000" w:themeColor="text1"/>
          <w:sz w:val="32"/>
          <w:szCs w:val="32"/>
          <w:highlight w:val="none"/>
          <w14:textFill>
            <w14:solidFill>
              <w14:schemeClr w14:val="tx1"/>
            </w14:solidFill>
          </w14:textFill>
        </w:rPr>
      </w:pPr>
      <w:bookmarkStart w:id="590" w:name="_Toc21513"/>
      <w:bookmarkStart w:id="591" w:name="_Toc22007"/>
      <w:bookmarkStart w:id="592" w:name="_Toc18722"/>
      <w:bookmarkStart w:id="593" w:name="_Toc22269"/>
      <w:bookmarkStart w:id="594" w:name="_Toc19630"/>
    </w:p>
    <w:p w14:paraId="08BFE8F3">
      <w:pPr>
        <w:rPr>
          <w:rFonts w:hint="eastAsia" w:ascii="宋体" w:hAnsi="宋体" w:cs="宋体"/>
          <w:b/>
          <w:bCs/>
          <w:color w:val="000000" w:themeColor="text1"/>
          <w:sz w:val="32"/>
          <w:szCs w:val="32"/>
          <w:highlight w:val="none"/>
          <w14:textFill>
            <w14:solidFill>
              <w14:schemeClr w14:val="tx1"/>
            </w14:solidFill>
          </w14:textFill>
        </w:rPr>
      </w:pPr>
      <w:bookmarkStart w:id="595" w:name="_Toc24417"/>
      <w:bookmarkStart w:id="596" w:name="_Toc1199"/>
      <w:bookmarkStart w:id="597" w:name="_Toc15823"/>
      <w:bookmarkStart w:id="598" w:name="_Toc12573"/>
      <w:bookmarkStart w:id="599" w:name="_Toc23805"/>
      <w:bookmarkStart w:id="600" w:name="_Toc9140"/>
      <w:bookmarkStart w:id="601" w:name="_Toc27271"/>
      <w:r>
        <w:rPr>
          <w:rFonts w:hint="eastAsia" w:ascii="宋体" w:hAnsi="宋体" w:cs="宋体"/>
          <w:b/>
          <w:bCs/>
          <w:color w:val="000000" w:themeColor="text1"/>
          <w:sz w:val="32"/>
          <w:szCs w:val="32"/>
          <w:highlight w:val="none"/>
          <w14:textFill>
            <w14:solidFill>
              <w14:schemeClr w14:val="tx1"/>
            </w14:solidFill>
          </w14:textFill>
        </w:rPr>
        <w:br w:type="page" w:clear="all"/>
      </w:r>
    </w:p>
    <w:p w14:paraId="60296C98">
      <w:pPr>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第五章  采购合同（合同主要条款及格式）</w:t>
      </w:r>
      <w:bookmarkEnd w:id="583"/>
      <w:bookmarkEnd w:id="590"/>
      <w:bookmarkEnd w:id="591"/>
      <w:bookmarkEnd w:id="592"/>
      <w:bookmarkEnd w:id="593"/>
      <w:bookmarkEnd w:id="594"/>
      <w:bookmarkEnd w:id="595"/>
      <w:bookmarkEnd w:id="596"/>
      <w:bookmarkEnd w:id="597"/>
      <w:bookmarkEnd w:id="598"/>
      <w:bookmarkEnd w:id="599"/>
      <w:bookmarkEnd w:id="600"/>
      <w:bookmarkEnd w:id="601"/>
    </w:p>
    <w:p w14:paraId="04CA3CA7">
      <w:pPr>
        <w:spacing w:line="38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2026年支持学前教育发展中央和自治区资金设备采购项目</w:t>
      </w:r>
    </w:p>
    <w:p w14:paraId="0C414802">
      <w:pPr>
        <w:spacing w:line="38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GLZC2026-J1-990205-GLSZ</w:t>
      </w:r>
    </w:p>
    <w:p w14:paraId="4F17767B">
      <w:pPr>
        <w:tabs>
          <w:tab w:val="left" w:pos="8767"/>
        </w:tabs>
        <w:spacing w:line="3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甲方：</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ab/>
      </w:r>
    </w:p>
    <w:p w14:paraId="0F3A08AF">
      <w:pPr>
        <w:spacing w:line="3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（成交供应商）</w:t>
      </w:r>
    </w:p>
    <w:p w14:paraId="208E8FB8">
      <w:pPr>
        <w:spacing w:line="38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中华人民共和国政府采购法》《中华人民共和国政府采购法实施条例》《中华人民共和国民法典》等法律、法规规定，按照竞争性谈判文件（以下简称谈判文件）、响应文件规定条款和成交供应商的承诺、甲乙双方签订本采购合同。</w:t>
      </w:r>
    </w:p>
    <w:p w14:paraId="487B4236">
      <w:pPr>
        <w:pStyle w:val="4"/>
        <w:spacing w:line="380" w:lineRule="exact"/>
        <w:ind w:left="554" w:hanging="147"/>
        <w:rPr>
          <w:rFonts w:hint="eastAsia" w:ascii="宋体" w:hAnsi="宋体" w:cs="宋体"/>
          <w:b/>
          <w:bCs w:val="0"/>
          <w:color w:val="000000" w:themeColor="text1"/>
          <w:sz w:val="21"/>
          <w:szCs w:val="21"/>
          <w:highlight w:val="none"/>
          <w14:textFill>
            <w14:solidFill>
              <w14:schemeClr w14:val="tx1"/>
            </w14:solidFill>
          </w14:textFill>
        </w:rPr>
      </w:pPr>
      <w:bookmarkStart w:id="602" w:name="_Toc12151"/>
      <w:bookmarkStart w:id="603" w:name="_Toc16019"/>
      <w:bookmarkStart w:id="604" w:name="_Toc21587"/>
      <w:bookmarkStart w:id="605" w:name="_Toc5085"/>
      <w:bookmarkStart w:id="606" w:name="_Toc31695"/>
      <w:bookmarkStart w:id="607" w:name="_Toc13393"/>
      <w:bookmarkStart w:id="608" w:name="_Toc13049"/>
      <w:bookmarkStart w:id="609" w:name="_Toc28931"/>
      <w:bookmarkStart w:id="610" w:name="_Toc28049"/>
      <w:bookmarkStart w:id="611" w:name="_Toc10614"/>
      <w:bookmarkStart w:id="612" w:name="_Toc21389"/>
      <w:bookmarkStart w:id="613" w:name="_Toc29742"/>
      <w:r>
        <w:rPr>
          <w:rFonts w:hint="eastAsia" w:ascii="宋体" w:hAnsi="宋体" w:cs="宋体"/>
          <w:b/>
          <w:bCs w:val="0"/>
          <w:color w:val="000000" w:themeColor="text1"/>
          <w:sz w:val="21"/>
          <w:szCs w:val="21"/>
          <w:highlight w:val="none"/>
          <w14:textFill>
            <w14:solidFill>
              <w14:schemeClr w14:val="tx1"/>
            </w14:solidFill>
          </w14:textFill>
        </w:rPr>
        <w:t>第一条</w:t>
      </w:r>
      <w:r>
        <w:rPr>
          <w:rFonts w:hint="eastAsia" w:ascii="宋体" w:hAnsi="宋体" w:cs="宋体"/>
          <w:b/>
          <w:bCs w:val="0"/>
          <w:color w:val="000000" w:themeColor="text1"/>
          <w:sz w:val="21"/>
          <w:szCs w:val="21"/>
          <w:highlight w:val="none"/>
          <w:lang w:val="en-US"/>
          <w14:textFill>
            <w14:solidFill>
              <w14:schemeClr w14:val="tx1"/>
            </w14:solidFill>
          </w14:textFill>
        </w:rPr>
        <w:t xml:space="preserve"> </w:t>
      </w:r>
      <w:r>
        <w:rPr>
          <w:rFonts w:hint="eastAsia" w:ascii="宋体" w:hAnsi="宋体" w:cs="宋体"/>
          <w:b/>
          <w:bCs w:val="0"/>
          <w:color w:val="000000" w:themeColor="text1"/>
          <w:sz w:val="21"/>
          <w:szCs w:val="21"/>
          <w:highlight w:val="none"/>
          <w14:textFill>
            <w14:solidFill>
              <w14:schemeClr w14:val="tx1"/>
            </w14:solidFill>
          </w14:textFill>
        </w:rPr>
        <w:t>合同标的及合同金额</w:t>
      </w:r>
      <w:bookmarkEnd w:id="602"/>
      <w:bookmarkEnd w:id="603"/>
      <w:bookmarkEnd w:id="604"/>
      <w:bookmarkEnd w:id="605"/>
      <w:bookmarkEnd w:id="606"/>
      <w:bookmarkEnd w:id="607"/>
      <w:bookmarkEnd w:id="608"/>
      <w:bookmarkEnd w:id="609"/>
      <w:bookmarkEnd w:id="610"/>
      <w:bookmarkEnd w:id="611"/>
      <w:bookmarkEnd w:id="612"/>
      <w:bookmarkEnd w:id="613"/>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2"/>
        <w:gridCol w:w="1445"/>
        <w:gridCol w:w="1483"/>
        <w:gridCol w:w="1073"/>
        <w:gridCol w:w="714"/>
        <w:gridCol w:w="1545"/>
        <w:gridCol w:w="1575"/>
      </w:tblGrid>
      <w:tr w14:paraId="3EB7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09" w:type="dxa"/>
            <w:shd w:val="clear" w:color="auto" w:fill="8DB3E2"/>
            <w:noWrap w:val="0"/>
            <w:vAlign w:val="center"/>
          </w:tcPr>
          <w:p w14:paraId="1123357B">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项号</w:t>
            </w:r>
          </w:p>
        </w:tc>
        <w:tc>
          <w:tcPr>
            <w:tcW w:w="1232" w:type="dxa"/>
            <w:shd w:val="clear" w:color="auto" w:fill="8DB3E2"/>
            <w:noWrap w:val="0"/>
            <w:vAlign w:val="center"/>
          </w:tcPr>
          <w:p w14:paraId="2B377F18">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标的名称</w:t>
            </w:r>
          </w:p>
        </w:tc>
        <w:tc>
          <w:tcPr>
            <w:tcW w:w="1445" w:type="dxa"/>
            <w:shd w:val="clear" w:color="auto" w:fill="8DB3E2"/>
            <w:noWrap w:val="0"/>
            <w:vAlign w:val="center"/>
          </w:tcPr>
          <w:p w14:paraId="4149F580">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30"/>
                <w:highlight w:val="none"/>
                <w14:textFill>
                  <w14:solidFill>
                    <w14:schemeClr w14:val="tx1"/>
                  </w14:solidFill>
                </w14:textFill>
              </w:rPr>
              <w:t>生产厂家、品牌、规格型号</w:t>
            </w:r>
          </w:p>
        </w:tc>
        <w:tc>
          <w:tcPr>
            <w:tcW w:w="1483" w:type="dxa"/>
            <w:shd w:val="clear" w:color="auto" w:fill="8DB3E2"/>
            <w:noWrap w:val="0"/>
            <w:vAlign w:val="center"/>
          </w:tcPr>
          <w:p w14:paraId="61A1B420">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技术参数</w:t>
            </w:r>
          </w:p>
        </w:tc>
        <w:tc>
          <w:tcPr>
            <w:tcW w:w="1073" w:type="dxa"/>
            <w:shd w:val="clear" w:color="auto" w:fill="8DB3E2"/>
            <w:noWrap w:val="0"/>
            <w:vAlign w:val="center"/>
          </w:tcPr>
          <w:p w14:paraId="5F00BFAF">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w:t>
            </w:r>
          </w:p>
          <w:p w14:paraId="4C42504E">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①</w:t>
            </w:r>
          </w:p>
        </w:tc>
        <w:tc>
          <w:tcPr>
            <w:tcW w:w="714" w:type="dxa"/>
            <w:shd w:val="clear" w:color="auto" w:fill="8DB3E2"/>
            <w:noWrap w:val="0"/>
            <w:vAlign w:val="center"/>
          </w:tcPr>
          <w:p w14:paraId="5316F06A">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单位</w:t>
            </w:r>
          </w:p>
        </w:tc>
        <w:tc>
          <w:tcPr>
            <w:tcW w:w="1545" w:type="dxa"/>
            <w:shd w:val="clear" w:color="auto" w:fill="8DB3E2"/>
            <w:noWrap w:val="0"/>
            <w:vAlign w:val="center"/>
          </w:tcPr>
          <w:p w14:paraId="00CE0F74">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单价（元）</w:t>
            </w:r>
          </w:p>
          <w:p w14:paraId="26E62780">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②</w:t>
            </w:r>
          </w:p>
        </w:tc>
        <w:tc>
          <w:tcPr>
            <w:tcW w:w="1575" w:type="dxa"/>
            <w:shd w:val="clear" w:color="auto" w:fill="8DB3E2"/>
            <w:noWrap w:val="0"/>
            <w:vAlign w:val="center"/>
          </w:tcPr>
          <w:p w14:paraId="38D81B20">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单项合计金额（元）</w:t>
            </w:r>
          </w:p>
          <w:p w14:paraId="7C4F4A58">
            <w:pPr>
              <w:spacing w:line="28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③＝①</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②</w:t>
            </w:r>
          </w:p>
        </w:tc>
      </w:tr>
      <w:tr w14:paraId="355F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48B68A02">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32" w:type="dxa"/>
            <w:noWrap w:val="0"/>
            <w:vAlign w:val="center"/>
          </w:tcPr>
          <w:p w14:paraId="6EEDBB6A">
            <w:pPr>
              <w:spacing w:line="400" w:lineRule="exact"/>
              <w:jc w:val="center"/>
              <w:rPr>
                <w:rFonts w:ascii="宋体" w:hAnsi="宋体" w:cs="宋体"/>
                <w:color w:val="000000" w:themeColor="text1"/>
                <w:szCs w:val="21"/>
                <w:highlight w:val="none"/>
                <w14:textFill>
                  <w14:solidFill>
                    <w14:schemeClr w14:val="tx1"/>
                  </w14:solidFill>
                </w14:textFill>
              </w:rPr>
            </w:pPr>
          </w:p>
        </w:tc>
        <w:tc>
          <w:tcPr>
            <w:tcW w:w="1445" w:type="dxa"/>
            <w:noWrap w:val="0"/>
            <w:vAlign w:val="center"/>
          </w:tcPr>
          <w:p w14:paraId="1BFD7564">
            <w:pPr>
              <w:spacing w:line="400" w:lineRule="exact"/>
              <w:jc w:val="center"/>
              <w:rPr>
                <w:rFonts w:ascii="宋体" w:hAnsi="宋体" w:cs="宋体"/>
                <w:color w:val="000000" w:themeColor="text1"/>
                <w:szCs w:val="21"/>
                <w:highlight w:val="none"/>
                <w14:textFill>
                  <w14:solidFill>
                    <w14:schemeClr w14:val="tx1"/>
                  </w14:solidFill>
                </w14:textFill>
              </w:rPr>
            </w:pPr>
          </w:p>
        </w:tc>
        <w:tc>
          <w:tcPr>
            <w:tcW w:w="1483" w:type="dxa"/>
            <w:noWrap w:val="0"/>
            <w:vAlign w:val="center"/>
          </w:tcPr>
          <w:p w14:paraId="7C81890C">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73" w:type="dxa"/>
            <w:noWrap w:val="0"/>
            <w:vAlign w:val="center"/>
          </w:tcPr>
          <w:p w14:paraId="7C088202">
            <w:pPr>
              <w:spacing w:line="400" w:lineRule="exact"/>
              <w:jc w:val="center"/>
              <w:rPr>
                <w:rFonts w:ascii="宋体" w:hAnsi="宋体" w:cs="宋体"/>
                <w:color w:val="000000" w:themeColor="text1"/>
                <w:szCs w:val="21"/>
                <w:highlight w:val="none"/>
                <w14:textFill>
                  <w14:solidFill>
                    <w14:schemeClr w14:val="tx1"/>
                  </w14:solidFill>
                </w14:textFill>
              </w:rPr>
            </w:pPr>
          </w:p>
        </w:tc>
        <w:tc>
          <w:tcPr>
            <w:tcW w:w="714" w:type="dxa"/>
            <w:noWrap w:val="0"/>
            <w:vAlign w:val="center"/>
          </w:tcPr>
          <w:p w14:paraId="6C4594D3">
            <w:pPr>
              <w:spacing w:line="400" w:lineRule="exact"/>
              <w:jc w:val="center"/>
              <w:rPr>
                <w:rFonts w:ascii="宋体" w:hAnsi="宋体" w:cs="宋体"/>
                <w:color w:val="000000" w:themeColor="text1"/>
                <w:szCs w:val="21"/>
                <w:highlight w:val="none"/>
                <w14:textFill>
                  <w14:solidFill>
                    <w14:schemeClr w14:val="tx1"/>
                  </w14:solidFill>
                </w14:textFill>
              </w:rPr>
            </w:pPr>
          </w:p>
        </w:tc>
        <w:tc>
          <w:tcPr>
            <w:tcW w:w="1545" w:type="dxa"/>
            <w:noWrap w:val="0"/>
            <w:vAlign w:val="center"/>
          </w:tcPr>
          <w:p w14:paraId="07553FD6">
            <w:pPr>
              <w:spacing w:line="400" w:lineRule="exact"/>
              <w:jc w:val="center"/>
              <w:rPr>
                <w:rFonts w:ascii="宋体" w:hAnsi="宋体" w:cs="宋体"/>
                <w:color w:val="000000" w:themeColor="text1"/>
                <w:szCs w:val="21"/>
                <w:highlight w:val="none"/>
                <w14:textFill>
                  <w14:solidFill>
                    <w14:schemeClr w14:val="tx1"/>
                  </w14:solidFill>
                </w14:textFill>
              </w:rPr>
            </w:pPr>
          </w:p>
        </w:tc>
        <w:tc>
          <w:tcPr>
            <w:tcW w:w="1575" w:type="dxa"/>
            <w:noWrap w:val="0"/>
            <w:vAlign w:val="center"/>
          </w:tcPr>
          <w:p w14:paraId="581F0949">
            <w:pPr>
              <w:spacing w:line="400" w:lineRule="exact"/>
              <w:jc w:val="center"/>
              <w:rPr>
                <w:rFonts w:ascii="宋体" w:hAnsi="宋体" w:cs="宋体"/>
                <w:color w:val="000000" w:themeColor="text1"/>
                <w:szCs w:val="21"/>
                <w:highlight w:val="none"/>
                <w14:textFill>
                  <w14:solidFill>
                    <w14:schemeClr w14:val="tx1"/>
                  </w14:solidFill>
                </w14:textFill>
              </w:rPr>
            </w:pPr>
          </w:p>
        </w:tc>
      </w:tr>
      <w:tr w14:paraId="2956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65B746FA">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32" w:type="dxa"/>
            <w:noWrap w:val="0"/>
            <w:vAlign w:val="center"/>
          </w:tcPr>
          <w:p w14:paraId="358E34D5">
            <w:pPr>
              <w:spacing w:line="400" w:lineRule="exact"/>
              <w:jc w:val="center"/>
              <w:rPr>
                <w:rFonts w:ascii="宋体" w:hAnsi="宋体" w:cs="宋体"/>
                <w:color w:val="000000" w:themeColor="text1"/>
                <w:szCs w:val="21"/>
                <w:highlight w:val="none"/>
                <w14:textFill>
                  <w14:solidFill>
                    <w14:schemeClr w14:val="tx1"/>
                  </w14:solidFill>
                </w14:textFill>
              </w:rPr>
            </w:pPr>
          </w:p>
        </w:tc>
        <w:tc>
          <w:tcPr>
            <w:tcW w:w="1445" w:type="dxa"/>
            <w:noWrap w:val="0"/>
            <w:vAlign w:val="center"/>
          </w:tcPr>
          <w:p w14:paraId="66D9B2B6">
            <w:pPr>
              <w:spacing w:line="400" w:lineRule="exact"/>
              <w:jc w:val="center"/>
              <w:rPr>
                <w:rFonts w:ascii="宋体" w:hAnsi="宋体" w:cs="宋体"/>
                <w:color w:val="000000" w:themeColor="text1"/>
                <w:szCs w:val="21"/>
                <w:highlight w:val="none"/>
                <w14:textFill>
                  <w14:solidFill>
                    <w14:schemeClr w14:val="tx1"/>
                  </w14:solidFill>
                </w14:textFill>
              </w:rPr>
            </w:pPr>
          </w:p>
        </w:tc>
        <w:tc>
          <w:tcPr>
            <w:tcW w:w="1483" w:type="dxa"/>
            <w:noWrap w:val="0"/>
            <w:vAlign w:val="center"/>
          </w:tcPr>
          <w:p w14:paraId="5B1792DF">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73" w:type="dxa"/>
            <w:noWrap w:val="0"/>
            <w:vAlign w:val="center"/>
          </w:tcPr>
          <w:p w14:paraId="4A26EB08">
            <w:pPr>
              <w:spacing w:line="400" w:lineRule="exact"/>
              <w:jc w:val="center"/>
              <w:rPr>
                <w:rFonts w:ascii="宋体" w:hAnsi="宋体" w:cs="宋体"/>
                <w:color w:val="000000" w:themeColor="text1"/>
                <w:szCs w:val="21"/>
                <w:highlight w:val="none"/>
                <w14:textFill>
                  <w14:solidFill>
                    <w14:schemeClr w14:val="tx1"/>
                  </w14:solidFill>
                </w14:textFill>
              </w:rPr>
            </w:pPr>
          </w:p>
        </w:tc>
        <w:tc>
          <w:tcPr>
            <w:tcW w:w="714" w:type="dxa"/>
            <w:noWrap w:val="0"/>
            <w:vAlign w:val="center"/>
          </w:tcPr>
          <w:p w14:paraId="337028CB">
            <w:pPr>
              <w:spacing w:line="400" w:lineRule="exact"/>
              <w:jc w:val="center"/>
              <w:rPr>
                <w:rFonts w:ascii="宋体" w:hAnsi="宋体" w:cs="宋体"/>
                <w:color w:val="000000" w:themeColor="text1"/>
                <w:szCs w:val="21"/>
                <w:highlight w:val="none"/>
                <w14:textFill>
                  <w14:solidFill>
                    <w14:schemeClr w14:val="tx1"/>
                  </w14:solidFill>
                </w14:textFill>
              </w:rPr>
            </w:pPr>
          </w:p>
        </w:tc>
        <w:tc>
          <w:tcPr>
            <w:tcW w:w="1545" w:type="dxa"/>
            <w:noWrap w:val="0"/>
            <w:vAlign w:val="center"/>
          </w:tcPr>
          <w:p w14:paraId="69D08846">
            <w:pPr>
              <w:spacing w:line="400" w:lineRule="exact"/>
              <w:jc w:val="center"/>
              <w:rPr>
                <w:rFonts w:ascii="宋体" w:hAnsi="宋体" w:cs="宋体"/>
                <w:color w:val="000000" w:themeColor="text1"/>
                <w:szCs w:val="21"/>
                <w:highlight w:val="none"/>
                <w14:textFill>
                  <w14:solidFill>
                    <w14:schemeClr w14:val="tx1"/>
                  </w14:solidFill>
                </w14:textFill>
              </w:rPr>
            </w:pPr>
          </w:p>
        </w:tc>
        <w:tc>
          <w:tcPr>
            <w:tcW w:w="1575" w:type="dxa"/>
            <w:noWrap w:val="0"/>
            <w:vAlign w:val="center"/>
          </w:tcPr>
          <w:p w14:paraId="348E2037">
            <w:pPr>
              <w:spacing w:line="400" w:lineRule="exact"/>
              <w:jc w:val="center"/>
              <w:rPr>
                <w:rFonts w:ascii="宋体" w:hAnsi="宋体" w:cs="宋体"/>
                <w:color w:val="000000" w:themeColor="text1"/>
                <w:szCs w:val="21"/>
                <w:highlight w:val="none"/>
                <w14:textFill>
                  <w14:solidFill>
                    <w14:schemeClr w14:val="tx1"/>
                  </w14:solidFill>
                </w14:textFill>
              </w:rPr>
            </w:pPr>
          </w:p>
        </w:tc>
      </w:tr>
      <w:tr w14:paraId="3A30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5F252938">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32" w:type="dxa"/>
            <w:noWrap w:val="0"/>
            <w:vAlign w:val="center"/>
          </w:tcPr>
          <w:p w14:paraId="37D47CAE">
            <w:pPr>
              <w:spacing w:line="400" w:lineRule="exact"/>
              <w:jc w:val="center"/>
              <w:rPr>
                <w:rFonts w:ascii="宋体" w:hAnsi="宋体" w:cs="宋体"/>
                <w:color w:val="000000" w:themeColor="text1"/>
                <w:szCs w:val="21"/>
                <w:highlight w:val="none"/>
                <w14:textFill>
                  <w14:solidFill>
                    <w14:schemeClr w14:val="tx1"/>
                  </w14:solidFill>
                </w14:textFill>
              </w:rPr>
            </w:pPr>
          </w:p>
        </w:tc>
        <w:tc>
          <w:tcPr>
            <w:tcW w:w="1445" w:type="dxa"/>
            <w:noWrap w:val="0"/>
            <w:vAlign w:val="center"/>
          </w:tcPr>
          <w:p w14:paraId="0FC9001A">
            <w:pPr>
              <w:spacing w:line="400" w:lineRule="exact"/>
              <w:jc w:val="center"/>
              <w:rPr>
                <w:rFonts w:ascii="宋体" w:hAnsi="宋体" w:cs="宋体"/>
                <w:color w:val="000000" w:themeColor="text1"/>
                <w:szCs w:val="21"/>
                <w:highlight w:val="none"/>
                <w14:textFill>
                  <w14:solidFill>
                    <w14:schemeClr w14:val="tx1"/>
                  </w14:solidFill>
                </w14:textFill>
              </w:rPr>
            </w:pPr>
          </w:p>
        </w:tc>
        <w:tc>
          <w:tcPr>
            <w:tcW w:w="1483" w:type="dxa"/>
            <w:noWrap w:val="0"/>
            <w:vAlign w:val="center"/>
          </w:tcPr>
          <w:p w14:paraId="5FBBC32A">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73" w:type="dxa"/>
            <w:noWrap w:val="0"/>
            <w:vAlign w:val="center"/>
          </w:tcPr>
          <w:p w14:paraId="14F0CED8">
            <w:pPr>
              <w:spacing w:line="400" w:lineRule="exact"/>
              <w:jc w:val="center"/>
              <w:rPr>
                <w:rFonts w:ascii="宋体" w:hAnsi="宋体" w:cs="宋体"/>
                <w:color w:val="000000" w:themeColor="text1"/>
                <w:szCs w:val="21"/>
                <w:highlight w:val="none"/>
                <w14:textFill>
                  <w14:solidFill>
                    <w14:schemeClr w14:val="tx1"/>
                  </w14:solidFill>
                </w14:textFill>
              </w:rPr>
            </w:pPr>
          </w:p>
        </w:tc>
        <w:tc>
          <w:tcPr>
            <w:tcW w:w="714" w:type="dxa"/>
            <w:noWrap w:val="0"/>
            <w:vAlign w:val="center"/>
          </w:tcPr>
          <w:p w14:paraId="2FCA767E">
            <w:pPr>
              <w:spacing w:line="400" w:lineRule="exact"/>
              <w:jc w:val="center"/>
              <w:rPr>
                <w:rFonts w:ascii="宋体" w:hAnsi="宋体" w:cs="宋体"/>
                <w:color w:val="000000" w:themeColor="text1"/>
                <w:szCs w:val="21"/>
                <w:highlight w:val="none"/>
                <w14:textFill>
                  <w14:solidFill>
                    <w14:schemeClr w14:val="tx1"/>
                  </w14:solidFill>
                </w14:textFill>
              </w:rPr>
            </w:pPr>
          </w:p>
        </w:tc>
        <w:tc>
          <w:tcPr>
            <w:tcW w:w="1545" w:type="dxa"/>
            <w:noWrap w:val="0"/>
            <w:vAlign w:val="center"/>
          </w:tcPr>
          <w:p w14:paraId="02DEF601">
            <w:pPr>
              <w:spacing w:line="400" w:lineRule="exact"/>
              <w:jc w:val="center"/>
              <w:rPr>
                <w:rFonts w:ascii="宋体" w:hAnsi="宋体" w:cs="宋体"/>
                <w:color w:val="000000" w:themeColor="text1"/>
                <w:szCs w:val="21"/>
                <w:highlight w:val="none"/>
                <w14:textFill>
                  <w14:solidFill>
                    <w14:schemeClr w14:val="tx1"/>
                  </w14:solidFill>
                </w14:textFill>
              </w:rPr>
            </w:pPr>
          </w:p>
        </w:tc>
        <w:tc>
          <w:tcPr>
            <w:tcW w:w="1575" w:type="dxa"/>
            <w:noWrap w:val="0"/>
            <w:vAlign w:val="center"/>
          </w:tcPr>
          <w:p w14:paraId="1D480B47">
            <w:pPr>
              <w:spacing w:line="400" w:lineRule="exact"/>
              <w:jc w:val="center"/>
              <w:rPr>
                <w:rFonts w:ascii="宋体" w:hAnsi="宋体" w:cs="宋体"/>
                <w:color w:val="000000" w:themeColor="text1"/>
                <w:szCs w:val="21"/>
                <w:highlight w:val="none"/>
                <w14:textFill>
                  <w14:solidFill>
                    <w14:schemeClr w14:val="tx1"/>
                  </w14:solidFill>
                </w14:textFill>
              </w:rPr>
            </w:pPr>
          </w:p>
        </w:tc>
      </w:tr>
      <w:tr w14:paraId="6260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01" w:type="dxa"/>
            <w:gridSpan w:val="7"/>
            <w:noWrap w:val="0"/>
            <w:vAlign w:val="center"/>
          </w:tcPr>
          <w:p w14:paraId="52F973CE">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合     计</w:t>
            </w:r>
          </w:p>
        </w:tc>
        <w:tc>
          <w:tcPr>
            <w:tcW w:w="1575" w:type="dxa"/>
            <w:noWrap w:val="0"/>
            <w:vAlign w:val="center"/>
          </w:tcPr>
          <w:p w14:paraId="2F380E51">
            <w:pPr>
              <w:spacing w:line="400" w:lineRule="exact"/>
              <w:rPr>
                <w:rFonts w:ascii="宋体" w:hAnsi="宋体" w:cs="宋体"/>
                <w:color w:val="000000" w:themeColor="text1"/>
                <w:szCs w:val="21"/>
                <w:highlight w:val="none"/>
                <w14:textFill>
                  <w14:solidFill>
                    <w14:schemeClr w14:val="tx1"/>
                  </w14:solidFill>
                </w14:textFill>
              </w:rPr>
            </w:pPr>
          </w:p>
        </w:tc>
      </w:tr>
    </w:tbl>
    <w:p w14:paraId="08DBF734">
      <w:pPr>
        <w:spacing w:line="380" w:lineRule="exact"/>
        <w:ind w:firstLine="41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根据《成交通知书》的成交内容，合同的总金额为：</w:t>
      </w:r>
      <w:r>
        <w:rPr>
          <w:rFonts w:hint="eastAsia" w:ascii="宋体" w:hAnsi="宋体" w:cs="宋体"/>
          <w:color w:val="000000" w:themeColor="text1"/>
          <w:szCs w:val="21"/>
          <w:highlight w:val="none"/>
          <w:u w:val="single"/>
          <w14:textFill>
            <w14:solidFill>
              <w14:schemeClr w14:val="tx1"/>
            </w14:solidFill>
          </w14:textFill>
        </w:rPr>
        <w:t xml:space="preserve">人民币 （大写）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（小写）       元</w:t>
      </w:r>
      <w:r>
        <w:rPr>
          <w:rFonts w:hint="eastAsia" w:ascii="宋体" w:hAnsi="宋体" w:cs="宋体"/>
          <w:color w:val="000000" w:themeColor="text1"/>
          <w:szCs w:val="21"/>
          <w:highlight w:val="none"/>
          <w14:textFill>
            <w14:solidFill>
              <w14:schemeClr w14:val="tx1"/>
            </w14:solidFill>
          </w14:textFill>
        </w:rPr>
        <w:t>）。</w:t>
      </w:r>
    </w:p>
    <w:p w14:paraId="59A0AFB8">
      <w:pPr>
        <w:spacing w:line="400" w:lineRule="exact"/>
        <w:ind w:firstLine="411"/>
        <w:outlineLvl w:val="1"/>
        <w:rPr>
          <w:rFonts w:ascii="宋体" w:hAnsi="宋体" w:cs="宋体"/>
          <w:b/>
          <w:color w:val="000000" w:themeColor="text1"/>
          <w:szCs w:val="21"/>
          <w:highlight w:val="none"/>
          <w14:textFill>
            <w14:solidFill>
              <w14:schemeClr w14:val="tx1"/>
            </w14:solidFill>
          </w14:textFill>
        </w:rPr>
      </w:pPr>
      <w:bookmarkStart w:id="614" w:name="_Toc32426"/>
      <w:bookmarkStart w:id="615" w:name="_Toc31851"/>
      <w:bookmarkStart w:id="616" w:name="_Toc1690"/>
      <w:bookmarkStart w:id="617" w:name="_Toc15939"/>
      <w:bookmarkStart w:id="618" w:name="_Toc18423"/>
      <w:bookmarkStart w:id="619" w:name="_Toc31579"/>
      <w:bookmarkStart w:id="620" w:name="_Toc27091"/>
      <w:bookmarkStart w:id="621" w:name="_Toc12330"/>
      <w:bookmarkStart w:id="622" w:name="_Toc15874"/>
      <w:bookmarkStart w:id="623" w:name="_Toc23870"/>
      <w:bookmarkStart w:id="624" w:name="_Toc30418"/>
      <w:bookmarkStart w:id="625" w:name="_Toc19435"/>
      <w:bookmarkStart w:id="626" w:name="_Toc14635"/>
      <w:bookmarkStart w:id="627" w:name="_Toc6841"/>
      <w:bookmarkStart w:id="628" w:name="_Toc13560"/>
      <w:bookmarkStart w:id="629" w:name="_Toc495841769"/>
      <w:bookmarkStart w:id="630" w:name="_Toc495841772"/>
      <w:bookmarkStart w:id="631" w:name="_Toc11830"/>
      <w:bookmarkStart w:id="632" w:name="_Toc27721"/>
      <w:bookmarkStart w:id="633" w:name="_Toc6786"/>
      <w:bookmarkStart w:id="634" w:name="_Toc20020"/>
      <w:bookmarkStart w:id="635" w:name="_Toc15633"/>
      <w:bookmarkStart w:id="636" w:name="_Toc23816"/>
      <w:bookmarkStart w:id="637" w:name="_Toc20835"/>
      <w:bookmarkStart w:id="638" w:name="_Toc4692"/>
      <w:bookmarkStart w:id="639" w:name="_Toc11773"/>
      <w:bookmarkStart w:id="640" w:name="_Toc13833"/>
      <w:bookmarkStart w:id="641" w:name="_Toc15249"/>
      <w:bookmarkStart w:id="642" w:name="_Toc23348"/>
      <w:bookmarkStart w:id="643" w:name="_Toc23736"/>
      <w:r>
        <w:rPr>
          <w:rFonts w:hint="eastAsia" w:ascii="宋体" w:hAnsi="宋体" w:cs="宋体"/>
          <w:b/>
          <w:color w:val="000000" w:themeColor="text1"/>
          <w:szCs w:val="21"/>
          <w:highlight w:val="none"/>
          <w14:textFill>
            <w14:solidFill>
              <w14:schemeClr w14:val="tx1"/>
            </w14:solidFill>
          </w14:textFill>
        </w:rPr>
        <w:t>第二条  质量保证</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3EE5E183">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1.乙方应按</w:t>
      </w:r>
      <w:r>
        <w:rPr>
          <w:color w:val="000000" w:themeColor="text1"/>
          <w:highlight w:val="none"/>
          <w14:textFill>
            <w14:solidFill>
              <w14:schemeClr w14:val="tx1"/>
            </w14:solidFill>
          </w14:textFill>
        </w:rPr>
        <w:t>响应文件</w:t>
      </w:r>
      <w:r>
        <w:rPr>
          <w:rFonts w:hint="eastAsia" w:ascii="宋体" w:hAnsi="宋体" w:cs="宋体"/>
          <w:color w:val="000000" w:themeColor="text1"/>
          <w:szCs w:val="21"/>
          <w:highlight w:val="none"/>
          <w14:textFill>
            <w14:solidFill>
              <w14:schemeClr w14:val="tx1"/>
            </w14:solidFill>
          </w14:textFill>
        </w:rPr>
        <w:t>承诺的货物规格型号、技术参数、质量标准等向甲方提供未经使用的全新原装产品，且在正常安装使用和保养条件下，其使用寿命期内各项指标均达到质量标准。</w:t>
      </w:r>
    </w:p>
    <w:p w14:paraId="2FCCE274">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2.乙方提供货物的质量保证期为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厂家规定质保期超过一年的，按厂家规定，“采购需求”有规定的，按规定执行）。在质保期内因货物本身的质量问题发生故障，乙方应负责免费修理和更换零部件。对达不到技术要求者，根据实际情况，经双方协商，可按以下第（1）款办法处理：</w:t>
      </w:r>
    </w:p>
    <w:p w14:paraId="0701A1D6">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（1）更换：由乙方承担所有发生的全部费用。</w:t>
      </w:r>
    </w:p>
    <w:p w14:paraId="37DCDBD3">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（2）贬值处理：由甲乙双方合议定价。</w:t>
      </w:r>
    </w:p>
    <w:p w14:paraId="40F47269">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（3）退货处理：乙方应退还甲方支付的合同款，同时应承担该货物的直接费用（运输、保险、检验、贷款利息及银行手续费等）。</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48690E4">
      <w:pPr>
        <w:spacing w:line="400" w:lineRule="exact"/>
        <w:ind w:firstLine="411"/>
        <w:outlineLvl w:val="1"/>
        <w:rPr>
          <w:rFonts w:ascii="宋体" w:hAnsi="宋体" w:cs="宋体"/>
          <w:b/>
          <w:color w:val="000000" w:themeColor="text1"/>
          <w:szCs w:val="21"/>
          <w:highlight w:val="none"/>
          <w14:textFill>
            <w14:solidFill>
              <w14:schemeClr w14:val="tx1"/>
            </w14:solidFill>
          </w14:textFill>
        </w:rPr>
      </w:pPr>
      <w:bookmarkStart w:id="644" w:name="_Toc28469"/>
      <w:bookmarkStart w:id="645" w:name="_Toc13729"/>
      <w:bookmarkStart w:id="646" w:name="_Toc4456"/>
      <w:bookmarkStart w:id="647" w:name="_Toc12962"/>
      <w:bookmarkStart w:id="648" w:name="_Toc8191"/>
      <w:bookmarkStart w:id="649" w:name="_Toc8883"/>
      <w:bookmarkStart w:id="650" w:name="_Toc18076"/>
      <w:bookmarkStart w:id="651" w:name="_Toc26784"/>
      <w:bookmarkStart w:id="652" w:name="_Toc22527"/>
      <w:bookmarkStart w:id="653" w:name="_Toc495841770"/>
      <w:bookmarkStart w:id="654" w:name="_Toc17443"/>
      <w:bookmarkStart w:id="655" w:name="_Toc19396"/>
      <w:bookmarkStart w:id="656" w:name="_Toc5104"/>
      <w:bookmarkStart w:id="657" w:name="_Toc16341"/>
      <w:bookmarkStart w:id="658" w:name="_Toc26643"/>
      <w:bookmarkStart w:id="659" w:name="_Toc28745"/>
      <w:bookmarkStart w:id="660" w:name="_Toc1104"/>
      <w:bookmarkStart w:id="661" w:name="_Toc18880"/>
      <w:bookmarkStart w:id="662" w:name="_Toc495841778"/>
      <w:bookmarkStart w:id="663" w:name="_Toc9369"/>
      <w:bookmarkStart w:id="664" w:name="_Toc9311"/>
      <w:bookmarkStart w:id="665" w:name="_Toc20654"/>
      <w:bookmarkStart w:id="666" w:name="_Toc9270"/>
      <w:bookmarkStart w:id="667" w:name="_Toc29168"/>
      <w:bookmarkStart w:id="668" w:name="_Toc19392"/>
      <w:bookmarkStart w:id="669" w:name="_Toc23778"/>
      <w:bookmarkStart w:id="670" w:name="_Toc31045"/>
      <w:bookmarkStart w:id="671" w:name="_Toc2830"/>
      <w:bookmarkStart w:id="672" w:name="_Toc19042"/>
      <w:bookmarkStart w:id="673" w:name="_Toc16945"/>
      <w:bookmarkStart w:id="674" w:name="_Toc24161"/>
      <w:r>
        <w:rPr>
          <w:rFonts w:hint="eastAsia" w:ascii="宋体" w:hAnsi="宋体" w:cs="宋体"/>
          <w:b/>
          <w:color w:val="000000" w:themeColor="text1"/>
          <w:szCs w:val="21"/>
          <w:highlight w:val="none"/>
          <w14:textFill>
            <w14:solidFill>
              <w14:schemeClr w14:val="tx1"/>
            </w14:solidFill>
          </w14:textFill>
        </w:rPr>
        <w:t>第三条  权利保证</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4D3E471E">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1.乙方应保证所提供货物在使用时不会侵犯任何第三方的专利权、商标权、工业设计权或其他权利。</w:t>
      </w:r>
    </w:p>
    <w:p w14:paraId="1DEB569B">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2.乙方应按</w:t>
      </w:r>
      <w:r>
        <w:rPr>
          <w:color w:val="000000" w:themeColor="text1"/>
          <w:highlight w:val="none"/>
          <w14:textFill>
            <w14:solidFill>
              <w14:schemeClr w14:val="tx1"/>
            </w14:solidFill>
          </w14:textFill>
        </w:rPr>
        <w:t>竞争性谈判文件</w:t>
      </w:r>
      <w:r>
        <w:rPr>
          <w:rFonts w:hint="eastAsia" w:ascii="宋体" w:hAnsi="宋体" w:cs="宋体"/>
          <w:color w:val="000000" w:themeColor="text1"/>
          <w:szCs w:val="21"/>
          <w:highlight w:val="none"/>
          <w14:textFill>
            <w14:solidFill>
              <w14:schemeClr w14:val="tx1"/>
            </w14:solidFill>
          </w14:textFill>
        </w:rPr>
        <w:t>规定的时间向甲方提供使用货物的有关技术资料。</w:t>
      </w:r>
    </w:p>
    <w:p w14:paraId="350F965E">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3.乙方保证所交付的货物的所有权完全属于乙方且无任何抵押、质押、查封等产权瑕疵。</w:t>
      </w:r>
    </w:p>
    <w:p w14:paraId="1665064F">
      <w:pPr>
        <w:spacing w:line="400" w:lineRule="exact"/>
        <w:ind w:firstLine="411"/>
        <w:outlineLvl w:val="1"/>
        <w:rPr>
          <w:rFonts w:ascii="宋体" w:hAnsi="宋体" w:cs="宋体"/>
          <w:b/>
          <w:color w:val="000000" w:themeColor="text1"/>
          <w:szCs w:val="21"/>
          <w:highlight w:val="none"/>
          <w14:textFill>
            <w14:solidFill>
              <w14:schemeClr w14:val="tx1"/>
            </w14:solidFill>
          </w14:textFill>
        </w:rPr>
      </w:pPr>
      <w:bookmarkStart w:id="675" w:name="_Toc7468"/>
      <w:bookmarkStart w:id="676" w:name="_Toc4219"/>
      <w:bookmarkStart w:id="677" w:name="_Toc21407"/>
      <w:bookmarkStart w:id="678" w:name="_Toc1643"/>
      <w:bookmarkStart w:id="679" w:name="_Toc23367"/>
      <w:bookmarkStart w:id="680" w:name="_Toc7189"/>
      <w:bookmarkStart w:id="681" w:name="_Toc17138"/>
      <w:bookmarkStart w:id="682" w:name="_Toc21712"/>
      <w:bookmarkStart w:id="683" w:name="_Toc24662"/>
      <w:bookmarkStart w:id="684" w:name="_Toc32209"/>
      <w:bookmarkStart w:id="685" w:name="_Toc7985"/>
      <w:bookmarkStart w:id="686" w:name="_Toc29457"/>
      <w:bookmarkStart w:id="687" w:name="_Toc26938"/>
      <w:bookmarkStart w:id="688" w:name="_Toc11016"/>
      <w:bookmarkStart w:id="689" w:name="_Toc495841771"/>
      <w:bookmarkStart w:id="690" w:name="_Toc3865"/>
      <w:r>
        <w:rPr>
          <w:rFonts w:hint="eastAsia" w:ascii="宋体" w:hAnsi="宋体" w:cs="宋体"/>
          <w:b/>
          <w:color w:val="000000" w:themeColor="text1"/>
          <w:szCs w:val="21"/>
          <w:highlight w:val="none"/>
          <w14:textFill>
            <w14:solidFill>
              <w14:schemeClr w14:val="tx1"/>
            </w14:solidFill>
          </w14:textFill>
        </w:rPr>
        <w:t>第四条  货物包装、运输</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6906A6B0">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1.乙方应在货物发运前对其进行满足运输距离、防潮、防震、防锈和防破损装卸等要求包装，以保证货物安全运达甲方指定地点。</w:t>
      </w:r>
    </w:p>
    <w:p w14:paraId="04D8373E">
      <w:pPr>
        <w:spacing w:line="400" w:lineRule="exact"/>
        <w:ind w:lef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2.使用中文说明书（货物属于进口产品的，供货时应同时附上中文使用说明书）、质量检验证明书、</w:t>
      </w:r>
    </w:p>
    <w:p w14:paraId="3B27316D">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随配附件和工具以及清单一并附于货物内。</w:t>
      </w:r>
    </w:p>
    <w:p w14:paraId="5B39C268">
      <w:pPr>
        <w:pStyle w:val="18"/>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本项目货物不接受进口产品（即通过中国海关报关验放进入中国境内且产自关境外的产品）。</w:t>
      </w:r>
    </w:p>
    <w:p w14:paraId="2348AF72">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3.乙方在货物发运手续办理完毕后二十四小时内或货到甲方四十八小时前通知甲方，以准备接货。</w:t>
      </w:r>
    </w:p>
    <w:p w14:paraId="19961010">
      <w:pPr>
        <w:spacing w:line="400" w:lineRule="exact"/>
        <w:ind w:left="420" w:firstLine="0"/>
        <w:outlineLvl w:val="2"/>
        <w:rPr>
          <w:rFonts w:hint="eastAsia" w:ascii="宋体" w:hAnsi="宋体" w:cs="宋体"/>
          <w:b/>
          <w:color w:val="000000" w:themeColor="text1"/>
          <w:szCs w:val="21"/>
          <w:highlight w:val="none"/>
          <w14:textFill>
            <w14:solidFill>
              <w14:schemeClr w14:val="tx1"/>
            </w14:solidFill>
          </w14:textFill>
        </w:rPr>
      </w:pPr>
      <w:bookmarkStart w:id="691" w:name="_Toc12843"/>
      <w:bookmarkStart w:id="692" w:name="_Toc29389"/>
      <w:bookmarkStart w:id="693" w:name="_Toc9813"/>
      <w:bookmarkStart w:id="694" w:name="_Toc26281"/>
      <w:bookmarkStart w:id="695" w:name="_Toc28940"/>
      <w:r>
        <w:rPr>
          <w:rFonts w:hint="eastAsia" w:ascii="宋体" w:hAnsi="宋体" w:cs="宋体"/>
          <w:color w:val="000000" w:themeColor="text1"/>
          <w:szCs w:val="21"/>
          <w:highlight w:val="none"/>
          <w14:textFill>
            <w14:solidFill>
              <w14:schemeClr w14:val="tx1"/>
            </w14:solidFill>
          </w14:textFill>
        </w:rPr>
        <w:t>4.货物在交付甲方前发生的风险均由乙方负责。</w:t>
      </w:r>
      <w:bookmarkEnd w:id="691"/>
      <w:bookmarkEnd w:id="692"/>
      <w:bookmarkEnd w:id="693"/>
      <w:bookmarkEnd w:id="694"/>
      <w:bookmarkEnd w:id="695"/>
      <w:r>
        <w:rPr>
          <w:rFonts w:hint="eastAsia" w:ascii="宋体" w:hAnsi="宋体" w:cs="宋体"/>
          <w:color w:val="000000" w:themeColor="text1"/>
          <w:szCs w:val="21"/>
          <w:highlight w:val="none"/>
          <w14:textFill>
            <w14:solidFill>
              <w14:schemeClr w14:val="tx1"/>
            </w14:solidFill>
          </w14:textFill>
        </w:rPr>
        <w:t xml:space="preserve"> </w:t>
      </w:r>
      <w:bookmarkStart w:id="696" w:name="_Toc10470"/>
      <w:bookmarkStart w:id="697" w:name="_Toc7050"/>
      <w:bookmarkStart w:id="698" w:name="_Toc11718"/>
      <w:bookmarkStart w:id="699" w:name="_Toc11141"/>
      <w:bookmarkStart w:id="700" w:name="_Toc26071"/>
      <w:bookmarkStart w:id="701" w:name="_Toc9226"/>
      <w:bookmarkStart w:id="702" w:name="_Toc581"/>
      <w:bookmarkStart w:id="703" w:name="_Toc2705"/>
      <w:bookmarkStart w:id="704" w:name="_Toc21814"/>
      <w:bookmarkStart w:id="705" w:name="_Toc23280"/>
      <w:bookmarkStart w:id="706" w:name="_Toc21631"/>
      <w:bookmarkStart w:id="707" w:name="_Toc28926"/>
      <w:bookmarkStart w:id="708" w:name="_Toc14038"/>
      <w:bookmarkStart w:id="709" w:name="_Toc25828"/>
    </w:p>
    <w:p w14:paraId="1AEABD0C">
      <w:pPr>
        <w:spacing w:line="400" w:lineRule="exact"/>
        <w:ind w:firstLine="420"/>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第五条  交付</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9410239">
      <w:pPr>
        <w:tabs>
          <w:tab w:val="left" w:pos="0"/>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bookmarkStart w:id="710" w:name="_Toc2045"/>
      <w:bookmarkStart w:id="711" w:name="_Toc14073"/>
      <w:bookmarkStart w:id="712" w:name="_Toc30287"/>
      <w:bookmarkStart w:id="713" w:name="_Toc15755"/>
      <w:bookmarkStart w:id="714" w:name="_Toc495841773"/>
      <w:bookmarkStart w:id="715" w:name="_Toc4383"/>
      <w:bookmarkStart w:id="716" w:name="_Toc14427"/>
      <w:bookmarkStart w:id="717" w:name="_Toc26488"/>
      <w:bookmarkStart w:id="718" w:name="_Toc10335"/>
      <w:bookmarkStart w:id="719" w:name="_Toc9705"/>
      <w:bookmarkStart w:id="720" w:name="_Toc100"/>
      <w:bookmarkStart w:id="721" w:name="_Toc17672"/>
      <w:bookmarkStart w:id="722" w:name="_Toc4833"/>
      <w:bookmarkStart w:id="723" w:name="_Toc13380"/>
      <w:bookmarkStart w:id="724" w:name="_Toc8876"/>
      <w:bookmarkStart w:id="725" w:name="_Toc28826"/>
      <w:r>
        <w:rPr>
          <w:rFonts w:hint="eastAsia" w:ascii="宋体" w:hAnsi="宋体" w:eastAsia="宋体" w:cs="宋体"/>
          <w:color w:val="000000" w:themeColor="text1"/>
          <w:szCs w:val="21"/>
          <w:highlight w:val="none"/>
          <w:lang w:eastAsia="zh-CN"/>
          <w14:textFill>
            <w14:solidFill>
              <w14:schemeClr w14:val="tx1"/>
            </w14:solidFill>
          </w14:textFill>
        </w:rPr>
        <w:t>1.交付使用期：自签订合同之日起</w:t>
      </w:r>
      <w:r>
        <w:rPr>
          <w:rFonts w:hint="eastAsia" w:ascii="宋体" w:hAnsi="宋体" w:eastAsia="宋体" w:cs="宋体"/>
          <w:color w:val="000000" w:themeColor="text1"/>
          <w:szCs w:val="21"/>
          <w:highlight w:val="none"/>
          <w:lang w:val="en-US" w:eastAsia="zh-CN"/>
          <w14:textFill>
            <w14:solidFill>
              <w14:schemeClr w14:val="tx1"/>
            </w14:solidFill>
          </w14:textFill>
        </w:rPr>
        <w:t>20</w:t>
      </w:r>
      <w:r>
        <w:rPr>
          <w:rFonts w:hint="eastAsia" w:ascii="宋体" w:hAnsi="宋体" w:eastAsia="宋体" w:cs="宋体"/>
          <w:color w:val="000000" w:themeColor="text1"/>
          <w:szCs w:val="21"/>
          <w:highlight w:val="none"/>
          <w:lang w:eastAsia="zh-CN"/>
          <w14:textFill>
            <w14:solidFill>
              <w14:schemeClr w14:val="tx1"/>
            </w14:solidFill>
          </w14:textFill>
        </w:rPr>
        <w:t>日历日内全部安装调试合格完毕并交付使用，超期未安装调试完毕则视为违约。</w:t>
      </w:r>
    </w:p>
    <w:p w14:paraId="0D3162C9">
      <w:pPr>
        <w:tabs>
          <w:tab w:val="left" w:pos="0"/>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2.交货地点：采购人指定地点。</w:t>
      </w:r>
    </w:p>
    <w:p w14:paraId="1DE6BB9C">
      <w:pPr>
        <w:spacing w:line="400" w:lineRule="exact"/>
        <w:ind w:firstLine="420"/>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第六条  验收</w:t>
      </w:r>
      <w:bookmarkEnd w:id="710"/>
      <w:bookmarkEnd w:id="711"/>
      <w:bookmarkEnd w:id="712"/>
      <w:bookmarkEnd w:id="713"/>
      <w:bookmarkEnd w:id="714"/>
      <w:r>
        <w:rPr>
          <w:rFonts w:hint="eastAsia" w:ascii="宋体" w:hAnsi="宋体" w:cs="宋体"/>
          <w:b/>
          <w:color w:val="000000" w:themeColor="text1"/>
          <w:szCs w:val="21"/>
          <w:highlight w:val="none"/>
          <w14:textFill>
            <w14:solidFill>
              <w14:schemeClr w14:val="tx1"/>
            </w14:solidFill>
          </w14:textFill>
        </w:rPr>
        <w:t>方式</w:t>
      </w:r>
      <w:bookmarkEnd w:id="715"/>
      <w:bookmarkEnd w:id="716"/>
      <w:bookmarkEnd w:id="717"/>
      <w:bookmarkEnd w:id="718"/>
      <w:bookmarkEnd w:id="719"/>
      <w:bookmarkEnd w:id="720"/>
      <w:bookmarkEnd w:id="721"/>
      <w:bookmarkEnd w:id="722"/>
      <w:bookmarkEnd w:id="723"/>
      <w:bookmarkEnd w:id="724"/>
      <w:bookmarkEnd w:id="725"/>
    </w:p>
    <w:p w14:paraId="1EDC1175">
      <w:pPr>
        <w:tabs>
          <w:tab w:val="left" w:pos="0"/>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bookmarkStart w:id="726" w:name="_Toc724"/>
      <w:bookmarkStart w:id="727" w:name="_Toc17861"/>
      <w:bookmarkStart w:id="728" w:name="_Toc11054"/>
      <w:bookmarkStart w:id="729" w:name="_Toc11427"/>
      <w:bookmarkStart w:id="730" w:name="_Toc15721"/>
      <w:bookmarkStart w:id="731" w:name="_Toc21836"/>
      <w:bookmarkStart w:id="732" w:name="_Toc30431"/>
      <w:bookmarkStart w:id="733" w:name="_Toc32229"/>
      <w:bookmarkStart w:id="734" w:name="_Toc495841774"/>
      <w:bookmarkStart w:id="735" w:name="_Toc32587"/>
      <w:bookmarkStart w:id="736" w:name="_Toc5747"/>
      <w:bookmarkStart w:id="737" w:name="_Toc29074"/>
      <w:bookmarkStart w:id="738" w:name="_Toc8109"/>
      <w:bookmarkStart w:id="739" w:name="_Toc13484"/>
      <w:bookmarkStart w:id="740" w:name="_Toc25541"/>
      <w:bookmarkStart w:id="741" w:name="_Toc24752"/>
      <w:r>
        <w:rPr>
          <w:rFonts w:hint="eastAsia" w:ascii="宋体" w:hAnsi="宋体" w:eastAsia="宋体" w:cs="宋体"/>
          <w:color w:val="000000" w:themeColor="text1"/>
          <w:szCs w:val="21"/>
          <w:highlight w:val="none"/>
          <w:lang w:eastAsia="zh-CN"/>
          <w14:textFill>
            <w14:solidFill>
              <w14:schemeClr w14:val="tx1"/>
            </w14:solidFill>
          </w14:textFill>
        </w:rPr>
        <w:t>1.采购人将组织相关人员及专家对采购项目进行验收，验收意见作为验收书的参考资料存档备查，验收将严格按照竞争性谈判文件的规定和响应文件的响应及承诺执行，验收不合格的将根据合同有关条款进行处理。</w:t>
      </w:r>
    </w:p>
    <w:p w14:paraId="2CEFD0A7">
      <w:pPr>
        <w:tabs>
          <w:tab w:val="left" w:pos="0"/>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2.验收依据：按照竞争性谈判文件要求及成交供应商的响应文件。</w:t>
      </w:r>
    </w:p>
    <w:p w14:paraId="591598C9">
      <w:pPr>
        <w:tabs>
          <w:tab w:val="left" w:pos="0"/>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成交供应商必须提供原装正品的、全新的、符合有关质量标准的产品和按要求提供资料。交货时，采购人现场根据竞争性谈判文件要求及响应文件承诺逐条对应进行核验，若发现产品不符合竞争性谈判文件和响应文件承诺要求的，采购人不予验收，同时报相关监督管理部门处理，由此造成采购人经济损失的由成交供应商负责承担全部赔偿责任。</w:t>
      </w:r>
    </w:p>
    <w:p w14:paraId="76638F3C">
      <w:pPr>
        <w:tabs>
          <w:tab w:val="left" w:pos="0"/>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eastAsia="zh-CN"/>
          <w14:textFill>
            <w14:solidFill>
              <w14:schemeClr w14:val="tx1"/>
            </w14:solidFill>
          </w14:textFill>
        </w:rPr>
        <w:t>验收时成交供应商必须在现场，验收完毕后作出验收结果报告，验收费用由成交供应商负责。</w:t>
      </w:r>
    </w:p>
    <w:p w14:paraId="58F36754">
      <w:pPr>
        <w:tabs>
          <w:tab w:val="left" w:pos="0"/>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eastAsia="zh-CN"/>
          <w14:textFill>
            <w14:solidFill>
              <w14:schemeClr w14:val="tx1"/>
            </w14:solidFill>
          </w14:textFill>
        </w:rPr>
        <w:t>采购人对验收有异议的，在验收后五个工作日内以书面形式向成交供应商提出，成交供应商应自收到采购人书面异议后五个工作日内及时予以解决。</w:t>
      </w:r>
    </w:p>
    <w:p w14:paraId="33FE2145">
      <w:pPr>
        <w:spacing w:line="400" w:lineRule="exact"/>
        <w:ind w:firstLine="420"/>
        <w:outlineLvl w:val="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第七条  安装和培训</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3330CC17">
      <w:pPr>
        <w:tabs>
          <w:tab w:val="left" w:pos="0"/>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1.甲方应提供必要安装条件（如场地、电源、水源等）。</w:t>
      </w:r>
    </w:p>
    <w:p w14:paraId="127FA283">
      <w:pPr>
        <w:tabs>
          <w:tab w:val="left" w:pos="0"/>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2.乙方负责甲方有关人员的培训。培训时间、地点：</w:t>
      </w:r>
      <w:r>
        <w:rPr>
          <w:rFonts w:hint="eastAsia" w:ascii="宋体" w:hAnsi="宋体" w:cs="宋体"/>
          <w:bCs/>
          <w:color w:val="000000" w:themeColor="text1"/>
          <w:szCs w:val="21"/>
          <w:highlight w:val="none"/>
          <w14:textFill>
            <w14:solidFill>
              <w14:schemeClr w14:val="tx1"/>
            </w14:solidFill>
          </w14:textFill>
        </w:rPr>
        <w:t>采购人指定地点。</w:t>
      </w:r>
    </w:p>
    <w:p w14:paraId="068786F4">
      <w:pPr>
        <w:spacing w:line="400" w:lineRule="exact"/>
        <w:ind w:firstLine="420"/>
        <w:outlineLvl w:val="1"/>
        <w:rPr>
          <w:rFonts w:ascii="宋体" w:hAnsi="宋体" w:cs="宋体"/>
          <w:b/>
          <w:color w:val="000000" w:themeColor="text1"/>
          <w:szCs w:val="21"/>
          <w:highlight w:val="none"/>
          <w14:textFill>
            <w14:solidFill>
              <w14:schemeClr w14:val="tx1"/>
            </w14:solidFill>
          </w14:textFill>
        </w:rPr>
      </w:pPr>
      <w:bookmarkStart w:id="742" w:name="_Toc13642"/>
      <w:bookmarkStart w:id="743" w:name="_Toc14816"/>
      <w:bookmarkStart w:id="744" w:name="_Toc27580"/>
      <w:bookmarkStart w:id="745" w:name="_Toc1691"/>
      <w:bookmarkStart w:id="746" w:name="_Toc15"/>
      <w:bookmarkStart w:id="747" w:name="_Toc7422"/>
      <w:bookmarkStart w:id="748" w:name="_Toc29406"/>
      <w:bookmarkStart w:id="749" w:name="_Toc495841775"/>
      <w:bookmarkStart w:id="750" w:name="_Toc27949"/>
      <w:bookmarkStart w:id="751" w:name="_Toc13114"/>
      <w:bookmarkStart w:id="752" w:name="_Toc29939"/>
      <w:bookmarkStart w:id="753" w:name="_Toc23366"/>
      <w:bookmarkStart w:id="754" w:name="_Toc29236"/>
      <w:bookmarkStart w:id="755" w:name="_Toc14415"/>
      <w:bookmarkStart w:id="756" w:name="_Toc18456"/>
      <w:bookmarkStart w:id="757" w:name="_Toc21827"/>
      <w:r>
        <w:rPr>
          <w:rFonts w:hint="eastAsia" w:ascii="宋体" w:hAnsi="宋体" w:cs="宋体"/>
          <w:b/>
          <w:color w:val="000000" w:themeColor="text1"/>
          <w:szCs w:val="21"/>
          <w:highlight w:val="none"/>
          <w14:textFill>
            <w14:solidFill>
              <w14:schemeClr w14:val="tx1"/>
            </w14:solidFill>
          </w14:textFill>
        </w:rPr>
        <w:t>第八条  服务要求及免费保修期</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3D18846E">
      <w:pPr>
        <w:tabs>
          <w:tab w:val="left" w:pos="0"/>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bookmarkStart w:id="758" w:name="_Toc12595"/>
      <w:bookmarkStart w:id="759" w:name="_Toc9412"/>
      <w:bookmarkStart w:id="760" w:name="_Toc18235"/>
      <w:bookmarkStart w:id="761" w:name="_Toc495841776"/>
      <w:bookmarkStart w:id="762" w:name="_Toc29143"/>
      <w:bookmarkStart w:id="763" w:name="_Toc15324"/>
      <w:bookmarkStart w:id="764" w:name="_Toc30799"/>
      <w:bookmarkStart w:id="765" w:name="_Toc6967"/>
      <w:bookmarkStart w:id="766" w:name="_Toc31479"/>
      <w:bookmarkStart w:id="767" w:name="_Toc30961"/>
      <w:bookmarkStart w:id="768" w:name="_Toc20967"/>
      <w:bookmarkStart w:id="769" w:name="_Toc19807"/>
      <w:bookmarkStart w:id="770" w:name="_Toc3729"/>
      <w:bookmarkStart w:id="771" w:name="_Toc13287"/>
      <w:bookmarkStart w:id="772" w:name="_Toc29956"/>
      <w:bookmarkStart w:id="773" w:name="_Toc7762"/>
      <w:r>
        <w:rPr>
          <w:rFonts w:hint="eastAsia" w:ascii="宋体" w:hAnsi="宋体" w:eastAsia="宋体" w:cs="宋体"/>
          <w:color w:val="000000" w:themeColor="text1"/>
          <w:szCs w:val="21"/>
          <w:highlight w:val="none"/>
          <w:lang w:eastAsia="zh-CN"/>
          <w14:textFill>
            <w14:solidFill>
              <w14:schemeClr w14:val="tx1"/>
            </w14:solidFill>
          </w14:textFill>
        </w:rPr>
        <w:t>1.所有响应产品必须是厂家合法渠道的全新正品，符合规定的质量、规格、性能，并按照相关国家及专业标准检验的合格产品，其产品须符合国家有关规定及厂家承诺实行“三包”。</w:t>
      </w:r>
    </w:p>
    <w:p w14:paraId="045BC3D7">
      <w:pPr>
        <w:tabs>
          <w:tab w:val="left" w:pos="0"/>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2.保修年限：各项货物免费保修期最短不得少于3年。</w:t>
      </w:r>
    </w:p>
    <w:p w14:paraId="70F05C32">
      <w:pPr>
        <w:tabs>
          <w:tab w:val="left" w:pos="0"/>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3.免费送货上门，免费安装调试合格。</w:t>
      </w:r>
    </w:p>
    <w:p w14:paraId="1D080433">
      <w:pPr>
        <w:tabs>
          <w:tab w:val="left" w:pos="0"/>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4.服务响应时间：接到用户故障通知后2小时内给予答复，4小时内给出解决方案，24小时内解决故障。未能在规定时间内排除故障的，必须在48小时内提供同档次的备用机并提交故障解决处理方案。</w:t>
      </w:r>
    </w:p>
    <w:p w14:paraId="193CF6DE">
      <w:pPr>
        <w:tabs>
          <w:tab w:val="left" w:pos="0"/>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5.质保期内所有货物免费上门维修服务、免费更换零部件；质保期过后提供电话咨询服务，并应承诺提供产品终身上门维护；其余按厂家承诺进行。</w:t>
      </w:r>
    </w:p>
    <w:p w14:paraId="451CA88E">
      <w:pPr>
        <w:tabs>
          <w:tab w:val="left" w:pos="0"/>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6.在质保期内，如果成交供应商或制造商的产品技术升级，成交供应商应及时通知采购人，如采购人有相应要求，成交供应商或制造商应对采购人购买的产品进行升级服务</w:t>
      </w:r>
      <w:r>
        <w:rPr>
          <w:rFonts w:hint="eastAsia" w:ascii="宋体" w:hAnsi="宋体" w:cs="宋体"/>
          <w:color w:val="000000" w:themeColor="text1"/>
          <w:szCs w:val="21"/>
          <w:highlight w:val="none"/>
          <w:lang w:eastAsia="zh-CN"/>
          <w14:textFill>
            <w14:solidFill>
              <w14:schemeClr w14:val="tx1"/>
            </w14:solidFill>
          </w14:textFill>
        </w:rPr>
        <w:t>。</w:t>
      </w:r>
    </w:p>
    <w:p w14:paraId="7E66D912">
      <w:pPr>
        <w:spacing w:line="400" w:lineRule="exact"/>
        <w:ind w:firstLine="411"/>
        <w:outlineLvl w:val="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第九条  税费</w:t>
      </w:r>
      <w:bookmarkEnd w:id="758"/>
      <w:bookmarkEnd w:id="759"/>
      <w:bookmarkEnd w:id="760"/>
      <w:bookmarkEnd w:id="761"/>
      <w:bookmarkEnd w:id="762"/>
      <w:r>
        <w:rPr>
          <w:rFonts w:hint="eastAsia" w:ascii="宋体" w:hAnsi="宋体" w:cs="宋体"/>
          <w:b/>
          <w:color w:val="000000" w:themeColor="text1"/>
          <w:szCs w:val="21"/>
          <w:highlight w:val="none"/>
          <w14:textFill>
            <w14:solidFill>
              <w14:schemeClr w14:val="tx1"/>
            </w14:solidFill>
          </w14:textFill>
        </w:rPr>
        <w:t>等要求</w:t>
      </w:r>
      <w:bookmarkEnd w:id="763"/>
      <w:bookmarkEnd w:id="764"/>
      <w:bookmarkEnd w:id="765"/>
      <w:bookmarkEnd w:id="766"/>
      <w:bookmarkEnd w:id="767"/>
      <w:bookmarkEnd w:id="768"/>
      <w:bookmarkEnd w:id="769"/>
      <w:bookmarkEnd w:id="770"/>
      <w:bookmarkEnd w:id="771"/>
      <w:bookmarkEnd w:id="772"/>
      <w:bookmarkEnd w:id="773"/>
    </w:p>
    <w:p w14:paraId="3526FA3E">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本合同执行中相关的一切税费均由乙方负担。</w:t>
      </w:r>
    </w:p>
    <w:p w14:paraId="39317D51">
      <w:pPr>
        <w:spacing w:line="400" w:lineRule="exact"/>
        <w:ind w:firstLine="411"/>
        <w:outlineLvl w:val="1"/>
        <w:rPr>
          <w:rFonts w:ascii="宋体" w:hAnsi="宋体" w:cs="宋体"/>
          <w:b/>
          <w:color w:val="000000" w:themeColor="text1"/>
          <w:szCs w:val="21"/>
          <w:highlight w:val="none"/>
          <w14:textFill>
            <w14:solidFill>
              <w14:schemeClr w14:val="tx1"/>
            </w14:solidFill>
          </w14:textFill>
        </w:rPr>
      </w:pPr>
      <w:bookmarkStart w:id="774" w:name="_Toc18828"/>
      <w:bookmarkStart w:id="775" w:name="_Toc495841777"/>
      <w:bookmarkStart w:id="776" w:name="_Toc30473"/>
      <w:bookmarkStart w:id="777" w:name="_Toc24201"/>
      <w:bookmarkStart w:id="778" w:name="_Toc14572"/>
      <w:bookmarkStart w:id="779" w:name="_Toc1005"/>
      <w:bookmarkStart w:id="780" w:name="_Toc25686"/>
      <w:bookmarkStart w:id="781" w:name="_Toc416"/>
      <w:bookmarkStart w:id="782" w:name="_Toc4808"/>
      <w:bookmarkStart w:id="783" w:name="_Toc8637"/>
      <w:bookmarkStart w:id="784" w:name="_Toc12037"/>
      <w:bookmarkStart w:id="785" w:name="_Toc6765"/>
      <w:bookmarkStart w:id="786" w:name="_Toc11319"/>
      <w:bookmarkStart w:id="787" w:name="_Toc17338"/>
      <w:bookmarkStart w:id="788" w:name="_Toc23641"/>
      <w:bookmarkStart w:id="789" w:name="_Toc18692"/>
      <w:r>
        <w:rPr>
          <w:rFonts w:hint="eastAsia" w:ascii="宋体" w:hAnsi="宋体" w:cs="宋体"/>
          <w:b/>
          <w:color w:val="000000" w:themeColor="text1"/>
          <w:szCs w:val="21"/>
          <w:highlight w:val="none"/>
          <w14:textFill>
            <w14:solidFill>
              <w14:schemeClr w14:val="tx1"/>
            </w14:solidFill>
          </w14:textFill>
        </w:rPr>
        <w:t>第十条  付款方式</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2FA2666A">
      <w:pPr>
        <w:tabs>
          <w:tab w:val="left" w:pos="0"/>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bookmarkStart w:id="790" w:name="_Toc10487"/>
      <w:bookmarkStart w:id="791" w:name="_Toc4446"/>
      <w:bookmarkStart w:id="792" w:name="_Toc634"/>
      <w:bookmarkStart w:id="793" w:name="_Toc1499"/>
      <w:bookmarkStart w:id="794" w:name="_Toc8727"/>
      <w:bookmarkStart w:id="795" w:name="_Toc7604"/>
      <w:bookmarkStart w:id="796" w:name="_Toc5565"/>
      <w:bookmarkStart w:id="797" w:name="_Toc11630"/>
      <w:bookmarkStart w:id="798" w:name="_Toc28715"/>
      <w:bookmarkStart w:id="799" w:name="_Toc21622"/>
      <w:bookmarkStart w:id="800" w:name="_Toc31968"/>
      <w:bookmarkStart w:id="801" w:name="_Toc27459"/>
      <w:r>
        <w:rPr>
          <w:rFonts w:hint="eastAsia" w:ascii="宋体" w:hAnsi="宋体" w:eastAsia="宋体" w:cs="宋体"/>
          <w:color w:val="000000" w:themeColor="text1"/>
          <w:highlight w:val="none"/>
          <w:lang w:eastAsia="zh-CN"/>
          <w14:textFill>
            <w14:solidFill>
              <w14:schemeClr w14:val="tx1"/>
            </w14:solidFill>
          </w14:textFill>
        </w:rPr>
        <w:t>本合同生效且乙方按要求提交相关完整资料后，甲方在</w:t>
      </w:r>
      <w:r>
        <w:rPr>
          <w:rFonts w:hint="eastAsia" w:ascii="宋体" w:hAnsi="宋体" w:cs="宋体"/>
          <w:color w:val="000000" w:themeColor="text1"/>
          <w:highlight w:val="none"/>
          <w:lang w:val="en-US" w:eastAsia="zh-CN"/>
          <w14:textFill>
            <w14:solidFill>
              <w14:schemeClr w14:val="tx1"/>
            </w14:solidFill>
          </w14:textFill>
        </w:rPr>
        <w:t>30日</w:t>
      </w:r>
      <w:r>
        <w:rPr>
          <w:rFonts w:hint="eastAsia" w:ascii="宋体" w:hAnsi="宋体" w:eastAsia="宋体" w:cs="宋体"/>
          <w:color w:val="000000" w:themeColor="text1"/>
          <w:highlight w:val="none"/>
          <w:lang w:eastAsia="zh-CN"/>
          <w14:textFill>
            <w14:solidFill>
              <w14:schemeClr w14:val="tx1"/>
            </w14:solidFill>
          </w14:textFill>
        </w:rPr>
        <w:t>内向乙方支付合同总金额的20%作为项目预付款。乙方完成本合同全部设备的送货、安装、调试、试运行等工作，且经甲方验收合格后，甲方</w:t>
      </w:r>
      <w:r>
        <w:rPr>
          <w:rFonts w:hint="eastAsia" w:ascii="宋体" w:hAnsi="宋体" w:cs="宋体"/>
          <w:color w:val="000000" w:themeColor="text1"/>
          <w:highlight w:val="none"/>
          <w:lang w:eastAsia="zh-CN"/>
          <w14:textFill>
            <w14:solidFill>
              <w14:schemeClr w14:val="tx1"/>
            </w14:solidFill>
          </w14:textFill>
        </w:rPr>
        <w:t>在</w:t>
      </w:r>
      <w:r>
        <w:rPr>
          <w:rFonts w:hint="eastAsia" w:ascii="宋体" w:hAnsi="宋体" w:cs="宋体"/>
          <w:color w:val="000000" w:themeColor="text1"/>
          <w:highlight w:val="none"/>
          <w:lang w:val="en-US" w:eastAsia="zh-CN"/>
          <w14:textFill>
            <w14:solidFill>
              <w14:schemeClr w14:val="tx1"/>
            </w14:solidFill>
          </w14:textFill>
        </w:rPr>
        <w:t>30日内</w:t>
      </w:r>
      <w:r>
        <w:rPr>
          <w:rFonts w:hint="eastAsia" w:ascii="宋体" w:hAnsi="宋体" w:eastAsia="宋体" w:cs="宋体"/>
          <w:color w:val="000000" w:themeColor="text1"/>
          <w:highlight w:val="none"/>
          <w:lang w:eastAsia="zh-CN"/>
          <w14:textFill>
            <w14:solidFill>
              <w14:schemeClr w14:val="tx1"/>
            </w14:solidFill>
          </w14:textFill>
        </w:rPr>
        <w:t>按规定程序支付至合同总金额的100%（含已付 20% 预付款）</w:t>
      </w:r>
      <w:r>
        <w:rPr>
          <w:rFonts w:hint="eastAsia" w:ascii="宋体" w:hAnsi="宋体" w:eastAsia="宋体" w:cs="宋体"/>
          <w:color w:val="000000" w:themeColor="text1"/>
          <w:szCs w:val="21"/>
          <w:highlight w:val="none"/>
          <w:lang w:eastAsia="zh-CN"/>
          <w14:textFill>
            <w14:solidFill>
              <w14:schemeClr w14:val="tx1"/>
            </w14:solidFill>
          </w14:textFill>
        </w:rPr>
        <w:t>。</w:t>
      </w:r>
    </w:p>
    <w:p w14:paraId="2391D667">
      <w:pPr>
        <w:spacing w:line="400" w:lineRule="exact"/>
        <w:ind w:firstLine="411"/>
        <w:outlineLvl w:val="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第十一条  违约责任</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790"/>
      <w:bookmarkEnd w:id="791"/>
      <w:bookmarkEnd w:id="792"/>
      <w:bookmarkEnd w:id="793"/>
      <w:bookmarkEnd w:id="794"/>
      <w:bookmarkEnd w:id="795"/>
      <w:bookmarkEnd w:id="796"/>
      <w:bookmarkEnd w:id="797"/>
      <w:bookmarkEnd w:id="798"/>
      <w:bookmarkEnd w:id="799"/>
      <w:bookmarkEnd w:id="800"/>
      <w:bookmarkEnd w:id="801"/>
    </w:p>
    <w:p w14:paraId="1987A38D">
      <w:pPr>
        <w:spacing w:line="380" w:lineRule="exact"/>
        <w:ind w:left="430" w:right="111" w:hanging="1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乙方所提供的服务质量不合格的，应及时更换，更换不及时的按逾期处罚，乙方应向甲方支付合同金额</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违约金并赔偿甲方经济损失。</w:t>
      </w:r>
    </w:p>
    <w:p w14:paraId="328DB89F">
      <w:pPr>
        <w:spacing w:line="380" w:lineRule="exact"/>
        <w:ind w:firstLine="41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乙方提供的服务如果侵犯了第三方合法权益而引发的任何纠纷或诉讼，均由乙方负责交涉并承担全部责任。</w:t>
      </w:r>
    </w:p>
    <w:p w14:paraId="71599CBB">
      <w:pPr>
        <w:spacing w:line="380" w:lineRule="exact"/>
        <w:ind w:left="210" w:firstLine="20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乙方无故延期服务交付的，每天向甲方偿付合同金额</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违约金，但违约金累计不得超过合同金额</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，超过</w:t>
      </w:r>
      <w:r>
        <w:rPr>
          <w:rFonts w:hint="eastAsia" w:ascii="宋体" w:hAnsi="宋体" w:cs="宋体"/>
          <w:color w:val="000000" w:themeColor="text1"/>
          <w:szCs w:val="21"/>
          <w:highlight w:val="none"/>
          <w:u w:val="single"/>
          <w14:textFill>
            <w14:solidFill>
              <w14:schemeClr w14:val="tx1"/>
            </w14:solidFill>
          </w14:textFill>
        </w:rPr>
        <w:t xml:space="preserve">  20  </w:t>
      </w:r>
      <w:r>
        <w:rPr>
          <w:rFonts w:hint="eastAsia" w:ascii="宋体" w:hAnsi="宋体" w:cs="宋体"/>
          <w:color w:val="000000" w:themeColor="text1"/>
          <w:szCs w:val="21"/>
          <w:highlight w:val="none"/>
          <w14:textFill>
            <w14:solidFill>
              <w14:schemeClr w14:val="tx1"/>
            </w14:solidFill>
          </w14:textFill>
        </w:rPr>
        <w:t xml:space="preserve">天甲方有权解除合同，违约方承担因此给对方造成经济损失； </w:t>
      </w:r>
    </w:p>
    <w:p w14:paraId="56874ECE">
      <w:pPr>
        <w:spacing w:line="380" w:lineRule="exact"/>
        <w:ind w:left="210" w:firstLine="20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乙方未按本合同和</w:t>
      </w:r>
      <w:r>
        <w:rPr>
          <w:color w:val="000000" w:themeColor="text1"/>
          <w:highlight w:val="none"/>
          <w14:textFill>
            <w14:solidFill>
              <w14:schemeClr w14:val="tx1"/>
            </w14:solidFill>
          </w14:textFill>
        </w:rPr>
        <w:t>响应文件</w:t>
      </w:r>
      <w:r>
        <w:rPr>
          <w:rFonts w:hint="eastAsia" w:ascii="宋体" w:hAnsi="宋体" w:cs="宋体"/>
          <w:color w:val="000000" w:themeColor="text1"/>
          <w:szCs w:val="21"/>
          <w:highlight w:val="none"/>
          <w14:textFill>
            <w14:solidFill>
              <w14:schemeClr w14:val="tx1"/>
            </w14:solidFill>
          </w14:textFill>
        </w:rPr>
        <w:t>中规定的服务承诺提供服务的，乙方应按本合同合同金额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向甲方支付违约金。</w:t>
      </w:r>
    </w:p>
    <w:p w14:paraId="0DC33120">
      <w:pPr>
        <w:spacing w:line="380" w:lineRule="exact"/>
        <w:ind w:firstLine="41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 其他违约行为按照合同金额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收取违约金并赔偿经济损失。</w:t>
      </w:r>
    </w:p>
    <w:p w14:paraId="58926652">
      <w:pPr>
        <w:spacing w:line="380" w:lineRule="exact"/>
        <w:ind w:firstLine="411"/>
        <w:outlineLvl w:val="1"/>
        <w:rPr>
          <w:rFonts w:hint="eastAsia" w:ascii="宋体" w:hAnsi="宋体" w:cs="宋体"/>
          <w:b/>
          <w:color w:val="000000" w:themeColor="text1"/>
          <w:szCs w:val="21"/>
          <w:highlight w:val="none"/>
          <w14:textFill>
            <w14:solidFill>
              <w14:schemeClr w14:val="tx1"/>
            </w14:solidFill>
          </w14:textFill>
        </w:rPr>
      </w:pPr>
      <w:bookmarkStart w:id="802" w:name="_Toc3965"/>
      <w:bookmarkStart w:id="803" w:name="_Toc19117"/>
      <w:bookmarkStart w:id="804" w:name="_Toc24844"/>
      <w:bookmarkStart w:id="805" w:name="_Toc5808"/>
      <w:bookmarkStart w:id="806" w:name="_Toc26465"/>
      <w:bookmarkStart w:id="807" w:name="_Toc16225"/>
      <w:bookmarkStart w:id="808" w:name="_Toc18541"/>
      <w:bookmarkStart w:id="809" w:name="_Toc31099"/>
      <w:bookmarkStart w:id="810" w:name="_Toc495841779"/>
      <w:bookmarkStart w:id="811" w:name="_Toc16076"/>
      <w:bookmarkStart w:id="812" w:name="_Toc25695"/>
      <w:bookmarkStart w:id="813" w:name="_Toc27837"/>
      <w:bookmarkStart w:id="814" w:name="_Toc10393"/>
      <w:bookmarkStart w:id="815" w:name="_Toc12124"/>
      <w:bookmarkStart w:id="816" w:name="_Toc24236"/>
      <w:bookmarkStart w:id="817" w:name="_Toc583"/>
      <w:bookmarkStart w:id="818" w:name="_Toc20057"/>
      <w:bookmarkStart w:id="819" w:name="_Toc26162"/>
      <w:bookmarkStart w:id="820" w:name="_Toc415"/>
      <w:bookmarkStart w:id="821" w:name="_Toc26415"/>
      <w:bookmarkStart w:id="822" w:name="_Toc13502"/>
      <w:bookmarkStart w:id="823" w:name="_Toc21774"/>
      <w:bookmarkStart w:id="824" w:name="_Toc31351"/>
      <w:bookmarkStart w:id="825" w:name="_Toc13104"/>
      <w:bookmarkStart w:id="826" w:name="_Toc28543"/>
      <w:bookmarkStart w:id="827" w:name="_Toc15595"/>
      <w:bookmarkStart w:id="828" w:name="_Toc10840"/>
      <w:r>
        <w:rPr>
          <w:rFonts w:hint="eastAsia" w:ascii="宋体" w:hAnsi="宋体" w:cs="宋体"/>
          <w:b/>
          <w:color w:val="000000" w:themeColor="text1"/>
          <w:szCs w:val="21"/>
          <w:highlight w:val="none"/>
          <w14:textFill>
            <w14:solidFill>
              <w14:schemeClr w14:val="tx1"/>
            </w14:solidFill>
          </w14:textFill>
        </w:rPr>
        <w:t>第十二条  不可抗力事件处理</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7439209F">
      <w:pPr>
        <w:spacing w:line="38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1.在合同有效期内，乙方因不可抗力事件导致不能履行合同，则合同履行期可延长，其延长期与不可抗力影响期相同。</w:t>
      </w:r>
    </w:p>
    <w:p w14:paraId="73685158">
      <w:pPr>
        <w:spacing w:line="380" w:lineRule="exact"/>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2.不可抗力事件发生后，应立即通知对方，并寄送有关权威机构出具的证明。</w:t>
      </w:r>
    </w:p>
    <w:p w14:paraId="1A1A315E">
      <w:pPr>
        <w:spacing w:line="380" w:lineRule="exact"/>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3.不可抗力事件延续一百二十天以上，双方应通过友好协商，确定是否继续履行合同。</w:t>
      </w:r>
    </w:p>
    <w:p w14:paraId="0BA1B4CB">
      <w:pPr>
        <w:spacing w:line="380" w:lineRule="exact"/>
        <w:ind w:firstLine="411"/>
        <w:outlineLvl w:val="1"/>
        <w:rPr>
          <w:rFonts w:hint="eastAsia" w:ascii="宋体" w:hAnsi="宋体" w:cs="宋体"/>
          <w:b/>
          <w:color w:val="000000" w:themeColor="text1"/>
          <w:szCs w:val="21"/>
          <w:highlight w:val="none"/>
          <w14:textFill>
            <w14:solidFill>
              <w14:schemeClr w14:val="tx1"/>
            </w14:solidFill>
          </w14:textFill>
        </w:rPr>
      </w:pPr>
      <w:bookmarkStart w:id="829" w:name="_Toc20796"/>
      <w:bookmarkStart w:id="830" w:name="_Toc22031"/>
      <w:bookmarkStart w:id="831" w:name="_Toc11559"/>
      <w:bookmarkStart w:id="832" w:name="_Toc5847"/>
      <w:bookmarkStart w:id="833" w:name="_Toc6977"/>
      <w:bookmarkStart w:id="834" w:name="_Toc6737"/>
      <w:bookmarkStart w:id="835" w:name="_Toc495841780"/>
      <w:bookmarkStart w:id="836" w:name="_Toc28778"/>
      <w:bookmarkStart w:id="837" w:name="_Toc26005"/>
      <w:bookmarkStart w:id="838" w:name="_Toc10613"/>
      <w:bookmarkStart w:id="839" w:name="_Toc12091"/>
      <w:bookmarkStart w:id="840" w:name="_Toc3675"/>
      <w:bookmarkStart w:id="841" w:name="_Toc2850"/>
      <w:bookmarkStart w:id="842" w:name="_Toc4428"/>
      <w:bookmarkStart w:id="843" w:name="_Toc20918"/>
      <w:bookmarkStart w:id="844" w:name="_Toc1190"/>
      <w:bookmarkStart w:id="845" w:name="_Toc17782"/>
      <w:bookmarkStart w:id="846" w:name="_Toc17451"/>
      <w:bookmarkStart w:id="847" w:name="_Toc28369"/>
      <w:bookmarkStart w:id="848" w:name="_Toc7458"/>
      <w:bookmarkStart w:id="849" w:name="_Toc9593"/>
      <w:bookmarkStart w:id="850" w:name="_Toc12106"/>
      <w:bookmarkStart w:id="851" w:name="_Toc9513"/>
      <w:bookmarkStart w:id="852" w:name="_Toc15232"/>
      <w:bookmarkStart w:id="853" w:name="_Toc9"/>
      <w:bookmarkStart w:id="854" w:name="_Toc14366"/>
      <w:bookmarkStart w:id="855" w:name="_Toc903"/>
      <w:r>
        <w:rPr>
          <w:rFonts w:hint="eastAsia" w:ascii="宋体" w:hAnsi="宋体" w:cs="宋体"/>
          <w:b/>
          <w:color w:val="000000" w:themeColor="text1"/>
          <w:szCs w:val="21"/>
          <w:highlight w:val="none"/>
          <w14:textFill>
            <w14:solidFill>
              <w14:schemeClr w14:val="tx1"/>
            </w14:solidFill>
          </w14:textFill>
        </w:rPr>
        <w:t>第十三条  合同争议解决</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3C266A46">
      <w:pPr>
        <w:spacing w:line="380" w:lineRule="exact"/>
        <w:ind w:firstLine="420"/>
        <w:rPr>
          <w:rFonts w:hint="eastAsia" w:ascii="宋体" w:hAnsi="宋体" w:cs="宋体"/>
          <w:color w:val="000000" w:themeColor="text1"/>
          <w:szCs w:val="21"/>
          <w:highlight w:val="none"/>
          <w14:textFill>
            <w14:solidFill>
              <w14:schemeClr w14:val="tx1"/>
            </w14:solidFill>
          </w14:textFill>
        </w:rPr>
      </w:pPr>
      <w:bookmarkStart w:id="856" w:name="_Toc495841781"/>
      <w:bookmarkStart w:id="857" w:name="_Toc26915"/>
      <w:r>
        <w:rPr>
          <w:rFonts w:hint="eastAsia" w:ascii="宋体" w:hAnsi="宋体" w:cs="宋体"/>
          <w:color w:val="000000" w:themeColor="text1"/>
          <w:szCs w:val="21"/>
          <w:highlight w:val="none"/>
          <w14:textFill>
            <w14:solidFill>
              <w14:schemeClr w14:val="tx1"/>
            </w14:solidFill>
          </w14:textFill>
        </w:rPr>
        <w:t>1.因服务问题发生争议的，应邀请国家认可的相关机构进行鉴定。服务符合要求的，鉴定费由采购人承担；服务不符合要求的，鉴定费由成交供应商承担。</w:t>
      </w:r>
    </w:p>
    <w:p w14:paraId="6BEA786E">
      <w:pPr>
        <w:spacing w:line="38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2.因履行本合同引起的或与本合同有关的争议，甲乙双方应首先通过友好协商解决，如果协商不能解决，可向</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甲方所在地有管辖权的人民法院</w:t>
      </w:r>
      <w:r>
        <w:rPr>
          <w:rFonts w:hint="eastAsia" w:ascii="宋体" w:hAnsi="宋体" w:cs="宋体"/>
          <w:color w:val="000000" w:themeColor="text1"/>
          <w:szCs w:val="21"/>
          <w:highlight w:val="none"/>
          <w14:textFill>
            <w14:solidFill>
              <w14:schemeClr w14:val="tx1"/>
            </w14:solidFill>
          </w14:textFill>
        </w:rPr>
        <w:t>提起诉讼。</w:t>
      </w:r>
    </w:p>
    <w:p w14:paraId="57EEE635">
      <w:pPr>
        <w:spacing w:line="380" w:lineRule="exact"/>
        <w:ind w:left="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3.诉讼期间，本合同继续履行。</w:t>
      </w:r>
    </w:p>
    <w:p w14:paraId="7674A409">
      <w:pPr>
        <w:spacing w:line="380" w:lineRule="exact"/>
        <w:ind w:firstLine="411"/>
        <w:outlineLvl w:val="1"/>
        <w:rPr>
          <w:rFonts w:hint="eastAsia" w:ascii="宋体" w:hAnsi="宋体" w:cs="宋体"/>
          <w:b/>
          <w:color w:val="000000" w:themeColor="text1"/>
          <w:szCs w:val="21"/>
          <w:highlight w:val="none"/>
          <w14:textFill>
            <w14:solidFill>
              <w14:schemeClr w14:val="tx1"/>
            </w14:solidFill>
          </w14:textFill>
        </w:rPr>
      </w:pPr>
      <w:bookmarkStart w:id="858" w:name="_Toc28082"/>
      <w:bookmarkStart w:id="859" w:name="_Toc21111"/>
      <w:bookmarkStart w:id="860" w:name="_Toc24483"/>
      <w:bookmarkStart w:id="861" w:name="_Toc30073"/>
      <w:bookmarkStart w:id="862" w:name="_Toc8733"/>
      <w:bookmarkStart w:id="863" w:name="_Toc7748"/>
      <w:bookmarkStart w:id="864" w:name="_Toc6511"/>
      <w:bookmarkStart w:id="865" w:name="_Toc7636"/>
      <w:bookmarkStart w:id="866" w:name="_Toc20402"/>
      <w:bookmarkStart w:id="867" w:name="_Toc21285"/>
      <w:bookmarkStart w:id="868" w:name="_Toc6185"/>
      <w:bookmarkStart w:id="869" w:name="_Toc3719"/>
      <w:bookmarkStart w:id="870" w:name="_Toc22717"/>
      <w:bookmarkStart w:id="871" w:name="_Toc29835"/>
      <w:bookmarkStart w:id="872" w:name="_Toc11735"/>
      <w:bookmarkStart w:id="873" w:name="_Toc9426"/>
      <w:bookmarkStart w:id="874" w:name="_Toc869"/>
      <w:bookmarkStart w:id="875" w:name="_Toc29227"/>
      <w:bookmarkStart w:id="876" w:name="_Toc16028"/>
      <w:bookmarkStart w:id="877" w:name="_Toc26569"/>
      <w:bookmarkStart w:id="878" w:name="_Toc7309"/>
      <w:bookmarkStart w:id="879" w:name="_Toc12703"/>
      <w:bookmarkStart w:id="880" w:name="_Toc6654"/>
      <w:bookmarkStart w:id="881" w:name="_Toc19098"/>
      <w:bookmarkStart w:id="882" w:name="_Toc21506"/>
      <w:r>
        <w:rPr>
          <w:rFonts w:hint="eastAsia" w:ascii="宋体" w:hAnsi="宋体" w:cs="宋体"/>
          <w:b/>
          <w:color w:val="000000" w:themeColor="text1"/>
          <w:szCs w:val="21"/>
          <w:highlight w:val="none"/>
          <w14:textFill>
            <w14:solidFill>
              <w14:schemeClr w14:val="tx1"/>
            </w14:solidFill>
          </w14:textFill>
        </w:rPr>
        <w:t>第十四条  合同生效及其它</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4C7AF513">
      <w:pPr>
        <w:spacing w:line="38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1.合同经甲乙双方法定代表人、负责人、自然人或相应的授权代表签字并加盖公章后生效。</w:t>
      </w:r>
    </w:p>
    <w:p w14:paraId="6EB4F60C">
      <w:pPr>
        <w:spacing w:line="38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2.合同执行中涉及采购资金和采购内容修改或补充的，需经本级财政部门审批，并签订书面补充协议报本级财政部门备案，方可作为主合同不可分割的一部分。</w:t>
      </w:r>
    </w:p>
    <w:p w14:paraId="04652E38">
      <w:pPr>
        <w:spacing w:line="380" w:lineRule="exact"/>
        <w:ind w:left="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3.本合同未尽事宜，遵照《中华人民共和国民法典》有关条文执行。</w:t>
      </w:r>
    </w:p>
    <w:p w14:paraId="3EF0EB8E">
      <w:pPr>
        <w:spacing w:line="380" w:lineRule="exact"/>
        <w:ind w:firstLine="411"/>
        <w:outlineLvl w:val="1"/>
        <w:rPr>
          <w:rFonts w:hint="eastAsia" w:ascii="宋体" w:hAnsi="宋体" w:cs="宋体"/>
          <w:b/>
          <w:color w:val="000000" w:themeColor="text1"/>
          <w:szCs w:val="21"/>
          <w:highlight w:val="none"/>
          <w14:textFill>
            <w14:solidFill>
              <w14:schemeClr w14:val="tx1"/>
            </w14:solidFill>
          </w14:textFill>
        </w:rPr>
      </w:pPr>
      <w:bookmarkStart w:id="883" w:name="_Toc25970"/>
      <w:bookmarkStart w:id="884" w:name="_Toc13260"/>
      <w:bookmarkStart w:id="885" w:name="_Toc31869"/>
      <w:bookmarkStart w:id="886" w:name="_Toc12949"/>
      <w:bookmarkStart w:id="887" w:name="_Toc2489"/>
      <w:bookmarkStart w:id="888" w:name="_Toc16419"/>
      <w:bookmarkStart w:id="889" w:name="_Toc10933"/>
      <w:bookmarkStart w:id="890" w:name="_Toc20803"/>
      <w:bookmarkStart w:id="891" w:name="_Toc5670"/>
      <w:bookmarkStart w:id="892" w:name="_Toc21080"/>
      <w:bookmarkStart w:id="893" w:name="_Toc14850"/>
      <w:bookmarkStart w:id="894" w:name="_Toc14733"/>
      <w:bookmarkStart w:id="895" w:name="_Toc5655"/>
      <w:bookmarkStart w:id="896" w:name="_Toc25677"/>
      <w:bookmarkStart w:id="897" w:name="_Toc24784"/>
      <w:bookmarkStart w:id="898" w:name="_Toc14392"/>
      <w:bookmarkStart w:id="899" w:name="_Toc2494"/>
      <w:bookmarkStart w:id="900" w:name="_Toc31589"/>
      <w:bookmarkStart w:id="901" w:name="_Toc20115"/>
      <w:bookmarkStart w:id="902" w:name="_Toc5794"/>
      <w:bookmarkStart w:id="903" w:name="_Toc8427"/>
      <w:bookmarkStart w:id="904" w:name="_Toc16310"/>
      <w:bookmarkStart w:id="905" w:name="_Toc10983"/>
      <w:bookmarkStart w:id="906" w:name="_Toc7137"/>
      <w:bookmarkStart w:id="907" w:name="_Toc24577"/>
      <w:bookmarkStart w:id="908" w:name="_Toc13964"/>
      <w:bookmarkStart w:id="909" w:name="_Toc495841782"/>
      <w:r>
        <w:rPr>
          <w:rFonts w:hint="eastAsia" w:ascii="宋体" w:hAnsi="宋体" w:cs="宋体"/>
          <w:b/>
          <w:color w:val="000000" w:themeColor="text1"/>
          <w:szCs w:val="21"/>
          <w:highlight w:val="none"/>
          <w14:textFill>
            <w14:solidFill>
              <w14:schemeClr w14:val="tx1"/>
            </w14:solidFill>
          </w14:textFill>
        </w:rPr>
        <w:t>第十五条  合同的变更、终止与转让</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216027D4">
      <w:pPr>
        <w:spacing w:line="38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14:paraId="40AF4DA1">
      <w:pPr>
        <w:spacing w:line="380" w:lineRule="exact"/>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2.乙方不得擅自转让(无进口资格的供应商委托进口货物除外)其应履行的合同义务。</w:t>
      </w:r>
    </w:p>
    <w:p w14:paraId="6EA55BE0">
      <w:pPr>
        <w:spacing w:line="380" w:lineRule="exact"/>
        <w:ind w:firstLine="411"/>
        <w:outlineLvl w:val="1"/>
        <w:rPr>
          <w:rFonts w:hint="eastAsia" w:ascii="宋体" w:hAnsi="宋体" w:cs="宋体"/>
          <w:b/>
          <w:color w:val="000000" w:themeColor="text1"/>
          <w:szCs w:val="21"/>
          <w:highlight w:val="none"/>
          <w14:textFill>
            <w14:solidFill>
              <w14:schemeClr w14:val="tx1"/>
            </w14:solidFill>
          </w14:textFill>
        </w:rPr>
      </w:pPr>
      <w:bookmarkStart w:id="910" w:name="_Toc19322"/>
      <w:bookmarkStart w:id="911" w:name="_Toc2849"/>
      <w:bookmarkStart w:id="912" w:name="_Toc28306"/>
      <w:bookmarkStart w:id="913" w:name="_Toc19588"/>
      <w:bookmarkStart w:id="914" w:name="_Toc3766"/>
      <w:bookmarkStart w:id="915" w:name="_Toc570"/>
      <w:bookmarkStart w:id="916" w:name="_Toc30417"/>
      <w:bookmarkStart w:id="917" w:name="_Toc23580"/>
      <w:bookmarkStart w:id="918" w:name="_Toc16691"/>
      <w:bookmarkStart w:id="919" w:name="_Toc495841783"/>
      <w:bookmarkStart w:id="920" w:name="_Toc15545"/>
      <w:bookmarkStart w:id="921" w:name="_Toc24448"/>
      <w:bookmarkStart w:id="922" w:name="_Toc27304"/>
      <w:bookmarkStart w:id="923" w:name="_Toc11402"/>
      <w:bookmarkStart w:id="924" w:name="_Toc1023"/>
      <w:bookmarkStart w:id="925" w:name="_Toc16104"/>
      <w:bookmarkStart w:id="926" w:name="_Toc2939"/>
      <w:bookmarkStart w:id="927" w:name="_Toc5360"/>
      <w:bookmarkStart w:id="928" w:name="_Toc27020"/>
      <w:bookmarkStart w:id="929" w:name="_Toc22404"/>
      <w:bookmarkStart w:id="930" w:name="_Toc9575"/>
      <w:bookmarkStart w:id="931" w:name="_Toc17074"/>
      <w:bookmarkStart w:id="932" w:name="_Toc12652"/>
      <w:bookmarkStart w:id="933" w:name="_Toc11079"/>
      <w:bookmarkStart w:id="934" w:name="_Toc5468"/>
      <w:bookmarkStart w:id="935" w:name="_Toc19767"/>
      <w:bookmarkStart w:id="936" w:name="_Toc25942"/>
      <w:r>
        <w:rPr>
          <w:rFonts w:hint="eastAsia" w:ascii="宋体" w:hAnsi="宋体" w:cs="宋体"/>
          <w:b/>
          <w:color w:val="000000" w:themeColor="text1"/>
          <w:szCs w:val="21"/>
          <w:highlight w:val="none"/>
          <w14:textFill>
            <w14:solidFill>
              <w14:schemeClr w14:val="tx1"/>
            </w14:solidFill>
          </w14:textFill>
        </w:rPr>
        <w:t>第十六条  签订本合同依据</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57ED9A68">
      <w:pPr>
        <w:spacing w:line="380" w:lineRule="exact"/>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1.竞争性谈判文件；</w:t>
      </w:r>
    </w:p>
    <w:p w14:paraId="3948A588">
      <w:pPr>
        <w:spacing w:line="380" w:lineRule="exact"/>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2.乙方提供的响应（或应答）文件；</w:t>
      </w:r>
    </w:p>
    <w:p w14:paraId="1A2665F6">
      <w:pPr>
        <w:spacing w:line="380" w:lineRule="exact"/>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3.服务承诺书；</w:t>
      </w:r>
    </w:p>
    <w:p w14:paraId="33A6668D">
      <w:pPr>
        <w:spacing w:line="380" w:lineRule="exact"/>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4.成交通知书。</w:t>
      </w:r>
    </w:p>
    <w:p w14:paraId="685FEDAB">
      <w:pPr>
        <w:spacing w:line="420" w:lineRule="exact"/>
        <w:ind w:firstLine="42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第十七条  合同文件</w:t>
      </w:r>
    </w:p>
    <w:p w14:paraId="391946EF">
      <w:pPr>
        <w:spacing w:line="420" w:lineRule="exact"/>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本合同所附下列文件是构成本合同不可分割的部分：</w:t>
      </w:r>
    </w:p>
    <w:p w14:paraId="10824737">
      <w:pPr>
        <w:spacing w:line="420" w:lineRule="exact"/>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1.竞争性谈判文件；</w:t>
      </w:r>
    </w:p>
    <w:p w14:paraId="57996E8E">
      <w:pPr>
        <w:spacing w:line="420" w:lineRule="exact"/>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2.乙方提供的响应（或应答）文件；</w:t>
      </w:r>
    </w:p>
    <w:p w14:paraId="731F1B2D">
      <w:pPr>
        <w:spacing w:line="420" w:lineRule="exact"/>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3.成交通知书；</w:t>
      </w:r>
    </w:p>
    <w:p w14:paraId="1AF12996">
      <w:pPr>
        <w:pStyle w:val="41"/>
        <w:ind w:left="0"/>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4.本合同协议书及有关补充资料。</w:t>
      </w:r>
    </w:p>
    <w:p w14:paraId="4EB94DAF">
      <w:pPr>
        <w:spacing w:line="4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政府采购合同双方自签订之日起将自动存档于“广西政府采购云平台”上，采购人于合同签订之日起七个工作日内将一份合同原件送本级财政部门备案。</w:t>
      </w:r>
    </w:p>
    <w:p w14:paraId="14F2CC5C">
      <w:pPr>
        <w:spacing w:line="380" w:lineRule="exact"/>
        <w:rPr>
          <w:rFonts w:hint="eastAsia" w:ascii="宋体" w:hAnsi="宋体" w:cs="宋体"/>
          <w:color w:val="000000" w:themeColor="text1"/>
          <w:szCs w:val="21"/>
          <w:highlight w:val="none"/>
          <w14:textFill>
            <w14:solidFill>
              <w14:schemeClr w14:val="tx1"/>
            </w14:solidFill>
          </w14:textFill>
        </w:rPr>
      </w:pPr>
    </w:p>
    <w:p w14:paraId="6278D00B">
      <w:pPr>
        <w:spacing w:line="380" w:lineRule="exact"/>
        <w:rPr>
          <w:rFonts w:hint="eastAsia" w:ascii="宋体" w:hAnsi="宋体" w:cs="宋体"/>
          <w:color w:val="000000" w:themeColor="text1"/>
          <w:szCs w:val="21"/>
          <w:highlight w:val="none"/>
          <w14:textFill>
            <w14:solidFill>
              <w14:schemeClr w14:val="tx1"/>
            </w14:solidFill>
          </w14:textFill>
        </w:rPr>
      </w:pPr>
    </w:p>
    <w:p w14:paraId="0CF3B68A">
      <w:pPr>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甲方（公章）：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乙方（公章，自然人除外）：</w:t>
      </w:r>
      <w:r>
        <w:rPr>
          <w:rFonts w:hint="eastAsia" w:ascii="宋体" w:hAnsi="宋体" w:cs="宋体"/>
          <w:color w:val="000000" w:themeColor="text1"/>
          <w:szCs w:val="21"/>
          <w:highlight w:val="none"/>
          <w:u w:val="single"/>
          <w14:textFill>
            <w14:solidFill>
              <w14:schemeClr w14:val="tx1"/>
            </w14:solidFill>
          </w14:textFill>
        </w:rPr>
        <w:t xml:space="preserve">                        </w:t>
      </w:r>
    </w:p>
    <w:p w14:paraId="568C88C0">
      <w:pPr>
        <w:spacing w:line="380" w:lineRule="exact"/>
        <w:ind w:left="4620" w:hanging="462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法定代表人（负责人、自然人）签字（属自然人的应在签名处加盖大拇指指印）：</w:t>
      </w:r>
      <w:r>
        <w:rPr>
          <w:rFonts w:hint="eastAsia" w:ascii="宋体" w:hAnsi="宋体" w:cs="宋体"/>
          <w:color w:val="000000" w:themeColor="text1"/>
          <w:szCs w:val="21"/>
          <w:highlight w:val="none"/>
          <w:u w:val="single"/>
          <w14:textFill>
            <w14:solidFill>
              <w14:schemeClr w14:val="tx1"/>
            </w14:solidFill>
          </w14:textFill>
        </w:rPr>
        <w:t xml:space="preserve">                          </w:t>
      </w:r>
    </w:p>
    <w:p w14:paraId="48EF7BEF">
      <w:pPr>
        <w:tabs>
          <w:tab w:val="left" w:pos="4680"/>
        </w:tabs>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委托代理人：</w:t>
      </w:r>
      <w:r>
        <w:rPr>
          <w:rFonts w:hint="eastAsia" w:ascii="宋体" w:hAnsi="宋体" w:cs="宋体"/>
          <w:color w:val="000000" w:themeColor="text1"/>
          <w:szCs w:val="21"/>
          <w:highlight w:val="none"/>
          <w:u w:val="single"/>
          <w14:textFill>
            <w14:solidFill>
              <w14:schemeClr w14:val="tx1"/>
            </w14:solidFill>
          </w14:textFill>
        </w:rPr>
        <w:t xml:space="preserve">                                     </w:t>
      </w:r>
    </w:p>
    <w:p w14:paraId="0DF7220D">
      <w:pPr>
        <w:tabs>
          <w:tab w:val="left" w:pos="5040"/>
        </w:tabs>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电   话： </w:t>
      </w:r>
      <w:r>
        <w:rPr>
          <w:rFonts w:hint="eastAsia" w:ascii="宋体" w:hAnsi="宋体" w:cs="宋体"/>
          <w:color w:val="000000" w:themeColor="text1"/>
          <w:szCs w:val="21"/>
          <w:highlight w:val="none"/>
          <w:u w:val="single"/>
          <w14:textFill>
            <w14:solidFill>
              <w14:schemeClr w14:val="tx1"/>
            </w14:solidFill>
          </w14:textFill>
        </w:rPr>
        <w:t xml:space="preserve">                                       </w:t>
      </w:r>
    </w:p>
    <w:p w14:paraId="4209CB20">
      <w:pPr>
        <w:tabs>
          <w:tab w:val="left" w:pos="5040"/>
        </w:tabs>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开户名称：</w:t>
      </w:r>
      <w:r>
        <w:rPr>
          <w:rFonts w:hint="eastAsia" w:ascii="宋体" w:hAnsi="宋体" w:cs="宋体"/>
          <w:color w:val="000000" w:themeColor="text1"/>
          <w:szCs w:val="21"/>
          <w:highlight w:val="none"/>
          <w:u w:val="single"/>
          <w14:textFill>
            <w14:solidFill>
              <w14:schemeClr w14:val="tx1"/>
            </w14:solidFill>
          </w14:textFill>
        </w:rPr>
        <w:t xml:space="preserve">                                       </w:t>
      </w:r>
    </w:p>
    <w:p w14:paraId="10DAFA9E">
      <w:pPr>
        <w:tabs>
          <w:tab w:val="left" w:pos="5040"/>
        </w:tabs>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 xml:space="preserve">                                       </w:t>
      </w:r>
    </w:p>
    <w:p w14:paraId="79E5E37D">
      <w:pPr>
        <w:tabs>
          <w:tab w:val="left" w:pos="5040"/>
        </w:tabs>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银行账号：</w:t>
      </w:r>
      <w:r>
        <w:rPr>
          <w:rFonts w:hint="eastAsia" w:ascii="宋体" w:hAnsi="宋体" w:cs="宋体"/>
          <w:color w:val="000000" w:themeColor="text1"/>
          <w:szCs w:val="21"/>
          <w:highlight w:val="none"/>
          <w:u w:val="single"/>
          <w14:textFill>
            <w14:solidFill>
              <w14:schemeClr w14:val="tx1"/>
            </w14:solidFill>
          </w14:textFill>
        </w:rPr>
        <w:t xml:space="preserve">                                       </w:t>
      </w:r>
    </w:p>
    <w:p w14:paraId="2418B69E">
      <w:pPr>
        <w:tabs>
          <w:tab w:val="left" w:pos="5040"/>
        </w:tabs>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日    期：</w:t>
      </w:r>
      <w:r>
        <w:rPr>
          <w:rFonts w:hint="eastAsia" w:ascii="宋体" w:hAnsi="宋体" w:cs="宋体"/>
          <w:color w:val="000000" w:themeColor="text1"/>
          <w:szCs w:val="21"/>
          <w:highlight w:val="none"/>
          <w:u w:val="single"/>
          <w14:textFill>
            <w14:solidFill>
              <w14:schemeClr w14:val="tx1"/>
            </w14:solidFill>
          </w14:textFill>
        </w:rPr>
        <w:t xml:space="preserve">                                       </w:t>
      </w:r>
    </w:p>
    <w:p w14:paraId="149CD25C">
      <w:pPr>
        <w:pStyle w:val="18"/>
        <w:rPr>
          <w:rFonts w:hint="eastAsia" w:ascii="宋体" w:hAnsi="宋体" w:cs="宋体"/>
          <w:color w:val="000000" w:themeColor="text1"/>
          <w:szCs w:val="21"/>
          <w:highlight w:val="none"/>
          <w:u w:val="single"/>
          <w14:textFill>
            <w14:solidFill>
              <w14:schemeClr w14:val="tx1"/>
            </w14:solidFill>
          </w14:textFill>
        </w:rPr>
      </w:pPr>
    </w:p>
    <w:p w14:paraId="3EECE09C">
      <w:pPr>
        <w:pStyle w:val="41"/>
        <w:ind w:left="0" w:firstLine="0"/>
        <w:rPr>
          <w:rFonts w:hint="eastAsia"/>
          <w:color w:val="000000" w:themeColor="text1"/>
          <w:highlight w:val="none"/>
          <w14:textFill>
            <w14:solidFill>
              <w14:schemeClr w14:val="tx1"/>
            </w14:solidFill>
          </w14:textFill>
        </w:rPr>
      </w:pPr>
      <w:bookmarkStart w:id="937" w:name="_Toc29896"/>
      <w:bookmarkStart w:id="938" w:name="_Toc20420"/>
      <w:bookmarkStart w:id="939" w:name="_Toc30472"/>
      <w:bookmarkStart w:id="940" w:name="_Toc27191"/>
      <w:bookmarkStart w:id="941" w:name="_Toc4866"/>
      <w:bookmarkStart w:id="942" w:name="_Toc3082"/>
      <w:bookmarkStart w:id="943" w:name="_Toc22216"/>
      <w:bookmarkStart w:id="944" w:name="_Toc17359"/>
      <w:bookmarkStart w:id="945" w:name="_Toc30468_WPSOffice_Level1"/>
      <w:bookmarkStart w:id="946" w:name="_Toc24776"/>
      <w:bookmarkStart w:id="947" w:name="_Toc7956"/>
      <w:bookmarkStart w:id="948" w:name="_Toc5228"/>
      <w:r>
        <w:rPr>
          <w:rFonts w:hint="eastAsia"/>
          <w:color w:val="000000" w:themeColor="text1"/>
          <w:highlight w:val="none"/>
          <w14:textFill>
            <w14:solidFill>
              <w14:schemeClr w14:val="tx1"/>
            </w14:solidFill>
          </w14:textFill>
        </w:rPr>
        <w:br w:type="page" w:clear="all"/>
      </w:r>
    </w:p>
    <w:p w14:paraId="3A55C186">
      <w:pPr>
        <w:pStyle w:val="3"/>
        <w:spacing w:line="240" w:lineRule="auto"/>
        <w:ind w:firstLine="402"/>
        <w:jc w:val="center"/>
        <w:rPr>
          <w:rFonts w:ascii="宋体" w:cs="宋体"/>
          <w:color w:val="000000" w:themeColor="text1"/>
          <w:sz w:val="32"/>
          <w:szCs w:val="32"/>
          <w:highlight w:val="none"/>
          <w14:textFill>
            <w14:solidFill>
              <w14:schemeClr w14:val="tx1"/>
            </w14:solidFill>
          </w14:textFill>
        </w:rPr>
      </w:pPr>
      <w:bookmarkStart w:id="949" w:name="_Toc12064"/>
      <w:r>
        <w:rPr>
          <w:rFonts w:hint="eastAsia" w:ascii="宋体" w:cs="宋体"/>
          <w:color w:val="000000" w:themeColor="text1"/>
          <w:sz w:val="32"/>
          <w:szCs w:val="32"/>
          <w:highlight w:val="none"/>
          <w14:textFill>
            <w14:solidFill>
              <w14:schemeClr w14:val="tx1"/>
            </w14:solidFill>
          </w14:textFill>
        </w:rPr>
        <w:t>第六章　</w:t>
      </w:r>
      <w:r>
        <w:rPr>
          <w:rFonts w:hint="eastAsia" w:ascii="宋体" w:hAnsi="宋体" w:cs="宋体"/>
          <w:color w:val="000000" w:themeColor="text1"/>
          <w:sz w:val="32"/>
          <w:szCs w:val="32"/>
          <w:highlight w:val="none"/>
          <w14:textFill>
            <w14:solidFill>
              <w14:schemeClr w14:val="tx1"/>
            </w14:solidFill>
          </w14:textFill>
        </w:rPr>
        <w:t>响应</w:t>
      </w:r>
      <w:r>
        <w:rPr>
          <w:rFonts w:hint="eastAsia"/>
          <w:color w:val="000000" w:themeColor="text1"/>
          <w:sz w:val="32"/>
          <w:szCs w:val="32"/>
          <w:highlight w:val="none"/>
          <w14:textFill>
            <w14:solidFill>
              <w14:schemeClr w14:val="tx1"/>
            </w14:solidFill>
          </w14:textFill>
        </w:rPr>
        <w:t>文件</w:t>
      </w:r>
      <w:r>
        <w:rPr>
          <w:rFonts w:hint="eastAsia" w:ascii="宋体" w:hAnsi="宋体" w:cs="宋体"/>
          <w:color w:val="000000" w:themeColor="text1"/>
          <w:sz w:val="32"/>
          <w:szCs w:val="32"/>
          <w:highlight w:val="none"/>
          <w14:textFill>
            <w14:solidFill>
              <w14:schemeClr w14:val="tx1"/>
            </w14:solidFill>
          </w14:textFill>
        </w:rPr>
        <w:t>（格式）</w:t>
      </w:r>
      <w:bookmarkEnd w:id="937"/>
      <w:bookmarkEnd w:id="938"/>
      <w:bookmarkEnd w:id="939"/>
      <w:bookmarkEnd w:id="940"/>
      <w:bookmarkEnd w:id="941"/>
      <w:bookmarkEnd w:id="942"/>
      <w:bookmarkEnd w:id="943"/>
      <w:bookmarkEnd w:id="944"/>
      <w:bookmarkEnd w:id="945"/>
      <w:bookmarkEnd w:id="946"/>
      <w:bookmarkEnd w:id="947"/>
      <w:bookmarkEnd w:id="948"/>
      <w:bookmarkEnd w:id="949"/>
    </w:p>
    <w:p w14:paraId="358A35FD">
      <w:pPr>
        <w:rPr>
          <w:color w:val="000000" w:themeColor="text1"/>
          <w:highlight w:val="none"/>
          <w14:textFill>
            <w14:solidFill>
              <w14:schemeClr w14:val="tx1"/>
            </w14:solidFill>
          </w14:textFill>
        </w:rPr>
      </w:pPr>
    </w:p>
    <w:p w14:paraId="022624CE">
      <w:pPr>
        <w:rPr>
          <w:rFonts w:hint="eastAsia"/>
          <w:b/>
          <w:bCs/>
          <w:color w:val="000000" w:themeColor="text1"/>
          <w:sz w:val="32"/>
          <w:szCs w:val="32"/>
          <w:highlight w:val="none"/>
          <w14:textFill>
            <w14:solidFill>
              <w14:schemeClr w14:val="tx1"/>
            </w14:solidFill>
          </w14:textFill>
        </w:rPr>
      </w:pPr>
      <w:bookmarkStart w:id="950" w:name="_Toc21496"/>
      <w:bookmarkStart w:id="951" w:name="_Toc18351"/>
      <w:bookmarkStart w:id="952" w:name="_Toc497927069"/>
      <w:r>
        <w:rPr>
          <w:rFonts w:hint="eastAsia"/>
          <w:b/>
          <w:bCs/>
          <w:color w:val="000000" w:themeColor="text1"/>
          <w:sz w:val="32"/>
          <w:szCs w:val="32"/>
          <w:highlight w:val="none"/>
          <w14:textFill>
            <w14:solidFill>
              <w14:schemeClr w14:val="tx1"/>
            </w14:solidFill>
          </w14:textFill>
        </w:rPr>
        <w:t>一、响应文件</w:t>
      </w:r>
      <w:bookmarkEnd w:id="950"/>
      <w:bookmarkEnd w:id="951"/>
      <w:bookmarkEnd w:id="952"/>
      <w:r>
        <w:rPr>
          <w:rFonts w:hint="eastAsia"/>
          <w:b/>
          <w:bCs/>
          <w:color w:val="000000" w:themeColor="text1"/>
          <w:sz w:val="32"/>
          <w:szCs w:val="32"/>
          <w:highlight w:val="none"/>
          <w14:textFill>
            <w14:solidFill>
              <w14:schemeClr w14:val="tx1"/>
            </w14:solidFill>
          </w14:textFill>
        </w:rPr>
        <w:t>封面格式</w:t>
      </w:r>
    </w:p>
    <w:p w14:paraId="208D5BC8">
      <w:pPr>
        <w:spacing w:before="156" w:after="50"/>
        <w:jc w:val="center"/>
        <w:rPr>
          <w:bCs/>
          <w:color w:val="000000" w:themeColor="text1"/>
          <w:sz w:val="32"/>
          <w:szCs w:val="32"/>
          <w:highlight w:val="none"/>
          <w14:textFill>
            <w14:solidFill>
              <w14:schemeClr w14:val="tx1"/>
            </w14:solidFill>
          </w14:textFill>
        </w:rPr>
      </w:pPr>
    </w:p>
    <w:p w14:paraId="197224C4">
      <w:pPr>
        <w:spacing w:before="156" w:after="50"/>
        <w:jc w:val="center"/>
        <w:rPr>
          <w:rFonts w:hint="eastAsia" w:ascii="宋体" w:hAnsi="宋体" w:cs="宋体"/>
          <w:b/>
          <w:color w:val="000000" w:themeColor="text1"/>
          <w:sz w:val="28"/>
          <w:szCs w:val="28"/>
          <w:highlight w:val="none"/>
          <w:u w:val="single"/>
          <w14:textFill>
            <w14:solidFill>
              <w14:schemeClr w14:val="tx1"/>
            </w14:solidFill>
          </w14:textFill>
        </w:rPr>
      </w:pPr>
    </w:p>
    <w:p w14:paraId="073AB443">
      <w:pPr>
        <w:spacing w:before="156" w:after="50"/>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响 应 文 件</w:t>
      </w:r>
    </w:p>
    <w:p w14:paraId="06E1376E">
      <w:pPr>
        <w:spacing w:before="156" w:after="50"/>
        <w:jc w:val="center"/>
        <w:rPr>
          <w:rFonts w:hint="eastAsia" w:ascii="宋体" w:hAnsi="宋体" w:cs="宋体"/>
          <w:b/>
          <w:color w:val="000000" w:themeColor="text1"/>
          <w:sz w:val="28"/>
          <w:szCs w:val="28"/>
          <w:highlight w:val="none"/>
          <w:u w:val="single"/>
          <w14:textFill>
            <w14:solidFill>
              <w14:schemeClr w14:val="tx1"/>
            </w14:solidFill>
          </w14:textFill>
        </w:rPr>
      </w:pPr>
    </w:p>
    <w:p w14:paraId="1DC68621">
      <w:pPr>
        <w:spacing w:before="156" w:after="50"/>
        <w:jc w:val="center"/>
        <w:rPr>
          <w:rFonts w:hint="eastAsia" w:ascii="宋体" w:hAnsi="宋体" w:cs="宋体"/>
          <w:b/>
          <w:color w:val="000000" w:themeColor="text1"/>
          <w:sz w:val="28"/>
          <w:szCs w:val="28"/>
          <w:highlight w:val="none"/>
          <w:u w:val="single"/>
          <w14:textFill>
            <w14:solidFill>
              <w14:schemeClr w14:val="tx1"/>
            </w14:solidFill>
          </w14:textFill>
        </w:rPr>
      </w:pPr>
    </w:p>
    <w:p w14:paraId="21C11DCD">
      <w:pPr>
        <w:spacing w:before="156" w:after="50"/>
        <w:jc w:val="center"/>
        <w:rPr>
          <w:rFonts w:hint="eastAsia" w:ascii="宋体" w:hAnsi="宋体" w:cs="宋体"/>
          <w:b/>
          <w:color w:val="000000" w:themeColor="text1"/>
          <w:sz w:val="28"/>
          <w:szCs w:val="28"/>
          <w:highlight w:val="none"/>
          <w:u w:val="single"/>
          <w14:textFill>
            <w14:solidFill>
              <w14:schemeClr w14:val="tx1"/>
            </w14:solidFill>
          </w14:textFill>
        </w:rPr>
      </w:pPr>
    </w:p>
    <w:p w14:paraId="67D2E4D4">
      <w:pPr>
        <w:spacing w:before="156" w:after="50"/>
        <w:jc w:val="center"/>
        <w:rPr>
          <w:rFonts w:hint="eastAsia" w:ascii="宋体" w:hAnsi="宋体" w:cs="宋体"/>
          <w:b/>
          <w:color w:val="000000" w:themeColor="text1"/>
          <w:sz w:val="28"/>
          <w:szCs w:val="28"/>
          <w:highlight w:val="none"/>
          <w:u w:val="single"/>
          <w14:textFill>
            <w14:solidFill>
              <w14:schemeClr w14:val="tx1"/>
            </w14:solidFill>
          </w14:textFill>
        </w:rPr>
      </w:pPr>
    </w:p>
    <w:p w14:paraId="03810748">
      <w:pPr>
        <w:spacing w:before="156" w:after="50"/>
        <w:jc w:val="center"/>
        <w:rPr>
          <w:rFonts w:hint="eastAsia" w:ascii="宋体" w:hAnsi="宋体" w:eastAsia="宋体" w:cs="宋体"/>
          <w:b/>
          <w:color w:val="000000" w:themeColor="text1"/>
          <w:sz w:val="28"/>
          <w:szCs w:val="28"/>
          <w:highlight w:val="none"/>
          <w:u w:val="single"/>
          <w:lang w:eastAsia="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项目名称：</w:t>
      </w:r>
      <w:r>
        <w:rPr>
          <w:rFonts w:hint="eastAsia" w:ascii="宋体" w:hAnsi="宋体" w:cs="宋体"/>
          <w:b/>
          <w:color w:val="000000" w:themeColor="text1"/>
          <w:sz w:val="28"/>
          <w:szCs w:val="28"/>
          <w:highlight w:val="none"/>
          <w:u w:val="single"/>
          <w:lang w:eastAsia="zh-CN"/>
          <w14:textFill>
            <w14:solidFill>
              <w14:schemeClr w14:val="tx1"/>
            </w14:solidFill>
          </w14:textFill>
        </w:rPr>
        <w:t>2026年支持学前教育发展中央和自治区资金设备采购项目</w:t>
      </w:r>
    </w:p>
    <w:p w14:paraId="134DD1A4">
      <w:pPr>
        <w:spacing w:before="156" w:after="50"/>
        <w:ind w:firstLine="252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项目编号：</w:t>
      </w:r>
      <w:r>
        <w:rPr>
          <w:rFonts w:hint="eastAsia" w:ascii="宋体" w:hAnsi="宋体" w:cs="宋体"/>
          <w:b/>
          <w:color w:val="000000" w:themeColor="text1"/>
          <w:sz w:val="28"/>
          <w:szCs w:val="28"/>
          <w:highlight w:val="none"/>
          <w:u w:val="single"/>
          <w:lang w:eastAsia="zh-CN"/>
          <w14:textFill>
            <w14:solidFill>
              <w14:schemeClr w14:val="tx1"/>
            </w14:solidFill>
          </w14:textFill>
        </w:rPr>
        <w:t>GLZC2026-J1-990205-GLSZ</w:t>
      </w:r>
    </w:p>
    <w:p w14:paraId="7207A33C">
      <w:pPr>
        <w:spacing w:before="156" w:after="50"/>
        <w:jc w:val="center"/>
        <w:rPr>
          <w:rFonts w:hint="eastAsia" w:ascii="宋体" w:hAnsi="宋体" w:cs="宋体"/>
          <w:b/>
          <w:color w:val="000000" w:themeColor="text1"/>
          <w:sz w:val="28"/>
          <w:szCs w:val="28"/>
          <w:highlight w:val="none"/>
          <w:u w:val="single"/>
          <w14:textFill>
            <w14:solidFill>
              <w14:schemeClr w14:val="tx1"/>
            </w14:solidFill>
          </w14:textFill>
        </w:rPr>
      </w:pPr>
    </w:p>
    <w:p w14:paraId="725BCDF2">
      <w:pPr>
        <w:spacing w:before="156" w:after="50"/>
        <w:jc w:val="center"/>
        <w:rPr>
          <w:rFonts w:hint="eastAsia" w:ascii="宋体" w:hAnsi="宋体" w:cs="宋体"/>
          <w:b/>
          <w:color w:val="000000" w:themeColor="text1"/>
          <w:sz w:val="28"/>
          <w:szCs w:val="28"/>
          <w:highlight w:val="none"/>
          <w:u w:val="single"/>
          <w14:textFill>
            <w14:solidFill>
              <w14:schemeClr w14:val="tx1"/>
            </w14:solidFill>
          </w14:textFill>
        </w:rPr>
      </w:pPr>
    </w:p>
    <w:p w14:paraId="49E896A6">
      <w:pPr>
        <w:spacing w:before="156" w:after="50"/>
        <w:jc w:val="center"/>
        <w:rPr>
          <w:rFonts w:hint="eastAsia" w:ascii="宋体" w:hAnsi="宋体" w:cs="宋体"/>
          <w:b/>
          <w:color w:val="000000" w:themeColor="text1"/>
          <w:sz w:val="28"/>
          <w:szCs w:val="28"/>
          <w:highlight w:val="none"/>
          <w:u w:val="single"/>
          <w14:textFill>
            <w14:solidFill>
              <w14:schemeClr w14:val="tx1"/>
            </w14:solidFill>
          </w14:textFill>
        </w:rPr>
      </w:pPr>
    </w:p>
    <w:p w14:paraId="4E5DA4BD">
      <w:pPr>
        <w:spacing w:before="156" w:after="50"/>
        <w:ind w:firstLine="2693"/>
        <w:rPr>
          <w:rFonts w:hint="eastAsia" w:ascii="宋体" w:hAnsi="宋体" w:cs="宋体"/>
          <w:b/>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采购代理机构：</w:t>
      </w:r>
      <w:r>
        <w:rPr>
          <w:rFonts w:hint="eastAsia" w:ascii="宋体" w:hAnsi="宋体" w:cs="宋体"/>
          <w:b/>
          <w:color w:val="000000" w:themeColor="text1"/>
          <w:sz w:val="28"/>
          <w:szCs w:val="28"/>
          <w:highlight w:val="none"/>
          <w:u w:val="single"/>
          <w14:textFill>
            <w14:solidFill>
              <w14:schemeClr w14:val="tx1"/>
            </w14:solidFill>
          </w14:textFill>
        </w:rPr>
        <w:t xml:space="preserve"> 桂林市政府集中采购中心   </w:t>
      </w:r>
    </w:p>
    <w:p w14:paraId="732C2B99">
      <w:pPr>
        <w:spacing w:before="156" w:after="50"/>
        <w:ind w:firstLine="2693"/>
        <w:rPr>
          <w:rFonts w:hint="eastAsia" w:ascii="宋体" w:hAnsi="宋体" w:cs="宋体"/>
          <w:b/>
          <w:color w:val="000000" w:themeColor="text1"/>
          <w:sz w:val="28"/>
          <w:szCs w:val="28"/>
          <w:highlight w:val="none"/>
          <w:u w:val="single"/>
          <w14:textFill>
            <w14:solidFill>
              <w14:schemeClr w14:val="tx1"/>
            </w14:solidFill>
          </w14:textFill>
        </w:rPr>
      </w:pPr>
    </w:p>
    <w:p w14:paraId="6CC485AC">
      <w:pPr>
        <w:spacing w:before="156" w:after="50"/>
        <w:ind w:firstLine="2693"/>
        <w:rPr>
          <w:rFonts w:hint="eastAsia" w:ascii="宋体" w:hAnsi="宋体" w:cs="宋体"/>
          <w:b/>
          <w:color w:val="000000" w:themeColor="text1"/>
          <w:sz w:val="28"/>
          <w:szCs w:val="28"/>
          <w:highlight w:val="none"/>
          <w:u w:val="single"/>
          <w14:textFill>
            <w14:solidFill>
              <w14:schemeClr w14:val="tx1"/>
            </w14:solidFill>
          </w14:textFill>
        </w:rPr>
      </w:pPr>
    </w:p>
    <w:p w14:paraId="5B6F2ABD">
      <w:pPr>
        <w:pStyle w:val="14"/>
        <w:ind w:left="980" w:hanging="560"/>
        <w:rPr>
          <w:rFonts w:ascii="宋体" w:hAnsi="宋体" w:cs="宋体"/>
          <w:bCs/>
          <w:color w:val="000000" w:themeColor="text1"/>
          <w:sz w:val="28"/>
          <w:szCs w:val="28"/>
          <w:highlight w:val="none"/>
          <w14:textFill>
            <w14:solidFill>
              <w14:schemeClr w14:val="tx1"/>
            </w14:solidFill>
          </w14:textFill>
        </w:rPr>
      </w:pPr>
      <w:bookmarkStart w:id="953" w:name="_Toc20319_WPSOffice_Level2"/>
      <w:bookmarkStart w:id="954" w:name="_Toc4932_WPSOffice_Level2"/>
      <w:r>
        <w:rPr>
          <w:rFonts w:hint="eastAsia" w:ascii="宋体" w:hAnsi="宋体" w:cs="宋体"/>
          <w:bCs/>
          <w:color w:val="000000" w:themeColor="text1"/>
          <w:sz w:val="28"/>
          <w:szCs w:val="28"/>
          <w:highlight w:val="none"/>
          <w14:textFill>
            <w14:solidFill>
              <w14:schemeClr w14:val="tx1"/>
            </w14:solidFill>
          </w14:textFill>
        </w:rPr>
        <w:t>供应商[公章(CA签章)、自然人除外]：</w:t>
      </w:r>
      <w:r>
        <w:rPr>
          <w:rFonts w:hint="eastAsia" w:ascii="宋体" w:hAnsi="宋体" w:cs="宋体"/>
          <w:bCs/>
          <w:color w:val="000000" w:themeColor="text1"/>
          <w:sz w:val="28"/>
          <w:szCs w:val="28"/>
          <w:highlight w:val="none"/>
          <w:u w:val="single"/>
          <w14:textFill>
            <w14:solidFill>
              <w14:schemeClr w14:val="tx1"/>
            </w14:solidFill>
          </w14:textFill>
        </w:rPr>
        <w:t xml:space="preserve">                       </w:t>
      </w:r>
      <w:bookmarkEnd w:id="953"/>
      <w:bookmarkEnd w:id="954"/>
      <w:r>
        <w:rPr>
          <w:rFonts w:hint="eastAsia" w:ascii="宋体" w:hAnsi="宋体" w:cs="宋体"/>
          <w:bCs/>
          <w:color w:val="000000" w:themeColor="text1"/>
          <w:sz w:val="28"/>
          <w:szCs w:val="28"/>
          <w:highlight w:val="none"/>
          <w:u w:val="single"/>
          <w14:textFill>
            <w14:solidFill>
              <w14:schemeClr w14:val="tx1"/>
            </w14:solidFill>
          </w14:textFill>
        </w:rPr>
        <w:t xml:space="preserve">       </w:t>
      </w:r>
    </w:p>
    <w:p w14:paraId="29AD713D">
      <w:pPr>
        <w:pStyle w:val="21"/>
        <w:spacing w:line="320" w:lineRule="exact"/>
        <w:ind w:firstLine="420"/>
        <w:rPr>
          <w:rFonts w:hint="eastAsia" w:hAnsi="宋体" w:cs="宋体"/>
          <w:color w:val="000000" w:themeColor="text1"/>
          <w:sz w:val="28"/>
          <w:szCs w:val="28"/>
          <w:highlight w:val="none"/>
          <w14:textFill>
            <w14:solidFill>
              <w14:schemeClr w14:val="tx1"/>
            </w14:solidFill>
          </w14:textFill>
        </w:rPr>
      </w:pPr>
      <w:bookmarkStart w:id="955" w:name="_Toc9622_WPSOffice_Level2"/>
      <w:bookmarkStart w:id="956" w:name="_Toc32056_WPSOffice_Level2"/>
      <w:r>
        <w:rPr>
          <w:rFonts w:hint="eastAsia" w:hAnsi="宋体" w:cs="宋体"/>
          <w:color w:val="000000" w:themeColor="text1"/>
          <w:sz w:val="28"/>
          <w:szCs w:val="28"/>
          <w:highlight w:val="none"/>
          <w14:textFill>
            <w14:solidFill>
              <w14:schemeClr w14:val="tx1"/>
            </w14:solidFill>
          </w14:textFill>
        </w:rPr>
        <w:t>法定代表人、负责人、自然人或相应的委托代理人签字[或盖章(CA签章)]</w:t>
      </w:r>
    </w:p>
    <w:p w14:paraId="48FD45A7">
      <w:pPr>
        <w:pStyle w:val="14"/>
        <w:ind w:left="980" w:hanging="560"/>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（属自然人的应在签名处加盖大拇指指印或个人CA签章）：</w:t>
      </w:r>
      <w:r>
        <w:rPr>
          <w:rFonts w:hint="eastAsia" w:ascii="宋体" w:hAnsi="宋体" w:cs="宋体"/>
          <w:color w:val="000000" w:themeColor="text1"/>
          <w:sz w:val="28"/>
          <w:szCs w:val="28"/>
          <w:highlight w:val="none"/>
          <w:u w:val="single"/>
          <w14:textFill>
            <w14:solidFill>
              <w14:schemeClr w14:val="tx1"/>
            </w14:solidFill>
          </w14:textFill>
        </w:rPr>
        <w:t xml:space="preserve">              </w:t>
      </w:r>
    </w:p>
    <w:p w14:paraId="6728F3F1">
      <w:pPr>
        <w:pStyle w:val="14"/>
        <w:ind w:left="980" w:hanging="560"/>
        <w:rPr>
          <w:rFonts w:ascii="宋体" w:hAnsi="宋体" w:cs="宋体"/>
          <w:bCs/>
          <w:color w:val="000000" w:themeColor="text1"/>
          <w:sz w:val="28"/>
          <w:szCs w:val="28"/>
          <w:highlight w:val="none"/>
          <w:u w:val="singl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联系电话：</w:t>
      </w:r>
      <w:bookmarkEnd w:id="955"/>
      <w:bookmarkEnd w:id="956"/>
      <w:r>
        <w:rPr>
          <w:rFonts w:hint="eastAsia" w:ascii="宋体" w:hAnsi="宋体" w:cs="宋体"/>
          <w:bCs/>
          <w:color w:val="000000" w:themeColor="text1"/>
          <w:sz w:val="28"/>
          <w:szCs w:val="28"/>
          <w:highlight w:val="none"/>
          <w:u w:val="single"/>
          <w14:textFill>
            <w14:solidFill>
              <w14:schemeClr w14:val="tx1"/>
            </w14:solidFill>
          </w14:textFill>
        </w:rPr>
        <w:t xml:space="preserve">                                                </w:t>
      </w:r>
    </w:p>
    <w:p w14:paraId="41C6AC7F">
      <w:pPr>
        <w:pStyle w:val="14"/>
        <w:ind w:left="980" w:hanging="560"/>
        <w:rPr>
          <w:rFonts w:hint="eastAsia" w:ascii="宋体" w:hAnsi="宋体" w:cs="宋体"/>
          <w:bCs/>
          <w:color w:val="000000" w:themeColor="text1"/>
          <w:sz w:val="28"/>
          <w:szCs w:val="28"/>
          <w:highlight w:val="none"/>
          <w14:textFill>
            <w14:solidFill>
              <w14:schemeClr w14:val="tx1"/>
            </w14:solidFill>
          </w14:textFill>
        </w:rPr>
      </w:pPr>
      <w:bookmarkStart w:id="957" w:name="_Toc15933_WPSOffice_Level2"/>
      <w:bookmarkStart w:id="958" w:name="_Toc26465_WPSOffice_Level2"/>
      <w:r>
        <w:rPr>
          <w:rFonts w:hint="eastAsia" w:ascii="宋体" w:hAnsi="宋体" w:cs="宋体"/>
          <w:bCs/>
          <w:color w:val="000000" w:themeColor="text1"/>
          <w:sz w:val="28"/>
          <w:szCs w:val="28"/>
          <w:highlight w:val="none"/>
          <w14:textFill>
            <w14:solidFill>
              <w14:schemeClr w14:val="tx1"/>
            </w14:solidFill>
          </w14:textFill>
        </w:rPr>
        <w:t>日期：</w:t>
      </w:r>
      <w:r>
        <w:rPr>
          <w:rFonts w:hint="eastAsia" w:ascii="宋体" w:hAnsi="宋体" w:cs="宋体"/>
          <w:bCs/>
          <w:color w:val="000000" w:themeColor="text1"/>
          <w:sz w:val="28"/>
          <w:szCs w:val="28"/>
          <w:highlight w:val="none"/>
          <w:u w:val="single"/>
          <w14:textFill>
            <w14:solidFill>
              <w14:schemeClr w14:val="tx1"/>
            </w14:solidFill>
          </w14:textFill>
        </w:rPr>
        <w:t xml:space="preserve">              </w:t>
      </w:r>
      <w:r>
        <w:rPr>
          <w:rFonts w:hint="eastAsia" w:ascii="宋体" w:hAnsi="宋体" w:cs="宋体"/>
          <w:bCs/>
          <w:color w:val="000000" w:themeColor="text1"/>
          <w:sz w:val="28"/>
          <w:szCs w:val="28"/>
          <w:highlight w:val="none"/>
          <w14:textFill>
            <w14:solidFill>
              <w14:schemeClr w14:val="tx1"/>
            </w14:solidFill>
          </w14:textFill>
        </w:rPr>
        <w:t>年</w:t>
      </w:r>
      <w:r>
        <w:rPr>
          <w:rFonts w:hint="eastAsia" w:ascii="宋体" w:hAnsi="宋体" w:cs="宋体"/>
          <w:bCs/>
          <w:color w:val="000000" w:themeColor="text1"/>
          <w:sz w:val="28"/>
          <w:szCs w:val="28"/>
          <w:highlight w:val="none"/>
          <w:u w:val="single"/>
          <w14:textFill>
            <w14:solidFill>
              <w14:schemeClr w14:val="tx1"/>
            </w14:solidFill>
          </w14:textFill>
        </w:rPr>
        <w:t xml:space="preserve">           </w:t>
      </w:r>
      <w:r>
        <w:rPr>
          <w:rFonts w:hint="eastAsia" w:ascii="宋体" w:hAnsi="宋体" w:cs="宋体"/>
          <w:bCs/>
          <w:color w:val="000000" w:themeColor="text1"/>
          <w:sz w:val="28"/>
          <w:szCs w:val="28"/>
          <w:highlight w:val="none"/>
          <w14:textFill>
            <w14:solidFill>
              <w14:schemeClr w14:val="tx1"/>
            </w14:solidFill>
          </w14:textFill>
        </w:rPr>
        <w:t>月</w:t>
      </w:r>
      <w:r>
        <w:rPr>
          <w:rFonts w:hint="eastAsia" w:ascii="宋体" w:hAnsi="宋体" w:cs="宋体"/>
          <w:bCs/>
          <w:color w:val="000000" w:themeColor="text1"/>
          <w:sz w:val="28"/>
          <w:szCs w:val="28"/>
          <w:highlight w:val="none"/>
          <w:u w:val="single"/>
          <w14:textFill>
            <w14:solidFill>
              <w14:schemeClr w14:val="tx1"/>
            </w14:solidFill>
          </w14:textFill>
        </w:rPr>
        <w:t xml:space="preserve">           </w:t>
      </w:r>
      <w:r>
        <w:rPr>
          <w:rFonts w:hint="eastAsia" w:ascii="宋体" w:hAnsi="宋体" w:cs="宋体"/>
          <w:bCs/>
          <w:color w:val="000000" w:themeColor="text1"/>
          <w:sz w:val="28"/>
          <w:szCs w:val="28"/>
          <w:highlight w:val="none"/>
          <w14:textFill>
            <w14:solidFill>
              <w14:schemeClr w14:val="tx1"/>
            </w14:solidFill>
          </w14:textFill>
        </w:rPr>
        <w:t>日</w:t>
      </w:r>
      <w:bookmarkEnd w:id="957"/>
      <w:bookmarkEnd w:id="958"/>
    </w:p>
    <w:p w14:paraId="013F600F">
      <w:pPr>
        <w:rPr>
          <w:rFonts w:hint="eastAsia"/>
          <w:b/>
          <w:bCs/>
          <w:color w:val="000000" w:themeColor="text1"/>
          <w:sz w:val="32"/>
          <w:szCs w:val="32"/>
          <w:highlight w:val="none"/>
          <w14:textFill>
            <w14:solidFill>
              <w14:schemeClr w14:val="tx1"/>
            </w14:solidFill>
          </w14:textFill>
        </w:rPr>
      </w:pPr>
      <w:bookmarkStart w:id="959" w:name="_Toc19430"/>
      <w:bookmarkStart w:id="960" w:name="_Toc497927070"/>
      <w:bookmarkStart w:id="961" w:name="_Toc21615"/>
    </w:p>
    <w:p w14:paraId="3B322CE2">
      <w:pPr>
        <w:rPr>
          <w:rFonts w:hint="eastAsia"/>
          <w:b/>
          <w:bCs/>
          <w:color w:val="000000" w:themeColor="text1"/>
          <w:sz w:val="32"/>
          <w:szCs w:val="32"/>
          <w:highlight w:val="none"/>
          <w14:textFill>
            <w14:solidFill>
              <w14:schemeClr w14:val="tx1"/>
            </w14:solidFill>
          </w14:textFill>
        </w:rPr>
      </w:pPr>
    </w:p>
    <w:p w14:paraId="7CBB0E8F">
      <w:pPr>
        <w:rPr>
          <w:rFonts w:hint="eastAsia"/>
          <w:b/>
          <w:bCs/>
          <w:color w:val="000000" w:themeColor="text1"/>
          <w:sz w:val="32"/>
          <w:szCs w:val="32"/>
          <w:highlight w:val="none"/>
          <w14:textFill>
            <w14:solidFill>
              <w14:schemeClr w14:val="tx1"/>
            </w14:solidFill>
          </w14:textFill>
        </w:rPr>
      </w:pPr>
    </w:p>
    <w:p w14:paraId="368C7032">
      <w:pPr>
        <w:rPr>
          <w:rFonts w:hint="eastAsia"/>
          <w:b/>
          <w:bCs/>
          <w:color w:val="000000" w:themeColor="text1"/>
          <w:sz w:val="32"/>
          <w:szCs w:val="32"/>
          <w:highlight w:val="none"/>
          <w14:textFill>
            <w14:solidFill>
              <w14:schemeClr w14:val="tx1"/>
            </w14:solidFill>
          </w14:textFill>
        </w:rPr>
      </w:pPr>
    </w:p>
    <w:p w14:paraId="78732989">
      <w:pPr>
        <w:rPr>
          <w:rFonts w:hint="eastAsia"/>
          <w:b/>
          <w:bCs/>
          <w:color w:val="000000" w:themeColor="text1"/>
          <w:sz w:val="32"/>
          <w:szCs w:val="32"/>
          <w:highlight w:val="none"/>
          <w14:textFill>
            <w14:solidFill>
              <w14:schemeClr w14:val="tx1"/>
            </w14:solidFill>
          </w14:textFill>
        </w:rPr>
      </w:pPr>
    </w:p>
    <w:p w14:paraId="42C2A20E">
      <w:pP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二、响应文件组成</w:t>
      </w:r>
      <w:bookmarkEnd w:id="959"/>
      <w:bookmarkEnd w:id="960"/>
      <w:bookmarkEnd w:id="961"/>
    </w:p>
    <w:p w14:paraId="380DA4EF">
      <w:pPr>
        <w:spacing w:line="400" w:lineRule="exact"/>
        <w:rPr>
          <w:rFonts w:hint="eastAsia" w:ascii="宋体" w:hAnsi="宋体" w:cs="宋体"/>
          <w:b/>
          <w:bCs/>
          <w:color w:val="000000" w:themeColor="text1"/>
          <w:sz w:val="28"/>
          <w:szCs w:val="28"/>
          <w:highlight w:val="none"/>
          <w14:textFill>
            <w14:solidFill>
              <w14:schemeClr w14:val="tx1"/>
            </w14:solidFill>
          </w14:textFill>
        </w:rPr>
      </w:pPr>
    </w:p>
    <w:p w14:paraId="4BD8F59D">
      <w:pPr>
        <w:pStyle w:val="18"/>
        <w:rPr>
          <w:rFonts w:hint="eastAsia"/>
          <w:color w:val="000000" w:themeColor="text1"/>
          <w:highlight w:val="none"/>
          <w14:textFill>
            <w14:solidFill>
              <w14:schemeClr w14:val="tx1"/>
            </w14:solidFill>
          </w14:textFill>
        </w:rPr>
      </w:pPr>
    </w:p>
    <w:p w14:paraId="09321D13">
      <w:pPr>
        <w:pStyle w:val="18"/>
        <w:rPr>
          <w:rFonts w:hint="eastAsia"/>
          <w:color w:val="000000" w:themeColor="text1"/>
          <w:highlight w:val="none"/>
          <w14:textFill>
            <w14:solidFill>
              <w14:schemeClr w14:val="tx1"/>
            </w14:solidFill>
          </w14:textFill>
        </w:rPr>
      </w:pPr>
    </w:p>
    <w:p w14:paraId="5347F03D">
      <w:pPr>
        <w:pStyle w:val="18"/>
        <w:rPr>
          <w:rFonts w:hint="eastAsia"/>
          <w:color w:val="000000" w:themeColor="text1"/>
          <w:highlight w:val="none"/>
          <w14:textFill>
            <w14:solidFill>
              <w14:schemeClr w14:val="tx1"/>
            </w14:solidFill>
          </w14:textFill>
        </w:rPr>
      </w:pPr>
    </w:p>
    <w:p w14:paraId="233F603E">
      <w:pPr>
        <w:spacing w:line="400" w:lineRule="exact"/>
        <w:ind w:firstLine="565"/>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（一）资格性响应证明材料</w:t>
      </w:r>
    </w:p>
    <w:p w14:paraId="5779E4C9">
      <w:pPr>
        <w:spacing w:line="400" w:lineRule="exact"/>
        <w:ind w:firstLine="565"/>
        <w:rPr>
          <w:rFonts w:hint="eastAsia" w:ascii="宋体" w:hAnsi="宋体" w:cs="宋体"/>
          <w:b/>
          <w:bCs/>
          <w:color w:val="000000" w:themeColor="text1"/>
          <w:sz w:val="28"/>
          <w:szCs w:val="28"/>
          <w:highlight w:val="none"/>
          <w14:textFill>
            <w14:solidFill>
              <w14:schemeClr w14:val="tx1"/>
            </w14:solidFill>
          </w14:textFill>
        </w:rPr>
      </w:pPr>
    </w:p>
    <w:p w14:paraId="729C60C9">
      <w:pPr>
        <w:spacing w:line="400" w:lineRule="exact"/>
        <w:ind w:firstLine="565"/>
        <w:rPr>
          <w:rFonts w:hint="eastAsia" w:ascii="宋体" w:hAnsi="宋体" w:cs="宋体"/>
          <w:b/>
          <w:bCs/>
          <w:color w:val="000000" w:themeColor="text1"/>
          <w:sz w:val="28"/>
          <w:szCs w:val="28"/>
          <w:highlight w:val="none"/>
          <w14:textFill>
            <w14:solidFill>
              <w14:schemeClr w14:val="tx1"/>
            </w14:solidFill>
          </w14:textFill>
        </w:rPr>
      </w:pPr>
    </w:p>
    <w:p w14:paraId="09B175BD">
      <w:pPr>
        <w:spacing w:line="400" w:lineRule="exact"/>
        <w:ind w:firstLine="565"/>
        <w:rPr>
          <w:rFonts w:hint="eastAsia" w:ascii="宋体" w:hAnsi="宋体" w:cs="宋体"/>
          <w:b/>
          <w:bCs/>
          <w:color w:val="000000" w:themeColor="text1"/>
          <w:sz w:val="28"/>
          <w:szCs w:val="28"/>
          <w:highlight w:val="none"/>
          <w14:textFill>
            <w14:solidFill>
              <w14:schemeClr w14:val="tx1"/>
            </w14:solidFill>
          </w14:textFill>
        </w:rPr>
      </w:pPr>
    </w:p>
    <w:p w14:paraId="0D32DA42">
      <w:pPr>
        <w:spacing w:line="400" w:lineRule="exact"/>
        <w:ind w:firstLine="565"/>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（二）符合性响应证明材料</w:t>
      </w:r>
    </w:p>
    <w:p w14:paraId="301FFC83">
      <w:pPr>
        <w:spacing w:line="400" w:lineRule="exact"/>
        <w:ind w:firstLine="565"/>
        <w:rPr>
          <w:rFonts w:hint="eastAsia" w:ascii="宋体" w:hAnsi="宋体" w:cs="宋体"/>
          <w:b/>
          <w:bCs/>
          <w:color w:val="000000" w:themeColor="text1"/>
          <w:sz w:val="28"/>
          <w:szCs w:val="28"/>
          <w:highlight w:val="none"/>
          <w14:textFill>
            <w14:solidFill>
              <w14:schemeClr w14:val="tx1"/>
            </w14:solidFill>
          </w14:textFill>
        </w:rPr>
      </w:pPr>
    </w:p>
    <w:p w14:paraId="231C9234">
      <w:pPr>
        <w:spacing w:line="400" w:lineRule="exact"/>
        <w:ind w:firstLine="565"/>
        <w:rPr>
          <w:rFonts w:hint="eastAsia" w:ascii="宋体" w:hAnsi="宋体" w:cs="宋体"/>
          <w:b/>
          <w:bCs/>
          <w:color w:val="000000" w:themeColor="text1"/>
          <w:sz w:val="28"/>
          <w:szCs w:val="28"/>
          <w:highlight w:val="none"/>
          <w14:textFill>
            <w14:solidFill>
              <w14:schemeClr w14:val="tx1"/>
            </w14:solidFill>
          </w14:textFill>
        </w:rPr>
      </w:pPr>
    </w:p>
    <w:p w14:paraId="2E35A434">
      <w:pPr>
        <w:spacing w:line="400" w:lineRule="exact"/>
        <w:ind w:firstLine="565"/>
        <w:rPr>
          <w:rFonts w:hint="eastAsia" w:ascii="宋体" w:hAnsi="宋体" w:cs="宋体"/>
          <w:b/>
          <w:bCs/>
          <w:color w:val="000000" w:themeColor="text1"/>
          <w:sz w:val="28"/>
          <w:szCs w:val="28"/>
          <w:highlight w:val="none"/>
          <w14:textFill>
            <w14:solidFill>
              <w14:schemeClr w14:val="tx1"/>
            </w14:solidFill>
          </w14:textFill>
        </w:rPr>
      </w:pPr>
    </w:p>
    <w:p w14:paraId="35509D60">
      <w:pPr>
        <w:spacing w:line="400" w:lineRule="exact"/>
        <w:ind w:firstLine="565"/>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（三）其他有效证明材料</w:t>
      </w:r>
    </w:p>
    <w:p w14:paraId="5928F9BE">
      <w:pPr>
        <w:spacing w:line="400" w:lineRule="exact"/>
        <w:ind w:firstLine="565"/>
        <w:rPr>
          <w:rFonts w:hint="eastAsia" w:ascii="宋体" w:hAnsi="宋体" w:cs="宋体"/>
          <w:b/>
          <w:bCs/>
          <w:color w:val="000000" w:themeColor="text1"/>
          <w:sz w:val="28"/>
          <w:szCs w:val="28"/>
          <w:highlight w:val="none"/>
          <w14:textFill>
            <w14:solidFill>
              <w14:schemeClr w14:val="tx1"/>
            </w14:solidFill>
          </w14:textFill>
        </w:rPr>
      </w:pPr>
    </w:p>
    <w:p w14:paraId="6A35E877">
      <w:pPr>
        <w:spacing w:line="400" w:lineRule="exact"/>
        <w:ind w:firstLine="565"/>
        <w:rPr>
          <w:rFonts w:hint="eastAsia" w:ascii="宋体" w:hAnsi="宋体" w:cs="宋体"/>
          <w:b/>
          <w:bCs/>
          <w:color w:val="000000" w:themeColor="text1"/>
          <w:sz w:val="28"/>
          <w:szCs w:val="28"/>
          <w:highlight w:val="none"/>
          <w14:textFill>
            <w14:solidFill>
              <w14:schemeClr w14:val="tx1"/>
            </w14:solidFill>
          </w14:textFill>
        </w:rPr>
      </w:pPr>
    </w:p>
    <w:p w14:paraId="7833824C">
      <w:pPr>
        <w:spacing w:line="400" w:lineRule="exact"/>
        <w:ind w:firstLine="565"/>
        <w:rPr>
          <w:rFonts w:hint="eastAsia" w:ascii="宋体" w:hAnsi="宋体" w:cs="宋体"/>
          <w:b/>
          <w:bCs/>
          <w:color w:val="000000" w:themeColor="text1"/>
          <w:sz w:val="28"/>
          <w:szCs w:val="28"/>
          <w:highlight w:val="none"/>
          <w14:textFill>
            <w14:solidFill>
              <w14:schemeClr w14:val="tx1"/>
            </w14:solidFill>
          </w14:textFill>
        </w:rPr>
      </w:pPr>
    </w:p>
    <w:p w14:paraId="40A661ED">
      <w:pPr>
        <w:spacing w:line="400" w:lineRule="exact"/>
        <w:ind w:firstLine="565"/>
        <w:rPr>
          <w:rFonts w:hint="eastAsia" w:ascii="宋体" w:hAnsi="宋体" w:cs="宋体"/>
          <w:b/>
          <w:bCs/>
          <w:color w:val="000000" w:themeColor="text1"/>
          <w:sz w:val="28"/>
          <w:szCs w:val="28"/>
          <w:highlight w:val="none"/>
          <w14:textFill>
            <w14:solidFill>
              <w14:schemeClr w14:val="tx1"/>
            </w14:solidFill>
          </w14:textFill>
        </w:rPr>
        <w:sectPr>
          <w:footerReference r:id="rId11" w:type="default"/>
          <w:pgSz w:w="11906" w:h="16838"/>
          <w:pgMar w:top="1440" w:right="935" w:bottom="1440" w:left="779" w:header="851" w:footer="992" w:gutter="0"/>
          <w:pgNumType w:fmt="numberInDash"/>
          <w:cols w:space="720" w:num="1"/>
        </w:sectPr>
      </w:pPr>
    </w:p>
    <w:p w14:paraId="1B7783E2">
      <w:pPr>
        <w:ind w:firstLine="420"/>
        <w:jc w:val="center"/>
        <w:outlineLvl w:val="1"/>
        <w:rPr>
          <w:rFonts w:hint="eastAsia"/>
          <w:b/>
          <w:bCs/>
          <w:color w:val="000000" w:themeColor="text1"/>
          <w:sz w:val="32"/>
          <w:szCs w:val="32"/>
          <w:highlight w:val="none"/>
          <w14:textFill>
            <w14:solidFill>
              <w14:schemeClr w14:val="tx1"/>
            </w14:solidFill>
          </w14:textFill>
        </w:rPr>
      </w:pPr>
      <w:bookmarkStart w:id="962" w:name="_Toc11067"/>
      <w:bookmarkStart w:id="963" w:name="_Toc5544"/>
      <w:bookmarkStart w:id="964" w:name="_Toc8418"/>
      <w:bookmarkStart w:id="965" w:name="_Toc27760"/>
      <w:bookmarkStart w:id="966" w:name="_Toc4098"/>
      <w:bookmarkStart w:id="967" w:name="_Toc497927071"/>
      <w:bookmarkStart w:id="968" w:name="_Toc16614"/>
      <w:bookmarkStart w:id="969" w:name="_Toc10295"/>
      <w:bookmarkStart w:id="970" w:name="_Toc7185"/>
      <w:bookmarkStart w:id="971" w:name="_Toc2851"/>
      <w:r>
        <w:rPr>
          <w:rFonts w:hint="eastAsia"/>
          <w:b/>
          <w:bCs/>
          <w:color w:val="000000" w:themeColor="text1"/>
          <w:sz w:val="32"/>
          <w:szCs w:val="32"/>
          <w:highlight w:val="none"/>
          <w14:textFill>
            <w14:solidFill>
              <w14:schemeClr w14:val="tx1"/>
            </w14:solidFill>
          </w14:textFill>
        </w:rPr>
        <w:t>（一）资格性响应证明材料目录</w:t>
      </w:r>
      <w:bookmarkEnd w:id="962"/>
      <w:bookmarkEnd w:id="963"/>
      <w:bookmarkEnd w:id="964"/>
      <w:bookmarkEnd w:id="965"/>
      <w:bookmarkEnd w:id="966"/>
      <w:bookmarkEnd w:id="967"/>
      <w:bookmarkEnd w:id="968"/>
      <w:bookmarkEnd w:id="969"/>
      <w:bookmarkEnd w:id="970"/>
      <w:bookmarkEnd w:id="971"/>
    </w:p>
    <w:p w14:paraId="035BFDF3">
      <w:pPr>
        <w:spacing w:line="380" w:lineRule="exact"/>
        <w:ind w:firstLine="480"/>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1.供应商相应的法定代表人、负责人、自然人身份证正反两面扫描件加盖电子签章</w:t>
      </w:r>
      <w:r>
        <w:rPr>
          <w:rFonts w:hint="eastAsia" w:ascii="宋体" w:hAnsi="宋体" w:cs="宋体"/>
          <w:b/>
          <w:bCs/>
          <w:color w:val="000000" w:themeColor="text1"/>
          <w:sz w:val="24"/>
          <w:highlight w:val="none"/>
          <w14:textFill>
            <w14:solidFill>
              <w14:schemeClr w14:val="tx1"/>
            </w14:solidFill>
          </w14:textFill>
        </w:rPr>
        <w:t>（必须提供）</w:t>
      </w:r>
      <w:r>
        <w:rPr>
          <w:rFonts w:hint="eastAsia" w:ascii="宋体" w:hAnsi="宋体" w:cs="宋体"/>
          <w:color w:val="000000" w:themeColor="text1"/>
          <w:sz w:val="24"/>
          <w:highlight w:val="none"/>
          <w14:textFill>
            <w14:solidFill>
              <w14:schemeClr w14:val="tx1"/>
            </w14:solidFill>
          </w14:textFill>
        </w:rPr>
        <w:t>；</w:t>
      </w:r>
    </w:p>
    <w:p w14:paraId="07100CF0">
      <w:pPr>
        <w:spacing w:line="38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的授权委托书原件、委托代理人身份证正反面扫描件加盖电子签章以及由县级以上（含县级）社会养老保险经办机构出具的供应商为委托代理人缴纳的响应文件递交截止时间前三个月内任意一个月养老保险证明扫描件加盖电子签章，除供应商为以下四种情形的：</w:t>
      </w:r>
    </w:p>
    <w:p w14:paraId="5091EBAA">
      <w:pPr>
        <w:spacing w:line="38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如供应商为截标时间前60日以内成立的公司，可以提供供应商与委托代理人签订的劳动合同扫描件加盖电子签章代替养老保险证明扫描件加盖电子签章；</w:t>
      </w:r>
    </w:p>
    <w:p w14:paraId="1D66D707">
      <w:p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（2）如供应商为事业单位，可以提供事业单位机构编制管理证扫描件加盖电子签章或事业单位机构为其发放工资的工资条扫描件加盖电子签章代替养老保险证明扫描件加盖电子签章；</w:t>
      </w:r>
    </w:p>
    <w:p w14:paraId="58EB7494">
      <w:pPr>
        <w:spacing w:line="38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（3）如委托代理人为免缴纳养老保险人员，提供免缴纳养老保险的证明材料扫描件加盖电子签章及供应商与委托代理人签订的劳动合同扫描件加盖电子签章代替养老保险证明扫描件加盖电子签章。</w:t>
      </w:r>
    </w:p>
    <w:p w14:paraId="0F4BE747">
      <w:pPr>
        <w:pStyle w:val="18"/>
        <w:spacing w:line="380" w:lineRule="exact"/>
        <w:ind w:firstLine="480"/>
        <w:rPr>
          <w:rFonts w:hint="eastAsia"/>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37906F6">
      <w:pPr>
        <w:spacing w:line="380" w:lineRule="exact"/>
        <w:ind w:firstLine="480"/>
        <w:rPr>
          <w:rFonts w:hint="eastAsia" w:asci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属自然人的应提供由县级以上（含县级）社会养老保险经办机构出具的自然人本人及委托代理人所缴纳的响应文件递交截止时间前三个月内任意一个月养老保险证明扫描件加盖电子签章，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（委托代理时必须提供；如为联合体的，授权委托书原件须由牵头人出具）；</w:t>
      </w:r>
    </w:p>
    <w:p w14:paraId="1FF80389">
      <w:pPr>
        <w:spacing w:line="380" w:lineRule="exact"/>
        <w:ind w:firstLine="480"/>
        <w:rPr>
          <w:rFonts w:asci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3.供应商参加政府采购活动前</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年内在经营活动中没有重大违法记录及有关信用信息的书面声明</w:t>
      </w:r>
      <w:r>
        <w:rPr>
          <w:rFonts w:hint="eastAsia" w:ascii="宋体" w:hAnsi="宋体" w:cs="宋体"/>
          <w:b/>
          <w:bCs/>
          <w:color w:val="000000" w:themeColor="text1"/>
          <w:sz w:val="24"/>
          <w:highlight w:val="none"/>
          <w14:textFill>
            <w14:solidFill>
              <w14:schemeClr w14:val="tx1"/>
            </w14:solidFill>
          </w14:textFill>
        </w:rPr>
        <w:t>（必须提供，自然人除外）；</w:t>
      </w:r>
    </w:p>
    <w:p w14:paraId="14486582">
      <w:pPr>
        <w:spacing w:line="380" w:lineRule="exact"/>
        <w:ind w:firstLine="48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4.供应商的法人或者其他组织营业执照等证明文件扫描件加盖电子签章（</w:t>
      </w:r>
      <w:r>
        <w:rPr>
          <w:rFonts w:hint="eastAsia" w:ascii="宋体" w:hAnsi="宋体" w:cs="宋体"/>
          <w:b/>
          <w:bCs/>
          <w:color w:val="000000" w:themeColor="text1"/>
          <w:sz w:val="24"/>
          <w:highlight w:val="none"/>
          <w14:textFill>
            <w14:solidFill>
              <w14:schemeClr w14:val="tx1"/>
            </w14:solidFill>
          </w14:textFill>
        </w:rPr>
        <w:t>必须提供，自然人除外）；</w:t>
      </w:r>
    </w:p>
    <w:p w14:paraId="44B16188">
      <w:pPr>
        <w:numPr>
          <w:ilvl w:val="0"/>
          <w:numId w:val="0"/>
        </w:numPr>
        <w:spacing w:line="380" w:lineRule="exact"/>
        <w:ind w:firstLine="480"/>
        <w:rPr>
          <w:rFonts w:hint="eastAsia"/>
          <w:color w:val="000000" w:themeColor="text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注：供应商为企业（包括合伙企业），应提供</w:t>
      </w:r>
      <w:r>
        <w:rPr>
          <w:rFonts w:hint="eastAsia" w:ascii="宋体" w:hAnsi="宋体" w:cs="宋体"/>
          <w:b/>
          <w:bCs/>
          <w:color w:val="000000" w:themeColor="text1"/>
          <w:sz w:val="24"/>
          <w:highlight w:val="none"/>
          <w:lang w:eastAsia="zh-CN"/>
          <w14:textFill>
            <w14:solidFill>
              <w14:schemeClr w14:val="tx1"/>
            </w14:solidFill>
          </w14:textFill>
        </w:rPr>
        <w:t>市场监管部门（登记机关）</w:t>
      </w:r>
      <w:r>
        <w:rPr>
          <w:rFonts w:hint="eastAsia" w:ascii="宋体" w:hAnsi="宋体" w:cs="宋体"/>
          <w:b/>
          <w:bCs/>
          <w:color w:val="000000" w:themeColor="text1"/>
          <w:sz w:val="24"/>
          <w:highlight w:val="none"/>
          <w14:textFill>
            <w14:solidFill>
              <w14:schemeClr w14:val="tx1"/>
            </w14:solidFill>
          </w14:textFill>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1D0EA0D2">
      <w:pPr>
        <w:spacing w:line="38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5.财务状况报告</w:t>
      </w:r>
      <w:r>
        <w:rPr>
          <w:rFonts w:hint="eastAsia" w:ascii="宋体" w:hAnsi="宋体" w:cs="宋体"/>
          <w:b/>
          <w:bCs/>
          <w:color w:val="000000" w:themeColor="text1"/>
          <w:sz w:val="24"/>
          <w:highlight w:val="none"/>
          <w14:textFill>
            <w14:solidFill>
              <w14:schemeClr w14:val="tx1"/>
            </w14:solidFill>
          </w14:textFill>
        </w:rPr>
        <w:t>（格式自拟，必须提供）</w:t>
      </w:r>
      <w:r>
        <w:rPr>
          <w:rFonts w:hint="eastAsia" w:ascii="宋体" w:hAnsi="宋体" w:cs="宋体"/>
          <w:color w:val="000000" w:themeColor="text1"/>
          <w:sz w:val="24"/>
          <w:highlight w:val="none"/>
          <w14:textFill>
            <w14:solidFill>
              <w14:schemeClr w14:val="tx1"/>
            </w14:solidFill>
          </w14:textFill>
        </w:rPr>
        <w:t>；</w:t>
      </w:r>
    </w:p>
    <w:p w14:paraId="240B9078">
      <w:pPr>
        <w:spacing w:line="38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供应商截止开标时间前近半年内任意一个月或任一季度依法缴纳税收的证明材料【增值税发票(税收完税证明)或企业所得税完税证明或税务部门出具的免税证明或税务部门出具的无欠税证明】扫描件加盖电子签章</w:t>
      </w:r>
      <w:r>
        <w:rPr>
          <w:rFonts w:hint="eastAsia" w:ascii="宋体" w:hAnsi="宋体" w:cs="宋体"/>
          <w:b/>
          <w:bCs/>
          <w:color w:val="000000" w:themeColor="text1"/>
          <w:sz w:val="24"/>
          <w:highlight w:val="none"/>
          <w14:textFill>
            <w14:solidFill>
              <w14:schemeClr w14:val="tx1"/>
            </w14:solidFill>
          </w14:textFill>
        </w:rPr>
        <w:t>（必须提供）；</w:t>
      </w:r>
    </w:p>
    <w:p w14:paraId="52832AA1">
      <w:pPr>
        <w:spacing w:line="380" w:lineRule="exact"/>
        <w:ind w:firstLine="48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供应商提供的以上相关证明材料属于“必须提供”的文件应加盖供应商公章（CA签章）/自然人签字或加盖个人CA签章，否则响应无效。</w:t>
      </w:r>
    </w:p>
    <w:p w14:paraId="4DB76734">
      <w:pPr>
        <w:spacing w:line="440" w:lineRule="atLeast"/>
        <w:rPr>
          <w:rFonts w:asci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1</w:t>
      </w:r>
      <w:r>
        <w:rPr>
          <w:rFonts w:ascii="宋体" w:hAnsi="宋体"/>
          <w:b/>
          <w:color w:val="000000" w:themeColor="text1"/>
          <w:sz w:val="28"/>
          <w:szCs w:val="28"/>
          <w:highlight w:val="none"/>
          <w14:textFill>
            <w14:solidFill>
              <w14:schemeClr w14:val="tx1"/>
            </w14:solidFill>
          </w14:textFill>
        </w:rPr>
        <w:t>.</w:t>
      </w:r>
      <w:r>
        <w:rPr>
          <w:rFonts w:hint="eastAsia" w:ascii="宋体" w:hAnsi="宋体"/>
          <w:b/>
          <w:color w:val="000000" w:themeColor="text1"/>
          <w:sz w:val="28"/>
          <w:szCs w:val="28"/>
          <w:highlight w:val="none"/>
          <w14:textFill>
            <w14:solidFill>
              <w14:schemeClr w14:val="tx1"/>
            </w14:solidFill>
          </w14:textFill>
        </w:rPr>
        <w:t>供应商相应的法定代表人、负责人、自然人身份证正反两面扫描件加盖电子签章（必须提供）；</w:t>
      </w:r>
    </w:p>
    <w:p w14:paraId="69E6FF40">
      <w:pPr>
        <w:spacing w:line="440" w:lineRule="atLeast"/>
        <w:rPr>
          <w:rFonts w:hint="eastAsia" w:ascii="宋体" w:hAnsi="宋体"/>
          <w:b/>
          <w:color w:val="000000" w:themeColor="text1"/>
          <w:sz w:val="28"/>
          <w:szCs w:val="28"/>
          <w:highlight w:val="none"/>
          <w14:textFill>
            <w14:solidFill>
              <w14:schemeClr w14:val="tx1"/>
            </w14:solidFill>
          </w14:textFill>
        </w:rPr>
      </w:pPr>
    </w:p>
    <w:p w14:paraId="55256CC1">
      <w:pPr>
        <w:spacing w:line="400" w:lineRule="exact"/>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2.供应商的授权委托书原件、委托代理人身份证正反面扫描件加盖电子签章以及由县级以上（含县级）社会养老保险经办机构出具的供应商为委托代理人缴纳的响应文件递交截止时间前三个月内任意一个月养老保险证明扫描件加盖电子签章，除供应商为以下四种情形的：</w:t>
      </w:r>
    </w:p>
    <w:p w14:paraId="083860D7">
      <w:pPr>
        <w:spacing w:line="400" w:lineRule="exact"/>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（1） 如供应商为截标时间前60日以内成立的公司，可以提供供应商与委托代理人签订的劳动合同扫描件加盖电子签章代替养老保险证明扫描件加盖电子签章；</w:t>
      </w:r>
    </w:p>
    <w:p w14:paraId="6FF48E3C">
      <w:pPr>
        <w:spacing w:line="400" w:lineRule="exact"/>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（2）如供应商为事业单位，可以提供事业单位机构编制管理证扫描件加盖电子签章或事业单位机构为其发放工资的工资条扫描件加盖电子签章代替养老保险证明扫描件加盖电子签章；</w:t>
      </w:r>
    </w:p>
    <w:p w14:paraId="2BB24CBD">
      <w:pPr>
        <w:spacing w:line="400" w:lineRule="exact"/>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（3）如委托代理人为免缴纳养老保险人员，提供免缴纳养老保险的证明材料扫描件加盖电子签章及供应商与委托代理人签订的劳动合同扫描件加盖电子签章代替养老保险证明扫描件加盖电子签章。</w:t>
      </w:r>
    </w:p>
    <w:p w14:paraId="542F3849">
      <w:pPr>
        <w:spacing w:line="400" w:lineRule="exact"/>
        <w:rPr>
          <w:rFonts w:hint="eastAsia" w:ascii="宋体" w:hAnsi="宋体"/>
          <w:b/>
          <w:color w:val="000000" w:themeColor="text1"/>
          <w:sz w:val="28"/>
          <w:szCs w:val="28"/>
          <w:highlight w:val="none"/>
          <w14:textFill>
            <w14:solidFill>
              <w14:schemeClr w14:val="tx1"/>
            </w14:solidFill>
          </w14:textFill>
        </w:rPr>
      </w:pPr>
      <w:bookmarkStart w:id="972" w:name="_Toc27755"/>
      <w:bookmarkStart w:id="973" w:name="_Toc930"/>
      <w:bookmarkStart w:id="974" w:name="_Toc27419"/>
      <w:r>
        <w:rPr>
          <w:rFonts w:hint="eastAsia" w:ascii="宋体" w:hAnsi="宋体"/>
          <w:b/>
          <w:color w:val="000000" w:themeColor="text1"/>
          <w:sz w:val="28"/>
          <w:szCs w:val="28"/>
          <w:highlight w:val="none"/>
          <w14:textFill>
            <w14:solidFill>
              <w14:schemeClr w14:val="tx1"/>
            </w14:solidFill>
          </w14:textFill>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bookmarkEnd w:id="972"/>
      <w:bookmarkEnd w:id="973"/>
      <w:bookmarkEnd w:id="974"/>
    </w:p>
    <w:p w14:paraId="4FBA6B22">
      <w:pPr>
        <w:spacing w:line="400" w:lineRule="exact"/>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属自然人的应提供由县级以上（含县级）社会养老保险经办机构出具的自然人本人及委托代理人所缴纳的响应文件递交截止时间前三个月内任意一个月养老保险证明扫描件加盖电子签章，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如为联合体的，授权委托书原件须由牵头人出具）</w:t>
      </w:r>
    </w:p>
    <w:p w14:paraId="02634BBC">
      <w:pPr>
        <w:pStyle w:val="21"/>
        <w:rPr>
          <w:rFonts w:hint="eastAsia" w:hAnsi="宋体"/>
          <w:b/>
          <w:color w:val="000000" w:themeColor="text1"/>
          <w:sz w:val="32"/>
          <w:highlight w:val="none"/>
          <w14:textFill>
            <w14:solidFill>
              <w14:schemeClr w14:val="tx1"/>
            </w14:solidFill>
          </w14:textFill>
        </w:rPr>
      </w:pPr>
    </w:p>
    <w:p w14:paraId="26CDC6D8">
      <w:pPr>
        <w:pStyle w:val="21"/>
        <w:rPr>
          <w:rFonts w:hint="eastAsia" w:hAnsi="宋体"/>
          <w:b/>
          <w:color w:val="000000" w:themeColor="text1"/>
          <w:sz w:val="32"/>
          <w:highlight w:val="none"/>
          <w14:textFill>
            <w14:solidFill>
              <w14:schemeClr w14:val="tx1"/>
            </w14:solidFill>
          </w14:textFill>
        </w:rPr>
      </w:pPr>
    </w:p>
    <w:p w14:paraId="6D20E609">
      <w:pPr>
        <w:pStyle w:val="21"/>
        <w:rPr>
          <w:rFonts w:hint="eastAsia" w:hAnsi="宋体"/>
          <w:b/>
          <w:color w:val="000000" w:themeColor="text1"/>
          <w:sz w:val="32"/>
          <w:highlight w:val="none"/>
          <w14:textFill>
            <w14:solidFill>
              <w14:schemeClr w14:val="tx1"/>
            </w14:solidFill>
          </w14:textFill>
        </w:rPr>
      </w:pPr>
    </w:p>
    <w:p w14:paraId="5EA291CC">
      <w:pPr>
        <w:pStyle w:val="21"/>
        <w:rPr>
          <w:rFonts w:hint="eastAsia" w:hAnsi="宋体"/>
          <w:b/>
          <w:color w:val="000000" w:themeColor="text1"/>
          <w:sz w:val="32"/>
          <w:highlight w:val="none"/>
          <w14:textFill>
            <w14:solidFill>
              <w14:schemeClr w14:val="tx1"/>
            </w14:solidFill>
          </w14:textFill>
        </w:rPr>
      </w:pPr>
    </w:p>
    <w:p w14:paraId="2DB25B0E">
      <w:pPr>
        <w:rPr>
          <w:rFonts w:hint="eastAsia"/>
          <w:color w:val="000000" w:themeColor="text1"/>
          <w:highlight w:val="none"/>
          <w14:textFill>
            <w14:solidFill>
              <w14:schemeClr w14:val="tx1"/>
            </w14:solidFill>
          </w14:textFill>
        </w:rPr>
      </w:pPr>
    </w:p>
    <w:p w14:paraId="2B4FF372">
      <w:pPr>
        <w:rPr>
          <w:rFonts w:hint="eastAsia"/>
          <w:color w:val="000000" w:themeColor="text1"/>
          <w:highlight w:val="none"/>
          <w14:textFill>
            <w14:solidFill>
              <w14:schemeClr w14:val="tx1"/>
            </w14:solidFill>
          </w14:textFill>
        </w:rPr>
      </w:pPr>
    </w:p>
    <w:p w14:paraId="0BD4D70D">
      <w:pPr>
        <w:rPr>
          <w:rFonts w:hint="eastAsia"/>
          <w:color w:val="000000" w:themeColor="text1"/>
          <w:highlight w:val="none"/>
          <w14:textFill>
            <w14:solidFill>
              <w14:schemeClr w14:val="tx1"/>
            </w14:solidFill>
          </w14:textFill>
        </w:rPr>
      </w:pPr>
    </w:p>
    <w:p w14:paraId="40E1DABE">
      <w:pPr>
        <w:rPr>
          <w:rFonts w:hint="eastAsia"/>
          <w:color w:val="000000" w:themeColor="text1"/>
          <w:highlight w:val="none"/>
          <w14:textFill>
            <w14:solidFill>
              <w14:schemeClr w14:val="tx1"/>
            </w14:solidFill>
          </w14:textFill>
        </w:rPr>
      </w:pPr>
    </w:p>
    <w:p w14:paraId="5B71A1E7">
      <w:pPr>
        <w:rPr>
          <w:rFonts w:hint="eastAsia"/>
          <w:color w:val="000000" w:themeColor="text1"/>
          <w:highlight w:val="none"/>
          <w14:textFill>
            <w14:solidFill>
              <w14:schemeClr w14:val="tx1"/>
            </w14:solidFill>
          </w14:textFill>
        </w:rPr>
      </w:pPr>
    </w:p>
    <w:p w14:paraId="65AD1C08">
      <w:pPr>
        <w:rPr>
          <w:rFonts w:hint="eastAsia"/>
          <w:color w:val="000000" w:themeColor="text1"/>
          <w:highlight w:val="none"/>
          <w14:textFill>
            <w14:solidFill>
              <w14:schemeClr w14:val="tx1"/>
            </w14:solidFill>
          </w14:textFill>
        </w:rPr>
      </w:pPr>
    </w:p>
    <w:p w14:paraId="5EBCD30E">
      <w:pPr>
        <w:pStyle w:val="21"/>
        <w:rPr>
          <w:rFonts w:hAnsi="宋体"/>
          <w:b/>
          <w:color w:val="000000" w:themeColor="text1"/>
          <w:sz w:val="32"/>
          <w:highlight w:val="none"/>
          <w14:textFill>
            <w14:solidFill>
              <w14:schemeClr w14:val="tx1"/>
            </w14:solidFill>
          </w14:textFill>
        </w:rPr>
      </w:pPr>
      <w:r>
        <w:rPr>
          <w:rFonts w:hint="eastAsia" w:hAnsi="宋体"/>
          <w:b/>
          <w:color w:val="000000" w:themeColor="text1"/>
          <w:sz w:val="32"/>
          <w:highlight w:val="none"/>
          <w14:textFill>
            <w14:solidFill>
              <w14:schemeClr w14:val="tx1"/>
            </w14:solidFill>
          </w14:textFill>
        </w:rPr>
        <w:t>附件：</w:t>
      </w:r>
      <w:r>
        <w:rPr>
          <w:rFonts w:hAnsi="宋体"/>
          <w:b/>
          <w:color w:val="000000" w:themeColor="text1"/>
          <w:sz w:val="32"/>
          <w:highlight w:val="none"/>
          <w14:textFill>
            <w14:solidFill>
              <w14:schemeClr w14:val="tx1"/>
            </w14:solidFill>
          </w14:textFill>
        </w:rPr>
        <w:t xml:space="preserve">            </w:t>
      </w:r>
    </w:p>
    <w:p w14:paraId="31CC7A39">
      <w:pPr>
        <w:pStyle w:val="21"/>
        <w:ind w:firstLine="627"/>
        <w:jc w:val="center"/>
        <w:rPr>
          <w:rFonts w:hAnsi="宋体"/>
          <w:b/>
          <w:color w:val="000000" w:themeColor="text1"/>
          <w:sz w:val="32"/>
          <w:highlight w:val="none"/>
          <w14:textFill>
            <w14:solidFill>
              <w14:schemeClr w14:val="tx1"/>
            </w14:solidFill>
          </w14:textFill>
        </w:rPr>
      </w:pPr>
      <w:bookmarkStart w:id="975" w:name="_Toc964_WPSOffice_Level1"/>
      <w:bookmarkStart w:id="976" w:name="_Toc5420_WPSOffice_Level1"/>
      <w:r>
        <w:rPr>
          <w:rFonts w:hint="eastAsia" w:hAnsi="宋体"/>
          <w:b/>
          <w:color w:val="000000" w:themeColor="text1"/>
          <w:sz w:val="32"/>
          <w:highlight w:val="none"/>
          <w14:textFill>
            <w14:solidFill>
              <w14:schemeClr w14:val="tx1"/>
            </w14:solidFill>
          </w14:textFill>
        </w:rPr>
        <w:t>授权委托书（格式一）</w:t>
      </w:r>
      <w:bookmarkEnd w:id="975"/>
      <w:bookmarkEnd w:id="976"/>
    </w:p>
    <w:p w14:paraId="72A5E31D">
      <w:pPr>
        <w:pStyle w:val="21"/>
        <w:rPr>
          <w:rFonts w:hAnsi="宋体"/>
          <w:color w:val="000000" w:themeColor="text1"/>
          <w:highlight w:val="none"/>
          <w14:textFill>
            <w14:solidFill>
              <w14:schemeClr w14:val="tx1"/>
            </w14:solidFill>
          </w14:textFill>
        </w:rPr>
      </w:pPr>
    </w:p>
    <w:p w14:paraId="32A49A27">
      <w:pPr>
        <w:spacing w:line="400" w:lineRule="exact"/>
        <w:rPr>
          <w:rFonts w:asci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桂林市政府集中采购中心 </w:t>
      </w:r>
    </w:p>
    <w:p w14:paraId="6D0CAD3C">
      <w:pPr>
        <w:spacing w:line="400" w:lineRule="exact"/>
        <w:rPr>
          <w:rFonts w:ascii="宋体"/>
          <w:color w:val="000000" w:themeColor="text1"/>
          <w:szCs w:val="21"/>
          <w:highlight w:val="none"/>
          <w14:textFill>
            <w14:solidFill>
              <w14:schemeClr w14:val="tx1"/>
            </w14:solidFill>
          </w14:textFill>
        </w:rPr>
      </w:pPr>
    </w:p>
    <w:p w14:paraId="57977915">
      <w:pPr>
        <w:pStyle w:val="21"/>
        <w:spacing w:line="40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我</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（姓名）系</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（供应商名称）的法定代表人（负责人），现授权委托本单位在职职工</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（姓 名）以我公司名义参加</w:t>
      </w:r>
      <w:r>
        <w:rPr>
          <w:rFonts w:hint="eastAsia" w:hAnsi="宋体" w:cs="宋体"/>
          <w:color w:val="000000" w:themeColor="text1"/>
          <w:sz w:val="21"/>
          <w:highlight w:val="none"/>
          <w:u w:val="single"/>
          <w14:textFill>
            <w14:solidFill>
              <w14:schemeClr w14:val="tx1"/>
            </w14:solidFill>
          </w14:textFill>
        </w:rPr>
        <w:t xml:space="preserve">      （项目名称及项目编号）        </w:t>
      </w:r>
      <w:r>
        <w:rPr>
          <w:rFonts w:hint="eastAsia" w:hAnsi="宋体" w:cs="宋体"/>
          <w:color w:val="000000" w:themeColor="text1"/>
          <w:sz w:val="21"/>
          <w:highlight w:val="none"/>
          <w14:textFill>
            <w14:solidFill>
              <w14:schemeClr w14:val="tx1"/>
            </w14:solidFill>
          </w14:textFill>
        </w:rPr>
        <w:t>项目的谈判活动，并代表我方全权办理针对上述项目的谈判、签约等具体事务和签署相关文件。</w:t>
      </w:r>
    </w:p>
    <w:p w14:paraId="74EC3CA5">
      <w:pPr>
        <w:pStyle w:val="21"/>
        <w:spacing w:line="40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我方对被授权人的签字事项负全部责任。</w:t>
      </w:r>
    </w:p>
    <w:p w14:paraId="69D1A5D3">
      <w:pPr>
        <w:pStyle w:val="21"/>
        <w:spacing w:line="400" w:lineRule="exact"/>
        <w:ind w:firstLine="420"/>
        <w:rPr>
          <w:rFonts w:hint="eastAsia"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授权委托代理期限：从</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年</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月 </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 日起至</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年</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月 </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日止。</w:t>
      </w:r>
    </w:p>
    <w:p w14:paraId="3F14806E">
      <w:pPr>
        <w:pStyle w:val="21"/>
        <w:spacing w:line="400" w:lineRule="exact"/>
        <w:rPr>
          <w:rFonts w:hint="eastAsia"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 xml:space="preserve">                                                                                             </w:t>
      </w:r>
    </w:p>
    <w:p w14:paraId="63310376">
      <w:pPr>
        <w:spacing w:line="4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代理人无转委托权,特此委托。 </w:t>
      </w:r>
    </w:p>
    <w:p w14:paraId="376E98EE">
      <w:pPr>
        <w:spacing w:line="400" w:lineRule="exact"/>
        <w:ind w:firstLine="525"/>
        <w:rPr>
          <w:rFonts w:hint="eastAsia" w:ascii="宋体" w:hAnsi="宋体" w:cs="宋体"/>
          <w:color w:val="000000" w:themeColor="text1"/>
          <w:szCs w:val="21"/>
          <w:highlight w:val="none"/>
          <w14:textFill>
            <w14:solidFill>
              <w14:schemeClr w14:val="tx1"/>
            </w14:solidFill>
          </w14:textFill>
        </w:rPr>
      </w:pPr>
    </w:p>
    <w:p w14:paraId="39F02634">
      <w:pPr>
        <w:spacing w:line="4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我已在下面签字，以资证明。</w:t>
      </w:r>
    </w:p>
    <w:p w14:paraId="3098F489">
      <w:pPr>
        <w:spacing w:line="400" w:lineRule="exact"/>
        <w:ind w:firstLine="420"/>
        <w:rPr>
          <w:rFonts w:ascii="宋体"/>
          <w:color w:val="000000" w:themeColor="text1"/>
          <w:szCs w:val="21"/>
          <w:highlight w:val="none"/>
          <w14:textFill>
            <w14:solidFill>
              <w14:schemeClr w14:val="tx1"/>
            </w14:solidFill>
          </w14:textFill>
        </w:rPr>
      </w:pPr>
    </w:p>
    <w:p w14:paraId="5033E29E">
      <w:pPr>
        <w:spacing w:line="400" w:lineRule="exact"/>
        <w:ind w:firstLine="420"/>
        <w:rPr>
          <w:rFonts w:ascii="宋体"/>
          <w:color w:val="000000" w:themeColor="text1"/>
          <w:szCs w:val="21"/>
          <w:highlight w:val="none"/>
          <w14:textFill>
            <w14:solidFill>
              <w14:schemeClr w14:val="tx1"/>
            </w14:solidFill>
          </w14:textFill>
        </w:rPr>
      </w:pPr>
    </w:p>
    <w:p w14:paraId="798065E6">
      <w:pPr>
        <w:spacing w:line="400" w:lineRule="exact"/>
        <w:ind w:firstLine="42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供应商[公章（CA签章）]：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792D1A67">
      <w:pPr>
        <w:spacing w:line="400" w:lineRule="exact"/>
        <w:ind w:firstLine="420"/>
        <w:rPr>
          <w:rFonts w:ascii="宋体" w:hAnsi="宋体" w:cs="宋体"/>
          <w:color w:val="000000" w:themeColor="text1"/>
          <w:szCs w:val="21"/>
          <w:highlight w:val="none"/>
          <w14:textFill>
            <w14:solidFill>
              <w14:schemeClr w14:val="tx1"/>
            </w14:solidFill>
          </w14:textFill>
        </w:rPr>
      </w:pPr>
    </w:p>
    <w:p w14:paraId="79276E68">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15BB195C">
      <w:pPr>
        <w:spacing w:line="400" w:lineRule="exact"/>
        <w:ind w:firstLine="420"/>
        <w:rPr>
          <w:rFonts w:ascii="宋体"/>
          <w:color w:val="000000" w:themeColor="text1"/>
          <w:szCs w:val="21"/>
          <w:highlight w:val="none"/>
          <w14:textFill>
            <w14:solidFill>
              <w14:schemeClr w14:val="tx1"/>
            </w14:solidFill>
          </w14:textFill>
        </w:rPr>
      </w:pPr>
    </w:p>
    <w:p w14:paraId="6E08D4F9">
      <w:pPr>
        <w:spacing w:line="400" w:lineRule="exact"/>
        <w:ind w:firstLine="6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投标人的授权委托书原件、委托代理人身份证正反面扫描件加盖电子签章以及由县级以上（含县级）社会养老保险经办机构出具的投标人为委托代理人缴纳的开标截止时间前三个月内任意一个月养老保险证明扫描件加盖电子签章（如投标人为截标时间前60日以内成立的公司，可以提供投标人与委托代理人签订的劳动合同扫描件加盖电子签章代替养老保险证明扫描件加盖电子签章；如投标人为事业单位，可以提供事业单位机构编制管理证扫描件加盖电子签章或事业单位机构为其发放工资的工资条扫描件加盖电子签章代替养老保险证明扫描件加盖电子签章；如委托代理人为免缴纳养老保险人员，提供免缴纳养老保险的证明材料扫描件加盖电子签章及投标人与委托代理人签订的劳动合同扫描件加盖电子签章代替养老保险证明扫描件加盖电子签章；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委托代理时必须提供）。</w:t>
      </w:r>
    </w:p>
    <w:p w14:paraId="76C28346">
      <w:pPr>
        <w:spacing w:line="400" w:lineRule="exact"/>
        <w:rPr>
          <w:rFonts w:hint="eastAsia" w:ascii="宋体" w:hAnsi="宋体"/>
          <w:b/>
          <w:color w:val="000000" w:themeColor="text1"/>
          <w:szCs w:val="21"/>
          <w:highlight w:val="none"/>
          <w14:textFill>
            <w14:solidFill>
              <w14:schemeClr w14:val="tx1"/>
            </w14:solidFill>
          </w14:textFill>
        </w:rPr>
      </w:pPr>
    </w:p>
    <w:p w14:paraId="0870CF52">
      <w:pPr>
        <w:rPr>
          <w:color w:val="000000" w:themeColor="text1"/>
          <w:highlight w:val="none"/>
          <w14:textFill>
            <w14:solidFill>
              <w14:schemeClr w14:val="tx1"/>
            </w14:solidFill>
          </w14:textFill>
        </w:rPr>
      </w:pPr>
    </w:p>
    <w:p w14:paraId="6D345290">
      <w:pPr>
        <w:pStyle w:val="21"/>
        <w:jc w:val="center"/>
        <w:rPr>
          <w:rFonts w:hint="eastAsia" w:hAnsi="宋体"/>
          <w:b/>
          <w:color w:val="000000" w:themeColor="text1"/>
          <w:sz w:val="32"/>
          <w:highlight w:val="none"/>
          <w14:textFill>
            <w14:solidFill>
              <w14:schemeClr w14:val="tx1"/>
            </w14:solidFill>
          </w14:textFill>
        </w:rPr>
      </w:pPr>
    </w:p>
    <w:p w14:paraId="699D9CC5">
      <w:pPr>
        <w:pStyle w:val="21"/>
        <w:jc w:val="center"/>
        <w:rPr>
          <w:rFonts w:hint="eastAsia" w:hAnsi="宋体"/>
          <w:b/>
          <w:color w:val="000000" w:themeColor="text1"/>
          <w:sz w:val="32"/>
          <w:highlight w:val="none"/>
          <w14:textFill>
            <w14:solidFill>
              <w14:schemeClr w14:val="tx1"/>
            </w14:solidFill>
          </w14:textFill>
        </w:rPr>
      </w:pPr>
      <w:bookmarkStart w:id="977" w:name="_Toc21370_WPSOffice_Level1"/>
      <w:bookmarkStart w:id="978" w:name="_Toc6975_WPSOffice_Level1"/>
    </w:p>
    <w:p w14:paraId="2E877CA0">
      <w:pPr>
        <w:pStyle w:val="21"/>
        <w:jc w:val="center"/>
        <w:rPr>
          <w:rFonts w:hAnsi="宋体"/>
          <w:b/>
          <w:color w:val="000000" w:themeColor="text1"/>
          <w:sz w:val="32"/>
          <w:highlight w:val="none"/>
          <w14:textFill>
            <w14:solidFill>
              <w14:schemeClr w14:val="tx1"/>
            </w14:solidFill>
          </w14:textFill>
        </w:rPr>
      </w:pPr>
      <w:r>
        <w:rPr>
          <w:rFonts w:hint="eastAsia" w:hAnsi="宋体"/>
          <w:b/>
          <w:color w:val="000000" w:themeColor="text1"/>
          <w:sz w:val="32"/>
          <w:highlight w:val="none"/>
          <w14:textFill>
            <w14:solidFill>
              <w14:schemeClr w14:val="tx1"/>
            </w14:solidFill>
          </w14:textFill>
        </w:rPr>
        <w:t>授权委托书（格式二）</w:t>
      </w:r>
      <w:bookmarkEnd w:id="977"/>
      <w:bookmarkEnd w:id="978"/>
    </w:p>
    <w:p w14:paraId="02666578">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桂林市政府集中采购中心</w:t>
      </w:r>
    </w:p>
    <w:p w14:paraId="5F20F6DE">
      <w:pPr>
        <w:spacing w:line="400" w:lineRule="exact"/>
        <w:rPr>
          <w:rFonts w:ascii="宋体" w:hAnsi="宋体" w:cs="宋体"/>
          <w:color w:val="000000" w:themeColor="text1"/>
          <w:szCs w:val="21"/>
          <w:highlight w:val="none"/>
          <w:u w:val="single"/>
          <w14:textFill>
            <w14:solidFill>
              <w14:schemeClr w14:val="tx1"/>
            </w14:solidFill>
          </w14:textFill>
        </w:rPr>
      </w:pPr>
    </w:p>
    <w:p w14:paraId="6E516958">
      <w:pPr>
        <w:pStyle w:val="21"/>
        <w:spacing w:line="340" w:lineRule="exact"/>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我</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（姓名）系自然人，现授权委托</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（姓 名），身份证号码：</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以本人名义参加</w:t>
      </w:r>
      <w:r>
        <w:rPr>
          <w:rFonts w:hint="eastAsia" w:hAnsi="宋体" w:cs="宋体"/>
          <w:color w:val="000000" w:themeColor="text1"/>
          <w:sz w:val="21"/>
          <w:highlight w:val="none"/>
          <w:u w:val="single"/>
          <w14:textFill>
            <w14:solidFill>
              <w14:schemeClr w14:val="tx1"/>
            </w14:solidFill>
          </w14:textFill>
        </w:rPr>
        <w:t xml:space="preserve">      （项目名称及项目编号）        </w:t>
      </w:r>
      <w:r>
        <w:rPr>
          <w:rFonts w:hint="eastAsia" w:hAnsi="宋体" w:cs="宋体"/>
          <w:color w:val="000000" w:themeColor="text1"/>
          <w:sz w:val="21"/>
          <w:highlight w:val="none"/>
          <w14:textFill>
            <w14:solidFill>
              <w14:schemeClr w14:val="tx1"/>
            </w14:solidFill>
          </w14:textFill>
        </w:rPr>
        <w:t>项目的投标活动，并代表本人全权办理针对上述项目的投标、开标、评标、签约等具体事务和签署相关文件。</w:t>
      </w:r>
    </w:p>
    <w:p w14:paraId="286588A6">
      <w:pPr>
        <w:pStyle w:val="21"/>
        <w:spacing w:line="340" w:lineRule="exact"/>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本人对被授权人的签字事项负全部责任。</w:t>
      </w:r>
    </w:p>
    <w:p w14:paraId="0F9A8397">
      <w:pPr>
        <w:pStyle w:val="21"/>
        <w:spacing w:line="400" w:lineRule="exact"/>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授权委托代理期限：自即日起至该项目政府采购活动结束。</w:t>
      </w:r>
    </w:p>
    <w:p w14:paraId="78F742B4">
      <w:pPr>
        <w:pStyle w:val="21"/>
        <w:spacing w:line="340" w:lineRule="exact"/>
        <w:ind w:firstLine="400"/>
        <w:rPr>
          <w:rFonts w:hAnsi="宋体" w:cs="宋体"/>
          <w:color w:val="000000" w:themeColor="text1"/>
          <w:highlight w:val="none"/>
          <w:u w:val="single"/>
          <w14:textFill>
            <w14:solidFill>
              <w14:schemeClr w14:val="tx1"/>
            </w14:solidFill>
          </w14:textFill>
        </w:rPr>
      </w:pPr>
    </w:p>
    <w:p w14:paraId="269F3325">
      <w:pPr>
        <w:pStyle w:val="21"/>
        <w:spacing w:line="340" w:lineRule="exact"/>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14:paraId="1C7FA81C">
      <w:pPr>
        <w:spacing w:line="34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代理人无转委托权,特此委托。 </w:t>
      </w:r>
    </w:p>
    <w:p w14:paraId="3A0C8983">
      <w:pPr>
        <w:spacing w:line="340" w:lineRule="exact"/>
        <w:ind w:firstLine="525"/>
        <w:rPr>
          <w:rFonts w:ascii="宋体" w:hAnsi="宋体" w:cs="宋体"/>
          <w:color w:val="000000" w:themeColor="text1"/>
          <w:szCs w:val="21"/>
          <w:highlight w:val="none"/>
          <w14:textFill>
            <w14:solidFill>
              <w14:schemeClr w14:val="tx1"/>
            </w14:solidFill>
          </w14:textFill>
        </w:rPr>
      </w:pPr>
    </w:p>
    <w:p w14:paraId="3231A122">
      <w:pPr>
        <w:spacing w:line="34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我已在下面签字，以资证明。</w:t>
      </w:r>
    </w:p>
    <w:p w14:paraId="58EF59FE">
      <w:pPr>
        <w:spacing w:line="340" w:lineRule="exact"/>
        <w:ind w:firstLine="420"/>
        <w:rPr>
          <w:rFonts w:ascii="宋体" w:hAnsi="宋体" w:cs="宋体"/>
          <w:color w:val="000000" w:themeColor="text1"/>
          <w:szCs w:val="21"/>
          <w:highlight w:val="none"/>
          <w14:textFill>
            <w14:solidFill>
              <w14:schemeClr w14:val="tx1"/>
            </w14:solidFill>
          </w14:textFill>
        </w:rPr>
      </w:pPr>
    </w:p>
    <w:p w14:paraId="7AAD1995">
      <w:pPr>
        <w:spacing w:line="34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自然人签字并在签名处加盖大拇指指印或个人CA签章：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61682DB9">
      <w:pPr>
        <w:spacing w:line="340" w:lineRule="exact"/>
        <w:ind w:firstLine="420"/>
        <w:rPr>
          <w:rFonts w:hint="eastAsia" w:ascii="宋体" w:hAnsi="宋体" w:cs="宋体"/>
          <w:color w:val="000000" w:themeColor="text1"/>
          <w:szCs w:val="21"/>
          <w:highlight w:val="none"/>
          <w14:textFill>
            <w14:solidFill>
              <w14:schemeClr w14:val="tx1"/>
            </w14:solidFill>
          </w14:textFill>
        </w:rPr>
      </w:pPr>
    </w:p>
    <w:p w14:paraId="5935DEFC">
      <w:pPr>
        <w:spacing w:line="340" w:lineRule="exact"/>
        <w:ind w:firstLine="420"/>
        <w:rPr>
          <w:rFonts w:hint="eastAsia" w:ascii="宋体" w:hAnsi="宋体" w:cs="宋体"/>
          <w:color w:val="000000" w:themeColor="text1"/>
          <w:szCs w:val="21"/>
          <w:highlight w:val="none"/>
          <w14:textFill>
            <w14:solidFill>
              <w14:schemeClr w14:val="tx1"/>
            </w14:solidFill>
          </w14:textFill>
        </w:rPr>
      </w:pPr>
    </w:p>
    <w:p w14:paraId="13A821FA">
      <w:pPr>
        <w:spacing w:line="340" w:lineRule="exact"/>
        <w:ind w:firstLine="420"/>
        <w:rPr>
          <w:rFonts w:hint="eastAsia" w:ascii="宋体" w:hAnsi="宋体" w:cs="宋体"/>
          <w:color w:val="000000" w:themeColor="text1"/>
          <w:szCs w:val="21"/>
          <w:highlight w:val="none"/>
          <w14:textFill>
            <w14:solidFill>
              <w14:schemeClr w14:val="tx1"/>
            </w14:solidFill>
          </w14:textFill>
        </w:rPr>
      </w:pPr>
    </w:p>
    <w:p w14:paraId="319B1704">
      <w:pPr>
        <w:spacing w:line="340" w:lineRule="exact"/>
        <w:ind w:firstLine="420"/>
        <w:rPr>
          <w:rFonts w:hint="eastAsia" w:ascii="宋体" w:hAnsi="宋体" w:cs="宋体"/>
          <w:color w:val="000000" w:themeColor="text1"/>
          <w:szCs w:val="21"/>
          <w:highlight w:val="none"/>
          <w14:textFill>
            <w14:solidFill>
              <w14:schemeClr w14:val="tx1"/>
            </w14:solidFill>
          </w14:textFill>
        </w:rPr>
      </w:pPr>
    </w:p>
    <w:p w14:paraId="63E4B2D3">
      <w:pPr>
        <w:spacing w:line="340" w:lineRule="exact"/>
        <w:ind w:firstLine="420"/>
        <w:rPr>
          <w:rFonts w:hint="eastAsia" w:ascii="宋体" w:hAnsi="宋体" w:cs="宋体"/>
          <w:color w:val="000000" w:themeColor="text1"/>
          <w:szCs w:val="21"/>
          <w:highlight w:val="none"/>
          <w14:textFill>
            <w14:solidFill>
              <w14:schemeClr w14:val="tx1"/>
            </w14:solidFill>
          </w14:textFill>
        </w:rPr>
      </w:pPr>
    </w:p>
    <w:p w14:paraId="7A698665">
      <w:pPr>
        <w:spacing w:line="340" w:lineRule="exact"/>
        <w:ind w:firstLine="420"/>
        <w:rPr>
          <w:rFonts w:hint="eastAsia" w:ascii="宋体" w:hAnsi="宋体" w:cs="宋体"/>
          <w:color w:val="000000" w:themeColor="text1"/>
          <w:szCs w:val="21"/>
          <w:highlight w:val="none"/>
          <w14:textFill>
            <w14:solidFill>
              <w14:schemeClr w14:val="tx1"/>
            </w14:solidFill>
          </w14:textFill>
        </w:rPr>
      </w:pPr>
    </w:p>
    <w:p w14:paraId="4084E1D3">
      <w:pPr>
        <w:pStyle w:val="21"/>
        <w:spacing w:line="340" w:lineRule="exact"/>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br w:type="page" w:clear="all"/>
      </w:r>
      <w:r>
        <w:rPr>
          <w:rFonts w:hint="eastAsia"/>
          <w:b/>
          <w:color w:val="000000" w:themeColor="text1"/>
          <w:sz w:val="28"/>
          <w:szCs w:val="28"/>
          <w:highlight w:val="none"/>
          <w14:textFill>
            <w14:solidFill>
              <w14:schemeClr w14:val="tx1"/>
            </w14:solidFill>
          </w14:textFill>
        </w:rPr>
        <w:t>3</w:t>
      </w: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供应商参加政府采购活动前</w:t>
      </w:r>
      <w:r>
        <w:rPr>
          <w:b/>
          <w:color w:val="000000" w:themeColor="text1"/>
          <w:sz w:val="28"/>
          <w:szCs w:val="28"/>
          <w:highlight w:val="none"/>
          <w14:textFill>
            <w14:solidFill>
              <w14:schemeClr w14:val="tx1"/>
            </w14:solidFill>
          </w14:textFill>
        </w:rPr>
        <w:t>3</w:t>
      </w:r>
      <w:r>
        <w:rPr>
          <w:rFonts w:hint="eastAsia"/>
          <w:b/>
          <w:color w:val="000000" w:themeColor="text1"/>
          <w:sz w:val="28"/>
          <w:szCs w:val="28"/>
          <w:highlight w:val="none"/>
          <w14:textFill>
            <w14:solidFill>
              <w14:schemeClr w14:val="tx1"/>
            </w14:solidFill>
          </w14:textFill>
        </w:rPr>
        <w:t>年内在经营活动中没有重大违法记录</w:t>
      </w:r>
      <w:r>
        <w:rPr>
          <w:rFonts w:hint="eastAsia" w:hAnsi="宋体"/>
          <w:b/>
          <w:color w:val="000000" w:themeColor="text1"/>
          <w:sz w:val="32"/>
          <w:szCs w:val="32"/>
          <w:highlight w:val="none"/>
          <w14:textFill>
            <w14:solidFill>
              <w14:schemeClr w14:val="tx1"/>
            </w14:solidFill>
          </w14:textFill>
        </w:rPr>
        <w:t>及</w:t>
      </w:r>
      <w:r>
        <w:rPr>
          <w:rFonts w:hint="eastAsia"/>
          <w:b/>
          <w:color w:val="000000" w:themeColor="text1"/>
          <w:sz w:val="28"/>
          <w:szCs w:val="28"/>
          <w:highlight w:val="none"/>
          <w14:textFill>
            <w14:solidFill>
              <w14:schemeClr w14:val="tx1"/>
            </w14:solidFill>
          </w14:textFill>
        </w:rPr>
        <w:t>有关信用信息的书面声明（必须提供）；</w:t>
      </w:r>
    </w:p>
    <w:p w14:paraId="6A0927AE">
      <w:pPr>
        <w:pStyle w:val="21"/>
        <w:spacing w:line="400" w:lineRule="exact"/>
        <w:ind w:left="420" w:firstLine="156"/>
        <w:rPr>
          <w:rFonts w:hAnsi="宋体"/>
          <w:b/>
          <w:color w:val="000000" w:themeColor="text1"/>
          <w:sz w:val="32"/>
          <w:szCs w:val="32"/>
          <w:highlight w:val="none"/>
          <w14:textFill>
            <w14:solidFill>
              <w14:schemeClr w14:val="tx1"/>
            </w14:solidFill>
          </w14:textFill>
        </w:rPr>
      </w:pPr>
      <w:r>
        <w:rPr>
          <w:rFonts w:hAnsi="宋体"/>
          <w:b/>
          <w:color w:val="000000" w:themeColor="text1"/>
          <w:sz w:val="32"/>
          <w:szCs w:val="32"/>
          <w:highlight w:val="none"/>
          <w14:textFill>
            <w14:solidFill>
              <w14:schemeClr w14:val="tx1"/>
            </w14:solidFill>
          </w14:textFill>
        </w:rPr>
        <w:t xml:space="preserve">                       </w:t>
      </w:r>
    </w:p>
    <w:p w14:paraId="72653D11">
      <w:pPr>
        <w:pStyle w:val="21"/>
        <w:spacing w:line="400" w:lineRule="exact"/>
        <w:ind w:left="420" w:firstLine="156"/>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附件：</w:t>
      </w:r>
    </w:p>
    <w:p w14:paraId="7CE47FD2">
      <w:pPr>
        <w:pStyle w:val="21"/>
        <w:spacing w:line="400" w:lineRule="exact"/>
        <w:jc w:val="center"/>
        <w:rPr>
          <w:rFonts w:hAnsi="宋体"/>
          <w:b/>
          <w:color w:val="000000" w:themeColor="text1"/>
          <w:sz w:val="32"/>
          <w:szCs w:val="32"/>
          <w:highlight w:val="none"/>
          <w14:textFill>
            <w14:solidFill>
              <w14:schemeClr w14:val="tx1"/>
            </w14:solidFill>
          </w14:textFill>
        </w:rPr>
      </w:pPr>
      <w:bookmarkStart w:id="979" w:name="_Toc30304_WPSOffice_Level1"/>
      <w:bookmarkStart w:id="980" w:name="_Toc30890_WPSOffice_Level1"/>
      <w:r>
        <w:rPr>
          <w:rFonts w:hint="eastAsia" w:hAnsi="宋体"/>
          <w:b/>
          <w:color w:val="000000" w:themeColor="text1"/>
          <w:sz w:val="32"/>
          <w:szCs w:val="32"/>
          <w:highlight w:val="none"/>
          <w14:textFill>
            <w14:solidFill>
              <w14:schemeClr w14:val="tx1"/>
            </w14:solidFill>
          </w14:textFill>
        </w:rPr>
        <w:t>声</w:t>
      </w:r>
      <w:r>
        <w:rPr>
          <w:rFonts w:hAnsi="宋体"/>
          <w:b/>
          <w:color w:val="000000" w:themeColor="text1"/>
          <w:sz w:val="32"/>
          <w:szCs w:val="32"/>
          <w:highlight w:val="none"/>
          <w14:textFill>
            <w14:solidFill>
              <w14:schemeClr w14:val="tx1"/>
            </w14:solidFill>
          </w14:textFill>
        </w:rPr>
        <w:t xml:space="preserve">   </w:t>
      </w:r>
      <w:r>
        <w:rPr>
          <w:rFonts w:hint="eastAsia" w:hAnsi="宋体"/>
          <w:b/>
          <w:color w:val="000000" w:themeColor="text1"/>
          <w:sz w:val="32"/>
          <w:szCs w:val="32"/>
          <w:highlight w:val="none"/>
          <w14:textFill>
            <w14:solidFill>
              <w14:schemeClr w14:val="tx1"/>
            </w14:solidFill>
          </w14:textFill>
        </w:rPr>
        <w:t>明</w:t>
      </w:r>
      <w:bookmarkEnd w:id="979"/>
      <w:bookmarkEnd w:id="980"/>
    </w:p>
    <w:p w14:paraId="507AB8B8">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桂林市政府集中采购中心 </w:t>
      </w:r>
    </w:p>
    <w:p w14:paraId="37CBF20B">
      <w:pPr>
        <w:spacing w:line="400" w:lineRule="exact"/>
        <w:rPr>
          <w:rFonts w:hint="eastAsia" w:ascii="宋体" w:hAnsi="宋体" w:cs="宋体"/>
          <w:color w:val="000000" w:themeColor="text1"/>
          <w:szCs w:val="21"/>
          <w:highlight w:val="none"/>
          <w:u w:val="single"/>
          <w14:textFill>
            <w14:solidFill>
              <w14:schemeClr w14:val="tx1"/>
            </w14:solidFill>
          </w14:textFill>
        </w:rPr>
      </w:pPr>
    </w:p>
    <w:p w14:paraId="3942BC22">
      <w:pPr>
        <w:pStyle w:val="21"/>
        <w:spacing w:line="40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color w:val="000000" w:themeColor="text1"/>
          <w:sz w:val="21"/>
          <w:highlight w:val="none"/>
          <w:lang w:eastAsia="zh-CN"/>
          <w14:textFill>
            <w14:solidFill>
              <w14:schemeClr w14:val="tx1"/>
            </w14:solidFill>
          </w14:textFill>
        </w:rPr>
        <w:t>重大税收违法失信主体名单</w:t>
      </w:r>
      <w:r>
        <w:rPr>
          <w:rFonts w:hint="eastAsia" w:hAnsi="宋体" w:cs="宋体"/>
          <w:color w:val="000000" w:themeColor="text1"/>
          <w:sz w:val="21"/>
          <w:highlight w:val="none"/>
          <w14:textFill>
            <w14:solidFill>
              <w14:schemeClr w14:val="tx1"/>
            </w14:solidFill>
          </w14:textFill>
        </w:rPr>
        <w:t>、政府采购严重违法失信行为记录名单，完全符合《中华人民共和国政府采购法》第二十二条规定的供应商资格条件，我方对此声明负全部法律责任。</w:t>
      </w:r>
    </w:p>
    <w:p w14:paraId="1C6DA422">
      <w:pPr>
        <w:spacing w:line="400" w:lineRule="exact"/>
        <w:ind w:firstLine="420"/>
        <w:rPr>
          <w:rFonts w:ascii="宋体"/>
          <w:color w:val="000000" w:themeColor="text1"/>
          <w:szCs w:val="21"/>
          <w:highlight w:val="none"/>
          <w14:textFill>
            <w14:solidFill>
              <w14:schemeClr w14:val="tx1"/>
            </w14:solidFill>
          </w14:textFill>
        </w:rPr>
      </w:pPr>
    </w:p>
    <w:p w14:paraId="1DBEB79C">
      <w:pPr>
        <w:spacing w:line="400" w:lineRule="exact"/>
        <w:ind w:firstLine="1890"/>
        <w:rPr>
          <w:rFonts w:hint="eastAsia"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78BE1B3C">
      <w:pPr>
        <w:pStyle w:val="21"/>
        <w:ind w:firstLine="3800"/>
        <w:rPr>
          <w:rFonts w:hint="eastAsia" w:hAnsi="宋体"/>
          <w:color w:val="000000" w:themeColor="text1"/>
          <w:highlight w:val="none"/>
          <w14:textFill>
            <w14:solidFill>
              <w14:schemeClr w14:val="tx1"/>
            </w14:solidFill>
          </w14:textFill>
        </w:rPr>
      </w:pPr>
    </w:p>
    <w:p w14:paraId="410C6B2E">
      <w:pPr>
        <w:pStyle w:val="21"/>
        <w:ind w:firstLine="5000"/>
        <w:rPr>
          <w:rFonts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日</w:t>
      </w:r>
      <w:r>
        <w:rPr>
          <w:rFonts w:hAnsi="宋体"/>
          <w:color w:val="000000" w:themeColor="text1"/>
          <w:highlight w:val="non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期：</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 xml:space="preserve">   </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 xml:space="preserve">                 </w:t>
      </w:r>
      <w:r>
        <w:rPr>
          <w:rFonts w:hAnsi="宋体"/>
          <w:color w:val="000000" w:themeColor="text1"/>
          <w:highlight w:val="none"/>
          <w:u w:val="single"/>
          <w14:textFill>
            <w14:solidFill>
              <w14:schemeClr w14:val="tx1"/>
            </w14:solidFill>
          </w14:textFill>
        </w:rPr>
        <w:t xml:space="preserve">  </w:t>
      </w:r>
    </w:p>
    <w:p w14:paraId="0B753FDB">
      <w:pPr>
        <w:spacing w:line="400" w:lineRule="exact"/>
        <w:ind w:firstLine="1890"/>
        <w:rPr>
          <w:rFonts w:hint="eastAsia" w:ascii="宋体" w:hAnsi="宋体" w:cs="宋体"/>
          <w:color w:val="000000" w:themeColor="text1"/>
          <w:szCs w:val="21"/>
          <w:highlight w:val="none"/>
          <w14:textFill>
            <w14:solidFill>
              <w14:schemeClr w14:val="tx1"/>
            </w14:solidFill>
          </w14:textFill>
        </w:rPr>
      </w:pPr>
    </w:p>
    <w:p w14:paraId="2233472C">
      <w:pPr>
        <w:pStyle w:val="21"/>
        <w:spacing w:line="340" w:lineRule="exact"/>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4</w:t>
      </w:r>
      <w:r>
        <w:rPr>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供应商的法人或者其他组织营业执照等证明文件扫描件加盖电子签章（必须提供，自然人除外</w:t>
      </w:r>
      <w:r>
        <w:rPr>
          <w:rFonts w:hint="eastAsia" w:hAnsi="宋体"/>
          <w:b/>
          <w:color w:val="000000" w:themeColor="text1"/>
          <w:sz w:val="28"/>
          <w:szCs w:val="28"/>
          <w:highlight w:val="none"/>
          <w14:textFill>
            <w14:solidFill>
              <w14:schemeClr w14:val="tx1"/>
            </w14:solidFill>
          </w14:textFill>
        </w:rPr>
        <w:t>；</w:t>
      </w:r>
      <w:r>
        <w:rPr>
          <w:rFonts w:hint="eastAsia"/>
          <w:b/>
          <w:color w:val="000000" w:themeColor="text1"/>
          <w:sz w:val="28"/>
          <w:szCs w:val="28"/>
          <w:highlight w:val="none"/>
          <w14:textFill>
            <w14:solidFill>
              <w14:schemeClr w14:val="tx1"/>
            </w14:solidFill>
          </w14:textFill>
        </w:rPr>
        <w:t>）；</w:t>
      </w:r>
    </w:p>
    <w:p w14:paraId="5C95AADE">
      <w:pPr>
        <w:tabs>
          <w:tab w:val="left" w:pos="1305"/>
        </w:tabs>
        <w:spacing w:line="340" w:lineRule="exact"/>
        <w:rPr>
          <w:rFonts w:ascii="宋体"/>
          <w:b/>
          <w:color w:val="000000" w:themeColor="text1"/>
          <w:szCs w:val="21"/>
          <w:highlight w:val="none"/>
          <w14:textFill>
            <w14:solidFill>
              <w14:schemeClr w14:val="tx1"/>
            </w14:solidFill>
          </w14:textFill>
        </w:rPr>
      </w:pPr>
    </w:p>
    <w:p w14:paraId="233A0DE9">
      <w:pPr>
        <w:tabs>
          <w:tab w:val="left" w:pos="1305"/>
        </w:tabs>
        <w:spacing w:line="400" w:lineRule="exact"/>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w:t>
      </w:r>
      <w:r>
        <w:rPr>
          <w:rFonts w:hint="eastAsia" w:ascii="宋体" w:hAnsi="宋体"/>
          <w:b/>
          <w:color w:val="000000" w:themeColor="text1"/>
          <w:szCs w:val="21"/>
          <w:highlight w:val="none"/>
          <w:lang w:eastAsia="zh-CN"/>
          <w14:textFill>
            <w14:solidFill>
              <w14:schemeClr w14:val="tx1"/>
            </w14:solidFill>
          </w14:textFill>
        </w:rPr>
        <w:t>市场监管部门（登记机关）</w:t>
      </w:r>
      <w:r>
        <w:rPr>
          <w:rFonts w:hint="eastAsia" w:ascii="宋体" w:hAnsi="宋体"/>
          <w:b/>
          <w:color w:val="000000" w:themeColor="text1"/>
          <w:szCs w:val="21"/>
          <w:highlight w:val="none"/>
          <w14:textFill>
            <w14:solidFill>
              <w14:schemeClr w14:val="tx1"/>
            </w14:solidFill>
          </w14:textFill>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b/>
          <w:color w:val="000000" w:themeColor="text1"/>
          <w:szCs w:val="21"/>
          <w:highlight w:val="none"/>
          <w:lang w:eastAsia="zh-CN"/>
          <w14:textFill>
            <w14:solidFill>
              <w14:schemeClr w14:val="tx1"/>
            </w14:solidFill>
          </w14:textFill>
        </w:rPr>
        <w:t>扫描件</w:t>
      </w:r>
      <w:r>
        <w:rPr>
          <w:rFonts w:hint="eastAsia" w:ascii="宋体" w:hAnsi="宋体"/>
          <w:b/>
          <w:color w:val="000000" w:themeColor="text1"/>
          <w:szCs w:val="21"/>
          <w:highlight w:val="none"/>
          <w14:textFill>
            <w14:solidFill>
              <w14:schemeClr w14:val="tx1"/>
            </w14:solidFill>
          </w14:textFill>
        </w:rPr>
        <w:t>）</w:t>
      </w:r>
    </w:p>
    <w:p w14:paraId="76AC87CC">
      <w:pPr>
        <w:pStyle w:val="21"/>
        <w:spacing w:line="340" w:lineRule="exact"/>
        <w:rPr>
          <w:rFonts w:hint="eastAsia"/>
          <w:b/>
          <w:color w:val="000000" w:themeColor="text1"/>
          <w:sz w:val="28"/>
          <w:szCs w:val="28"/>
          <w:highlight w:val="none"/>
          <w14:textFill>
            <w14:solidFill>
              <w14:schemeClr w14:val="tx1"/>
            </w14:solidFill>
          </w14:textFill>
        </w:rPr>
      </w:pPr>
      <w:bookmarkStart w:id="981" w:name="_Toc19582"/>
      <w:bookmarkStart w:id="982" w:name="_Toc497927079"/>
      <w:bookmarkStart w:id="983" w:name="_Toc7899"/>
    </w:p>
    <w:p w14:paraId="0619327A">
      <w:pPr>
        <w:pStyle w:val="21"/>
        <w:spacing w:line="340" w:lineRule="exact"/>
        <w:rPr>
          <w:rFonts w:hint="eastAsia"/>
          <w:b/>
          <w:color w:val="000000" w:themeColor="text1"/>
          <w:sz w:val="28"/>
          <w:szCs w:val="28"/>
          <w:highlight w:val="none"/>
          <w14:textFill>
            <w14:solidFill>
              <w14:schemeClr w14:val="tx1"/>
            </w14:solidFill>
          </w14:textFill>
        </w:rPr>
      </w:pPr>
    </w:p>
    <w:p w14:paraId="2D364430">
      <w:pPr>
        <w:pStyle w:val="21"/>
        <w:spacing w:line="340" w:lineRule="exact"/>
        <w:rPr>
          <w:rFonts w:hint="eastAsia"/>
          <w:b/>
          <w:color w:val="000000" w:themeColor="text1"/>
          <w:sz w:val="28"/>
          <w:szCs w:val="28"/>
          <w:highlight w:val="none"/>
          <w14:textFill>
            <w14:solidFill>
              <w14:schemeClr w14:val="tx1"/>
            </w14:solidFill>
          </w14:textFill>
        </w:rPr>
      </w:pPr>
    </w:p>
    <w:p w14:paraId="3357DF91">
      <w:pPr>
        <w:pStyle w:val="21"/>
        <w:spacing w:line="340" w:lineRule="exact"/>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5.财务状况报告（格式自拟，必须提供）；</w:t>
      </w:r>
    </w:p>
    <w:p w14:paraId="5F6BF314">
      <w:pPr>
        <w:pStyle w:val="21"/>
        <w:spacing w:line="340" w:lineRule="exact"/>
        <w:rPr>
          <w:rFonts w:hint="eastAsia"/>
          <w:b/>
          <w:color w:val="000000" w:themeColor="text1"/>
          <w:sz w:val="28"/>
          <w:szCs w:val="28"/>
          <w:highlight w:val="none"/>
          <w14:textFill>
            <w14:solidFill>
              <w14:schemeClr w14:val="tx1"/>
            </w14:solidFill>
          </w14:textFill>
        </w:rPr>
      </w:pPr>
    </w:p>
    <w:p w14:paraId="2DE79113">
      <w:pPr>
        <w:pStyle w:val="21"/>
        <w:spacing w:line="340" w:lineRule="exact"/>
        <w:rPr>
          <w:rFonts w:hint="eastAsia"/>
          <w:b/>
          <w:color w:val="000000" w:themeColor="text1"/>
          <w:sz w:val="28"/>
          <w:szCs w:val="28"/>
          <w:highlight w:val="none"/>
          <w14:textFill>
            <w14:solidFill>
              <w14:schemeClr w14:val="tx1"/>
            </w14:solidFill>
          </w14:textFill>
        </w:rPr>
      </w:pPr>
    </w:p>
    <w:p w14:paraId="75454616">
      <w:pPr>
        <w:pStyle w:val="21"/>
        <w:spacing w:line="340" w:lineRule="exact"/>
        <w:rPr>
          <w:rFonts w:hint="eastAsia"/>
          <w:b/>
          <w:color w:val="000000" w:themeColor="text1"/>
          <w:sz w:val="28"/>
          <w:szCs w:val="28"/>
          <w:highlight w:val="none"/>
          <w14:textFill>
            <w14:solidFill>
              <w14:schemeClr w14:val="tx1"/>
            </w14:solidFill>
          </w14:textFill>
        </w:rPr>
      </w:pPr>
    </w:p>
    <w:p w14:paraId="2F774C6B">
      <w:pPr>
        <w:pStyle w:val="21"/>
        <w:rPr>
          <w:rFonts w:hint="eastAsia"/>
          <w:color w:val="000000" w:themeColor="text1"/>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6.供应商截止开标时间前近半年内任意一个月或任一季度依法缴纳税收的证明材料【增值税发票(税收完税证明)或企业所得税完税证明或税务部门出具的免税证明或税务部门出具的无欠税证明】扫描件加盖电子签章（必须提供）。</w:t>
      </w:r>
    </w:p>
    <w:p w14:paraId="1852569E">
      <w:pPr>
        <w:ind w:firstLine="420"/>
        <w:jc w:val="center"/>
        <w:outlineLvl w:val="1"/>
        <w:rPr>
          <w:rFonts w:hint="eastAsia"/>
          <w:b/>
          <w:bCs/>
          <w:color w:val="000000" w:themeColor="text1"/>
          <w:sz w:val="32"/>
          <w:szCs w:val="32"/>
          <w:highlight w:val="none"/>
          <w14:textFill>
            <w14:solidFill>
              <w14:schemeClr w14:val="tx1"/>
            </w14:solidFill>
          </w14:textFill>
        </w:rPr>
      </w:pPr>
      <w:bookmarkStart w:id="984" w:name="_Toc27362"/>
      <w:bookmarkStart w:id="985" w:name="_Toc26282"/>
      <w:bookmarkStart w:id="986" w:name="_Toc21031"/>
    </w:p>
    <w:p w14:paraId="762A7138">
      <w:pPr>
        <w:ind w:firstLine="420"/>
        <w:jc w:val="center"/>
        <w:outlineLvl w:val="1"/>
        <w:rPr>
          <w:rFonts w:hint="eastAsia"/>
          <w:b/>
          <w:bCs/>
          <w:color w:val="000000" w:themeColor="text1"/>
          <w:sz w:val="32"/>
          <w:szCs w:val="32"/>
          <w:highlight w:val="none"/>
          <w14:textFill>
            <w14:solidFill>
              <w14:schemeClr w14:val="tx1"/>
            </w14:solidFill>
          </w14:textFill>
        </w:rPr>
      </w:pPr>
      <w:bookmarkStart w:id="987" w:name="_Toc15241"/>
      <w:bookmarkStart w:id="988" w:name="_Toc11953"/>
      <w:bookmarkStart w:id="989" w:name="_Toc31365"/>
      <w:bookmarkStart w:id="990" w:name="_Toc9785"/>
      <w:bookmarkStart w:id="991" w:name="_Toc32081"/>
    </w:p>
    <w:p w14:paraId="57F70528">
      <w:pPr>
        <w:ind w:firstLine="420"/>
        <w:jc w:val="center"/>
        <w:outlineLvl w:val="1"/>
        <w:rPr>
          <w:rFonts w:hint="eastAsia"/>
          <w:b/>
          <w:bCs/>
          <w:color w:val="000000" w:themeColor="text1"/>
          <w:sz w:val="32"/>
          <w:szCs w:val="32"/>
          <w:highlight w:val="none"/>
          <w14:textFill>
            <w14:solidFill>
              <w14:schemeClr w14:val="tx1"/>
            </w14:solidFill>
          </w14:textFill>
        </w:rPr>
      </w:pPr>
    </w:p>
    <w:p w14:paraId="2A6773A4">
      <w:pPr>
        <w:ind w:firstLine="420"/>
        <w:jc w:val="center"/>
        <w:outlineLvl w:val="1"/>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（二）</w:t>
      </w:r>
      <w:r>
        <w:rPr>
          <w:b/>
          <w:bCs/>
          <w:color w:val="000000" w:themeColor="text1"/>
          <w:sz w:val="32"/>
          <w:szCs w:val="32"/>
          <w:highlight w:val="none"/>
          <w14:textFill>
            <w14:solidFill>
              <w14:schemeClr w14:val="tx1"/>
            </w14:solidFill>
          </w14:textFill>
        </w:rPr>
        <w:t>符合性响应证明材料目录</w:t>
      </w:r>
      <w:bookmarkEnd w:id="981"/>
      <w:bookmarkEnd w:id="982"/>
      <w:bookmarkEnd w:id="983"/>
      <w:bookmarkEnd w:id="984"/>
      <w:bookmarkEnd w:id="985"/>
      <w:bookmarkEnd w:id="986"/>
      <w:bookmarkEnd w:id="987"/>
      <w:bookmarkEnd w:id="988"/>
      <w:bookmarkEnd w:id="989"/>
      <w:bookmarkEnd w:id="990"/>
      <w:bookmarkEnd w:id="991"/>
    </w:p>
    <w:p w14:paraId="4A2A5611">
      <w:pPr>
        <w:spacing w:line="600" w:lineRule="auto"/>
        <w:ind w:firstLine="420"/>
        <w:rPr>
          <w:color w:val="000000" w:themeColor="text1"/>
          <w:highlight w:val="none"/>
          <w14:textFill>
            <w14:solidFill>
              <w14:schemeClr w14:val="tx1"/>
            </w14:solidFill>
          </w14:textFill>
        </w:rPr>
      </w:pPr>
    </w:p>
    <w:p w14:paraId="55749C54">
      <w:pPr>
        <w:spacing w:line="60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1.响应函（格式见附件）</w:t>
      </w:r>
      <w:r>
        <w:rPr>
          <w:rFonts w:hint="eastAsia" w:ascii="宋体" w:hAnsi="宋体" w:cs="宋体"/>
          <w:b/>
          <w:bCs/>
          <w:color w:val="000000" w:themeColor="text1"/>
          <w:sz w:val="24"/>
          <w:highlight w:val="none"/>
          <w14:textFill>
            <w14:solidFill>
              <w14:schemeClr w14:val="tx1"/>
            </w14:solidFill>
          </w14:textFill>
        </w:rPr>
        <w:t>（必须提供）</w:t>
      </w:r>
      <w:r>
        <w:rPr>
          <w:rFonts w:hint="eastAsia" w:ascii="宋体" w:hAnsi="宋体" w:cs="宋体"/>
          <w:color w:val="000000" w:themeColor="text1"/>
          <w:sz w:val="24"/>
          <w:highlight w:val="none"/>
          <w14:textFill>
            <w14:solidFill>
              <w14:schemeClr w14:val="tx1"/>
            </w14:solidFill>
          </w14:textFill>
        </w:rPr>
        <w:t>；</w:t>
      </w:r>
    </w:p>
    <w:p w14:paraId="7D9B3E88">
      <w:pPr>
        <w:spacing w:line="60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2.谈判报价表（格式见附件）</w:t>
      </w:r>
      <w:r>
        <w:rPr>
          <w:rFonts w:hint="eastAsia" w:ascii="宋体" w:hAnsi="宋体" w:cs="宋体"/>
          <w:b/>
          <w:bCs/>
          <w:color w:val="000000" w:themeColor="text1"/>
          <w:sz w:val="24"/>
          <w:highlight w:val="none"/>
          <w14:textFill>
            <w14:solidFill>
              <w14:schemeClr w14:val="tx1"/>
            </w14:solidFill>
          </w14:textFill>
        </w:rPr>
        <w:t>（必须提供）</w:t>
      </w:r>
      <w:r>
        <w:rPr>
          <w:rFonts w:hint="eastAsia" w:ascii="宋体" w:hAnsi="宋体" w:cs="宋体"/>
          <w:color w:val="000000" w:themeColor="text1"/>
          <w:sz w:val="24"/>
          <w:highlight w:val="none"/>
          <w14:textFill>
            <w14:solidFill>
              <w14:schemeClr w14:val="tx1"/>
            </w14:solidFill>
          </w14:textFill>
        </w:rPr>
        <w:t>；</w:t>
      </w:r>
    </w:p>
    <w:p w14:paraId="79FF3682">
      <w:pPr>
        <w:spacing w:line="60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3.技术规格偏离表</w:t>
      </w:r>
      <w:r>
        <w:rPr>
          <w:rFonts w:hint="eastAsia" w:ascii="宋体" w:hAnsi="宋体" w:cs="宋体"/>
          <w:b/>
          <w:bCs/>
          <w:color w:val="000000" w:themeColor="text1"/>
          <w:sz w:val="24"/>
          <w:highlight w:val="none"/>
          <w14:textFill>
            <w14:solidFill>
              <w14:schemeClr w14:val="tx1"/>
            </w14:solidFill>
          </w14:textFill>
        </w:rPr>
        <w:t>（必须提供）</w:t>
      </w:r>
      <w:r>
        <w:rPr>
          <w:rFonts w:hint="eastAsia" w:ascii="宋体" w:hAnsi="宋体" w:cs="宋体"/>
          <w:color w:val="000000" w:themeColor="text1"/>
          <w:sz w:val="24"/>
          <w:highlight w:val="none"/>
          <w14:textFill>
            <w14:solidFill>
              <w14:schemeClr w14:val="tx1"/>
            </w14:solidFill>
          </w14:textFill>
        </w:rPr>
        <w:t>；</w:t>
      </w:r>
    </w:p>
    <w:p w14:paraId="56C311EE">
      <w:pPr>
        <w:spacing w:line="60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4.商务响应表</w:t>
      </w:r>
      <w:r>
        <w:rPr>
          <w:rFonts w:hint="eastAsia" w:ascii="宋体" w:hAnsi="宋体" w:cs="宋体"/>
          <w:b/>
          <w:bCs/>
          <w:color w:val="000000" w:themeColor="text1"/>
          <w:sz w:val="24"/>
          <w:highlight w:val="none"/>
          <w14:textFill>
            <w14:solidFill>
              <w14:schemeClr w14:val="tx1"/>
            </w14:solidFill>
          </w14:textFill>
        </w:rPr>
        <w:t>（必须提供）</w:t>
      </w:r>
      <w:r>
        <w:rPr>
          <w:rFonts w:hint="eastAsia" w:ascii="宋体" w:hAnsi="宋体" w:cs="宋体"/>
          <w:color w:val="000000" w:themeColor="text1"/>
          <w:sz w:val="24"/>
          <w:highlight w:val="none"/>
          <w14:textFill>
            <w14:solidFill>
              <w14:schemeClr w14:val="tx1"/>
            </w14:solidFill>
          </w14:textFill>
        </w:rPr>
        <w:t>；</w:t>
      </w:r>
    </w:p>
    <w:p w14:paraId="42542117">
      <w:pPr>
        <w:spacing w:line="60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5.供应商的售后服务承诺书（必须包含售后服务要求的全部内容）</w:t>
      </w:r>
      <w:r>
        <w:rPr>
          <w:rFonts w:hint="eastAsia" w:ascii="宋体" w:hAnsi="宋体" w:cs="宋体"/>
          <w:b/>
          <w:bCs/>
          <w:color w:val="000000" w:themeColor="text1"/>
          <w:sz w:val="24"/>
          <w:highlight w:val="none"/>
          <w14:textFill>
            <w14:solidFill>
              <w14:schemeClr w14:val="tx1"/>
            </w14:solidFill>
          </w14:textFill>
        </w:rPr>
        <w:t>（必须提供）</w:t>
      </w:r>
      <w:r>
        <w:rPr>
          <w:rFonts w:hint="eastAsia" w:ascii="宋体" w:hAnsi="宋体" w:cs="宋体"/>
          <w:color w:val="000000" w:themeColor="text1"/>
          <w:sz w:val="24"/>
          <w:highlight w:val="none"/>
          <w14:textFill>
            <w14:solidFill>
              <w14:schemeClr w14:val="tx1"/>
            </w14:solidFill>
          </w14:textFill>
        </w:rPr>
        <w:t>；</w:t>
      </w:r>
    </w:p>
    <w:p w14:paraId="325FA1BA">
      <w:pPr>
        <w:spacing w:line="60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6.“采购需求”需提供的有效证明文件</w:t>
      </w:r>
      <w:r>
        <w:rPr>
          <w:rFonts w:hint="eastAsia" w:ascii="宋体" w:hAnsi="宋体" w:cs="宋体"/>
          <w:b/>
          <w:bCs/>
          <w:color w:val="000000" w:themeColor="text1"/>
          <w:sz w:val="24"/>
          <w:highlight w:val="none"/>
          <w14:textFill>
            <w14:solidFill>
              <w14:schemeClr w14:val="tx1"/>
            </w14:solidFill>
          </w14:textFill>
        </w:rPr>
        <w:t>（按其要求提供）</w:t>
      </w:r>
      <w:r>
        <w:rPr>
          <w:rFonts w:hint="eastAsia" w:ascii="宋体" w:hAnsi="宋体" w:cs="宋体"/>
          <w:color w:val="000000" w:themeColor="text1"/>
          <w:sz w:val="24"/>
          <w:highlight w:val="none"/>
          <w14:textFill>
            <w14:solidFill>
              <w14:schemeClr w14:val="tx1"/>
            </w14:solidFill>
          </w14:textFill>
        </w:rPr>
        <w:t>。</w:t>
      </w:r>
    </w:p>
    <w:p w14:paraId="20123B23">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74E7BED2">
      <w:pPr>
        <w:spacing w:line="360" w:lineRule="auto"/>
        <w:ind w:firstLine="48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供应商提供的以上相关证明材料属于“必须提供”的文件应加盖供应商公章（CA签章）/自然人签字或加盖个人CA签章，否则响应无效。</w:t>
      </w:r>
    </w:p>
    <w:p w14:paraId="35F4601C">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70F32A5B">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3CD9FF9D">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7B518AFE">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1E616B83">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74745103">
      <w:pPr>
        <w:ind w:firstLine="480"/>
        <w:rPr>
          <w:rFonts w:hint="eastAsia" w:ascii="宋体" w:hAnsi="宋体" w:cs="宋体"/>
          <w:b/>
          <w:bCs/>
          <w:color w:val="000000" w:themeColor="text1"/>
          <w:sz w:val="24"/>
          <w:highlight w:val="none"/>
          <w14:textFill>
            <w14:solidFill>
              <w14:schemeClr w14:val="tx1"/>
            </w14:solidFill>
          </w14:textFill>
        </w:rPr>
      </w:pPr>
    </w:p>
    <w:p w14:paraId="2B702FCA">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0EC08D56">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72841EE8">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72DE9673">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771EC405">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1731A148">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65A4142D">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36CCE990">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744C9C9E">
      <w:pPr>
        <w:spacing w:line="360" w:lineRule="auto"/>
        <w:ind w:firstLine="480"/>
        <w:rPr>
          <w:rFonts w:hint="eastAsia" w:ascii="宋体" w:hAnsi="宋体" w:cs="宋体"/>
          <w:b/>
          <w:bCs/>
          <w:color w:val="000000" w:themeColor="text1"/>
          <w:sz w:val="24"/>
          <w:highlight w:val="none"/>
          <w14:textFill>
            <w14:solidFill>
              <w14:schemeClr w14:val="tx1"/>
            </w14:solidFill>
          </w14:textFill>
        </w:rPr>
      </w:pPr>
    </w:p>
    <w:p w14:paraId="7326E1B2">
      <w:pPr>
        <w:pStyle w:val="21"/>
        <w:numPr>
          <w:ilvl w:val="0"/>
          <w:numId w:val="12"/>
        </w:numPr>
        <w:spacing w:line="340" w:lineRule="exact"/>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响应函（格式见附件）（必须提供）</w:t>
      </w:r>
    </w:p>
    <w:p w14:paraId="778075F0">
      <w:pPr>
        <w:spacing w:line="440" w:lineRule="atLeast"/>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w:t>
      </w:r>
    </w:p>
    <w:p w14:paraId="3BB2B718">
      <w:pPr>
        <w:pStyle w:val="21"/>
        <w:ind w:firstLine="800"/>
        <w:jc w:val="center"/>
        <w:rPr>
          <w:rFonts w:hAnsi="宋体"/>
          <w:b/>
          <w:color w:val="000000" w:themeColor="text1"/>
          <w:sz w:val="32"/>
          <w:highlight w:val="none"/>
          <w14:textFill>
            <w14:solidFill>
              <w14:schemeClr w14:val="tx1"/>
            </w14:solidFill>
          </w14:textFill>
        </w:rPr>
      </w:pPr>
      <w:r>
        <w:rPr>
          <w:rFonts w:hint="eastAsia" w:hAnsi="宋体"/>
          <w:b/>
          <w:color w:val="000000" w:themeColor="text1"/>
          <w:sz w:val="32"/>
          <w:highlight w:val="none"/>
          <w14:textFill>
            <w14:solidFill>
              <w14:schemeClr w14:val="tx1"/>
            </w14:solidFill>
          </w14:textFill>
        </w:rPr>
        <w:t>响</w:t>
      </w:r>
      <w:r>
        <w:rPr>
          <w:rFonts w:hAnsi="宋体"/>
          <w:b/>
          <w:color w:val="000000" w:themeColor="text1"/>
          <w:sz w:val="32"/>
          <w:highlight w:val="none"/>
          <w14:textFill>
            <w14:solidFill>
              <w14:schemeClr w14:val="tx1"/>
            </w14:solidFill>
          </w14:textFill>
        </w:rPr>
        <w:t xml:space="preserve"> </w:t>
      </w:r>
      <w:r>
        <w:rPr>
          <w:rFonts w:hint="eastAsia" w:hAnsi="宋体"/>
          <w:b/>
          <w:color w:val="000000" w:themeColor="text1"/>
          <w:sz w:val="32"/>
          <w:highlight w:val="none"/>
          <w14:textFill>
            <w14:solidFill>
              <w14:schemeClr w14:val="tx1"/>
            </w14:solidFill>
          </w14:textFill>
        </w:rPr>
        <w:t>应</w:t>
      </w:r>
      <w:r>
        <w:rPr>
          <w:rFonts w:hAnsi="宋体"/>
          <w:b/>
          <w:color w:val="000000" w:themeColor="text1"/>
          <w:sz w:val="32"/>
          <w:highlight w:val="none"/>
          <w14:textFill>
            <w14:solidFill>
              <w14:schemeClr w14:val="tx1"/>
            </w14:solidFill>
          </w14:textFill>
        </w:rPr>
        <w:t xml:space="preserve"> </w:t>
      </w:r>
      <w:r>
        <w:rPr>
          <w:rFonts w:hint="eastAsia" w:hAnsi="宋体"/>
          <w:b/>
          <w:color w:val="000000" w:themeColor="text1"/>
          <w:sz w:val="32"/>
          <w:highlight w:val="none"/>
          <w14:textFill>
            <w14:solidFill>
              <w14:schemeClr w14:val="tx1"/>
            </w14:solidFill>
          </w14:textFill>
        </w:rPr>
        <w:t>函</w:t>
      </w:r>
      <w:r>
        <w:rPr>
          <w:rFonts w:hAnsi="宋体"/>
          <w:b/>
          <w:color w:val="000000" w:themeColor="text1"/>
          <w:sz w:val="32"/>
          <w:highlight w:val="none"/>
          <w14:textFill>
            <w14:solidFill>
              <w14:schemeClr w14:val="tx1"/>
            </w14:solidFill>
          </w14:textFill>
        </w:rPr>
        <w:t xml:space="preserve"> </w:t>
      </w:r>
      <w:r>
        <w:rPr>
          <w:rFonts w:hint="eastAsia" w:hAnsi="宋体"/>
          <w:b/>
          <w:color w:val="000000" w:themeColor="text1"/>
          <w:sz w:val="32"/>
          <w:highlight w:val="none"/>
          <w14:textFill>
            <w14:solidFill>
              <w14:schemeClr w14:val="tx1"/>
            </w14:solidFill>
          </w14:textFill>
        </w:rPr>
        <w:t>（格</w:t>
      </w:r>
      <w:r>
        <w:rPr>
          <w:rFonts w:hAnsi="宋体"/>
          <w:b/>
          <w:color w:val="000000" w:themeColor="text1"/>
          <w:sz w:val="32"/>
          <w:highlight w:val="none"/>
          <w14:textFill>
            <w14:solidFill>
              <w14:schemeClr w14:val="tx1"/>
            </w14:solidFill>
          </w14:textFill>
        </w:rPr>
        <w:t xml:space="preserve"> </w:t>
      </w:r>
      <w:r>
        <w:rPr>
          <w:rFonts w:hint="eastAsia" w:hAnsi="宋体"/>
          <w:b/>
          <w:color w:val="000000" w:themeColor="text1"/>
          <w:sz w:val="32"/>
          <w:highlight w:val="none"/>
          <w14:textFill>
            <w14:solidFill>
              <w14:schemeClr w14:val="tx1"/>
            </w14:solidFill>
          </w14:textFill>
        </w:rPr>
        <w:t>式）</w:t>
      </w:r>
    </w:p>
    <w:p w14:paraId="0D56DEDE">
      <w:pPr>
        <w:spacing w:line="240" w:lineRule="exact"/>
        <w:jc w:val="center"/>
        <w:rPr>
          <w:rFonts w:ascii="宋体"/>
          <w:color w:val="000000" w:themeColor="text1"/>
          <w:sz w:val="32"/>
          <w:highlight w:val="none"/>
          <w14:textFill>
            <w14:solidFill>
              <w14:schemeClr w14:val="tx1"/>
            </w14:solidFill>
          </w14:textFill>
        </w:rPr>
      </w:pPr>
    </w:p>
    <w:p w14:paraId="3049A953">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：桂林市政府集中采购中心</w:t>
      </w:r>
    </w:p>
    <w:p w14:paraId="3E10D632">
      <w:pPr>
        <w:spacing w:line="400" w:lineRule="exact"/>
        <w:rPr>
          <w:rFonts w:hint="eastAsia" w:ascii="宋体" w:hAnsi="宋体" w:cs="宋体"/>
          <w:color w:val="000000" w:themeColor="text1"/>
          <w:szCs w:val="21"/>
          <w:highlight w:val="none"/>
          <w14:textFill>
            <w14:solidFill>
              <w14:schemeClr w14:val="tx1"/>
            </w14:solidFill>
          </w14:textFill>
        </w:rPr>
      </w:pPr>
    </w:p>
    <w:p w14:paraId="16A70740">
      <w:pPr>
        <w:pStyle w:val="21"/>
        <w:spacing w:line="36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根据贵方</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项目谈判文件，项目编号：</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，签字代表</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（姓名）经正式授权并代表供应商 </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供应商单位名称），提交电子响应文件。</w:t>
      </w:r>
    </w:p>
    <w:p w14:paraId="202FA4C1">
      <w:pPr>
        <w:pStyle w:val="21"/>
        <w:spacing w:line="36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据此函，签字代表宣布同意如下：</w:t>
      </w:r>
    </w:p>
    <w:p w14:paraId="74D9D85C">
      <w:pPr>
        <w:pStyle w:val="21"/>
        <w:spacing w:line="36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 按谈判文件采购需求和谈判报价表：</w:t>
      </w:r>
    </w:p>
    <w:p w14:paraId="217069BB">
      <w:pPr>
        <w:pStyle w:val="21"/>
        <w:spacing w:line="36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谈判总报价（大写）</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元人民币(￥</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w:t>
      </w:r>
    </w:p>
    <w:p w14:paraId="709EFFB9">
      <w:pPr>
        <w:pStyle w:val="21"/>
        <w:spacing w:line="36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2.我方承诺已具备谈判文件规定的供应商资格条件。</w:t>
      </w:r>
    </w:p>
    <w:p w14:paraId="79C7BFAA">
      <w:pPr>
        <w:pStyle w:val="21"/>
        <w:spacing w:line="36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3.我方已详细审核谈判文件，包括修改文件（如有的话）和有关附件，将自行承担因对全部谈判文件理解不正确或误解而产生的相应后果。</w:t>
      </w:r>
    </w:p>
    <w:p w14:paraId="60AFD312">
      <w:pPr>
        <w:pStyle w:val="21"/>
        <w:spacing w:line="36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 响应文件有效期为响应文件递交截止时间之日起90天。</w:t>
      </w:r>
    </w:p>
    <w:p w14:paraId="284616E4">
      <w:pPr>
        <w:pStyle w:val="21"/>
        <w:spacing w:line="36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 如我方成交：</w:t>
      </w:r>
    </w:p>
    <w:p w14:paraId="278D4572">
      <w:pPr>
        <w:pStyle w:val="21"/>
        <w:spacing w:line="36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（1）我方承诺在收到成交通知书后，在成交通知书规定的期限内与采购人签订合同。</w:t>
      </w:r>
    </w:p>
    <w:p w14:paraId="68BA122C">
      <w:pPr>
        <w:pStyle w:val="21"/>
        <w:spacing w:line="36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（2）我方承诺按照谈判文件规定递交履约担保。</w:t>
      </w:r>
    </w:p>
    <w:p w14:paraId="6A694ADB">
      <w:pPr>
        <w:pStyle w:val="21"/>
        <w:spacing w:line="36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（3）我方承诺本响应文件至本项目合同履行完毕止均保持有效，按谈判文件及政府采购法律、法规的规定履行合同责任和义务。</w:t>
      </w:r>
    </w:p>
    <w:p w14:paraId="48B90B88">
      <w:pPr>
        <w:pStyle w:val="21"/>
        <w:spacing w:line="36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与本项目有关的正式通讯地址为：</w:t>
      </w:r>
    </w:p>
    <w:p w14:paraId="4F15F06D">
      <w:pPr>
        <w:pStyle w:val="21"/>
        <w:spacing w:line="400" w:lineRule="exact"/>
        <w:ind w:firstLine="420"/>
        <w:rPr>
          <w:rFonts w:hint="eastAsia" w:hAnsi="宋体" w:cs="宋体"/>
          <w:color w:val="000000" w:themeColor="text1"/>
          <w:sz w:val="21"/>
          <w:highlight w:val="none"/>
          <w14:textFill>
            <w14:solidFill>
              <w14:schemeClr w14:val="tx1"/>
            </w14:solidFill>
          </w14:textFill>
        </w:rPr>
      </w:pPr>
    </w:p>
    <w:p w14:paraId="01BBE9F3">
      <w:pPr>
        <w:pStyle w:val="21"/>
        <w:spacing w:line="320" w:lineRule="exact"/>
        <w:ind w:firstLine="420"/>
        <w:rPr>
          <w:rFonts w:hint="eastAsia"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地址：</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 邮编：</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  电话、传真：</w:t>
      </w:r>
      <w:r>
        <w:rPr>
          <w:rFonts w:hint="eastAsia" w:hAnsi="宋体" w:cs="宋体"/>
          <w:color w:val="000000" w:themeColor="text1"/>
          <w:sz w:val="21"/>
          <w:highlight w:val="none"/>
          <w:u w:val="single"/>
          <w14:textFill>
            <w14:solidFill>
              <w14:schemeClr w14:val="tx1"/>
            </w14:solidFill>
          </w14:textFill>
        </w:rPr>
        <w:t xml:space="preserve">            </w:t>
      </w:r>
    </w:p>
    <w:p w14:paraId="652E2144">
      <w:pPr>
        <w:pStyle w:val="21"/>
        <w:spacing w:line="32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开户名称：</w:t>
      </w:r>
      <w:r>
        <w:rPr>
          <w:rFonts w:hint="eastAsia" w:hAnsi="宋体" w:cs="宋体"/>
          <w:color w:val="000000" w:themeColor="text1"/>
          <w:sz w:val="21"/>
          <w:highlight w:val="none"/>
          <w:u w:val="single"/>
          <w14:textFill>
            <w14:solidFill>
              <w14:schemeClr w14:val="tx1"/>
            </w14:solidFill>
          </w14:textFill>
        </w:rPr>
        <w:t xml:space="preserve">                                        </w:t>
      </w:r>
    </w:p>
    <w:p w14:paraId="402756D0">
      <w:pPr>
        <w:pStyle w:val="21"/>
        <w:spacing w:line="32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w:t>
      </w:r>
      <w:r>
        <w:rPr>
          <w:rFonts w:hint="eastAsia" w:hAnsi="宋体" w:cs="宋体"/>
          <w:color w:val="000000" w:themeColor="text1"/>
          <w:sz w:val="21"/>
          <w:highlight w:val="none"/>
          <w:u w:val="single"/>
          <w14:textFill>
            <w14:solidFill>
              <w14:schemeClr w14:val="tx1"/>
            </w14:solidFill>
          </w14:textFill>
        </w:rPr>
        <w:t xml:space="preserve">                               　       </w:t>
      </w:r>
    </w:p>
    <w:p w14:paraId="694363A1">
      <w:pPr>
        <w:pStyle w:val="21"/>
        <w:spacing w:line="32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账号：</w:t>
      </w:r>
      <w:r>
        <w:rPr>
          <w:rFonts w:hint="eastAsia" w:hAnsi="宋体" w:cs="宋体"/>
          <w:color w:val="000000" w:themeColor="text1"/>
          <w:sz w:val="21"/>
          <w:highlight w:val="none"/>
          <w:u w:val="single"/>
          <w14:textFill>
            <w14:solidFill>
              <w14:schemeClr w14:val="tx1"/>
            </w14:solidFill>
          </w14:textFill>
        </w:rPr>
        <w:t xml:space="preserve">                                   　　　   </w:t>
      </w:r>
    </w:p>
    <w:p w14:paraId="73CDC455">
      <w:pPr>
        <w:pStyle w:val="21"/>
        <w:spacing w:line="320" w:lineRule="exact"/>
        <w:ind w:firstLine="420"/>
        <w:rPr>
          <w:rFonts w:hint="eastAsia" w:hAnsi="宋体" w:cs="宋体"/>
          <w:bCs/>
          <w:color w:val="000000" w:themeColor="text1"/>
          <w:sz w:val="21"/>
          <w:highlight w:val="none"/>
          <w:u w:val="singl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供应商[公章(CA签章)、自然人除外]：</w:t>
      </w:r>
      <w:r>
        <w:rPr>
          <w:rFonts w:hint="eastAsia" w:hAnsi="宋体" w:cs="宋体"/>
          <w:bCs/>
          <w:color w:val="000000" w:themeColor="text1"/>
          <w:sz w:val="21"/>
          <w:highlight w:val="none"/>
          <w:u w:val="single"/>
          <w14:textFill>
            <w14:solidFill>
              <w14:schemeClr w14:val="tx1"/>
            </w14:solidFill>
          </w14:textFill>
        </w:rPr>
        <w:t xml:space="preserve">                              </w:t>
      </w:r>
    </w:p>
    <w:p w14:paraId="122AE21D">
      <w:pPr>
        <w:pStyle w:val="21"/>
        <w:spacing w:line="320" w:lineRule="exact"/>
        <w:ind w:firstLine="420"/>
        <w:rPr>
          <w:rFonts w:hint="eastAsia"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法定代表人、负责人、自然人或相应的委托代理人签字[或盖章(CA签章)]（属自然人的应在签名处加盖大拇指指印或个人CA签章）：</w:t>
      </w:r>
      <w:r>
        <w:rPr>
          <w:rFonts w:hint="eastAsia" w:hAnsi="宋体" w:cs="宋体"/>
          <w:color w:val="000000" w:themeColor="text1"/>
          <w:sz w:val="21"/>
          <w:highlight w:val="none"/>
          <w:u w:val="single"/>
          <w14:textFill>
            <w14:solidFill>
              <w14:schemeClr w14:val="tx1"/>
            </w14:solidFill>
          </w14:textFill>
        </w:rPr>
        <w:t xml:space="preserve">              </w:t>
      </w:r>
    </w:p>
    <w:p w14:paraId="7ACCFA86">
      <w:pPr>
        <w:ind w:firstLine="42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p>
    <w:p w14:paraId="44BBFE73">
      <w:pPr>
        <w:pStyle w:val="18"/>
        <w:rPr>
          <w:rFonts w:hint="eastAsia"/>
          <w:color w:val="000000" w:themeColor="text1"/>
          <w:highlight w:val="none"/>
          <w14:textFill>
            <w14:solidFill>
              <w14:schemeClr w14:val="tx1"/>
            </w14:solidFill>
          </w14:textFill>
        </w:rPr>
      </w:pPr>
    </w:p>
    <w:p w14:paraId="1A02753E">
      <w:pPr>
        <w:rPr>
          <w:rFonts w:hint="eastAsia" w:hAnsi="宋体" w:cs="宋体"/>
          <w:b/>
          <w:bCs w:val="0"/>
          <w:color w:val="000000" w:themeColor="text1"/>
          <w:sz w:val="21"/>
          <w:highlight w:val="none"/>
          <w14:textFill>
            <w14:solidFill>
              <w14:schemeClr w14:val="tx1"/>
            </w14:solidFill>
          </w14:textFill>
        </w:rPr>
      </w:pPr>
    </w:p>
    <w:p w14:paraId="1EFE7BDA">
      <w:pPr>
        <w:rPr>
          <w:rFonts w:hint="eastAsia" w:hAnsi="宋体" w:cs="宋体"/>
          <w:b/>
          <w:bCs w:val="0"/>
          <w:color w:val="000000" w:themeColor="text1"/>
          <w:sz w:val="21"/>
          <w:highlight w:val="none"/>
          <w14:textFill>
            <w14:solidFill>
              <w14:schemeClr w14:val="tx1"/>
            </w14:solidFill>
          </w14:textFill>
        </w:rPr>
      </w:pPr>
      <w:r>
        <w:rPr>
          <w:rFonts w:hint="eastAsia" w:hAnsi="宋体" w:cs="宋体"/>
          <w:b/>
          <w:bCs w:val="0"/>
          <w:color w:val="000000" w:themeColor="text1"/>
          <w:sz w:val="21"/>
          <w:highlight w:val="none"/>
          <w14:textFill>
            <w14:solidFill>
              <w14:schemeClr w14:val="tx1"/>
            </w14:solidFill>
          </w14:textFill>
        </w:rPr>
        <w:t>注：1.未按照本响应函（格式）要求填报的响应函将被视为非实质性响应</w:t>
      </w:r>
      <w:r>
        <w:rPr>
          <w:b/>
          <w:bCs w:val="0"/>
          <w:color w:val="000000" w:themeColor="text1"/>
          <w:highlight w:val="none"/>
          <w14:textFill>
            <w14:solidFill>
              <w14:schemeClr w14:val="tx1"/>
            </w14:solidFill>
          </w14:textFill>
        </w:rPr>
        <w:t>竞争性谈判文件</w:t>
      </w:r>
      <w:r>
        <w:rPr>
          <w:rFonts w:hint="eastAsia" w:hAnsi="宋体" w:cs="宋体"/>
          <w:b/>
          <w:bCs w:val="0"/>
          <w:color w:val="000000" w:themeColor="text1"/>
          <w:sz w:val="21"/>
          <w:highlight w:val="none"/>
          <w14:textFill>
            <w14:solidFill>
              <w14:schemeClr w14:val="tx1"/>
            </w14:solidFill>
          </w14:textFill>
        </w:rPr>
        <w:t>要求，从而导致该响应被拒绝。</w:t>
      </w:r>
    </w:p>
    <w:p w14:paraId="2353D66D">
      <w:pPr>
        <w:pStyle w:val="21"/>
        <w:spacing w:line="320" w:lineRule="exact"/>
        <w:ind w:firstLine="840"/>
        <w:rPr>
          <w:rFonts w:hint="eastAsia" w:hAnsi="宋体" w:eastAsia="宋体" w:cs="宋体"/>
          <w:b/>
          <w:bCs w:val="0"/>
          <w:color w:val="000000" w:themeColor="text1"/>
          <w:sz w:val="21"/>
          <w:highlight w:val="none"/>
          <w:lang w:eastAsia="zh-CN"/>
          <w14:textFill>
            <w14:solidFill>
              <w14:schemeClr w14:val="tx1"/>
            </w14:solidFill>
          </w14:textFill>
        </w:rPr>
        <w:sectPr>
          <w:pgSz w:w="11906" w:h="16838"/>
          <w:pgMar w:top="1440" w:right="935" w:bottom="1440" w:left="779" w:header="851" w:footer="992" w:gutter="0"/>
          <w:pgNumType w:fmt="numberInDash"/>
          <w:cols w:space="720" w:num="1"/>
        </w:sectPr>
      </w:pPr>
      <w:r>
        <w:rPr>
          <w:rFonts w:hint="eastAsia" w:hAnsi="宋体" w:cs="宋体"/>
          <w:b/>
          <w:bCs w:val="0"/>
          <w:color w:val="000000" w:themeColor="text1"/>
          <w:sz w:val="21"/>
          <w:highlight w:val="none"/>
          <w14:textFill>
            <w14:solidFill>
              <w14:schemeClr w14:val="tx1"/>
            </w14:solidFill>
          </w14:textFill>
        </w:rPr>
        <w:t>2.响应函须由法定代表人（负责人/自然人）或委托代理人签字或CA个人签章并加盖供应商公章（自然人签字并加盖大拇指指印或个人CA签章</w:t>
      </w:r>
      <w:r>
        <w:rPr>
          <w:rFonts w:hint="eastAsia" w:hAnsi="宋体" w:cs="宋体"/>
          <w:b/>
          <w:bCs w:val="0"/>
          <w:color w:val="000000" w:themeColor="text1"/>
          <w:sz w:val="21"/>
          <w:highlight w:val="none"/>
          <w:lang w:eastAsia="zh-CN"/>
          <w14:textFill>
            <w14:solidFill>
              <w14:schemeClr w14:val="tx1"/>
            </w14:solidFill>
          </w14:textFill>
        </w:rPr>
        <w:t>）。</w:t>
      </w:r>
    </w:p>
    <w:p w14:paraId="118AEB1F">
      <w:pPr>
        <w:pStyle w:val="21"/>
        <w:numPr>
          <w:ilvl w:val="0"/>
          <w:numId w:val="12"/>
        </w:numPr>
        <w:spacing w:line="340" w:lineRule="exact"/>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谈判报价表（格式见附件）（必须提供）；</w:t>
      </w:r>
    </w:p>
    <w:p w14:paraId="19F4F887">
      <w:pPr>
        <w:pStyle w:val="246"/>
        <w:ind w:firstLine="0"/>
        <w:rPr>
          <w:b/>
          <w:color w:val="000000" w:themeColor="text1"/>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附件：</w:t>
      </w:r>
      <w:r>
        <w:rPr>
          <w:rFonts w:hint="eastAsia"/>
          <w:b/>
          <w:color w:val="000000" w:themeColor="text1"/>
          <w:highlight w:val="none"/>
          <w14:textFill>
            <w14:solidFill>
              <w14:schemeClr w14:val="tx1"/>
            </w14:solidFill>
          </w14:textFill>
        </w:rPr>
        <w:t xml:space="preserve">                                      </w:t>
      </w:r>
    </w:p>
    <w:p w14:paraId="4E94B7FD">
      <w:pPr>
        <w:pStyle w:val="21"/>
        <w:spacing w:line="320" w:lineRule="exact"/>
        <w:ind w:left="420"/>
        <w:jc w:val="center"/>
        <w:rPr>
          <w:rFonts w:hAnsi="宋体"/>
          <w:b/>
          <w:color w:val="000000" w:themeColor="text1"/>
          <w:sz w:val="32"/>
          <w:highlight w:val="none"/>
          <w14:textFill>
            <w14:solidFill>
              <w14:schemeClr w14:val="tx1"/>
            </w14:solidFill>
          </w14:textFill>
        </w:rPr>
      </w:pPr>
      <w:r>
        <w:rPr>
          <w:rFonts w:hint="eastAsia" w:hAnsi="宋体"/>
          <w:b/>
          <w:color w:val="000000" w:themeColor="text1"/>
          <w:sz w:val="32"/>
          <w:highlight w:val="none"/>
          <w14:textFill>
            <w14:solidFill>
              <w14:schemeClr w14:val="tx1"/>
            </w14:solidFill>
          </w14:textFill>
        </w:rPr>
        <w:t>谈判报价表</w:t>
      </w:r>
    </w:p>
    <w:tbl>
      <w:tblPr>
        <w:tblStyle w:val="4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2728"/>
        <w:gridCol w:w="1275"/>
        <w:gridCol w:w="1215"/>
        <w:gridCol w:w="1157"/>
        <w:gridCol w:w="426"/>
        <w:gridCol w:w="427"/>
        <w:gridCol w:w="427"/>
        <w:gridCol w:w="1113"/>
        <w:gridCol w:w="730"/>
      </w:tblGrid>
      <w:tr w14:paraId="47B16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232BCE37">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项号</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3954D831">
            <w:pPr>
              <w:spacing w:line="280" w:lineRule="exact"/>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标的名称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C76F4F7">
            <w:pPr>
              <w:spacing w:line="280" w:lineRule="exact"/>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生产厂家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1C5D658">
            <w:pPr>
              <w:spacing w:line="280" w:lineRule="exact"/>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1835E3EC">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规格型号</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1ED6592C">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数量</w:t>
            </w:r>
          </w:p>
          <w:p w14:paraId="3461F392">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3CBFE356">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06B195CD">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单价</w:t>
            </w:r>
          </w:p>
          <w:p w14:paraId="62DBCC54">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07D89982">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单项合计=数量</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单价</w:t>
            </w:r>
          </w:p>
          <w:p w14:paraId="71EF677A">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③＝①</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②</w:t>
            </w:r>
          </w:p>
        </w:tc>
        <w:tc>
          <w:tcPr>
            <w:tcW w:w="730" w:type="dxa"/>
            <w:tcBorders>
              <w:bottom w:val="single" w:color="auto" w:sz="4" w:space="0"/>
            </w:tcBorders>
            <w:noWrap w:val="0"/>
            <w:vAlign w:val="center"/>
          </w:tcPr>
          <w:p w14:paraId="1168F460">
            <w:pPr>
              <w:spacing w:line="3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p>
        </w:tc>
      </w:tr>
      <w:tr w14:paraId="3B5D7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646ABC6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7AABF268">
            <w:pPr>
              <w:spacing w:line="300" w:lineRule="exact"/>
              <w:jc w:val="center"/>
              <w:rPr>
                <w:rFonts w:ascii="宋体" w:hAnsi="宋体"/>
                <w:color w:val="000000" w:themeColor="text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7CE2BC0">
            <w:pPr>
              <w:spacing w:line="300" w:lineRule="exact"/>
              <w:jc w:val="center"/>
              <w:rPr>
                <w:rFonts w:ascii="宋体" w:hAnsi="宋体"/>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EA7FA99">
            <w:pPr>
              <w:spacing w:line="300" w:lineRule="exact"/>
              <w:jc w:val="center"/>
              <w:rPr>
                <w:rFonts w:ascii="宋体" w:hAnsi="宋体"/>
                <w:color w:val="000000" w:themeColor="text1"/>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66CEDA4">
            <w:pPr>
              <w:spacing w:line="300" w:lineRule="exact"/>
              <w:jc w:val="center"/>
              <w:rPr>
                <w:rFonts w:ascii="宋体" w:hAnsi="宋体"/>
                <w:color w:val="000000" w:themeColor="text1"/>
                <w:highlight w:val="none"/>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578B573E">
            <w:pPr>
              <w:jc w:val="center"/>
              <w:rPr>
                <w:rFonts w:ascii="宋体" w:hAnsi="宋体" w:cs="宋体"/>
                <w:color w:val="000000" w:themeColor="text1"/>
                <w:szCs w:val="21"/>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1F16449">
            <w:pPr>
              <w:jc w:val="center"/>
              <w:rPr>
                <w:rFonts w:ascii="宋体" w:hAnsi="宋体" w:cs="宋体"/>
                <w:color w:val="000000" w:themeColor="text1"/>
                <w:szCs w:val="21"/>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3FA4F9F">
            <w:pPr>
              <w:spacing w:line="300" w:lineRule="exact"/>
              <w:jc w:val="center"/>
              <w:rPr>
                <w:rFonts w:ascii="宋体" w:hAnsi="宋体"/>
                <w:b/>
                <w:bCs/>
                <w:color w:val="000000" w:themeColor="text1"/>
                <w:highlight w:val="none"/>
                <w14:textFill>
                  <w14:solidFill>
                    <w14:schemeClr w14:val="tx1"/>
                  </w14:solidFill>
                </w14:textFill>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68464D1">
            <w:pPr>
              <w:spacing w:line="300" w:lineRule="exact"/>
              <w:jc w:val="center"/>
              <w:rPr>
                <w:rFonts w:ascii="宋体" w:hAnsi="宋体"/>
                <w:b/>
                <w:bCs/>
                <w:color w:val="000000" w:themeColor="text1"/>
                <w:highlight w:val="none"/>
                <w14:textFill>
                  <w14:solidFill>
                    <w14:schemeClr w14:val="tx1"/>
                  </w14:solidFill>
                </w14:textFill>
              </w:rPr>
            </w:pPr>
          </w:p>
        </w:tc>
        <w:tc>
          <w:tcPr>
            <w:tcW w:w="730" w:type="dxa"/>
            <w:tcBorders>
              <w:top w:val="single" w:color="auto" w:sz="4" w:space="0"/>
              <w:bottom w:val="single" w:color="auto" w:sz="4" w:space="0"/>
            </w:tcBorders>
            <w:noWrap w:val="0"/>
            <w:vAlign w:val="center"/>
          </w:tcPr>
          <w:p w14:paraId="7A9E3487">
            <w:pPr>
              <w:spacing w:line="300" w:lineRule="exact"/>
              <w:jc w:val="center"/>
              <w:rPr>
                <w:rFonts w:ascii="宋体" w:hAnsi="宋体"/>
                <w:b/>
                <w:bCs/>
                <w:color w:val="000000" w:themeColor="text1"/>
                <w:highlight w:val="none"/>
                <w14:textFill>
                  <w14:solidFill>
                    <w14:schemeClr w14:val="tx1"/>
                  </w14:solidFill>
                </w14:textFill>
              </w:rPr>
            </w:pPr>
          </w:p>
        </w:tc>
      </w:tr>
      <w:tr w14:paraId="27B92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noWrap w:val="0"/>
            <w:vAlign w:val="center"/>
          </w:tcPr>
          <w:p w14:paraId="5E35246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4D5ED435">
            <w:pPr>
              <w:spacing w:line="300" w:lineRule="exact"/>
              <w:jc w:val="center"/>
              <w:rPr>
                <w:rFonts w:ascii="宋体" w:hAnsi="宋体"/>
                <w:color w:val="000000" w:themeColor="text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CEC9CFA">
            <w:pPr>
              <w:spacing w:line="300" w:lineRule="exact"/>
              <w:jc w:val="center"/>
              <w:rPr>
                <w:rFonts w:ascii="宋体" w:hAnsi="宋体"/>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C2C6FDE">
            <w:pPr>
              <w:spacing w:line="300" w:lineRule="exact"/>
              <w:jc w:val="center"/>
              <w:rPr>
                <w:rFonts w:ascii="宋体" w:hAnsi="宋体"/>
                <w:color w:val="000000" w:themeColor="text1"/>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8093005">
            <w:pPr>
              <w:spacing w:line="300" w:lineRule="exact"/>
              <w:jc w:val="center"/>
              <w:rPr>
                <w:rFonts w:ascii="宋体" w:hAnsi="宋体"/>
                <w:color w:val="000000" w:themeColor="text1"/>
                <w:highlight w:val="none"/>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37708032">
            <w:pPr>
              <w:jc w:val="center"/>
              <w:rPr>
                <w:rFonts w:ascii="宋体" w:hAnsi="宋体" w:cs="宋体"/>
                <w:color w:val="000000" w:themeColor="text1"/>
                <w:szCs w:val="21"/>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996DC69">
            <w:pPr>
              <w:jc w:val="center"/>
              <w:rPr>
                <w:rFonts w:ascii="宋体" w:hAnsi="宋体" w:cs="宋体"/>
                <w:color w:val="000000" w:themeColor="text1"/>
                <w:szCs w:val="21"/>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E375917">
            <w:pPr>
              <w:spacing w:line="300" w:lineRule="exact"/>
              <w:jc w:val="center"/>
              <w:rPr>
                <w:rFonts w:ascii="宋体" w:hAnsi="宋体"/>
                <w:b/>
                <w:bCs/>
                <w:color w:val="000000" w:themeColor="text1"/>
                <w:highlight w:val="none"/>
                <w14:textFill>
                  <w14:solidFill>
                    <w14:schemeClr w14:val="tx1"/>
                  </w14:solidFill>
                </w14:textFill>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FD2663A">
            <w:pPr>
              <w:spacing w:line="300" w:lineRule="exact"/>
              <w:jc w:val="center"/>
              <w:rPr>
                <w:rFonts w:ascii="宋体" w:hAnsi="宋体"/>
                <w:b/>
                <w:bCs/>
                <w:color w:val="000000" w:themeColor="text1"/>
                <w:highlight w:val="none"/>
                <w14:textFill>
                  <w14:solidFill>
                    <w14:schemeClr w14:val="tx1"/>
                  </w14:solidFill>
                </w14:textFill>
              </w:rPr>
            </w:pPr>
          </w:p>
        </w:tc>
        <w:tc>
          <w:tcPr>
            <w:tcW w:w="730" w:type="dxa"/>
            <w:tcBorders>
              <w:top w:val="single" w:color="auto" w:sz="4" w:space="0"/>
              <w:bottom w:val="single" w:color="auto" w:sz="4" w:space="0"/>
            </w:tcBorders>
            <w:noWrap w:val="0"/>
            <w:vAlign w:val="center"/>
          </w:tcPr>
          <w:p w14:paraId="63F0119A">
            <w:pPr>
              <w:spacing w:line="300" w:lineRule="exact"/>
              <w:jc w:val="center"/>
              <w:rPr>
                <w:rFonts w:ascii="宋体" w:hAnsi="宋体"/>
                <w:b/>
                <w:bCs/>
                <w:color w:val="000000" w:themeColor="text1"/>
                <w:highlight w:val="none"/>
                <w14:textFill>
                  <w14:solidFill>
                    <w14:schemeClr w14:val="tx1"/>
                  </w14:solidFill>
                </w14:textFill>
              </w:rPr>
            </w:pPr>
          </w:p>
        </w:tc>
      </w:tr>
      <w:tr w14:paraId="5D20C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noWrap w:val="0"/>
            <w:vAlign w:val="center"/>
          </w:tcPr>
          <w:p w14:paraId="3630868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07C1D5E8">
            <w:pPr>
              <w:spacing w:line="300" w:lineRule="exact"/>
              <w:jc w:val="center"/>
              <w:rPr>
                <w:rFonts w:ascii="宋体" w:hAnsi="宋体"/>
                <w:color w:val="000000" w:themeColor="text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E4D16E9">
            <w:pPr>
              <w:spacing w:line="300" w:lineRule="exact"/>
              <w:jc w:val="center"/>
              <w:rPr>
                <w:rFonts w:ascii="宋体" w:hAnsi="宋体"/>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1BDDB8F">
            <w:pPr>
              <w:spacing w:line="300" w:lineRule="exact"/>
              <w:jc w:val="center"/>
              <w:rPr>
                <w:rFonts w:ascii="宋体" w:hAnsi="宋体"/>
                <w:color w:val="000000" w:themeColor="text1"/>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941A8C2">
            <w:pPr>
              <w:spacing w:line="300" w:lineRule="exact"/>
              <w:jc w:val="center"/>
              <w:rPr>
                <w:rFonts w:ascii="宋体" w:hAnsi="宋体"/>
                <w:color w:val="000000" w:themeColor="text1"/>
                <w:highlight w:val="none"/>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06253C1C">
            <w:pPr>
              <w:jc w:val="center"/>
              <w:rPr>
                <w:rFonts w:ascii="宋体" w:hAnsi="宋体" w:cs="宋体"/>
                <w:color w:val="000000" w:themeColor="text1"/>
                <w:szCs w:val="21"/>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0368A66">
            <w:pPr>
              <w:jc w:val="center"/>
              <w:rPr>
                <w:rFonts w:ascii="宋体" w:hAnsi="宋体" w:cs="宋体"/>
                <w:color w:val="000000" w:themeColor="text1"/>
                <w:szCs w:val="21"/>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12FB0A9">
            <w:pPr>
              <w:spacing w:line="300" w:lineRule="exact"/>
              <w:jc w:val="center"/>
              <w:rPr>
                <w:rFonts w:ascii="宋体" w:hAnsi="宋体"/>
                <w:b/>
                <w:bCs/>
                <w:color w:val="000000" w:themeColor="text1"/>
                <w:highlight w:val="none"/>
                <w14:textFill>
                  <w14:solidFill>
                    <w14:schemeClr w14:val="tx1"/>
                  </w14:solidFill>
                </w14:textFill>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89D59C6">
            <w:pPr>
              <w:spacing w:line="300" w:lineRule="exact"/>
              <w:jc w:val="center"/>
              <w:rPr>
                <w:rFonts w:ascii="宋体" w:hAnsi="宋体"/>
                <w:b/>
                <w:bCs/>
                <w:color w:val="000000" w:themeColor="text1"/>
                <w:highlight w:val="none"/>
                <w14:textFill>
                  <w14:solidFill>
                    <w14:schemeClr w14:val="tx1"/>
                  </w14:solidFill>
                </w14:textFill>
              </w:rPr>
            </w:pPr>
          </w:p>
        </w:tc>
        <w:tc>
          <w:tcPr>
            <w:tcW w:w="730" w:type="dxa"/>
            <w:tcBorders>
              <w:top w:val="single" w:color="auto" w:sz="4" w:space="0"/>
              <w:bottom w:val="single" w:color="auto" w:sz="4" w:space="0"/>
            </w:tcBorders>
            <w:noWrap w:val="0"/>
            <w:vAlign w:val="center"/>
          </w:tcPr>
          <w:p w14:paraId="16E9A604">
            <w:pPr>
              <w:spacing w:line="300" w:lineRule="exact"/>
              <w:jc w:val="center"/>
              <w:rPr>
                <w:rFonts w:ascii="宋体" w:hAnsi="宋体"/>
                <w:b/>
                <w:bCs/>
                <w:color w:val="000000" w:themeColor="text1"/>
                <w:highlight w:val="none"/>
                <w14:textFill>
                  <w14:solidFill>
                    <w14:schemeClr w14:val="tx1"/>
                  </w14:solidFill>
                </w14:textFill>
              </w:rPr>
            </w:pPr>
          </w:p>
        </w:tc>
      </w:tr>
      <w:tr w14:paraId="542A1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noWrap w:val="0"/>
            <w:vAlign w:val="center"/>
          </w:tcPr>
          <w:p w14:paraId="41A2CAD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N</w:t>
            </w:r>
          </w:p>
        </w:tc>
        <w:tc>
          <w:tcPr>
            <w:tcW w:w="2728" w:type="dxa"/>
            <w:tcBorders>
              <w:top w:val="single" w:color="auto" w:sz="4" w:space="0"/>
              <w:left w:val="single" w:color="auto" w:sz="4" w:space="0"/>
              <w:bottom w:val="single" w:color="auto" w:sz="4" w:space="0"/>
              <w:right w:val="single" w:color="auto" w:sz="4" w:space="0"/>
            </w:tcBorders>
            <w:noWrap w:val="0"/>
            <w:vAlign w:val="center"/>
          </w:tcPr>
          <w:p w14:paraId="6DEDFFF9">
            <w:pPr>
              <w:spacing w:line="300" w:lineRule="exact"/>
              <w:jc w:val="center"/>
              <w:rPr>
                <w:rFonts w:ascii="宋体" w:hAnsi="宋体"/>
                <w:b/>
                <w:bCs/>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89FDB9">
            <w:pPr>
              <w:spacing w:line="300" w:lineRule="exact"/>
              <w:jc w:val="center"/>
              <w:rPr>
                <w:rFonts w:ascii="宋体" w:hAnsi="宋体"/>
                <w:b/>
                <w:bCs/>
                <w:color w:val="000000" w:themeColor="text1"/>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DEAAEFA">
            <w:pPr>
              <w:spacing w:line="300" w:lineRule="exact"/>
              <w:jc w:val="center"/>
              <w:rPr>
                <w:rFonts w:ascii="宋体" w:hAnsi="宋体"/>
                <w:b/>
                <w:bCs/>
                <w:color w:val="000000" w:themeColor="text1"/>
                <w:highlight w:val="none"/>
                <w14:textFill>
                  <w14:solidFill>
                    <w14:schemeClr w14:val="tx1"/>
                  </w14:solidFill>
                </w14:textFill>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14:paraId="309FE964">
            <w:pPr>
              <w:spacing w:line="300" w:lineRule="exact"/>
              <w:jc w:val="center"/>
              <w:rPr>
                <w:rFonts w:ascii="宋体" w:hAnsi="宋体"/>
                <w:b/>
                <w:bCs/>
                <w:color w:val="000000" w:themeColor="text1"/>
                <w:highlight w:val="none"/>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72289E14">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1E2A7104">
            <w:pPr>
              <w:jc w:val="center"/>
              <w:rPr>
                <w:rFonts w:ascii="宋体" w:hAnsi="宋体" w:cs="宋体"/>
                <w:color w:val="000000" w:themeColor="text1"/>
                <w:szCs w:val="21"/>
                <w:highlight w:val="none"/>
                <w14:textFill>
                  <w14:solidFill>
                    <w14:schemeClr w14:val="tx1"/>
                  </w14:solidFill>
                </w14:textFill>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0D0CED6">
            <w:pPr>
              <w:spacing w:line="300" w:lineRule="exact"/>
              <w:jc w:val="center"/>
              <w:rPr>
                <w:rFonts w:ascii="宋体" w:hAnsi="宋体"/>
                <w:b/>
                <w:bCs/>
                <w:color w:val="000000" w:themeColor="text1"/>
                <w:highlight w:val="none"/>
                <w14:textFill>
                  <w14:solidFill>
                    <w14:schemeClr w14:val="tx1"/>
                  </w14:solidFill>
                </w14:textFill>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0E49A3DF">
            <w:pPr>
              <w:spacing w:line="300" w:lineRule="exact"/>
              <w:jc w:val="center"/>
              <w:rPr>
                <w:rFonts w:ascii="宋体" w:hAnsi="宋体"/>
                <w:b/>
                <w:bCs/>
                <w:color w:val="000000" w:themeColor="text1"/>
                <w:highlight w:val="none"/>
                <w14:textFill>
                  <w14:solidFill>
                    <w14:schemeClr w14:val="tx1"/>
                  </w14:solidFill>
                </w14:textFill>
              </w:rPr>
            </w:pPr>
          </w:p>
        </w:tc>
        <w:tc>
          <w:tcPr>
            <w:tcW w:w="730" w:type="dxa"/>
            <w:tcBorders>
              <w:top w:val="single" w:color="auto" w:sz="4" w:space="0"/>
              <w:bottom w:val="single" w:color="auto" w:sz="4" w:space="0"/>
            </w:tcBorders>
            <w:noWrap w:val="0"/>
            <w:vAlign w:val="center"/>
          </w:tcPr>
          <w:p w14:paraId="1362BBF1">
            <w:pPr>
              <w:spacing w:line="300" w:lineRule="exact"/>
              <w:jc w:val="center"/>
              <w:rPr>
                <w:rFonts w:ascii="宋体" w:hAnsi="宋体"/>
                <w:b/>
                <w:bCs/>
                <w:color w:val="000000" w:themeColor="text1"/>
                <w:highlight w:val="none"/>
                <w14:textFill>
                  <w14:solidFill>
                    <w14:schemeClr w14:val="tx1"/>
                  </w14:solidFill>
                </w14:textFill>
              </w:rPr>
            </w:pPr>
          </w:p>
        </w:tc>
      </w:tr>
      <w:tr w14:paraId="2C498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tcBorders>
            <w:noWrap w:val="0"/>
            <w:vAlign w:val="center"/>
          </w:tcPr>
          <w:p w14:paraId="5BD4FCD1">
            <w:pPr>
              <w:spacing w:line="300" w:lineRule="exact"/>
              <w:rPr>
                <w:rFonts w:hint="eastAsia" w:ascii="宋体" w:hAnsi="宋体"/>
                <w:color w:val="000000" w:themeColor="text1"/>
                <w:spacing w:val="-6"/>
                <w:highlight w:val="none"/>
                <w14:textFill>
                  <w14:solidFill>
                    <w14:schemeClr w14:val="tx1"/>
                  </w14:solidFill>
                </w14:textFill>
              </w:rPr>
            </w:pPr>
            <w:r>
              <w:rPr>
                <w:rFonts w:hint="eastAsia" w:ascii="宋体" w:hAnsi="宋体"/>
                <w:color w:val="000000" w:themeColor="text1"/>
                <w:spacing w:val="-6"/>
                <w:highlight w:val="none"/>
                <w:lang w:eastAsia="zh-CN"/>
                <w14:textFill>
                  <w14:solidFill>
                    <w14:schemeClr w14:val="tx1"/>
                  </w14:solidFill>
                </w14:textFill>
              </w:rPr>
              <w:t>谈判</w:t>
            </w:r>
            <w:r>
              <w:rPr>
                <w:rFonts w:hint="eastAsia" w:ascii="宋体" w:hAnsi="宋体"/>
                <w:color w:val="000000" w:themeColor="text1"/>
                <w:spacing w:val="-6"/>
                <w:highlight w:val="none"/>
                <w14:textFill>
                  <w14:solidFill>
                    <w14:schemeClr w14:val="tx1"/>
                  </w14:solidFill>
                </w14:textFill>
              </w:rPr>
              <w:t>总</w:t>
            </w:r>
            <w:r>
              <w:rPr>
                <w:rFonts w:ascii="宋体" w:hAnsi="宋体"/>
                <w:color w:val="000000" w:themeColor="text1"/>
                <w:spacing w:val="-6"/>
                <w:highlight w:val="none"/>
                <w14:textFill>
                  <w14:solidFill>
                    <w14:schemeClr w14:val="tx1"/>
                  </w14:solidFill>
                </w14:textFill>
              </w:rPr>
              <w:t xml:space="preserve">报价（大写）：                      </w:t>
            </w:r>
            <w:r>
              <w:rPr>
                <w:rFonts w:hint="eastAsia" w:ascii="宋体" w:hAnsi="宋体"/>
                <w:color w:val="000000" w:themeColor="text1"/>
                <w:spacing w:val="-6"/>
                <w:highlight w:val="none"/>
                <w14:textFill>
                  <w14:solidFill>
                    <w14:schemeClr w14:val="tx1"/>
                  </w14:solidFill>
                </w14:textFill>
              </w:rPr>
              <w:t xml:space="preserve">            </w:t>
            </w:r>
            <w:r>
              <w:rPr>
                <w:rFonts w:ascii="宋体" w:hAnsi="宋体"/>
                <w:color w:val="000000" w:themeColor="text1"/>
                <w:spacing w:val="-6"/>
                <w:highlight w:val="none"/>
                <w14:textFill>
                  <w14:solidFill>
                    <w14:schemeClr w14:val="tx1"/>
                  </w14:solidFill>
                </w14:textFill>
              </w:rPr>
              <w:t xml:space="preserve">  </w:t>
            </w:r>
            <w:r>
              <w:rPr>
                <w:rFonts w:hint="eastAsia" w:ascii="宋体" w:hAnsi="宋体"/>
                <w:color w:val="000000" w:themeColor="text1"/>
                <w:spacing w:val="-6"/>
                <w:highlight w:val="none"/>
                <w14:textFill>
                  <w14:solidFill>
                    <w14:schemeClr w14:val="tx1"/>
                  </w14:solidFill>
                </w14:textFill>
              </w:rPr>
              <w:t>元</w:t>
            </w:r>
            <w:r>
              <w:rPr>
                <w:rFonts w:ascii="宋体" w:hAnsi="宋体"/>
                <w:color w:val="000000" w:themeColor="text1"/>
                <w:spacing w:val="-6"/>
                <w:highlight w:val="none"/>
                <w14:textFill>
                  <w14:solidFill>
                    <w14:schemeClr w14:val="tx1"/>
                  </w14:solidFill>
                </w14:textFill>
              </w:rPr>
              <w:t>人民币（</w:t>
            </w:r>
            <w:r>
              <w:rPr>
                <w:rFonts w:hint="eastAsia" w:ascii="宋体" w:hAnsi="宋体"/>
                <w:color w:val="000000" w:themeColor="text1"/>
                <w:spacing w:val="-6"/>
                <w:highlight w:val="none"/>
                <w14:textFill>
                  <w14:solidFill>
                    <w14:schemeClr w14:val="tx1"/>
                  </w14:solidFill>
                </w14:textFill>
              </w:rPr>
              <w:t>¥</w:t>
            </w:r>
            <w:r>
              <w:rPr>
                <w:rFonts w:ascii="宋体" w:hAnsi="宋体"/>
                <w:color w:val="000000" w:themeColor="text1"/>
                <w:spacing w:val="-6"/>
                <w:highlight w:val="none"/>
                <w14:textFill>
                  <w14:solidFill>
                    <w14:schemeClr w14:val="tx1"/>
                  </w14:solidFill>
                </w14:textFill>
              </w:rPr>
              <w:t xml:space="preserve">         </w:t>
            </w:r>
            <w:r>
              <w:rPr>
                <w:rFonts w:hint="eastAsia" w:ascii="宋体" w:hAnsi="宋体"/>
                <w:color w:val="000000" w:themeColor="text1"/>
                <w:spacing w:val="-6"/>
                <w:highlight w:val="none"/>
                <w14:textFill>
                  <w14:solidFill>
                    <w14:schemeClr w14:val="tx1"/>
                  </w14:solidFill>
                </w14:textFill>
              </w:rPr>
              <w:t xml:space="preserve">           </w:t>
            </w:r>
            <w:r>
              <w:rPr>
                <w:rFonts w:ascii="宋体" w:hAnsi="宋体"/>
                <w:color w:val="000000" w:themeColor="text1"/>
                <w:spacing w:val="-6"/>
                <w:highlight w:val="none"/>
                <w14:textFill>
                  <w14:solidFill>
                    <w14:schemeClr w14:val="tx1"/>
                  </w14:solidFill>
                </w14:textFill>
              </w:rPr>
              <w:t xml:space="preserve">             ）</w:t>
            </w:r>
          </w:p>
        </w:tc>
      </w:tr>
      <w:tr w14:paraId="14266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tcBorders>
            <w:noWrap w:val="0"/>
            <w:vAlign w:val="center"/>
          </w:tcPr>
          <w:p w14:paraId="1AC1400B">
            <w:pPr>
              <w:spacing w:line="300" w:lineRule="exact"/>
              <w:rPr>
                <w:rFonts w:hint="eastAsia" w:ascii="宋体" w:hAnsi="宋体"/>
                <w:color w:val="000000" w:themeColor="text1"/>
                <w:spacing w:val="-6"/>
                <w:highlight w:val="none"/>
                <w14:textFill>
                  <w14:solidFill>
                    <w14:schemeClr w14:val="tx1"/>
                  </w14:solidFill>
                </w14:textFill>
              </w:rPr>
            </w:pPr>
            <w:r>
              <w:rPr>
                <w:rFonts w:hint="eastAsia" w:ascii="宋体" w:hAnsi="宋体"/>
                <w:color w:val="000000" w:themeColor="text1"/>
                <w:spacing w:val="-6"/>
                <w:highlight w:val="none"/>
                <w14:textFill>
                  <w14:solidFill>
                    <w14:schemeClr w14:val="tx1"/>
                  </w14:solidFill>
                </w14:textFill>
              </w:rPr>
              <w:t>交付使用期:</w:t>
            </w:r>
          </w:p>
        </w:tc>
      </w:tr>
      <w:tr w14:paraId="3D6B9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tcBorders>
            <w:noWrap w:val="0"/>
            <w:vAlign w:val="center"/>
          </w:tcPr>
          <w:p w14:paraId="72DC7208">
            <w:pPr>
              <w:spacing w:line="300" w:lineRule="exact"/>
              <w:rPr>
                <w:rFonts w:hint="eastAsia" w:ascii="宋体" w:hAnsi="宋体"/>
                <w:color w:val="000000" w:themeColor="text1"/>
                <w:spacing w:val="-6"/>
                <w:highlight w:val="none"/>
                <w14:textFill>
                  <w14:solidFill>
                    <w14:schemeClr w14:val="tx1"/>
                  </w14:solidFill>
                </w14:textFill>
              </w:rPr>
            </w:pPr>
            <w:r>
              <w:rPr>
                <w:rFonts w:hint="eastAsia" w:ascii="宋体" w:hAnsi="宋体"/>
                <w:color w:val="000000" w:themeColor="text1"/>
                <w:spacing w:val="-6"/>
                <w:highlight w:val="none"/>
                <w14:textFill>
                  <w14:solidFill>
                    <w14:schemeClr w14:val="tx1"/>
                  </w14:solidFill>
                </w14:textFill>
              </w:rPr>
              <w:t>免费保修期:</w:t>
            </w:r>
          </w:p>
        </w:tc>
      </w:tr>
      <w:tr w14:paraId="3352F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9924" w:type="dxa"/>
            <w:gridSpan w:val="10"/>
            <w:tcBorders>
              <w:top w:val="single" w:color="auto" w:sz="4" w:space="0"/>
              <w:left w:val="single" w:color="auto" w:sz="4" w:space="0"/>
              <w:bottom w:val="single" w:color="auto" w:sz="4" w:space="0"/>
            </w:tcBorders>
            <w:noWrap w:val="0"/>
            <w:vAlign w:val="center"/>
          </w:tcPr>
          <w:p w14:paraId="33295423">
            <w:pPr>
              <w:spacing w:line="3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w:t>
            </w:r>
            <w:r>
              <w:rPr>
                <w:color w:val="000000" w:themeColor="text1"/>
                <w:highlight w:val="none"/>
                <w14:textFill>
                  <w14:solidFill>
                    <w14:schemeClr w14:val="tx1"/>
                  </w14:solidFill>
                </w14:textFill>
              </w:rPr>
              <w:t>谈判</w:t>
            </w:r>
            <w:r>
              <w:rPr>
                <w:rFonts w:hint="eastAsia" w:ascii="宋体" w:hAnsi="宋体"/>
                <w:color w:val="000000" w:themeColor="text1"/>
                <w:highlight w:val="none"/>
                <w14:textFill>
                  <w14:solidFill>
                    <w14:schemeClr w14:val="tx1"/>
                  </w14:solidFill>
                </w14:textFill>
              </w:rPr>
              <w:t>报价指</w:t>
            </w:r>
            <w:r>
              <w:rPr>
                <w:rFonts w:hint="eastAsia" w:ascii="宋体" w:hAnsi="宋体"/>
                <w:color w:val="000000" w:themeColor="text1"/>
                <w:szCs w:val="21"/>
                <w:highlight w:val="none"/>
                <w14:textFill>
                  <w14:solidFill>
                    <w14:schemeClr w14:val="tx1"/>
                  </w14:solidFill>
                </w14:textFill>
              </w:rPr>
              <w:t>本次采购范围内货物价款、</w:t>
            </w:r>
            <w:r>
              <w:rPr>
                <w:rFonts w:hint="eastAsia" w:ascii="宋体" w:hAnsi="宋体" w:cs="Courier New"/>
                <w:color w:val="000000" w:themeColor="text1"/>
                <w:szCs w:val="21"/>
                <w:highlight w:val="none"/>
                <w14:textFill>
                  <w14:solidFill>
                    <w14:schemeClr w14:val="tx1"/>
                  </w14:solidFill>
                </w14:textFill>
              </w:rPr>
              <w:t>货物随配标准附件、</w:t>
            </w:r>
            <w:r>
              <w:rPr>
                <w:rFonts w:hint="eastAsia" w:ascii="宋体" w:hAnsi="宋体"/>
                <w:color w:val="000000" w:themeColor="text1"/>
                <w:szCs w:val="21"/>
                <w:highlight w:val="none"/>
                <w14:textFill>
                  <w14:solidFill>
                    <w14:schemeClr w14:val="tx1"/>
                  </w14:solidFill>
                </w14:textFill>
              </w:rPr>
              <w:t>包装、运输、装卸、保险、税金、货到位以及安装、安装所需辅材、调试、检验、售后服务、培训、保修</w:t>
            </w:r>
            <w:r>
              <w:rPr>
                <w:rFonts w:hint="eastAsia" w:ascii="宋体" w:hAnsi="宋体" w:cs="Courier New"/>
                <w:color w:val="000000" w:themeColor="text1"/>
                <w:szCs w:val="21"/>
                <w:highlight w:val="none"/>
                <w14:textFill>
                  <w14:solidFill>
                    <w14:schemeClr w14:val="tx1"/>
                  </w14:solidFill>
                </w14:textFill>
              </w:rPr>
              <w:t>及其他所有成本费用的总和</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报价人综合考虑在报价中。</w:t>
            </w:r>
          </w:p>
        </w:tc>
      </w:tr>
    </w:tbl>
    <w:p w14:paraId="04F57FDA">
      <w:pPr>
        <w:spacing w:line="340" w:lineRule="exact"/>
        <w:rPr>
          <w:rFonts w:ascii="宋体" w:hAnsi="宋体"/>
          <w:color w:val="000000" w:themeColor="text1"/>
          <w:szCs w:val="21"/>
          <w:highlight w:val="none"/>
          <w14:textFill>
            <w14:solidFill>
              <w14:schemeClr w14:val="tx1"/>
            </w14:solidFill>
          </w14:textFill>
        </w:rPr>
      </w:pPr>
    </w:p>
    <w:p w14:paraId="63E164FF">
      <w:pPr>
        <w:spacing w:line="34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供应商（CA签章，自然人除外）：</w:t>
      </w:r>
      <w:r>
        <w:rPr>
          <w:rFonts w:hint="eastAsia" w:ascii="宋体" w:hAnsi="宋体"/>
          <w:color w:val="000000" w:themeColor="text1"/>
          <w:szCs w:val="21"/>
          <w:highlight w:val="none"/>
          <w:u w:val="single"/>
          <w14:textFill>
            <w14:solidFill>
              <w14:schemeClr w14:val="tx1"/>
            </w14:solidFill>
          </w14:textFill>
        </w:rPr>
        <w:t xml:space="preserve">                                              </w:t>
      </w:r>
    </w:p>
    <w:p w14:paraId="20DD2A24">
      <w:pPr>
        <w:spacing w:line="340" w:lineRule="exact"/>
        <w:rPr>
          <w:rFonts w:ascii="宋体" w:hAnsi="宋体"/>
          <w:color w:val="000000" w:themeColor="text1"/>
          <w:szCs w:val="2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法定代表人、负责人、自然人或相应的委托代理人签字或个人CA签章（属自然人的应在签名处加盖</w:t>
      </w:r>
      <w:r>
        <w:rPr>
          <w:rFonts w:hint="eastAsia" w:hAnsi="宋体"/>
          <w:color w:val="000000" w:themeColor="text1"/>
          <w:highlight w:val="none"/>
          <w:lang w:eastAsia="zh-CN"/>
          <w14:textFill>
            <w14:solidFill>
              <w14:schemeClr w14:val="tx1"/>
            </w14:solidFill>
          </w14:textFill>
        </w:rPr>
        <w:t>大拇指</w:t>
      </w:r>
      <w:r>
        <w:rPr>
          <w:rFonts w:hint="eastAsia" w:hAnsi="宋体"/>
          <w:color w:val="000000" w:themeColor="text1"/>
          <w:highlight w:val="none"/>
          <w14:textFill>
            <w14:solidFill>
              <w14:schemeClr w14:val="tx1"/>
            </w14:solidFill>
          </w14:textFill>
        </w:rPr>
        <w:t>指印或个人CA签章）：</w:t>
      </w:r>
      <w:r>
        <w:rPr>
          <w:rFonts w:hint="eastAsia" w:ascii="宋体" w:hAnsi="宋体"/>
          <w:color w:val="000000" w:themeColor="text1"/>
          <w:szCs w:val="21"/>
          <w:highlight w:val="none"/>
          <w:u w:val="single"/>
          <w14:textFill>
            <w14:solidFill>
              <w14:schemeClr w14:val="tx1"/>
            </w14:solidFill>
          </w14:textFill>
        </w:rPr>
        <w:t xml:space="preserve">                                     </w:t>
      </w:r>
    </w:p>
    <w:p w14:paraId="4A7AB048">
      <w:pPr>
        <w:pStyle w:val="12"/>
        <w:rPr>
          <w:rFonts w:hint="eastAsia"/>
          <w:b/>
          <w:bCs/>
          <w:color w:val="000000" w:themeColor="text1"/>
          <w:sz w:val="22"/>
          <w:szCs w:val="28"/>
          <w:highlight w:val="none"/>
          <w14:textFill>
            <w14:solidFill>
              <w14:schemeClr w14:val="tx1"/>
            </w14:solidFill>
          </w14:textFill>
        </w:rPr>
      </w:pPr>
    </w:p>
    <w:p w14:paraId="62FFE9B2">
      <w:pPr>
        <w:rPr>
          <w:rFonts w:hint="eastAsia"/>
          <w:color w:val="000000" w:themeColor="text1"/>
          <w:highlight w:val="none"/>
          <w14:textFill>
            <w14:solidFill>
              <w14:schemeClr w14:val="tx1"/>
            </w14:solidFill>
          </w14:textFill>
        </w:rPr>
      </w:pPr>
    </w:p>
    <w:p w14:paraId="3F2DBFEA">
      <w:pPr>
        <w:tabs>
          <w:tab w:val="left" w:pos="1305"/>
        </w:tabs>
        <w:spacing w:line="40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 供应商必须就“采购需求”中所有内容作完整唯一报价，根据“采购需求”中的“采购需求（技术参数、性能、配置等要求）”要求逐项对应填报所提供货物的性能指标等承诺（即：谈判报价表），否则，其响应将被拒绝；响应文件只允许有一个报价，有选择的或有条件的报价将不予接受。</w:t>
      </w:r>
    </w:p>
    <w:p w14:paraId="7156D418">
      <w:pPr>
        <w:pStyle w:val="21"/>
        <w:spacing w:line="400" w:lineRule="exact"/>
        <w:ind w:firstLine="42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2.供应商应根据所提供的货物如实填写谈判报价表</w:t>
      </w:r>
      <w:r>
        <w:rPr>
          <w:rFonts w:hint="eastAsia" w:hAnsi="宋体" w:cs="宋体"/>
          <w:bCs/>
          <w:color w:val="000000" w:themeColor="text1"/>
          <w:sz w:val="21"/>
          <w:highlight w:val="none"/>
          <w14:textFill>
            <w14:solidFill>
              <w14:schemeClr w14:val="tx1"/>
            </w14:solidFill>
          </w14:textFill>
        </w:rPr>
        <w:t>的各项内容，否则，响应文件无效。</w:t>
      </w:r>
    </w:p>
    <w:p w14:paraId="6C254749">
      <w:pPr>
        <w:spacing w:line="4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谈判</w:t>
      </w:r>
      <w:r>
        <w:rPr>
          <w:rFonts w:hint="eastAsia" w:ascii="宋体" w:hAnsi="宋体" w:cs="宋体"/>
          <w:bCs/>
          <w:color w:val="000000" w:themeColor="text1"/>
          <w:szCs w:val="21"/>
          <w:highlight w:val="none"/>
          <w14:textFill>
            <w14:solidFill>
              <w14:schemeClr w14:val="tx1"/>
            </w14:solidFill>
          </w14:textFill>
        </w:rPr>
        <w:t>报价表须由法</w:t>
      </w:r>
      <w:r>
        <w:rPr>
          <w:rFonts w:hint="eastAsia" w:ascii="宋体" w:hAnsi="宋体" w:cs="宋体"/>
          <w:color w:val="000000" w:themeColor="text1"/>
          <w:szCs w:val="21"/>
          <w:highlight w:val="none"/>
          <w14:textFill>
            <w14:solidFill>
              <w14:schemeClr w14:val="tx1"/>
            </w14:solidFill>
          </w14:textFill>
        </w:rPr>
        <w:t>定代表人、负责人、自然人或相应的委托代理人签字或个人CA签章（属自然人的应在签名处加盖大拇指指印或个人CA签章）并加盖供应商CA签章（自然人除外）。</w:t>
      </w:r>
    </w:p>
    <w:p w14:paraId="7B15394E">
      <w:pPr>
        <w:spacing w:line="400" w:lineRule="exact"/>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4.如全部或部分产品属于《节能产品政府采购清单》或《环境标志产品政府采购清单》目录范围的，</w:t>
      </w: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应在本表备注栏内写明各分项货物属于节能（或环境标志）产品政府采购清单第几类第几项序号的产品，以便谈判小组作为优先采购或评审的依据。</w:t>
      </w:r>
    </w:p>
    <w:p w14:paraId="24750E61">
      <w:pPr>
        <w:spacing w:line="400" w:lineRule="exact"/>
        <w:ind w:firstLine="422"/>
        <w:rPr>
          <w:b/>
          <w:bCs/>
          <w:color w:val="000000" w:themeColor="text1"/>
          <w:szCs w:val="21"/>
          <w:highlight w:val="none"/>
          <w14:textFill>
            <w14:solidFill>
              <w14:schemeClr w14:val="tx1"/>
            </w14:solidFill>
          </w14:textFill>
        </w:rPr>
      </w:pPr>
      <w:r>
        <w:rPr>
          <w:b/>
          <w:bCs/>
          <w:color w:val="000000" w:themeColor="text1"/>
          <w:highlight w:val="none"/>
          <w14:textFill>
            <w14:solidFill>
              <w14:schemeClr w14:val="tx1"/>
            </w14:solidFill>
          </w14:textFill>
        </w:rPr>
        <w:t>当本表由多页构成时，需逐页加盖供应商</w:t>
      </w:r>
      <w:r>
        <w:rPr>
          <w:rFonts w:hint="eastAsia"/>
          <w:b/>
          <w:bCs/>
          <w:color w:val="000000" w:themeColor="text1"/>
          <w:highlight w:val="none"/>
          <w14:textFill>
            <w14:solidFill>
              <w14:schemeClr w14:val="tx1"/>
            </w14:solidFill>
          </w14:textFill>
        </w:rPr>
        <w:t>CA签章</w:t>
      </w:r>
      <w:r>
        <w:rPr>
          <w:b/>
          <w:bCs/>
          <w:color w:val="000000" w:themeColor="text1"/>
          <w:highlight w:val="none"/>
          <w14:textFill>
            <w14:solidFill>
              <w14:schemeClr w14:val="tx1"/>
            </w14:solidFill>
          </w14:textFill>
        </w:rPr>
        <w:t>（属自然人的须逐页签字</w:t>
      </w:r>
      <w:r>
        <w:rPr>
          <w:rFonts w:hint="eastAsia"/>
          <w:b/>
          <w:bCs/>
          <w:color w:val="000000" w:themeColor="text1"/>
          <w:highlight w:val="none"/>
          <w14:textFill>
            <w14:solidFill>
              <w14:schemeClr w14:val="tx1"/>
            </w14:solidFill>
          </w14:textFill>
        </w:rPr>
        <w:t>或加盖个人CA签章</w:t>
      </w:r>
      <w:r>
        <w:rPr>
          <w:b/>
          <w:bCs/>
          <w:color w:val="000000" w:themeColor="text1"/>
          <w:highlight w:val="none"/>
          <w14:textFill>
            <w14:solidFill>
              <w14:schemeClr w14:val="tx1"/>
            </w14:solidFill>
          </w14:textFill>
        </w:rPr>
        <w:t>）。</w:t>
      </w:r>
    </w:p>
    <w:p w14:paraId="6C0198BC">
      <w:pPr>
        <w:spacing w:line="400" w:lineRule="exact"/>
        <w:ind w:firstLine="422"/>
        <w:rPr>
          <w:b/>
          <w:bCs/>
          <w:color w:val="000000" w:themeColor="text1"/>
          <w:highlight w:val="none"/>
          <w14:textFill>
            <w14:solidFill>
              <w14:schemeClr w14:val="tx1"/>
            </w14:solidFill>
          </w14:textFill>
        </w:rPr>
      </w:pPr>
    </w:p>
    <w:p w14:paraId="7CDA95A0">
      <w:pPr>
        <w:spacing w:line="400" w:lineRule="exact"/>
        <w:ind w:firstLine="422"/>
        <w:rPr>
          <w:b/>
          <w:bCs/>
          <w:color w:val="000000" w:themeColor="text1"/>
          <w:highlight w:val="none"/>
          <w14:textFill>
            <w14:solidFill>
              <w14:schemeClr w14:val="tx1"/>
            </w14:solidFill>
          </w14:textFill>
        </w:rPr>
      </w:pPr>
    </w:p>
    <w:p w14:paraId="15762FCA">
      <w:pPr>
        <w:spacing w:line="400" w:lineRule="exact"/>
        <w:ind w:firstLine="422"/>
        <w:rPr>
          <w:b/>
          <w:bCs/>
          <w:color w:val="000000" w:themeColor="text1"/>
          <w:highlight w:val="none"/>
          <w14:textFill>
            <w14:solidFill>
              <w14:schemeClr w14:val="tx1"/>
            </w14:solidFill>
          </w14:textFill>
        </w:rPr>
      </w:pPr>
    </w:p>
    <w:p w14:paraId="09A6C85E">
      <w:pPr>
        <w:spacing w:line="400" w:lineRule="exact"/>
        <w:ind w:firstLine="422"/>
        <w:rPr>
          <w:b/>
          <w:bCs/>
          <w:color w:val="000000" w:themeColor="text1"/>
          <w:highlight w:val="none"/>
          <w14:textFill>
            <w14:solidFill>
              <w14:schemeClr w14:val="tx1"/>
            </w14:solidFill>
          </w14:textFill>
        </w:rPr>
      </w:pPr>
    </w:p>
    <w:p w14:paraId="1CD7866D">
      <w:pPr>
        <w:spacing w:line="400" w:lineRule="exact"/>
        <w:ind w:firstLine="422"/>
        <w:rPr>
          <w:b/>
          <w:bCs/>
          <w:color w:val="000000" w:themeColor="text1"/>
          <w:highlight w:val="none"/>
          <w14:textFill>
            <w14:solidFill>
              <w14:schemeClr w14:val="tx1"/>
            </w14:solidFill>
          </w14:textFill>
        </w:rPr>
      </w:pPr>
    </w:p>
    <w:p w14:paraId="0D1D651C">
      <w:pPr>
        <w:pStyle w:val="21"/>
        <w:numPr>
          <w:ilvl w:val="0"/>
          <w:numId w:val="12"/>
        </w:numPr>
        <w:spacing w:line="340" w:lineRule="exact"/>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技术规格偏离表（必须提供）；</w:t>
      </w:r>
    </w:p>
    <w:p w14:paraId="6EF9299A">
      <w:pPr>
        <w:pStyle w:val="12"/>
        <w:rPr>
          <w:rFonts w:hint="eastAsia"/>
          <w:color w:val="000000" w:themeColor="text1"/>
          <w:highlight w:val="none"/>
          <w14:textFill>
            <w14:solidFill>
              <w14:schemeClr w14:val="tx1"/>
            </w14:solidFill>
          </w14:textFill>
        </w:rPr>
      </w:pPr>
    </w:p>
    <w:p w14:paraId="7C4BF41E">
      <w:pPr>
        <w:pStyle w:val="21"/>
        <w:rPr>
          <w:rFonts w:hint="eastAsia" w:hAnsi="宋体"/>
          <w:b/>
          <w:bCs/>
          <w:color w:val="000000" w:themeColor="text1"/>
          <w:sz w:val="32"/>
          <w:szCs w:val="32"/>
          <w:highlight w:val="none"/>
          <w14:textFill>
            <w14:solidFill>
              <w14:schemeClr w14:val="tx1"/>
            </w14:solidFill>
          </w14:textFill>
        </w:rPr>
      </w:pPr>
      <w:r>
        <w:rPr>
          <w:rFonts w:hint="eastAsia" w:hAnsi="宋体"/>
          <w:b/>
          <w:bCs/>
          <w:color w:val="000000" w:themeColor="text1"/>
          <w:sz w:val="32"/>
          <w:szCs w:val="32"/>
          <w:highlight w:val="none"/>
          <w14:textFill>
            <w14:solidFill>
              <w14:schemeClr w14:val="tx1"/>
            </w14:solidFill>
          </w14:textFill>
        </w:rPr>
        <w:t>附件：</w:t>
      </w:r>
    </w:p>
    <w:p w14:paraId="112F08FC">
      <w:pPr>
        <w:pStyle w:val="21"/>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 xml:space="preserve">           </w:t>
      </w:r>
    </w:p>
    <w:p w14:paraId="532889C9">
      <w:pPr>
        <w:pStyle w:val="21"/>
        <w:ind w:firstLine="472"/>
        <w:jc w:val="center"/>
        <w:rPr>
          <w:rFonts w:hint="eastAsia" w:hAnsi="宋体"/>
          <w:b/>
          <w:bCs/>
          <w:color w:val="000000" w:themeColor="text1"/>
          <w:sz w:val="32"/>
          <w:highlight w:val="none"/>
          <w14:textFill>
            <w14:solidFill>
              <w14:schemeClr w14:val="tx1"/>
            </w14:solidFill>
          </w14:textFill>
        </w:rPr>
      </w:pPr>
      <w:bookmarkStart w:id="992" w:name="_Toc29907_WPSOffice_Level1"/>
      <w:bookmarkStart w:id="993" w:name="_Toc8609_WPSOffice_Level1"/>
      <w:r>
        <w:rPr>
          <w:rFonts w:hint="eastAsia" w:hAnsi="宋体"/>
          <w:b/>
          <w:bCs/>
          <w:color w:val="000000" w:themeColor="text1"/>
          <w:sz w:val="32"/>
          <w:highlight w:val="none"/>
          <w14:textFill>
            <w14:solidFill>
              <w14:schemeClr w14:val="tx1"/>
            </w14:solidFill>
          </w14:textFill>
        </w:rPr>
        <w:t>技术规格偏离表（格式）</w:t>
      </w:r>
      <w:bookmarkEnd w:id="992"/>
      <w:bookmarkEnd w:id="993"/>
    </w:p>
    <w:p w14:paraId="318B149E">
      <w:pPr>
        <w:pStyle w:val="18"/>
        <w:rPr>
          <w:rFonts w:hint="eastAsia" w:ascii="宋体" w:hAnsi="宋体" w:cs="宋体"/>
          <w:b/>
          <w:bCs/>
          <w:color w:val="000000" w:themeColor="text1"/>
          <w:sz w:val="24"/>
          <w:szCs w:val="21"/>
          <w:highlight w:val="none"/>
          <w:lang w:eastAsia="zh-CN"/>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项目编号：</w:t>
      </w:r>
    </w:p>
    <w:p w14:paraId="48BD4322">
      <w:pPr>
        <w:pStyle w:val="18"/>
        <w:rPr>
          <w:rFonts w:hint="eastAsia"/>
          <w:color w:val="000000" w:themeColor="text1"/>
          <w:sz w:val="18"/>
          <w:szCs w:val="21"/>
          <w:highlight w:val="none"/>
          <w:lang w:eastAsia="zh-CN"/>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项目名称：</w:t>
      </w:r>
    </w:p>
    <w:p w14:paraId="37182C22">
      <w:pPr>
        <w:pStyle w:val="21"/>
        <w:rPr>
          <w:rFonts w:hAnsi="宋体"/>
          <w:b/>
          <w:color w:val="000000" w:themeColor="text1"/>
          <w:sz w:val="24"/>
          <w:szCs w:val="24"/>
          <w:highlight w:val="none"/>
          <w14:textFill>
            <w14:solidFill>
              <w14:schemeClr w14:val="tx1"/>
            </w14:solidFill>
          </w14:textFill>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1"/>
        <w:gridCol w:w="2909"/>
        <w:gridCol w:w="2139"/>
        <w:gridCol w:w="1761"/>
      </w:tblGrid>
      <w:tr w14:paraId="683D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08" w:type="dxa"/>
            <w:noWrap w:val="0"/>
            <w:vAlign w:val="center"/>
          </w:tcPr>
          <w:p w14:paraId="0ACF99F2">
            <w:pPr>
              <w:pStyle w:val="21"/>
              <w:spacing w:line="400" w:lineRule="exact"/>
              <w:jc w:val="center"/>
              <w:rPr>
                <w:rFonts w:hAnsi="宋体"/>
                <w:b/>
                <w:bCs/>
                <w:color w:val="000000" w:themeColor="text1"/>
                <w:sz w:val="21"/>
                <w:szCs w:val="20"/>
                <w:highlight w:val="none"/>
                <w14:textFill>
                  <w14:solidFill>
                    <w14:schemeClr w14:val="tx1"/>
                  </w14:solidFill>
                </w14:textFill>
              </w:rPr>
            </w:pPr>
            <w:r>
              <w:rPr>
                <w:rFonts w:hint="eastAsia" w:hAnsi="宋体"/>
                <w:b/>
                <w:bCs/>
                <w:color w:val="000000" w:themeColor="text1"/>
                <w:sz w:val="21"/>
                <w:szCs w:val="20"/>
                <w:highlight w:val="none"/>
                <w14:textFill>
                  <w14:solidFill>
                    <w14:schemeClr w14:val="tx1"/>
                  </w14:solidFill>
                </w14:textFill>
              </w:rPr>
              <w:t>项号</w:t>
            </w:r>
          </w:p>
        </w:tc>
        <w:tc>
          <w:tcPr>
            <w:tcW w:w="1651" w:type="dxa"/>
            <w:noWrap w:val="0"/>
            <w:vAlign w:val="center"/>
          </w:tcPr>
          <w:p w14:paraId="046B520C">
            <w:pPr>
              <w:pStyle w:val="21"/>
              <w:spacing w:line="400" w:lineRule="exact"/>
              <w:jc w:val="center"/>
              <w:rPr>
                <w:rFonts w:hAnsi="宋体"/>
                <w:b/>
                <w:bCs/>
                <w:color w:val="000000" w:themeColor="text1"/>
                <w:sz w:val="21"/>
                <w:szCs w:val="20"/>
                <w:highlight w:val="none"/>
                <w14:textFill>
                  <w14:solidFill>
                    <w14:schemeClr w14:val="tx1"/>
                  </w14:solidFill>
                </w14:textFill>
              </w:rPr>
            </w:pPr>
            <w:r>
              <w:rPr>
                <w:rFonts w:hint="eastAsia" w:hAnsi="宋体"/>
                <w:b/>
                <w:bCs/>
                <w:color w:val="000000" w:themeColor="text1"/>
                <w:sz w:val="21"/>
                <w:szCs w:val="20"/>
                <w:highlight w:val="none"/>
                <w14:textFill>
                  <w14:solidFill>
                    <w14:schemeClr w14:val="tx1"/>
                  </w14:solidFill>
                </w14:textFill>
              </w:rPr>
              <w:t>标的名称</w:t>
            </w:r>
          </w:p>
        </w:tc>
        <w:tc>
          <w:tcPr>
            <w:tcW w:w="2909" w:type="dxa"/>
            <w:noWrap w:val="0"/>
            <w:vAlign w:val="center"/>
          </w:tcPr>
          <w:p w14:paraId="3847224A">
            <w:pPr>
              <w:pStyle w:val="21"/>
              <w:spacing w:line="300" w:lineRule="exact"/>
              <w:jc w:val="center"/>
              <w:rPr>
                <w:rFonts w:hAnsi="宋体"/>
                <w:b/>
                <w:bCs/>
                <w:color w:val="000000" w:themeColor="text1"/>
                <w:sz w:val="21"/>
                <w:szCs w:val="20"/>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项目要求及技术需求</w:t>
            </w:r>
          </w:p>
        </w:tc>
        <w:tc>
          <w:tcPr>
            <w:tcW w:w="2139" w:type="dxa"/>
            <w:noWrap w:val="0"/>
            <w:vAlign w:val="center"/>
          </w:tcPr>
          <w:p w14:paraId="12F074BA">
            <w:pPr>
              <w:pStyle w:val="21"/>
              <w:spacing w:line="300" w:lineRule="exact"/>
              <w:jc w:val="center"/>
              <w:rPr>
                <w:rFonts w:hAnsi="宋体"/>
                <w:b/>
                <w:bCs/>
                <w:color w:val="000000" w:themeColor="text1"/>
                <w:sz w:val="21"/>
                <w:szCs w:val="20"/>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响应文件的响应情况</w:t>
            </w:r>
          </w:p>
        </w:tc>
        <w:tc>
          <w:tcPr>
            <w:tcW w:w="1761" w:type="dxa"/>
            <w:noWrap w:val="0"/>
            <w:vAlign w:val="center"/>
          </w:tcPr>
          <w:p w14:paraId="320DE346">
            <w:pPr>
              <w:pStyle w:val="21"/>
              <w:spacing w:line="400" w:lineRule="exact"/>
              <w:jc w:val="center"/>
              <w:rPr>
                <w:rFonts w:hAnsi="宋体"/>
                <w:b/>
                <w:bCs/>
                <w:color w:val="000000" w:themeColor="text1"/>
                <w:sz w:val="21"/>
                <w:szCs w:val="20"/>
                <w:highlight w:val="none"/>
                <w14:textFill>
                  <w14:solidFill>
                    <w14:schemeClr w14:val="tx1"/>
                  </w14:solidFill>
                </w14:textFill>
              </w:rPr>
            </w:pPr>
            <w:bookmarkStart w:id="994" w:name="_Toc254970701"/>
            <w:bookmarkStart w:id="995" w:name="_Toc254970560"/>
            <w:r>
              <w:rPr>
                <w:rFonts w:hint="eastAsia" w:hAnsi="宋体"/>
                <w:b/>
                <w:bCs/>
                <w:color w:val="000000" w:themeColor="text1"/>
                <w:sz w:val="21"/>
                <w:szCs w:val="20"/>
                <w:highlight w:val="none"/>
                <w14:textFill>
                  <w14:solidFill>
                    <w14:schemeClr w14:val="tx1"/>
                  </w14:solidFill>
                </w14:textFill>
              </w:rPr>
              <w:t>偏离情况</w:t>
            </w:r>
            <w:bookmarkEnd w:id="994"/>
            <w:bookmarkEnd w:id="995"/>
            <w:r>
              <w:rPr>
                <w:rFonts w:hint="eastAsia" w:hAnsi="宋体"/>
                <w:b/>
                <w:bCs/>
                <w:color w:val="000000" w:themeColor="text1"/>
                <w:sz w:val="21"/>
                <w:szCs w:val="20"/>
                <w:highlight w:val="none"/>
                <w14:textFill>
                  <w14:solidFill>
                    <w14:schemeClr w14:val="tx1"/>
                  </w14:solidFill>
                </w14:textFill>
              </w:rPr>
              <w:t>说明</w:t>
            </w:r>
          </w:p>
        </w:tc>
      </w:tr>
      <w:tr w14:paraId="65F2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10257052">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p>
        </w:tc>
        <w:tc>
          <w:tcPr>
            <w:tcW w:w="1651" w:type="dxa"/>
            <w:noWrap w:val="0"/>
            <w:vAlign w:val="center"/>
          </w:tcPr>
          <w:p w14:paraId="4412AA93">
            <w:pPr>
              <w:jc w:val="center"/>
              <w:rPr>
                <w:rFonts w:ascii="宋体" w:hAnsi="宋体" w:cs="宋体"/>
                <w:color w:val="000000" w:themeColor="text1"/>
                <w:szCs w:val="21"/>
                <w:highlight w:val="none"/>
                <w14:textFill>
                  <w14:solidFill>
                    <w14:schemeClr w14:val="tx1"/>
                  </w14:solidFill>
                </w14:textFill>
              </w:rPr>
            </w:pPr>
          </w:p>
        </w:tc>
        <w:tc>
          <w:tcPr>
            <w:tcW w:w="2909" w:type="dxa"/>
            <w:noWrap w:val="0"/>
            <w:vAlign w:val="center"/>
          </w:tcPr>
          <w:p w14:paraId="695B44AB">
            <w:pPr>
              <w:pStyle w:val="21"/>
              <w:spacing w:line="600" w:lineRule="exact"/>
              <w:jc w:val="center"/>
              <w:rPr>
                <w:rFonts w:hAnsi="宋体"/>
                <w:color w:val="000000" w:themeColor="text1"/>
                <w:sz w:val="21"/>
                <w:szCs w:val="20"/>
                <w:highlight w:val="none"/>
                <w14:textFill>
                  <w14:solidFill>
                    <w14:schemeClr w14:val="tx1"/>
                  </w14:solidFill>
                </w14:textFill>
              </w:rPr>
            </w:pPr>
          </w:p>
        </w:tc>
        <w:tc>
          <w:tcPr>
            <w:tcW w:w="2139" w:type="dxa"/>
            <w:noWrap w:val="0"/>
            <w:vAlign w:val="top"/>
          </w:tcPr>
          <w:p w14:paraId="11849A49">
            <w:pPr>
              <w:pStyle w:val="21"/>
              <w:spacing w:line="600" w:lineRule="exact"/>
              <w:jc w:val="center"/>
              <w:rPr>
                <w:rFonts w:hAnsi="宋体"/>
                <w:color w:val="000000" w:themeColor="text1"/>
                <w:sz w:val="21"/>
                <w:szCs w:val="20"/>
                <w:highlight w:val="none"/>
                <w14:textFill>
                  <w14:solidFill>
                    <w14:schemeClr w14:val="tx1"/>
                  </w14:solidFill>
                </w14:textFill>
              </w:rPr>
            </w:pPr>
          </w:p>
        </w:tc>
        <w:tc>
          <w:tcPr>
            <w:tcW w:w="1761" w:type="dxa"/>
            <w:noWrap w:val="0"/>
            <w:vAlign w:val="center"/>
          </w:tcPr>
          <w:p w14:paraId="39E2970B">
            <w:pPr>
              <w:pStyle w:val="21"/>
              <w:spacing w:line="600" w:lineRule="exact"/>
              <w:jc w:val="center"/>
              <w:rPr>
                <w:rFonts w:hAnsi="宋体"/>
                <w:color w:val="000000" w:themeColor="text1"/>
                <w:sz w:val="21"/>
                <w:szCs w:val="20"/>
                <w:highlight w:val="none"/>
                <w14:textFill>
                  <w14:solidFill>
                    <w14:schemeClr w14:val="tx1"/>
                  </w14:solidFill>
                </w14:textFill>
              </w:rPr>
            </w:pPr>
          </w:p>
        </w:tc>
      </w:tr>
      <w:tr w14:paraId="7408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0ACFB666">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p>
        </w:tc>
        <w:tc>
          <w:tcPr>
            <w:tcW w:w="1651" w:type="dxa"/>
            <w:noWrap w:val="0"/>
            <w:vAlign w:val="center"/>
          </w:tcPr>
          <w:p w14:paraId="3B3FD7AD">
            <w:pPr>
              <w:jc w:val="center"/>
              <w:rPr>
                <w:rFonts w:ascii="宋体" w:hAnsi="宋体" w:cs="宋体"/>
                <w:color w:val="000000" w:themeColor="text1"/>
                <w:szCs w:val="21"/>
                <w:highlight w:val="none"/>
                <w14:textFill>
                  <w14:solidFill>
                    <w14:schemeClr w14:val="tx1"/>
                  </w14:solidFill>
                </w14:textFill>
              </w:rPr>
            </w:pPr>
          </w:p>
        </w:tc>
        <w:tc>
          <w:tcPr>
            <w:tcW w:w="2909" w:type="dxa"/>
            <w:noWrap w:val="0"/>
            <w:vAlign w:val="top"/>
          </w:tcPr>
          <w:p w14:paraId="6BE42880">
            <w:pPr>
              <w:pStyle w:val="21"/>
              <w:spacing w:line="600" w:lineRule="exact"/>
              <w:rPr>
                <w:rFonts w:hAnsi="宋体"/>
                <w:color w:val="000000" w:themeColor="text1"/>
                <w:sz w:val="21"/>
                <w:szCs w:val="20"/>
                <w:highlight w:val="none"/>
                <w14:textFill>
                  <w14:solidFill>
                    <w14:schemeClr w14:val="tx1"/>
                  </w14:solidFill>
                </w14:textFill>
              </w:rPr>
            </w:pPr>
          </w:p>
        </w:tc>
        <w:tc>
          <w:tcPr>
            <w:tcW w:w="2139" w:type="dxa"/>
            <w:noWrap w:val="0"/>
            <w:vAlign w:val="top"/>
          </w:tcPr>
          <w:p w14:paraId="7E023AF9">
            <w:pPr>
              <w:pStyle w:val="21"/>
              <w:spacing w:line="600" w:lineRule="exact"/>
              <w:rPr>
                <w:rFonts w:hAnsi="宋体"/>
                <w:color w:val="000000" w:themeColor="text1"/>
                <w:sz w:val="21"/>
                <w:szCs w:val="20"/>
                <w:highlight w:val="none"/>
                <w14:textFill>
                  <w14:solidFill>
                    <w14:schemeClr w14:val="tx1"/>
                  </w14:solidFill>
                </w14:textFill>
              </w:rPr>
            </w:pPr>
          </w:p>
        </w:tc>
        <w:tc>
          <w:tcPr>
            <w:tcW w:w="1761" w:type="dxa"/>
            <w:noWrap w:val="0"/>
            <w:vAlign w:val="top"/>
          </w:tcPr>
          <w:p w14:paraId="723513E4">
            <w:pPr>
              <w:pStyle w:val="21"/>
              <w:spacing w:line="600" w:lineRule="exact"/>
              <w:rPr>
                <w:rFonts w:hAnsi="宋体"/>
                <w:color w:val="000000" w:themeColor="text1"/>
                <w:sz w:val="21"/>
                <w:szCs w:val="20"/>
                <w:highlight w:val="none"/>
                <w14:textFill>
                  <w14:solidFill>
                    <w14:schemeClr w14:val="tx1"/>
                  </w14:solidFill>
                </w14:textFill>
              </w:rPr>
            </w:pPr>
          </w:p>
        </w:tc>
      </w:tr>
      <w:tr w14:paraId="53B3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71178CA8">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p>
        </w:tc>
        <w:tc>
          <w:tcPr>
            <w:tcW w:w="1651" w:type="dxa"/>
            <w:noWrap w:val="0"/>
            <w:vAlign w:val="center"/>
          </w:tcPr>
          <w:p w14:paraId="66407A0B">
            <w:pPr>
              <w:jc w:val="center"/>
              <w:rPr>
                <w:rFonts w:ascii="宋体" w:hAnsi="宋体" w:cs="宋体"/>
                <w:color w:val="000000" w:themeColor="text1"/>
                <w:szCs w:val="21"/>
                <w:highlight w:val="none"/>
                <w14:textFill>
                  <w14:solidFill>
                    <w14:schemeClr w14:val="tx1"/>
                  </w14:solidFill>
                </w14:textFill>
              </w:rPr>
            </w:pPr>
          </w:p>
        </w:tc>
        <w:tc>
          <w:tcPr>
            <w:tcW w:w="2909" w:type="dxa"/>
            <w:noWrap w:val="0"/>
            <w:vAlign w:val="top"/>
          </w:tcPr>
          <w:p w14:paraId="69E76F05">
            <w:pPr>
              <w:pStyle w:val="21"/>
              <w:spacing w:line="600" w:lineRule="exact"/>
              <w:rPr>
                <w:rFonts w:hAnsi="宋体"/>
                <w:color w:val="000000" w:themeColor="text1"/>
                <w:sz w:val="21"/>
                <w:szCs w:val="20"/>
                <w:highlight w:val="none"/>
                <w14:textFill>
                  <w14:solidFill>
                    <w14:schemeClr w14:val="tx1"/>
                  </w14:solidFill>
                </w14:textFill>
              </w:rPr>
            </w:pPr>
          </w:p>
        </w:tc>
        <w:tc>
          <w:tcPr>
            <w:tcW w:w="2139" w:type="dxa"/>
            <w:noWrap w:val="0"/>
            <w:vAlign w:val="top"/>
          </w:tcPr>
          <w:p w14:paraId="17ECE48A">
            <w:pPr>
              <w:pStyle w:val="21"/>
              <w:spacing w:line="600" w:lineRule="exact"/>
              <w:rPr>
                <w:rFonts w:hAnsi="宋体"/>
                <w:color w:val="000000" w:themeColor="text1"/>
                <w:sz w:val="21"/>
                <w:szCs w:val="20"/>
                <w:highlight w:val="none"/>
                <w14:textFill>
                  <w14:solidFill>
                    <w14:schemeClr w14:val="tx1"/>
                  </w14:solidFill>
                </w14:textFill>
              </w:rPr>
            </w:pPr>
          </w:p>
        </w:tc>
        <w:tc>
          <w:tcPr>
            <w:tcW w:w="1761" w:type="dxa"/>
            <w:noWrap w:val="0"/>
            <w:vAlign w:val="top"/>
          </w:tcPr>
          <w:p w14:paraId="1F2A9E6B">
            <w:pPr>
              <w:pStyle w:val="21"/>
              <w:spacing w:line="600" w:lineRule="exact"/>
              <w:rPr>
                <w:rFonts w:hAnsi="宋体"/>
                <w:color w:val="000000" w:themeColor="text1"/>
                <w:sz w:val="21"/>
                <w:szCs w:val="20"/>
                <w:highlight w:val="none"/>
                <w14:textFill>
                  <w14:solidFill>
                    <w14:schemeClr w14:val="tx1"/>
                  </w14:solidFill>
                </w14:textFill>
              </w:rPr>
            </w:pPr>
          </w:p>
        </w:tc>
      </w:tr>
      <w:tr w14:paraId="7201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2EB2610A">
            <w:pPr>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651" w:type="dxa"/>
            <w:noWrap w:val="0"/>
            <w:vAlign w:val="center"/>
          </w:tcPr>
          <w:p w14:paraId="2C1282C3">
            <w:pPr>
              <w:jc w:val="center"/>
              <w:rPr>
                <w:rFonts w:ascii="宋体" w:cs="宋体"/>
                <w:color w:val="000000" w:themeColor="text1"/>
                <w:szCs w:val="21"/>
                <w:highlight w:val="none"/>
                <w14:textFill>
                  <w14:solidFill>
                    <w14:schemeClr w14:val="tx1"/>
                  </w14:solidFill>
                </w14:textFill>
              </w:rPr>
            </w:pPr>
          </w:p>
        </w:tc>
        <w:tc>
          <w:tcPr>
            <w:tcW w:w="2909" w:type="dxa"/>
            <w:noWrap w:val="0"/>
            <w:vAlign w:val="top"/>
          </w:tcPr>
          <w:p w14:paraId="7B31DE21">
            <w:pPr>
              <w:pStyle w:val="21"/>
              <w:spacing w:line="600" w:lineRule="exact"/>
              <w:rPr>
                <w:rFonts w:hAnsi="宋体"/>
                <w:color w:val="000000" w:themeColor="text1"/>
                <w:sz w:val="21"/>
                <w:szCs w:val="20"/>
                <w:highlight w:val="none"/>
                <w14:textFill>
                  <w14:solidFill>
                    <w14:schemeClr w14:val="tx1"/>
                  </w14:solidFill>
                </w14:textFill>
              </w:rPr>
            </w:pPr>
          </w:p>
        </w:tc>
        <w:tc>
          <w:tcPr>
            <w:tcW w:w="2139" w:type="dxa"/>
            <w:noWrap w:val="0"/>
            <w:vAlign w:val="top"/>
          </w:tcPr>
          <w:p w14:paraId="624026B8">
            <w:pPr>
              <w:pStyle w:val="21"/>
              <w:spacing w:line="600" w:lineRule="exact"/>
              <w:rPr>
                <w:rFonts w:hAnsi="宋体"/>
                <w:color w:val="000000" w:themeColor="text1"/>
                <w:sz w:val="21"/>
                <w:szCs w:val="20"/>
                <w:highlight w:val="none"/>
                <w14:textFill>
                  <w14:solidFill>
                    <w14:schemeClr w14:val="tx1"/>
                  </w14:solidFill>
                </w14:textFill>
              </w:rPr>
            </w:pPr>
          </w:p>
        </w:tc>
        <w:tc>
          <w:tcPr>
            <w:tcW w:w="1761" w:type="dxa"/>
            <w:noWrap w:val="0"/>
            <w:vAlign w:val="top"/>
          </w:tcPr>
          <w:p w14:paraId="60415303">
            <w:pPr>
              <w:pStyle w:val="21"/>
              <w:spacing w:line="600" w:lineRule="exact"/>
              <w:rPr>
                <w:rFonts w:hAnsi="宋体"/>
                <w:color w:val="000000" w:themeColor="text1"/>
                <w:sz w:val="21"/>
                <w:szCs w:val="20"/>
                <w:highlight w:val="none"/>
                <w14:textFill>
                  <w14:solidFill>
                    <w14:schemeClr w14:val="tx1"/>
                  </w14:solidFill>
                </w14:textFill>
              </w:rPr>
            </w:pPr>
          </w:p>
        </w:tc>
      </w:tr>
      <w:tr w14:paraId="6DE7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021BCF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651" w:type="dxa"/>
            <w:noWrap w:val="0"/>
            <w:vAlign w:val="center"/>
          </w:tcPr>
          <w:p w14:paraId="0B82E05C">
            <w:pPr>
              <w:jc w:val="center"/>
              <w:rPr>
                <w:rFonts w:ascii="宋体" w:hAnsi="宋体" w:cs="宋体"/>
                <w:color w:val="000000" w:themeColor="text1"/>
                <w:szCs w:val="21"/>
                <w:highlight w:val="none"/>
                <w14:textFill>
                  <w14:solidFill>
                    <w14:schemeClr w14:val="tx1"/>
                  </w14:solidFill>
                </w14:textFill>
              </w:rPr>
            </w:pPr>
          </w:p>
        </w:tc>
        <w:tc>
          <w:tcPr>
            <w:tcW w:w="2909" w:type="dxa"/>
            <w:noWrap w:val="0"/>
            <w:vAlign w:val="top"/>
          </w:tcPr>
          <w:p w14:paraId="0175457A">
            <w:pPr>
              <w:pStyle w:val="21"/>
              <w:spacing w:line="600" w:lineRule="exact"/>
              <w:rPr>
                <w:rFonts w:hAnsi="宋体"/>
                <w:color w:val="000000" w:themeColor="text1"/>
                <w:sz w:val="21"/>
                <w:szCs w:val="20"/>
                <w:highlight w:val="none"/>
                <w14:textFill>
                  <w14:solidFill>
                    <w14:schemeClr w14:val="tx1"/>
                  </w14:solidFill>
                </w14:textFill>
              </w:rPr>
            </w:pPr>
          </w:p>
        </w:tc>
        <w:tc>
          <w:tcPr>
            <w:tcW w:w="2139" w:type="dxa"/>
            <w:noWrap w:val="0"/>
            <w:vAlign w:val="top"/>
          </w:tcPr>
          <w:p w14:paraId="0921B5D1">
            <w:pPr>
              <w:pStyle w:val="21"/>
              <w:spacing w:line="600" w:lineRule="exact"/>
              <w:rPr>
                <w:rFonts w:hAnsi="宋体"/>
                <w:color w:val="000000" w:themeColor="text1"/>
                <w:sz w:val="21"/>
                <w:szCs w:val="20"/>
                <w:highlight w:val="none"/>
                <w14:textFill>
                  <w14:solidFill>
                    <w14:schemeClr w14:val="tx1"/>
                  </w14:solidFill>
                </w14:textFill>
              </w:rPr>
            </w:pPr>
          </w:p>
        </w:tc>
        <w:tc>
          <w:tcPr>
            <w:tcW w:w="1761" w:type="dxa"/>
            <w:noWrap w:val="0"/>
            <w:vAlign w:val="top"/>
          </w:tcPr>
          <w:p w14:paraId="5CE6DA8D">
            <w:pPr>
              <w:pStyle w:val="21"/>
              <w:spacing w:line="600" w:lineRule="exact"/>
              <w:rPr>
                <w:rFonts w:hAnsi="宋体"/>
                <w:color w:val="000000" w:themeColor="text1"/>
                <w:sz w:val="21"/>
                <w:szCs w:val="20"/>
                <w:highlight w:val="none"/>
                <w14:textFill>
                  <w14:solidFill>
                    <w14:schemeClr w14:val="tx1"/>
                  </w14:solidFill>
                </w14:textFill>
              </w:rPr>
            </w:pPr>
          </w:p>
        </w:tc>
      </w:tr>
    </w:tbl>
    <w:p w14:paraId="266A8A28">
      <w:pPr>
        <w:pStyle w:val="21"/>
        <w:rPr>
          <w:rFonts w:hAnsi="宋体"/>
          <w:color w:val="000000" w:themeColor="text1"/>
          <w:highlight w:val="none"/>
          <w:u w:val="single"/>
          <w14:textFill>
            <w14:solidFill>
              <w14:schemeClr w14:val="tx1"/>
            </w14:solidFill>
          </w14:textFill>
        </w:rPr>
      </w:pPr>
    </w:p>
    <w:p w14:paraId="2EFCB3AC">
      <w:pPr>
        <w:spacing w:line="400" w:lineRule="exact"/>
        <w:ind w:firstLine="189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58650C1D">
      <w:pPr>
        <w:spacing w:line="340" w:lineRule="exact"/>
        <w:rPr>
          <w:color w:val="000000" w:themeColor="text1"/>
          <w:highlight w:val="none"/>
          <w14:textFill>
            <w14:solidFill>
              <w14:schemeClr w14:val="tx1"/>
            </w14:solidFill>
          </w14:textFill>
        </w:rPr>
      </w:pPr>
    </w:p>
    <w:p w14:paraId="5ED7F391">
      <w:pPr>
        <w:spacing w:line="400" w:lineRule="exact"/>
        <w:ind w:firstLine="1680"/>
        <w:rPr>
          <w:rFonts w:hint="eastAsia" w:ascii="宋体" w:hAnsi="宋体" w:cs="宋体"/>
          <w:color w:val="000000" w:themeColor="text1"/>
          <w:highlight w:val="none"/>
          <w14:textFill>
            <w14:solidFill>
              <w14:schemeClr w14:val="tx1"/>
            </w14:solidFill>
          </w14:textFill>
        </w:rPr>
      </w:pPr>
    </w:p>
    <w:p w14:paraId="3AB4EBA2">
      <w:pPr>
        <w:spacing w:line="400" w:lineRule="exact"/>
        <w:ind w:firstLine="504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          期：</w:t>
      </w:r>
      <w:r>
        <w:rPr>
          <w:rFonts w:hint="eastAsia" w:ascii="宋体" w:hAnsi="宋体" w:cs="宋体"/>
          <w:color w:val="000000" w:themeColor="text1"/>
          <w:highlight w:val="none"/>
          <w:u w:val="single"/>
          <w14:textFill>
            <w14:solidFill>
              <w14:schemeClr w14:val="tx1"/>
            </w14:solidFill>
          </w14:textFill>
        </w:rPr>
        <w:t xml:space="preserve">                                                   </w:t>
      </w:r>
    </w:p>
    <w:p w14:paraId="4802BF61">
      <w:pPr>
        <w:pStyle w:val="21"/>
        <w:ind w:firstLine="4000"/>
        <w:rPr>
          <w:rFonts w:hAnsi="宋体"/>
          <w:color w:val="000000" w:themeColor="text1"/>
          <w:highlight w:val="none"/>
          <w:u w:val="single"/>
          <w14:textFill>
            <w14:solidFill>
              <w14:schemeClr w14:val="tx1"/>
            </w14:solidFill>
          </w14:textFill>
        </w:rPr>
      </w:pPr>
    </w:p>
    <w:p w14:paraId="3FCC8B9E">
      <w:pPr>
        <w:pStyle w:val="21"/>
        <w:spacing w:line="360" w:lineRule="exact"/>
        <w:rPr>
          <w:rFonts w:hAnsi="宋体"/>
          <w:bCs/>
          <w:color w:val="000000" w:themeColor="text1"/>
          <w:highlight w:val="none"/>
          <w14:textFill>
            <w14:solidFill>
              <w14:schemeClr w14:val="tx1"/>
            </w14:solidFill>
          </w14:textFill>
        </w:rPr>
      </w:pPr>
    </w:p>
    <w:p w14:paraId="1D4222CD">
      <w:pPr>
        <w:pStyle w:val="21"/>
        <w:spacing w:line="360" w:lineRule="exact"/>
        <w:rPr>
          <w:rFonts w:hAnsi="宋体"/>
          <w:bCs/>
          <w:color w:val="000000" w:themeColor="text1"/>
          <w:highlight w:val="none"/>
          <w14:textFill>
            <w14:solidFill>
              <w14:schemeClr w14:val="tx1"/>
            </w14:solidFill>
          </w14:textFill>
        </w:rPr>
      </w:pPr>
    </w:p>
    <w:p w14:paraId="3E897E1A">
      <w:pPr>
        <w:pStyle w:val="21"/>
        <w:spacing w:line="360" w:lineRule="exact"/>
        <w:rPr>
          <w:rFonts w:hint="eastAsia" w:hAnsi="宋体" w:cs="宋体"/>
          <w:b/>
          <w:bCs w:val="0"/>
          <w:color w:val="000000" w:themeColor="text1"/>
          <w:sz w:val="24"/>
          <w:szCs w:val="28"/>
          <w:highlight w:val="none"/>
          <w14:textFill>
            <w14:solidFill>
              <w14:schemeClr w14:val="tx1"/>
            </w14:solidFill>
          </w14:textFill>
        </w:rPr>
      </w:pPr>
      <w:r>
        <w:rPr>
          <w:rFonts w:hint="eastAsia" w:hAnsi="宋体" w:cs="宋体"/>
          <w:b/>
          <w:bCs w:val="0"/>
          <w:color w:val="000000" w:themeColor="text1"/>
          <w:sz w:val="24"/>
          <w:szCs w:val="28"/>
          <w:highlight w:val="none"/>
          <w14:textFill>
            <w14:solidFill>
              <w14:schemeClr w14:val="tx1"/>
            </w14:solidFill>
          </w14:textFill>
        </w:rPr>
        <w:t>注：</w:t>
      </w:r>
    </w:p>
    <w:p w14:paraId="79751577">
      <w:pPr>
        <w:numPr>
          <w:ilvl w:val="0"/>
          <w:numId w:val="0"/>
        </w:numPr>
        <w:spacing w:line="480" w:lineRule="exact"/>
        <w:ind w:left="0" w:firstLine="420"/>
        <w:rPr>
          <w:rFonts w:hint="eastAsia" w:ascii="宋体" w:hAnsi="宋体" w:cs="宋体"/>
          <w:b/>
          <w:bCs w:val="0"/>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r>
        <w:rPr>
          <w:rFonts w:hint="eastAsia" w:ascii="宋体" w:hAnsi="宋体" w:cs="宋体"/>
          <w:b/>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val="0"/>
          <w:color w:val="000000" w:themeColor="text1"/>
          <w:sz w:val="21"/>
          <w:szCs w:val="21"/>
          <w:highlight w:val="none"/>
          <w14:textFill>
            <w14:solidFill>
              <w14:schemeClr w14:val="tx1"/>
            </w14:solidFill>
          </w14:textFill>
        </w:rPr>
        <w:t>应对照</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竞争性</w:t>
      </w:r>
      <w:r>
        <w:rPr>
          <w:rFonts w:hint="eastAsia" w:ascii="宋体" w:hAnsi="宋体" w:cs="宋体"/>
          <w:b/>
          <w:bCs w:val="0"/>
          <w:color w:val="000000" w:themeColor="text1"/>
          <w:sz w:val="21"/>
          <w:szCs w:val="21"/>
          <w:highlight w:val="none"/>
          <w:lang w:eastAsia="zh-CN"/>
          <w14:textFill>
            <w14:solidFill>
              <w14:schemeClr w14:val="tx1"/>
            </w14:solidFill>
          </w14:textFill>
        </w:rPr>
        <w:t>谈判</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文件</w:t>
      </w:r>
      <w:r>
        <w:rPr>
          <w:rFonts w:hint="eastAsia" w:ascii="宋体" w:hAnsi="宋体" w:cs="宋体"/>
          <w:b/>
          <w:bCs w:val="0"/>
          <w:color w:val="000000" w:themeColor="text1"/>
          <w:sz w:val="21"/>
          <w:szCs w:val="21"/>
          <w:highlight w:val="none"/>
          <w14:textFill>
            <w14:solidFill>
              <w14:schemeClr w14:val="tx1"/>
            </w14:solidFill>
          </w14:textFill>
        </w:rPr>
        <w:t>中</w:t>
      </w:r>
      <w:r>
        <w:rPr>
          <w:rFonts w:hint="eastAsia" w:ascii="宋体" w:hAnsi="宋体" w:cs="宋体"/>
          <w:b/>
          <w:bCs w:val="0"/>
          <w:color w:val="000000" w:themeColor="text1"/>
          <w:sz w:val="21"/>
          <w:szCs w:val="21"/>
          <w:highlight w:val="none"/>
          <w:lang w:eastAsia="zh-CN"/>
          <w14:textFill>
            <w14:solidFill>
              <w14:schemeClr w14:val="tx1"/>
            </w14:solidFill>
          </w14:textFill>
        </w:rPr>
        <w:t>“</w:t>
      </w:r>
      <w:r>
        <w:rPr>
          <w:rFonts w:hint="eastAsia" w:ascii="宋体" w:hAnsi="宋体" w:cs="宋体"/>
          <w:b/>
          <w:bCs w:val="0"/>
          <w:color w:val="000000" w:themeColor="text1"/>
          <w:sz w:val="21"/>
          <w:szCs w:val="21"/>
          <w:highlight w:val="none"/>
          <w14:textFill>
            <w14:solidFill>
              <w14:schemeClr w14:val="tx1"/>
            </w14:solidFill>
          </w14:textFill>
        </w:rPr>
        <w:t>第三章</w:t>
      </w:r>
      <w:r>
        <w:rPr>
          <w:rFonts w:hint="eastAsia" w:ascii="宋体" w:hAnsi="宋体" w:cs="宋体"/>
          <w:b/>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bCs w:val="0"/>
          <w:color w:val="000000" w:themeColor="text1"/>
          <w:sz w:val="21"/>
          <w:szCs w:val="21"/>
          <w:highlight w:val="none"/>
          <w14:textFill>
            <w14:solidFill>
              <w14:schemeClr w14:val="tx1"/>
            </w14:solidFill>
          </w14:textFill>
        </w:rPr>
        <w:t>采购需求</w:t>
      </w:r>
      <w:r>
        <w:rPr>
          <w:rFonts w:hint="eastAsia" w:ascii="宋体" w:hAnsi="宋体" w:cs="宋体"/>
          <w:b/>
          <w:bCs w:val="0"/>
          <w:color w:val="000000" w:themeColor="text1"/>
          <w:sz w:val="21"/>
          <w:szCs w:val="21"/>
          <w:highlight w:val="none"/>
          <w:lang w:eastAsia="zh-CN"/>
          <w14:textFill>
            <w14:solidFill>
              <w14:schemeClr w14:val="tx1"/>
            </w14:solidFill>
          </w14:textFill>
        </w:rPr>
        <w:t>”中</w:t>
      </w:r>
      <w:r>
        <w:rPr>
          <w:rFonts w:hint="eastAsia" w:ascii="宋体" w:hAnsi="宋体" w:cs="宋体"/>
          <w:b/>
          <w:bCs w:val="0"/>
          <w:color w:val="000000" w:themeColor="text1"/>
          <w:sz w:val="21"/>
          <w:szCs w:val="21"/>
          <w:highlight w:val="none"/>
          <w:lang w:val="en-US" w:eastAsia="zh-CN"/>
          <w14:textFill>
            <w14:solidFill>
              <w14:schemeClr w14:val="tx1"/>
            </w14:solidFill>
          </w14:textFill>
        </w:rPr>
        <w:t>技术规格需求</w:t>
      </w:r>
      <w:r>
        <w:rPr>
          <w:rFonts w:hint="eastAsia" w:ascii="宋体" w:hAnsi="宋体" w:cs="宋体"/>
          <w:b/>
          <w:bCs w:val="0"/>
          <w:color w:val="000000" w:themeColor="text1"/>
          <w:sz w:val="21"/>
          <w:szCs w:val="21"/>
          <w:highlight w:val="none"/>
          <w14:textFill>
            <w14:solidFill>
              <w14:schemeClr w14:val="tx1"/>
            </w14:solidFill>
          </w14:textFill>
        </w:rPr>
        <w:t>的内容逐条响应，并在“偏离情况说明”栏注明“正偏离”、“负偏离”或“无偏离”。</w:t>
      </w:r>
      <w:r>
        <w:rPr>
          <w:rFonts w:hint="eastAsia" w:ascii="宋体" w:hAnsi="宋体" w:cs="宋体"/>
          <w:b/>
          <w:bCs w:val="0"/>
          <w:color w:val="000000" w:themeColor="text1"/>
          <w:sz w:val="21"/>
          <w:szCs w:val="21"/>
          <w:highlight w:val="none"/>
          <w:lang w:eastAsia="zh-CN"/>
          <w14:textFill>
            <w14:solidFill>
              <w14:schemeClr w14:val="tx1"/>
            </w14:solidFill>
          </w14:textFill>
        </w:rPr>
        <w:t>否则，</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响应</w:t>
      </w:r>
      <w:r>
        <w:rPr>
          <w:rFonts w:hint="eastAsia" w:ascii="宋体" w:hAnsi="宋体" w:cs="宋体"/>
          <w:b/>
          <w:bCs w:val="0"/>
          <w:color w:val="000000" w:themeColor="text1"/>
          <w:sz w:val="21"/>
          <w:szCs w:val="21"/>
          <w:highlight w:val="none"/>
          <w:lang w:eastAsia="zh-CN"/>
          <w14:textFill>
            <w14:solidFill>
              <w14:schemeClr w14:val="tx1"/>
            </w14:solidFill>
          </w14:textFill>
        </w:rPr>
        <w:t>无效。</w:t>
      </w:r>
    </w:p>
    <w:p w14:paraId="581E2A37">
      <w:pPr>
        <w:pStyle w:val="21"/>
        <w:spacing w:line="480" w:lineRule="exact"/>
        <w:ind w:firstLine="422"/>
        <w:rPr>
          <w:rFonts w:hint="eastAsia" w:hAnsi="宋体" w:cs="宋体"/>
          <w:b/>
          <w:bCs w:val="0"/>
          <w:color w:val="000000" w:themeColor="text1"/>
          <w:sz w:val="21"/>
          <w:szCs w:val="21"/>
          <w:highlight w:val="none"/>
          <w14:textFill>
            <w14:solidFill>
              <w14:schemeClr w14:val="tx1"/>
            </w14:solidFill>
          </w14:textFill>
        </w:rPr>
      </w:pPr>
      <w:r>
        <w:rPr>
          <w:rFonts w:hint="eastAsia" w:ascii="宋体" w:cs="宋体"/>
          <w:b/>
          <w:bCs w:val="0"/>
          <w:color w:val="000000" w:themeColor="text1"/>
          <w:sz w:val="21"/>
          <w:szCs w:val="21"/>
          <w:highlight w:val="none"/>
          <w:lang w:val="en-US" w:eastAsia="zh-CN"/>
          <w14:textFill>
            <w14:solidFill>
              <w14:schemeClr w14:val="tx1"/>
            </w14:solidFill>
          </w14:textFill>
        </w:rPr>
        <w:t>2.</w:t>
      </w:r>
      <w:r>
        <w:rPr>
          <w:rFonts w:hint="eastAsia" w:hAnsi="宋体" w:cs="宋体"/>
          <w:b/>
          <w:bCs w:val="0"/>
          <w:color w:val="000000" w:themeColor="text1"/>
          <w:sz w:val="21"/>
          <w:szCs w:val="21"/>
          <w:highlight w:val="none"/>
          <w14:textFill>
            <w14:solidFill>
              <w14:schemeClr w14:val="tx1"/>
            </w14:solidFill>
          </w14:textFill>
        </w:rPr>
        <w:t>当所提供货物的技术参数性能指标等承诺出现“正</w:t>
      </w:r>
      <w:r>
        <w:rPr>
          <w:rFonts w:hint="eastAsia" w:hAnsi="宋体"/>
          <w:b/>
          <w:bCs w:val="0"/>
          <w:color w:val="000000" w:themeColor="text1"/>
          <w:sz w:val="21"/>
          <w:szCs w:val="21"/>
          <w:highlight w:val="none"/>
          <w14:textFill>
            <w14:solidFill>
              <w14:schemeClr w14:val="tx1"/>
            </w14:solidFill>
          </w14:textFill>
        </w:rPr>
        <w:t>偏离</w:t>
      </w:r>
      <w:r>
        <w:rPr>
          <w:rFonts w:hint="eastAsia" w:hAnsi="宋体" w:cs="宋体"/>
          <w:b/>
          <w:bCs w:val="0"/>
          <w:color w:val="000000" w:themeColor="text1"/>
          <w:sz w:val="21"/>
          <w:szCs w:val="21"/>
          <w:highlight w:val="none"/>
          <w14:textFill>
            <w14:solidFill>
              <w14:schemeClr w14:val="tx1"/>
            </w14:solidFill>
          </w14:textFill>
        </w:rPr>
        <w:t>”情况时，应详细填写</w:t>
      </w:r>
      <w:r>
        <w:rPr>
          <w:rFonts w:hint="eastAsia" w:hAnsi="宋体"/>
          <w:b/>
          <w:bCs w:val="0"/>
          <w:color w:val="000000" w:themeColor="text1"/>
          <w:sz w:val="21"/>
          <w:szCs w:val="21"/>
          <w:highlight w:val="none"/>
          <w14:textFill>
            <w14:solidFill>
              <w14:schemeClr w14:val="tx1"/>
            </w14:solidFill>
          </w14:textFill>
        </w:rPr>
        <w:t>偏离</w:t>
      </w:r>
      <w:r>
        <w:rPr>
          <w:rFonts w:hint="eastAsia" w:hAnsi="宋体" w:cs="宋体"/>
          <w:b/>
          <w:bCs w:val="0"/>
          <w:color w:val="000000" w:themeColor="text1"/>
          <w:sz w:val="21"/>
          <w:szCs w:val="21"/>
          <w:highlight w:val="none"/>
          <w14:textFill>
            <w14:solidFill>
              <w14:schemeClr w14:val="tx1"/>
            </w14:solidFill>
          </w14:textFill>
        </w:rPr>
        <w:t>情况说明及提供相应有效的证明材料，否则，谈判小组有权不予认定“正</w:t>
      </w:r>
      <w:r>
        <w:rPr>
          <w:rFonts w:hint="eastAsia" w:hAnsi="宋体"/>
          <w:b/>
          <w:bCs w:val="0"/>
          <w:color w:val="000000" w:themeColor="text1"/>
          <w:sz w:val="21"/>
          <w:szCs w:val="21"/>
          <w:highlight w:val="none"/>
          <w14:textFill>
            <w14:solidFill>
              <w14:schemeClr w14:val="tx1"/>
            </w14:solidFill>
          </w14:textFill>
        </w:rPr>
        <w:t>偏离</w:t>
      </w:r>
      <w:r>
        <w:rPr>
          <w:rFonts w:hint="eastAsia" w:hAnsi="宋体" w:cs="宋体"/>
          <w:b/>
          <w:bCs w:val="0"/>
          <w:color w:val="000000" w:themeColor="text1"/>
          <w:sz w:val="21"/>
          <w:szCs w:val="21"/>
          <w:highlight w:val="none"/>
          <w14:textFill>
            <w14:solidFill>
              <w14:schemeClr w14:val="tx1"/>
            </w14:solidFill>
          </w14:textFill>
        </w:rPr>
        <w:t xml:space="preserve">”情况。  </w:t>
      </w:r>
    </w:p>
    <w:p w14:paraId="109650FE">
      <w:pPr>
        <w:pStyle w:val="21"/>
        <w:spacing w:line="480" w:lineRule="exact"/>
        <w:ind w:firstLine="422"/>
        <w:rPr>
          <w:rFonts w:hint="eastAsia" w:hAnsi="宋体" w:cs="宋体"/>
          <w:b/>
          <w:bCs w:val="0"/>
          <w:color w:val="000000" w:themeColor="text1"/>
          <w:sz w:val="21"/>
          <w:szCs w:val="21"/>
          <w:highlight w:val="none"/>
          <w14:textFill>
            <w14:solidFill>
              <w14:schemeClr w14:val="tx1"/>
            </w14:solidFill>
          </w14:textFill>
        </w:rPr>
      </w:pPr>
      <w:r>
        <w:rPr>
          <w:rFonts w:hint="eastAsia" w:hAnsi="宋体" w:cs="宋体"/>
          <w:b/>
          <w:bCs w:val="0"/>
          <w:color w:val="000000" w:themeColor="text1"/>
          <w:sz w:val="21"/>
          <w:szCs w:val="21"/>
          <w:highlight w:val="none"/>
          <w:lang w:val="en-US" w:eastAsia="zh-CN"/>
          <w14:textFill>
            <w14:solidFill>
              <w14:schemeClr w14:val="tx1"/>
            </w14:solidFill>
          </w14:textFill>
        </w:rPr>
        <w:t>3</w:t>
      </w:r>
      <w:r>
        <w:rPr>
          <w:rFonts w:hint="eastAsia" w:hAnsi="宋体" w:cs="宋体"/>
          <w:b/>
          <w:bCs w:val="0"/>
          <w:color w:val="000000" w:themeColor="text1"/>
          <w:sz w:val="21"/>
          <w:szCs w:val="21"/>
          <w:highlight w:val="none"/>
          <w14:textFill>
            <w14:solidFill>
              <w14:schemeClr w14:val="tx1"/>
            </w14:solidFill>
          </w14:textFill>
        </w:rPr>
        <w:t>.技术规格偏离表须加盖供应商CA签章（自然人签字或加盖个人CA签章）。当本表由多页构成时，需逐页加盖供应商CA签章（属自然人的须逐页签字或加盖个人CA签章）。</w:t>
      </w:r>
    </w:p>
    <w:p w14:paraId="2909D3F9">
      <w:pPr>
        <w:spacing w:line="360" w:lineRule="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14:paraId="29930EEE">
      <w:pPr>
        <w:spacing w:line="360" w:lineRule="auto"/>
        <w:rPr>
          <w:rFonts w:hint="eastAsia" w:hAnsi="宋体" w:cs="宋体"/>
          <w:color w:val="000000" w:themeColor="text1"/>
          <w:highlight w:val="none"/>
          <w14:textFill>
            <w14:solidFill>
              <w14:schemeClr w14:val="tx1"/>
            </w14:solidFill>
          </w14:textFill>
        </w:rPr>
      </w:pPr>
    </w:p>
    <w:p w14:paraId="6B8B1179">
      <w:pPr>
        <w:spacing w:line="360" w:lineRule="auto"/>
        <w:rPr>
          <w:rFonts w:hint="default" w:hAnsi="宋体" w:cs="宋体"/>
          <w:color w:val="000000" w:themeColor="text1"/>
          <w:highlight w:val="none"/>
          <w:lang w:val="en-US" w:eastAsia="zh-CN"/>
          <w14:textFill>
            <w14:solidFill>
              <w14:schemeClr w14:val="tx1"/>
            </w14:solidFill>
          </w14:textFill>
        </w:rPr>
      </w:pPr>
    </w:p>
    <w:p w14:paraId="414BD3D7">
      <w:pPr>
        <w:rPr>
          <w:color w:val="000000" w:themeColor="text1"/>
          <w:highlight w:val="none"/>
          <w14:textFill>
            <w14:solidFill>
              <w14:schemeClr w14:val="tx1"/>
            </w14:solidFill>
          </w14:textFill>
        </w:rPr>
      </w:pPr>
    </w:p>
    <w:p w14:paraId="0A3D6AF0">
      <w:pPr>
        <w:pStyle w:val="21"/>
        <w:numPr>
          <w:ilvl w:val="0"/>
          <w:numId w:val="12"/>
        </w:numPr>
        <w:spacing w:line="340" w:lineRule="exact"/>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商务响应表（必须提供）；</w:t>
      </w:r>
    </w:p>
    <w:p w14:paraId="2603967E">
      <w:pPr>
        <w:pStyle w:val="12"/>
        <w:rPr>
          <w:rFonts w:hint="eastAsia"/>
          <w:color w:val="000000" w:themeColor="text1"/>
          <w:highlight w:val="none"/>
          <w14:textFill>
            <w14:solidFill>
              <w14:schemeClr w14:val="tx1"/>
            </w14:solidFill>
          </w14:textFill>
        </w:rPr>
      </w:pPr>
    </w:p>
    <w:p w14:paraId="12D0508E">
      <w:pPr>
        <w:pStyle w:val="21"/>
        <w:spacing w:line="300" w:lineRule="exact"/>
        <w:ind w:left="420"/>
        <w:jc w:val="left"/>
        <w:rPr>
          <w:rFonts w:ascii="Times New Roman" w:hAnsi="Times New Roman"/>
          <w:b/>
          <w:color w:val="000000" w:themeColor="text1"/>
          <w:sz w:val="32"/>
          <w:szCs w:val="32"/>
          <w:highlight w:val="none"/>
          <w14:textFill>
            <w14:solidFill>
              <w14:schemeClr w14:val="tx1"/>
            </w14:solidFill>
          </w14:textFill>
        </w:rPr>
      </w:pPr>
      <w:r>
        <w:rPr>
          <w:rFonts w:ascii="Times New Roman" w:hAnsi="Times New Roman"/>
          <w:b/>
          <w:color w:val="000000" w:themeColor="text1"/>
          <w:sz w:val="32"/>
          <w:szCs w:val="32"/>
          <w:highlight w:val="none"/>
          <w14:textFill>
            <w14:solidFill>
              <w14:schemeClr w14:val="tx1"/>
            </w14:solidFill>
          </w14:textFill>
        </w:rPr>
        <w:t>附件：</w:t>
      </w:r>
    </w:p>
    <w:p w14:paraId="1CBEEFBA">
      <w:pPr>
        <w:pStyle w:val="21"/>
        <w:jc w:val="center"/>
        <w:rPr>
          <w:rFonts w:ascii="Times New Roman" w:hAnsi="Times New Roman"/>
          <w:b/>
          <w:color w:val="000000" w:themeColor="text1"/>
          <w:sz w:val="32"/>
          <w:highlight w:val="none"/>
          <w14:textFill>
            <w14:solidFill>
              <w14:schemeClr w14:val="tx1"/>
            </w14:solidFill>
          </w14:textFill>
        </w:rPr>
      </w:pPr>
      <w:r>
        <w:rPr>
          <w:rFonts w:hint="eastAsia" w:ascii="Times New Roman" w:hAnsi="Times New Roman"/>
          <w:b/>
          <w:color w:val="000000" w:themeColor="text1"/>
          <w:sz w:val="32"/>
          <w:szCs w:val="32"/>
          <w:highlight w:val="none"/>
          <w14:textFill>
            <w14:solidFill>
              <w14:schemeClr w14:val="tx1"/>
            </w14:solidFill>
          </w14:textFill>
        </w:rPr>
        <w:t>商务</w:t>
      </w:r>
      <w:r>
        <w:rPr>
          <w:rFonts w:ascii="Times New Roman" w:hAnsi="Times New Roman"/>
          <w:b/>
          <w:color w:val="000000" w:themeColor="text1"/>
          <w:sz w:val="32"/>
          <w:szCs w:val="32"/>
          <w:highlight w:val="none"/>
          <w14:textFill>
            <w14:solidFill>
              <w14:schemeClr w14:val="tx1"/>
            </w14:solidFill>
          </w14:textFill>
        </w:rPr>
        <w:t>响应表（格式</w:t>
      </w:r>
      <w:r>
        <w:rPr>
          <w:rFonts w:ascii="Times New Roman" w:hAnsi="Times New Roman"/>
          <w:b/>
          <w:color w:val="000000" w:themeColor="text1"/>
          <w:sz w:val="32"/>
          <w:highlight w:val="none"/>
          <w14:textFill>
            <w14:solidFill>
              <w14:schemeClr w14:val="tx1"/>
            </w14:solidFill>
          </w14:textFill>
        </w:rPr>
        <w:t>）</w:t>
      </w:r>
    </w:p>
    <w:p w14:paraId="5EF7085A">
      <w:pPr>
        <w:pStyle w:val="18"/>
        <w:ind w:firstLine="241"/>
        <w:rPr>
          <w:rFonts w:hint="eastAsia" w:ascii="宋体" w:hAnsi="宋体" w:cs="宋体"/>
          <w:b/>
          <w:bCs/>
          <w:color w:val="000000" w:themeColor="text1"/>
          <w:sz w:val="24"/>
          <w:szCs w:val="21"/>
          <w:highlight w:val="none"/>
          <w:lang w:eastAsia="zh-CN"/>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项目编号：</w:t>
      </w:r>
    </w:p>
    <w:p w14:paraId="279FEA7B">
      <w:pPr>
        <w:pStyle w:val="18"/>
        <w:ind w:firstLine="241"/>
        <w:rPr>
          <w:rFonts w:hint="eastAsia" w:ascii="宋体" w:hAnsi="宋体" w:cs="宋体"/>
          <w:b/>
          <w:bCs/>
          <w:color w:val="000000" w:themeColor="text1"/>
          <w:sz w:val="24"/>
          <w:szCs w:val="21"/>
          <w:highlight w:val="none"/>
          <w:lang w:eastAsia="zh-CN"/>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项目名称：</w:t>
      </w:r>
    </w:p>
    <w:p w14:paraId="4B82E49B">
      <w:pPr>
        <w:rPr>
          <w:rFonts w:hint="eastAsia"/>
          <w:color w:val="000000" w:themeColor="text1"/>
          <w:highlight w:val="none"/>
          <w:lang w:eastAsia="zh-CN"/>
          <w14:textFill>
            <w14:solidFill>
              <w14:schemeClr w14:val="tx1"/>
            </w14:solidFill>
          </w14:textFill>
        </w:rPr>
      </w:pPr>
    </w:p>
    <w:tbl>
      <w:tblPr>
        <w:tblStyle w:val="42"/>
        <w:tblW w:w="0" w:type="auto"/>
        <w:tblInd w:w="4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062"/>
        <w:gridCol w:w="2675"/>
        <w:gridCol w:w="2435"/>
      </w:tblGrid>
      <w:tr w14:paraId="61C9F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71996742">
            <w:pPr>
              <w:spacing w:before="156"/>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项号</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2283C0A3">
            <w:pPr>
              <w:pStyle w:val="21"/>
              <w:spacing w:line="600" w:lineRule="exact"/>
              <w:jc w:val="center"/>
              <w:rPr>
                <w:rFonts w:hAnsi="宋体" w:cs="宋体"/>
                <w:b/>
                <w:bCs/>
                <w:color w:val="000000" w:themeColor="text1"/>
                <w:sz w:val="21"/>
                <w:szCs w:val="21"/>
                <w:highlight w:val="none"/>
                <w14:textFill>
                  <w14:solidFill>
                    <w14:schemeClr w14:val="tx1"/>
                  </w14:solidFill>
                </w14:textFill>
              </w:rPr>
            </w:pPr>
            <w:r>
              <w:rPr>
                <w:rFonts w:hint="eastAsia" w:ascii="Times New Roman" w:hAnsi="Times New Roman"/>
                <w:b/>
                <w:bCs/>
                <w:color w:val="000000" w:themeColor="text1"/>
                <w:sz w:val="21"/>
                <w:szCs w:val="21"/>
                <w:highlight w:val="none"/>
                <w14:textFill>
                  <w14:solidFill>
                    <w14:schemeClr w14:val="tx1"/>
                  </w14:solidFill>
                </w14:textFill>
              </w:rPr>
              <w:t>竞争性</w:t>
            </w:r>
            <w:r>
              <w:rPr>
                <w:rFonts w:ascii="Times New Roman" w:hAnsi="Times New Roman"/>
                <w:b/>
                <w:bCs/>
                <w:color w:val="000000" w:themeColor="text1"/>
                <w:sz w:val="21"/>
                <w:szCs w:val="21"/>
                <w:highlight w:val="none"/>
                <w14:textFill>
                  <w14:solidFill>
                    <w14:schemeClr w14:val="tx1"/>
                  </w14:solidFill>
                </w14:textFill>
              </w:rPr>
              <w:t>谈判文件</w:t>
            </w:r>
            <w:r>
              <w:rPr>
                <w:rFonts w:hint="eastAsia" w:ascii="Times New Roman" w:hAnsi="Times New Roman"/>
                <w:b/>
                <w:bCs/>
                <w:color w:val="000000" w:themeColor="text1"/>
                <w:sz w:val="21"/>
                <w:szCs w:val="21"/>
                <w:highlight w:val="none"/>
                <w14:textFill>
                  <w14:solidFill>
                    <w14:schemeClr w14:val="tx1"/>
                  </w14:solidFill>
                </w14:textFill>
              </w:rPr>
              <w:t>的商务</w:t>
            </w:r>
            <w:r>
              <w:rPr>
                <w:rFonts w:hint="eastAsia" w:ascii="Times New Roman" w:hAnsi="Times New Roman"/>
                <w:b/>
                <w:bCs/>
                <w:color w:val="000000" w:themeColor="text1"/>
                <w:sz w:val="21"/>
                <w:szCs w:val="21"/>
                <w:highlight w:val="none"/>
                <w:lang w:eastAsia="zh-CN"/>
                <w14:textFill>
                  <w14:solidFill>
                    <w14:schemeClr w14:val="tx1"/>
                  </w14:solidFill>
                </w14:textFill>
              </w:rPr>
              <w:t>要求</w:t>
            </w:r>
          </w:p>
        </w:tc>
        <w:tc>
          <w:tcPr>
            <w:tcW w:w="2675" w:type="dxa"/>
            <w:tcBorders>
              <w:top w:val="single" w:color="auto" w:sz="4" w:space="0"/>
              <w:left w:val="single" w:color="auto" w:sz="4" w:space="0"/>
              <w:bottom w:val="single" w:color="auto" w:sz="4" w:space="0"/>
              <w:right w:val="single" w:color="auto" w:sz="4" w:space="0"/>
            </w:tcBorders>
            <w:noWrap w:val="0"/>
            <w:vAlign w:val="center"/>
          </w:tcPr>
          <w:p w14:paraId="6F6A947F">
            <w:pPr>
              <w:pStyle w:val="21"/>
              <w:spacing w:line="600" w:lineRule="exact"/>
              <w:jc w:val="center"/>
              <w:rPr>
                <w:rFonts w:hint="eastAsia" w:hAnsi="宋体" w:eastAsia="宋体" w:cs="宋体"/>
                <w:b/>
                <w:bCs/>
                <w:color w:val="000000" w:themeColor="text1"/>
                <w:sz w:val="21"/>
                <w:szCs w:val="21"/>
                <w:highlight w:val="none"/>
                <w:lang w:eastAsia="zh-CN"/>
                <w14:textFill>
                  <w14:solidFill>
                    <w14:schemeClr w14:val="tx1"/>
                  </w14:solidFill>
                </w14:textFill>
              </w:rPr>
            </w:pPr>
            <w:r>
              <w:rPr>
                <w:rFonts w:hint="eastAsia" w:ascii="Times New Roman" w:hAnsi="Times New Roman"/>
                <w:b/>
                <w:bCs/>
                <w:color w:val="000000" w:themeColor="text1"/>
                <w:sz w:val="21"/>
                <w:szCs w:val="21"/>
                <w:highlight w:val="none"/>
                <w14:textFill>
                  <w14:solidFill>
                    <w14:schemeClr w14:val="tx1"/>
                  </w14:solidFill>
                </w14:textFill>
              </w:rPr>
              <w:t>响应文件承诺的商务</w:t>
            </w:r>
            <w:r>
              <w:rPr>
                <w:rFonts w:hint="eastAsia" w:ascii="Times New Roman" w:hAnsi="Times New Roman"/>
                <w:b/>
                <w:bCs/>
                <w:color w:val="000000" w:themeColor="text1"/>
                <w:sz w:val="21"/>
                <w:szCs w:val="21"/>
                <w:highlight w:val="none"/>
                <w:lang w:eastAsia="zh-CN"/>
                <w14:textFill>
                  <w14:solidFill>
                    <w14:schemeClr w14:val="tx1"/>
                  </w14:solidFill>
                </w14:textFill>
              </w:rPr>
              <w:t>要求</w:t>
            </w:r>
          </w:p>
        </w:tc>
        <w:tc>
          <w:tcPr>
            <w:tcW w:w="2435" w:type="dxa"/>
            <w:tcBorders>
              <w:top w:val="single" w:color="auto" w:sz="4" w:space="0"/>
              <w:left w:val="single" w:color="auto" w:sz="4" w:space="0"/>
              <w:bottom w:val="single" w:color="auto" w:sz="4" w:space="0"/>
              <w:right w:val="single" w:color="auto" w:sz="4" w:space="0"/>
            </w:tcBorders>
            <w:noWrap w:val="0"/>
            <w:vAlign w:val="center"/>
          </w:tcPr>
          <w:p w14:paraId="041E5574">
            <w:pPr>
              <w:pStyle w:val="21"/>
              <w:spacing w:line="600" w:lineRule="exact"/>
              <w:jc w:val="center"/>
              <w:rPr>
                <w:rFonts w:hAnsi="宋体" w:cs="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偏离</w:t>
            </w:r>
            <w:r>
              <w:rPr>
                <w:rFonts w:hint="eastAsia" w:hAnsi="宋体" w:cs="宋体"/>
                <w:b/>
                <w:bCs/>
                <w:color w:val="000000" w:themeColor="text1"/>
                <w:sz w:val="21"/>
                <w:szCs w:val="21"/>
                <w:highlight w:val="none"/>
                <w14:textFill>
                  <w14:solidFill>
                    <w14:schemeClr w14:val="tx1"/>
                  </w14:solidFill>
                </w14:textFill>
              </w:rPr>
              <w:t>情况</w:t>
            </w:r>
            <w:r>
              <w:rPr>
                <w:rFonts w:hint="eastAsia" w:ascii="Times New Roman" w:hAnsi="Times New Roman"/>
                <w:b/>
                <w:bCs/>
                <w:color w:val="000000" w:themeColor="text1"/>
                <w:sz w:val="21"/>
                <w:szCs w:val="21"/>
                <w:highlight w:val="none"/>
                <w14:textFill>
                  <w14:solidFill>
                    <w14:schemeClr w14:val="tx1"/>
                  </w14:solidFill>
                </w14:textFill>
              </w:rPr>
              <w:t>说明</w:t>
            </w:r>
          </w:p>
        </w:tc>
      </w:tr>
      <w:tr w14:paraId="2D3BF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131AF46A">
            <w:pPr>
              <w:spacing w:before="156"/>
              <w:jc w:val="center"/>
              <w:rPr>
                <w:rFonts w:ascii="宋体" w:hAnsi="宋体" w:cs="宋体"/>
                <w:color w:val="000000" w:themeColor="text1"/>
                <w:szCs w:val="21"/>
                <w:highlight w:val="none"/>
                <w14:textFill>
                  <w14:solidFill>
                    <w14:schemeClr w14:val="tx1"/>
                  </w14:solidFill>
                </w14:textFill>
              </w:rPr>
            </w:pPr>
          </w:p>
        </w:tc>
        <w:tc>
          <w:tcPr>
            <w:tcW w:w="3062" w:type="dxa"/>
            <w:tcBorders>
              <w:top w:val="single" w:color="auto" w:sz="4" w:space="0"/>
              <w:left w:val="single" w:color="auto" w:sz="4" w:space="0"/>
              <w:bottom w:val="single" w:color="auto" w:sz="4" w:space="0"/>
              <w:right w:val="single" w:color="auto" w:sz="4" w:space="0"/>
            </w:tcBorders>
            <w:noWrap w:val="0"/>
            <w:vAlign w:val="center"/>
          </w:tcPr>
          <w:p w14:paraId="2BF91819">
            <w:pPr>
              <w:spacing w:before="156"/>
              <w:jc w:val="center"/>
              <w:rPr>
                <w:rFonts w:ascii="宋体" w:hAnsi="宋体" w:cs="宋体"/>
                <w:color w:val="000000" w:themeColor="text1"/>
                <w:szCs w:val="21"/>
                <w:highlight w:val="none"/>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61599244">
            <w:pPr>
              <w:spacing w:before="156"/>
              <w:jc w:val="center"/>
              <w:rPr>
                <w:rFonts w:ascii="宋体" w:hAnsi="宋体" w:cs="宋体"/>
                <w:color w:val="000000" w:themeColor="text1"/>
                <w:szCs w:val="21"/>
                <w:highlight w:val="none"/>
                <w14:textFill>
                  <w14:solidFill>
                    <w14:schemeClr w14:val="tx1"/>
                  </w14:solidFill>
                </w14:textFill>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290C17A1">
            <w:pPr>
              <w:spacing w:before="156"/>
              <w:jc w:val="center"/>
              <w:rPr>
                <w:rFonts w:ascii="宋体" w:hAnsi="宋体" w:cs="宋体"/>
                <w:color w:val="000000" w:themeColor="text1"/>
                <w:szCs w:val="21"/>
                <w:highlight w:val="none"/>
                <w14:textFill>
                  <w14:solidFill>
                    <w14:schemeClr w14:val="tx1"/>
                  </w14:solidFill>
                </w14:textFill>
              </w:rPr>
            </w:pPr>
          </w:p>
        </w:tc>
      </w:tr>
      <w:tr w14:paraId="3B42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0EA19CB7">
            <w:pPr>
              <w:spacing w:before="156"/>
              <w:jc w:val="center"/>
              <w:rPr>
                <w:rFonts w:ascii="宋体" w:hAnsi="宋体" w:cs="宋体"/>
                <w:color w:val="000000" w:themeColor="text1"/>
                <w:szCs w:val="21"/>
                <w:highlight w:val="none"/>
                <w14:textFill>
                  <w14:solidFill>
                    <w14:schemeClr w14:val="tx1"/>
                  </w14:solidFill>
                </w14:textFill>
              </w:rPr>
            </w:pPr>
          </w:p>
        </w:tc>
        <w:tc>
          <w:tcPr>
            <w:tcW w:w="3062" w:type="dxa"/>
            <w:tcBorders>
              <w:top w:val="single" w:color="auto" w:sz="4" w:space="0"/>
              <w:left w:val="single" w:color="auto" w:sz="4" w:space="0"/>
              <w:bottom w:val="single" w:color="auto" w:sz="4" w:space="0"/>
              <w:right w:val="single" w:color="auto" w:sz="4" w:space="0"/>
            </w:tcBorders>
            <w:noWrap w:val="0"/>
            <w:vAlign w:val="center"/>
          </w:tcPr>
          <w:p w14:paraId="3242E43F">
            <w:pPr>
              <w:spacing w:before="156"/>
              <w:jc w:val="center"/>
              <w:rPr>
                <w:rFonts w:ascii="宋体" w:hAnsi="宋体" w:cs="宋体"/>
                <w:color w:val="000000" w:themeColor="text1"/>
                <w:szCs w:val="21"/>
                <w:highlight w:val="none"/>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0C3A6B5B">
            <w:pPr>
              <w:spacing w:before="156"/>
              <w:jc w:val="center"/>
              <w:rPr>
                <w:rFonts w:ascii="宋体" w:hAnsi="宋体" w:cs="宋体"/>
                <w:color w:val="000000" w:themeColor="text1"/>
                <w:szCs w:val="21"/>
                <w:highlight w:val="none"/>
                <w14:textFill>
                  <w14:solidFill>
                    <w14:schemeClr w14:val="tx1"/>
                  </w14:solidFill>
                </w14:textFill>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38A4071F">
            <w:pPr>
              <w:spacing w:before="156"/>
              <w:jc w:val="center"/>
              <w:rPr>
                <w:rFonts w:ascii="宋体" w:hAnsi="宋体" w:cs="宋体"/>
                <w:color w:val="000000" w:themeColor="text1"/>
                <w:szCs w:val="21"/>
                <w:highlight w:val="none"/>
                <w14:textFill>
                  <w14:solidFill>
                    <w14:schemeClr w14:val="tx1"/>
                  </w14:solidFill>
                </w14:textFill>
              </w:rPr>
            </w:pPr>
          </w:p>
        </w:tc>
      </w:tr>
      <w:tr w14:paraId="0919B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60521B55">
            <w:pPr>
              <w:spacing w:before="156"/>
              <w:jc w:val="center"/>
              <w:rPr>
                <w:rFonts w:ascii="宋体" w:hAnsi="宋体" w:cs="宋体"/>
                <w:color w:val="000000" w:themeColor="text1"/>
                <w:szCs w:val="21"/>
                <w:highlight w:val="none"/>
                <w14:textFill>
                  <w14:solidFill>
                    <w14:schemeClr w14:val="tx1"/>
                  </w14:solidFill>
                </w14:textFill>
              </w:rPr>
            </w:pPr>
          </w:p>
        </w:tc>
        <w:tc>
          <w:tcPr>
            <w:tcW w:w="3062" w:type="dxa"/>
            <w:tcBorders>
              <w:top w:val="single" w:color="auto" w:sz="4" w:space="0"/>
              <w:left w:val="single" w:color="auto" w:sz="4" w:space="0"/>
              <w:bottom w:val="single" w:color="auto" w:sz="4" w:space="0"/>
              <w:right w:val="single" w:color="auto" w:sz="4" w:space="0"/>
            </w:tcBorders>
            <w:noWrap w:val="0"/>
            <w:vAlign w:val="center"/>
          </w:tcPr>
          <w:p w14:paraId="1A32006D">
            <w:pPr>
              <w:spacing w:before="156"/>
              <w:jc w:val="center"/>
              <w:rPr>
                <w:rFonts w:ascii="宋体" w:hAnsi="宋体" w:cs="宋体"/>
                <w:color w:val="000000" w:themeColor="text1"/>
                <w:szCs w:val="21"/>
                <w:highlight w:val="none"/>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76D26164">
            <w:pPr>
              <w:spacing w:before="156"/>
              <w:ind w:left="43"/>
              <w:jc w:val="center"/>
              <w:rPr>
                <w:rFonts w:ascii="宋体" w:hAnsi="宋体" w:cs="宋体"/>
                <w:color w:val="000000" w:themeColor="text1"/>
                <w:szCs w:val="21"/>
                <w:highlight w:val="none"/>
                <w14:textFill>
                  <w14:solidFill>
                    <w14:schemeClr w14:val="tx1"/>
                  </w14:solidFill>
                </w14:textFill>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4751E25A">
            <w:pPr>
              <w:spacing w:before="156"/>
              <w:ind w:left="43"/>
              <w:jc w:val="center"/>
              <w:rPr>
                <w:rFonts w:ascii="宋体" w:hAnsi="宋体" w:cs="宋体"/>
                <w:color w:val="000000" w:themeColor="text1"/>
                <w:szCs w:val="21"/>
                <w:highlight w:val="none"/>
                <w14:textFill>
                  <w14:solidFill>
                    <w14:schemeClr w14:val="tx1"/>
                  </w14:solidFill>
                </w14:textFill>
              </w:rPr>
            </w:pPr>
          </w:p>
        </w:tc>
      </w:tr>
      <w:tr w14:paraId="2ECAF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54C2EAB0">
            <w:pPr>
              <w:spacing w:before="156"/>
              <w:jc w:val="center"/>
              <w:rPr>
                <w:rFonts w:ascii="宋体" w:hAnsi="宋体" w:cs="宋体"/>
                <w:color w:val="000000" w:themeColor="text1"/>
                <w:szCs w:val="21"/>
                <w:highlight w:val="none"/>
                <w14:textFill>
                  <w14:solidFill>
                    <w14:schemeClr w14:val="tx1"/>
                  </w14:solidFill>
                </w14:textFill>
              </w:rPr>
            </w:pPr>
          </w:p>
        </w:tc>
        <w:tc>
          <w:tcPr>
            <w:tcW w:w="3062" w:type="dxa"/>
            <w:tcBorders>
              <w:top w:val="single" w:color="auto" w:sz="4" w:space="0"/>
              <w:left w:val="single" w:color="auto" w:sz="4" w:space="0"/>
              <w:bottom w:val="single" w:color="auto" w:sz="4" w:space="0"/>
              <w:right w:val="single" w:color="auto" w:sz="4" w:space="0"/>
            </w:tcBorders>
            <w:noWrap w:val="0"/>
            <w:vAlign w:val="center"/>
          </w:tcPr>
          <w:p w14:paraId="3638F66F">
            <w:pPr>
              <w:spacing w:before="156"/>
              <w:jc w:val="center"/>
              <w:rPr>
                <w:rFonts w:ascii="宋体" w:hAnsi="宋体" w:cs="宋体"/>
                <w:color w:val="000000" w:themeColor="text1"/>
                <w:szCs w:val="21"/>
                <w:highlight w:val="none"/>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793CB5BA">
            <w:pPr>
              <w:spacing w:before="156"/>
              <w:jc w:val="center"/>
              <w:rPr>
                <w:rFonts w:ascii="宋体" w:hAnsi="宋体" w:cs="宋体"/>
                <w:color w:val="000000" w:themeColor="text1"/>
                <w:szCs w:val="21"/>
                <w:highlight w:val="none"/>
                <w14:textFill>
                  <w14:solidFill>
                    <w14:schemeClr w14:val="tx1"/>
                  </w14:solidFill>
                </w14:textFill>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0E379A0A">
            <w:pPr>
              <w:spacing w:before="156"/>
              <w:jc w:val="center"/>
              <w:rPr>
                <w:rFonts w:ascii="宋体" w:hAnsi="宋体" w:cs="宋体"/>
                <w:color w:val="000000" w:themeColor="text1"/>
                <w:szCs w:val="21"/>
                <w:highlight w:val="none"/>
                <w14:textFill>
                  <w14:solidFill>
                    <w14:schemeClr w14:val="tx1"/>
                  </w14:solidFill>
                </w14:textFill>
              </w:rPr>
            </w:pPr>
          </w:p>
        </w:tc>
      </w:tr>
      <w:tr w14:paraId="45FBD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20441E98">
            <w:pPr>
              <w:spacing w:before="156"/>
              <w:jc w:val="center"/>
              <w:rPr>
                <w:rFonts w:ascii="宋体" w:hAnsi="宋体" w:cs="宋体"/>
                <w:color w:val="000000" w:themeColor="text1"/>
                <w:szCs w:val="21"/>
                <w:highlight w:val="none"/>
                <w14:textFill>
                  <w14:solidFill>
                    <w14:schemeClr w14:val="tx1"/>
                  </w14:solidFill>
                </w14:textFill>
              </w:rPr>
            </w:pPr>
          </w:p>
        </w:tc>
        <w:tc>
          <w:tcPr>
            <w:tcW w:w="3062" w:type="dxa"/>
            <w:tcBorders>
              <w:top w:val="single" w:color="auto" w:sz="4" w:space="0"/>
              <w:left w:val="single" w:color="auto" w:sz="4" w:space="0"/>
              <w:bottom w:val="single" w:color="auto" w:sz="4" w:space="0"/>
              <w:right w:val="single" w:color="auto" w:sz="4" w:space="0"/>
            </w:tcBorders>
            <w:noWrap w:val="0"/>
            <w:vAlign w:val="center"/>
          </w:tcPr>
          <w:p w14:paraId="116B26CF">
            <w:pPr>
              <w:spacing w:before="156"/>
              <w:jc w:val="center"/>
              <w:rPr>
                <w:rFonts w:ascii="宋体" w:hAnsi="宋体" w:cs="宋体"/>
                <w:color w:val="000000" w:themeColor="text1"/>
                <w:szCs w:val="21"/>
                <w:highlight w:val="none"/>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7D987E52">
            <w:pPr>
              <w:spacing w:before="156"/>
              <w:jc w:val="center"/>
              <w:rPr>
                <w:rFonts w:ascii="宋体" w:hAnsi="宋体" w:cs="宋体"/>
                <w:color w:val="000000" w:themeColor="text1"/>
                <w:szCs w:val="21"/>
                <w:highlight w:val="none"/>
                <w14:textFill>
                  <w14:solidFill>
                    <w14:schemeClr w14:val="tx1"/>
                  </w14:solidFill>
                </w14:textFill>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675B4669">
            <w:pPr>
              <w:spacing w:before="156"/>
              <w:jc w:val="center"/>
              <w:rPr>
                <w:rFonts w:ascii="宋体" w:hAnsi="宋体" w:cs="宋体"/>
                <w:color w:val="000000" w:themeColor="text1"/>
                <w:szCs w:val="21"/>
                <w:highlight w:val="none"/>
                <w14:textFill>
                  <w14:solidFill>
                    <w14:schemeClr w14:val="tx1"/>
                  </w14:solidFill>
                </w14:textFill>
              </w:rPr>
            </w:pPr>
          </w:p>
        </w:tc>
      </w:tr>
      <w:tr w14:paraId="654AC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03276FB0">
            <w:pPr>
              <w:spacing w:before="15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27D034B3">
            <w:pPr>
              <w:spacing w:before="156"/>
              <w:jc w:val="center"/>
              <w:rPr>
                <w:rFonts w:ascii="宋体" w:hAnsi="宋体" w:cs="宋体"/>
                <w:color w:val="000000" w:themeColor="text1"/>
                <w:szCs w:val="21"/>
                <w:highlight w:val="none"/>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6B25B796">
            <w:pPr>
              <w:spacing w:before="156"/>
              <w:jc w:val="center"/>
              <w:rPr>
                <w:rFonts w:ascii="宋体" w:hAnsi="宋体" w:cs="宋体"/>
                <w:color w:val="000000" w:themeColor="text1"/>
                <w:szCs w:val="21"/>
                <w:highlight w:val="none"/>
                <w14:textFill>
                  <w14:solidFill>
                    <w14:schemeClr w14:val="tx1"/>
                  </w14:solidFill>
                </w14:textFill>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4D9BBCE5">
            <w:pPr>
              <w:spacing w:before="156"/>
              <w:jc w:val="center"/>
              <w:rPr>
                <w:rFonts w:ascii="宋体" w:hAnsi="宋体" w:cs="宋体"/>
                <w:color w:val="000000" w:themeColor="text1"/>
                <w:szCs w:val="21"/>
                <w:highlight w:val="none"/>
                <w14:textFill>
                  <w14:solidFill>
                    <w14:schemeClr w14:val="tx1"/>
                  </w14:solidFill>
                </w14:textFill>
              </w:rPr>
            </w:pPr>
          </w:p>
        </w:tc>
      </w:tr>
    </w:tbl>
    <w:p w14:paraId="006A144F">
      <w:pPr>
        <w:spacing w:before="50" w:after="50"/>
        <w:rPr>
          <w:rFonts w:ascii="宋体" w:hAnsi="宋体" w:cs="宋体"/>
          <w:color w:val="000000" w:themeColor="text1"/>
          <w:spacing w:val="20"/>
          <w:szCs w:val="21"/>
          <w:highlight w:val="none"/>
          <w14:textFill>
            <w14:solidFill>
              <w14:schemeClr w14:val="tx1"/>
            </w14:solidFill>
          </w14:textFill>
        </w:rPr>
      </w:pPr>
    </w:p>
    <w:p w14:paraId="450F12B5">
      <w:pPr>
        <w:spacing w:line="300" w:lineRule="exact"/>
        <w:ind w:firstLine="3570"/>
        <w:rPr>
          <w:color w:val="000000" w:themeColor="text1"/>
          <w:szCs w:val="21"/>
          <w:highlight w:val="none"/>
          <w14:textFill>
            <w14:solidFill>
              <w14:schemeClr w14:val="tx1"/>
            </w14:solidFill>
          </w14:textFill>
        </w:rPr>
      </w:pPr>
    </w:p>
    <w:p w14:paraId="2BE40AF9">
      <w:pPr>
        <w:spacing w:line="300" w:lineRule="exact"/>
        <w:ind w:firstLine="357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公章(CA签章)，自然人签字或个人CA签章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7DC655AC">
      <w:pPr>
        <w:pStyle w:val="21"/>
        <w:spacing w:line="300" w:lineRule="exact"/>
        <w:rPr>
          <w:rFonts w:ascii="Times New Roman" w:hAnsi="Times New Roman"/>
          <w:b/>
          <w:color w:val="000000" w:themeColor="text1"/>
          <w:sz w:val="28"/>
          <w:szCs w:val="28"/>
          <w:highlight w:val="none"/>
          <w14:textFill>
            <w14:solidFill>
              <w14:schemeClr w14:val="tx1"/>
            </w14:solidFill>
          </w14:textFill>
        </w:rPr>
      </w:pPr>
    </w:p>
    <w:p w14:paraId="5A2AD179">
      <w:pPr>
        <w:spacing w:line="300" w:lineRule="exact"/>
        <w:ind w:firstLine="3570"/>
        <w:rPr>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t>日          期：</w:t>
      </w:r>
      <w:r>
        <w:rPr>
          <w:color w:val="000000" w:themeColor="text1"/>
          <w:highlight w:val="none"/>
          <w:u w:val="single"/>
          <w14:textFill>
            <w14:solidFill>
              <w14:schemeClr w14:val="tx1"/>
            </w14:solidFill>
          </w14:textFill>
        </w:rPr>
        <w:t xml:space="preserve">                              </w:t>
      </w:r>
    </w:p>
    <w:p w14:paraId="62D1EC06">
      <w:pPr>
        <w:spacing w:line="400" w:lineRule="exact"/>
        <w:ind w:left="982" w:hanging="562"/>
        <w:rPr>
          <w:rFonts w:hint="eastAsia" w:ascii="宋体" w:hAnsi="宋体" w:cs="宋体"/>
          <w:b/>
          <w:bCs/>
          <w:color w:val="000000" w:themeColor="text1"/>
          <w:sz w:val="28"/>
          <w:szCs w:val="28"/>
          <w:highlight w:val="none"/>
          <w14:textFill>
            <w14:solidFill>
              <w14:schemeClr w14:val="tx1"/>
            </w14:solidFill>
          </w14:textFill>
        </w:rPr>
      </w:pPr>
    </w:p>
    <w:p w14:paraId="11E8AC0E">
      <w:pPr>
        <w:spacing w:line="400" w:lineRule="exact"/>
        <w:ind w:left="820" w:hanging="400"/>
        <w:rPr>
          <w:rFonts w:hint="eastAsia" w:ascii="宋体" w:hAnsi="宋体" w:cs="宋体"/>
          <w:color w:val="000000" w:themeColor="text1"/>
          <w:sz w:val="20"/>
          <w:szCs w:val="20"/>
          <w:highlight w:val="none"/>
          <w14:textFill>
            <w14:solidFill>
              <w14:schemeClr w14:val="tx1"/>
            </w14:solidFill>
          </w14:textFill>
        </w:rPr>
      </w:pPr>
    </w:p>
    <w:p w14:paraId="177FADC8">
      <w:pPr>
        <w:spacing w:line="400" w:lineRule="exact"/>
        <w:ind w:left="842" w:hanging="422"/>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注：1.“商务响应表”各项内容必须如实填写。</w:t>
      </w:r>
    </w:p>
    <w:p w14:paraId="405CC1A4">
      <w:pPr>
        <w:spacing w:line="400" w:lineRule="exact"/>
        <w:ind w:firstLine="843"/>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2.当本表由多页构成时，需逐页加盖</w:t>
      </w:r>
      <w:r>
        <w:rPr>
          <w:rFonts w:hint="eastAsia" w:ascii="宋体" w:hAnsi="宋体" w:cs="宋体"/>
          <w:b/>
          <w:bCs/>
          <w:color w:val="000000" w:themeColor="text1"/>
          <w:sz w:val="21"/>
          <w:szCs w:val="21"/>
          <w:highlight w:val="none"/>
          <w:lang w:eastAsia="zh-CN"/>
          <w14:textFill>
            <w14:solidFill>
              <w14:schemeClr w14:val="tx1"/>
            </w14:solidFill>
          </w14:textFill>
        </w:rPr>
        <w:t>供应商</w:t>
      </w:r>
      <w:r>
        <w:rPr>
          <w:rFonts w:hint="eastAsia" w:ascii="宋体" w:hAnsi="宋体" w:cs="宋体"/>
          <w:b/>
          <w:bCs/>
          <w:color w:val="000000" w:themeColor="text1"/>
          <w:sz w:val="21"/>
          <w:szCs w:val="21"/>
          <w:highlight w:val="none"/>
          <w14:textFill>
            <w14:solidFill>
              <w14:schemeClr w14:val="tx1"/>
            </w14:solidFill>
          </w14:textFill>
        </w:rPr>
        <w:t>公章（CA签章）（属自然人的须逐页签字或个人CA签章）。</w:t>
      </w:r>
    </w:p>
    <w:p w14:paraId="66223152">
      <w:pPr>
        <w:spacing w:line="400" w:lineRule="exact"/>
        <w:ind w:firstLine="843"/>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应对照</w:t>
      </w:r>
      <w:r>
        <w:rPr>
          <w:rFonts w:hint="eastAsia" w:ascii="宋体" w:hAnsi="宋体" w:eastAsia="宋体" w:cs="宋体"/>
          <w:b/>
          <w:bCs/>
          <w:color w:val="000000" w:themeColor="text1"/>
          <w:sz w:val="21"/>
          <w:szCs w:val="21"/>
          <w:highlight w:val="none"/>
          <w:lang w:eastAsia="zh-CN"/>
          <w14:textFill>
            <w14:solidFill>
              <w14:schemeClr w14:val="tx1"/>
            </w14:solidFill>
          </w14:textFill>
        </w:rPr>
        <w:t>竞争性</w:t>
      </w:r>
      <w:r>
        <w:rPr>
          <w:rFonts w:hint="eastAsia" w:ascii="宋体" w:hAnsi="宋体" w:cs="宋体"/>
          <w:b/>
          <w:bCs/>
          <w:color w:val="000000" w:themeColor="text1"/>
          <w:sz w:val="21"/>
          <w:szCs w:val="21"/>
          <w:highlight w:val="none"/>
          <w:lang w:eastAsia="zh-CN"/>
          <w14:textFill>
            <w14:solidFill>
              <w14:schemeClr w14:val="tx1"/>
            </w14:solidFill>
          </w14:textFill>
        </w:rPr>
        <w:t>谈判</w:t>
      </w:r>
      <w:r>
        <w:rPr>
          <w:rFonts w:hint="eastAsia" w:ascii="宋体" w:hAnsi="宋体" w:eastAsia="宋体" w:cs="宋体"/>
          <w:b/>
          <w:bCs/>
          <w:color w:val="000000" w:themeColor="text1"/>
          <w:sz w:val="21"/>
          <w:szCs w:val="21"/>
          <w:highlight w:val="none"/>
          <w:lang w:eastAsia="zh-CN"/>
          <w14:textFill>
            <w14:solidFill>
              <w14:schemeClr w14:val="tx1"/>
            </w14:solidFill>
          </w14:textFill>
        </w:rPr>
        <w:t>文件</w:t>
      </w:r>
      <w:r>
        <w:rPr>
          <w:rFonts w:hint="eastAsia" w:ascii="宋体" w:hAnsi="宋体" w:eastAsia="宋体" w:cs="宋体"/>
          <w:b/>
          <w:bCs/>
          <w:color w:val="000000" w:themeColor="text1"/>
          <w:sz w:val="21"/>
          <w:szCs w:val="21"/>
          <w:highlight w:val="none"/>
          <w14:textFill>
            <w14:solidFill>
              <w14:schemeClr w14:val="tx1"/>
            </w14:solidFill>
          </w14:textFill>
        </w:rPr>
        <w:t>中</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第三章</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采购需求</w:t>
      </w:r>
      <w:r>
        <w:rPr>
          <w:rFonts w:hint="eastAsia" w:ascii="宋体" w:hAnsi="宋体" w:eastAsia="宋体" w:cs="宋体"/>
          <w:b/>
          <w:bCs/>
          <w:color w:val="000000" w:themeColor="text1"/>
          <w:sz w:val="21"/>
          <w:szCs w:val="21"/>
          <w:highlight w:val="none"/>
          <w:lang w:eastAsia="zh-CN"/>
          <w14:textFill>
            <w14:solidFill>
              <w14:schemeClr w14:val="tx1"/>
            </w14:solidFill>
          </w14:textFill>
        </w:rPr>
        <w:t>”中的“</w:t>
      </w:r>
      <w:r>
        <w:rPr>
          <w:rFonts w:hint="eastAsia" w:ascii="宋体" w:hAnsi="宋体" w:eastAsia="宋体" w:cs="宋体"/>
          <w:b/>
          <w:bCs/>
          <w:color w:val="000000" w:themeColor="text1"/>
          <w:sz w:val="21"/>
          <w:szCs w:val="21"/>
          <w:highlight w:val="none"/>
          <w14:textFill>
            <w14:solidFill>
              <w14:schemeClr w14:val="tx1"/>
            </w14:solidFill>
          </w14:textFill>
        </w:rPr>
        <w:t>商务要求</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的内容逐条响应，并在“偏离情况说明”栏注明“正偏离”、“负偏离”或“无偏离”。</w:t>
      </w:r>
      <w:r>
        <w:rPr>
          <w:rFonts w:hint="eastAsia" w:ascii="宋体" w:hAnsi="宋体" w:eastAsia="宋体" w:cs="宋体"/>
          <w:b/>
          <w:bCs/>
          <w:color w:val="000000" w:themeColor="text1"/>
          <w:sz w:val="21"/>
          <w:szCs w:val="21"/>
          <w:highlight w:val="none"/>
          <w:lang w:eastAsia="zh-CN"/>
          <w14:textFill>
            <w14:solidFill>
              <w14:schemeClr w14:val="tx1"/>
            </w14:solidFill>
          </w14:textFill>
        </w:rPr>
        <w:t>否则，响应无效。</w:t>
      </w:r>
    </w:p>
    <w:p w14:paraId="2C9FC86A">
      <w:pPr>
        <w:spacing w:line="400" w:lineRule="exact"/>
        <w:ind w:firstLine="800"/>
        <w:rPr>
          <w:rFonts w:hint="eastAsia" w:ascii="宋体" w:hAnsi="宋体" w:cs="宋体"/>
          <w:color w:val="000000" w:themeColor="text1"/>
          <w:sz w:val="20"/>
          <w:szCs w:val="20"/>
          <w:highlight w:val="none"/>
          <w14:textFill>
            <w14:solidFill>
              <w14:schemeClr w14:val="tx1"/>
            </w14:solidFill>
          </w14:textFill>
        </w:rPr>
      </w:pPr>
    </w:p>
    <w:p w14:paraId="5BFB41E9">
      <w:pPr>
        <w:spacing w:line="400" w:lineRule="exact"/>
        <w:ind w:firstLine="800"/>
        <w:rPr>
          <w:rFonts w:hint="eastAsia" w:ascii="宋体" w:hAnsi="宋体" w:cs="宋体"/>
          <w:color w:val="000000" w:themeColor="text1"/>
          <w:sz w:val="20"/>
          <w:szCs w:val="20"/>
          <w:highlight w:val="none"/>
          <w14:textFill>
            <w14:solidFill>
              <w14:schemeClr w14:val="tx1"/>
            </w14:solidFill>
          </w14:textFill>
        </w:rPr>
      </w:pPr>
    </w:p>
    <w:p w14:paraId="2EAE7304">
      <w:pPr>
        <w:spacing w:line="400" w:lineRule="exact"/>
        <w:ind w:firstLine="800"/>
        <w:rPr>
          <w:rFonts w:hint="eastAsia" w:ascii="宋体" w:hAnsi="宋体" w:cs="宋体"/>
          <w:color w:val="000000" w:themeColor="text1"/>
          <w:sz w:val="20"/>
          <w:szCs w:val="20"/>
          <w:highlight w:val="none"/>
          <w14:textFill>
            <w14:solidFill>
              <w14:schemeClr w14:val="tx1"/>
            </w14:solidFill>
          </w14:textFill>
        </w:rPr>
      </w:pPr>
    </w:p>
    <w:p w14:paraId="008AC338">
      <w:pPr>
        <w:spacing w:line="400" w:lineRule="exact"/>
        <w:ind w:firstLine="800"/>
        <w:rPr>
          <w:rFonts w:hint="eastAsia" w:ascii="宋体" w:hAnsi="宋体" w:cs="宋体"/>
          <w:color w:val="000000" w:themeColor="text1"/>
          <w:sz w:val="20"/>
          <w:szCs w:val="20"/>
          <w:highlight w:val="none"/>
          <w14:textFill>
            <w14:solidFill>
              <w14:schemeClr w14:val="tx1"/>
            </w14:solidFill>
          </w14:textFill>
        </w:rPr>
      </w:pPr>
    </w:p>
    <w:p w14:paraId="14C83B0D">
      <w:pPr>
        <w:spacing w:line="400" w:lineRule="exact"/>
        <w:ind w:firstLine="800"/>
        <w:rPr>
          <w:rFonts w:hint="eastAsia" w:ascii="宋体" w:hAnsi="宋体" w:cs="宋体"/>
          <w:color w:val="000000" w:themeColor="text1"/>
          <w:sz w:val="20"/>
          <w:szCs w:val="20"/>
          <w:highlight w:val="none"/>
          <w14:textFill>
            <w14:solidFill>
              <w14:schemeClr w14:val="tx1"/>
            </w14:solidFill>
          </w14:textFill>
        </w:rPr>
      </w:pPr>
    </w:p>
    <w:p w14:paraId="654692D5">
      <w:pPr>
        <w:spacing w:line="400" w:lineRule="exact"/>
        <w:ind w:firstLine="800"/>
        <w:rPr>
          <w:rFonts w:hint="eastAsia" w:ascii="宋体" w:hAnsi="宋体" w:cs="宋体"/>
          <w:color w:val="000000" w:themeColor="text1"/>
          <w:sz w:val="20"/>
          <w:szCs w:val="20"/>
          <w:highlight w:val="none"/>
          <w14:textFill>
            <w14:solidFill>
              <w14:schemeClr w14:val="tx1"/>
            </w14:solidFill>
          </w14:textFill>
        </w:rPr>
      </w:pPr>
    </w:p>
    <w:p w14:paraId="6821A4DE">
      <w:pPr>
        <w:spacing w:line="400" w:lineRule="exact"/>
        <w:ind w:firstLine="800"/>
        <w:rPr>
          <w:rFonts w:hint="eastAsia" w:ascii="宋体" w:hAnsi="宋体" w:cs="宋体"/>
          <w:color w:val="000000" w:themeColor="text1"/>
          <w:sz w:val="20"/>
          <w:szCs w:val="20"/>
          <w:highlight w:val="none"/>
          <w14:textFill>
            <w14:solidFill>
              <w14:schemeClr w14:val="tx1"/>
            </w14:solidFill>
          </w14:textFill>
        </w:rPr>
      </w:pPr>
    </w:p>
    <w:p w14:paraId="1F397048">
      <w:pPr>
        <w:spacing w:line="400" w:lineRule="exact"/>
        <w:ind w:firstLine="800"/>
        <w:rPr>
          <w:rFonts w:hint="eastAsia" w:ascii="宋体" w:hAnsi="宋体" w:cs="宋体"/>
          <w:color w:val="000000" w:themeColor="text1"/>
          <w:sz w:val="20"/>
          <w:szCs w:val="20"/>
          <w:highlight w:val="none"/>
          <w14:textFill>
            <w14:solidFill>
              <w14:schemeClr w14:val="tx1"/>
            </w14:solidFill>
          </w14:textFill>
        </w:rPr>
      </w:pPr>
    </w:p>
    <w:p w14:paraId="6069A566">
      <w:pPr>
        <w:spacing w:line="400" w:lineRule="exact"/>
        <w:ind w:firstLine="800"/>
        <w:rPr>
          <w:rFonts w:hint="eastAsia" w:ascii="宋体" w:hAnsi="宋体" w:cs="宋体"/>
          <w:color w:val="000000" w:themeColor="text1"/>
          <w:sz w:val="20"/>
          <w:szCs w:val="20"/>
          <w:highlight w:val="none"/>
          <w14:textFill>
            <w14:solidFill>
              <w14:schemeClr w14:val="tx1"/>
            </w14:solidFill>
          </w14:textFill>
        </w:rPr>
      </w:pPr>
    </w:p>
    <w:p w14:paraId="2E66EEA0">
      <w:pPr>
        <w:rPr>
          <w:rFonts w:cs="宋体"/>
          <w:b/>
          <w:bCs/>
          <w:color w:val="000000" w:themeColor="text1"/>
          <w:sz w:val="32"/>
          <w:szCs w:val="32"/>
          <w:highlight w:val="none"/>
          <w14:textFill>
            <w14:solidFill>
              <w14:schemeClr w14:val="tx1"/>
            </w14:solidFill>
          </w14:textFill>
        </w:rPr>
      </w:pPr>
    </w:p>
    <w:p w14:paraId="089BCF44">
      <w:pPr>
        <w:pStyle w:val="21"/>
        <w:numPr>
          <w:ilvl w:val="0"/>
          <w:numId w:val="12"/>
        </w:numPr>
        <w:spacing w:line="400" w:lineRule="exact"/>
        <w:rPr>
          <w:rFonts w:hint="eastAsia"/>
          <w:b/>
          <w:color w:val="000000" w:themeColor="text1"/>
          <w:sz w:val="28"/>
          <w:szCs w:val="28"/>
          <w:highlight w:val="none"/>
          <w14:textFill>
            <w14:solidFill>
              <w14:schemeClr w14:val="tx1"/>
            </w14:solidFill>
          </w14:textFill>
        </w:rPr>
      </w:pPr>
      <w:bookmarkStart w:id="996" w:name="_Toc21456"/>
      <w:bookmarkStart w:id="997" w:name="_Toc25573"/>
      <w:r>
        <w:rPr>
          <w:rFonts w:hint="eastAsia"/>
          <w:b/>
          <w:color w:val="000000" w:themeColor="text1"/>
          <w:sz w:val="28"/>
          <w:szCs w:val="28"/>
          <w:highlight w:val="none"/>
          <w14:textFill>
            <w14:solidFill>
              <w14:schemeClr w14:val="tx1"/>
            </w14:solidFill>
          </w14:textFill>
        </w:rPr>
        <w:t>供应商的售后服务承诺书（必须包含售后服务要求的全部内容）（格式见附件）</w:t>
      </w:r>
      <w:bookmarkEnd w:id="996"/>
      <w:bookmarkEnd w:id="997"/>
      <w:r>
        <w:rPr>
          <w:rFonts w:hint="eastAsia"/>
          <w:b/>
          <w:color w:val="000000" w:themeColor="text1"/>
          <w:sz w:val="28"/>
          <w:szCs w:val="28"/>
          <w:highlight w:val="none"/>
          <w14:textFill>
            <w14:solidFill>
              <w14:schemeClr w14:val="tx1"/>
            </w14:solidFill>
          </w14:textFill>
        </w:rPr>
        <w:t>（必须提供）</w:t>
      </w:r>
    </w:p>
    <w:p w14:paraId="78D5A93C">
      <w:pPr>
        <w:pStyle w:val="12"/>
        <w:rPr>
          <w:rFonts w:hint="eastAsia"/>
          <w:color w:val="000000" w:themeColor="text1"/>
          <w:highlight w:val="none"/>
          <w14:textFill>
            <w14:solidFill>
              <w14:schemeClr w14:val="tx1"/>
            </w14:solidFill>
          </w14:textFill>
        </w:rPr>
      </w:pPr>
    </w:p>
    <w:p w14:paraId="00C222F0">
      <w:pPr>
        <w:pStyle w:val="21"/>
        <w:spacing w:line="300" w:lineRule="exact"/>
        <w:ind w:left="420"/>
        <w:jc w:val="left"/>
        <w:rPr>
          <w:rFonts w:ascii="Times New Roman" w:hAnsi="Times New Roman"/>
          <w:b/>
          <w:color w:val="000000" w:themeColor="text1"/>
          <w:sz w:val="32"/>
          <w:szCs w:val="32"/>
          <w:highlight w:val="none"/>
          <w14:textFill>
            <w14:solidFill>
              <w14:schemeClr w14:val="tx1"/>
            </w14:solidFill>
          </w14:textFill>
        </w:rPr>
      </w:pPr>
      <w:r>
        <w:rPr>
          <w:rFonts w:ascii="Times New Roman" w:hAnsi="Times New Roman"/>
          <w:b/>
          <w:color w:val="000000" w:themeColor="text1"/>
          <w:sz w:val="32"/>
          <w:szCs w:val="32"/>
          <w:highlight w:val="none"/>
          <w14:textFill>
            <w14:solidFill>
              <w14:schemeClr w14:val="tx1"/>
            </w14:solidFill>
          </w14:textFill>
        </w:rPr>
        <w:t>附件：</w:t>
      </w:r>
    </w:p>
    <w:p w14:paraId="53226569">
      <w:pPr>
        <w:pStyle w:val="21"/>
        <w:spacing w:line="340" w:lineRule="exact"/>
        <w:jc w:val="center"/>
        <w:rPr>
          <w:rFonts w:hint="eastAsia"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服务承诺书（格式）</w:t>
      </w:r>
    </w:p>
    <w:p w14:paraId="47E83353">
      <w:pPr>
        <w:pStyle w:val="21"/>
        <w:spacing w:line="340" w:lineRule="exact"/>
        <w:jc w:val="center"/>
        <w:rPr>
          <w:rFonts w:hint="eastAsia" w:hAnsi="宋体" w:cs="宋体"/>
          <w:b/>
          <w:color w:val="000000" w:themeColor="text1"/>
          <w:sz w:val="32"/>
          <w:szCs w:val="32"/>
          <w:highlight w:val="none"/>
          <w14:textFill>
            <w14:solidFill>
              <w14:schemeClr w14:val="tx1"/>
            </w14:solidFill>
          </w14:textFill>
        </w:rPr>
      </w:pPr>
    </w:p>
    <w:p w14:paraId="64186E5B">
      <w:pPr>
        <w:pStyle w:val="21"/>
        <w:spacing w:line="340" w:lineRule="exact"/>
        <w:jc w:val="center"/>
        <w:rPr>
          <w:rFonts w:hint="eastAsia" w:hAnsi="宋体" w:cs="宋体"/>
          <w:b/>
          <w:color w:val="000000" w:themeColor="text1"/>
          <w:sz w:val="32"/>
          <w:szCs w:val="32"/>
          <w:highlight w:val="none"/>
          <w14:textFill>
            <w14:solidFill>
              <w14:schemeClr w14:val="tx1"/>
            </w14:solidFill>
          </w14:textFill>
        </w:rPr>
      </w:pPr>
    </w:p>
    <w:p w14:paraId="0FC462CA">
      <w:pPr>
        <w:pStyle w:val="21"/>
        <w:spacing w:line="340" w:lineRule="exact"/>
        <w:jc w:val="center"/>
        <w:rPr>
          <w:rFonts w:hint="eastAsia" w:hAnsi="宋体" w:cs="宋体"/>
          <w:b/>
          <w:color w:val="000000" w:themeColor="text1"/>
          <w:sz w:val="32"/>
          <w:szCs w:val="32"/>
          <w:highlight w:val="none"/>
          <w14:textFill>
            <w14:solidFill>
              <w14:schemeClr w14:val="tx1"/>
            </w14:solidFill>
          </w14:textFill>
        </w:rPr>
      </w:pPr>
    </w:p>
    <w:p w14:paraId="5389BB1C">
      <w:pPr>
        <w:rPr>
          <w:rFonts w:hint="eastAsia" w:ascii="宋体" w:hAnsi="宋体" w:cs="宋体"/>
          <w:b/>
          <w:color w:val="000000" w:themeColor="text1"/>
          <w:sz w:val="32"/>
          <w:szCs w:val="32"/>
          <w:highlight w:val="none"/>
          <w14:textFill>
            <w14:solidFill>
              <w14:schemeClr w14:val="tx1"/>
            </w14:solidFill>
          </w14:textFill>
        </w:rPr>
      </w:pPr>
    </w:p>
    <w:p w14:paraId="7CFBC09F">
      <w:pPr>
        <w:pStyle w:val="18"/>
        <w:rPr>
          <w:rFonts w:hint="eastAsia" w:ascii="宋体" w:hAnsi="宋体" w:cs="宋体"/>
          <w:color w:val="000000" w:themeColor="text1"/>
          <w:highlight w:val="none"/>
          <w14:textFill>
            <w14:solidFill>
              <w14:schemeClr w14:val="tx1"/>
            </w14:solidFill>
          </w14:textFill>
        </w:rPr>
      </w:pPr>
    </w:p>
    <w:p w14:paraId="024D9884">
      <w:pPr>
        <w:pStyle w:val="18"/>
        <w:rPr>
          <w:rFonts w:hint="eastAsia" w:ascii="宋体" w:hAnsi="宋体" w:cs="宋体"/>
          <w:b/>
          <w:color w:val="000000" w:themeColor="text1"/>
          <w:sz w:val="32"/>
          <w:szCs w:val="32"/>
          <w:highlight w:val="none"/>
          <w14:textFill>
            <w14:solidFill>
              <w14:schemeClr w14:val="tx1"/>
            </w14:solidFill>
          </w14:textFill>
        </w:rPr>
      </w:pPr>
    </w:p>
    <w:p w14:paraId="331B2821">
      <w:pPr>
        <w:pStyle w:val="21"/>
        <w:spacing w:line="340" w:lineRule="exact"/>
        <w:jc w:val="center"/>
        <w:rPr>
          <w:rFonts w:hint="eastAsia" w:hAnsi="宋体" w:cs="宋体"/>
          <w:b/>
          <w:color w:val="000000" w:themeColor="text1"/>
          <w:sz w:val="32"/>
          <w:szCs w:val="32"/>
          <w:highlight w:val="none"/>
          <w14:textFill>
            <w14:solidFill>
              <w14:schemeClr w14:val="tx1"/>
            </w14:solidFill>
          </w14:textFill>
        </w:rPr>
      </w:pPr>
    </w:p>
    <w:p w14:paraId="0B1BADA9">
      <w:pPr>
        <w:spacing w:line="400" w:lineRule="exact"/>
        <w:ind w:firstLine="189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7D5D67AF">
      <w:pPr>
        <w:spacing w:line="400" w:lineRule="exact"/>
        <w:ind w:firstLine="1890"/>
        <w:rPr>
          <w:rFonts w:hint="eastAsia" w:ascii="宋体" w:hAnsi="宋体" w:cs="宋体"/>
          <w:color w:val="000000" w:themeColor="text1"/>
          <w:highlight w:val="none"/>
          <w14:textFill>
            <w14:solidFill>
              <w14:schemeClr w14:val="tx1"/>
            </w14:solidFill>
          </w14:textFill>
        </w:rPr>
      </w:pPr>
    </w:p>
    <w:p w14:paraId="1C72EB1A">
      <w:pPr>
        <w:spacing w:line="400" w:lineRule="exact"/>
        <w:ind w:firstLine="168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          期：</w:t>
      </w:r>
      <w:r>
        <w:rPr>
          <w:rFonts w:hint="eastAsia" w:ascii="宋体" w:hAnsi="宋体" w:cs="宋体"/>
          <w:color w:val="000000" w:themeColor="text1"/>
          <w:highlight w:val="none"/>
          <w:u w:val="single"/>
          <w14:textFill>
            <w14:solidFill>
              <w14:schemeClr w14:val="tx1"/>
            </w14:solidFill>
          </w14:textFill>
        </w:rPr>
        <w:t xml:space="preserve">                                                   </w:t>
      </w:r>
    </w:p>
    <w:p w14:paraId="70903D4E">
      <w:pPr>
        <w:spacing w:line="400" w:lineRule="exact"/>
        <w:ind w:firstLine="1680"/>
        <w:rPr>
          <w:rFonts w:hint="eastAsia" w:ascii="宋体" w:hAnsi="宋体" w:cs="宋体"/>
          <w:color w:val="000000" w:themeColor="text1"/>
          <w:highlight w:val="none"/>
          <w14:textFill>
            <w14:solidFill>
              <w14:schemeClr w14:val="tx1"/>
            </w14:solidFill>
          </w14:textFill>
        </w:rPr>
      </w:pPr>
    </w:p>
    <w:p w14:paraId="3BC87472">
      <w:pPr>
        <w:spacing w:line="400" w:lineRule="exact"/>
        <w:ind w:firstLine="1680"/>
        <w:rPr>
          <w:rFonts w:hint="eastAsia" w:ascii="宋体" w:hAnsi="宋体" w:cs="宋体"/>
          <w:color w:val="000000" w:themeColor="text1"/>
          <w:highlight w:val="none"/>
          <w14:textFill>
            <w14:solidFill>
              <w14:schemeClr w14:val="tx1"/>
            </w14:solidFill>
          </w14:textFill>
        </w:rPr>
      </w:pPr>
    </w:p>
    <w:p w14:paraId="33263C0F">
      <w:pPr>
        <w:spacing w:line="400" w:lineRule="exact"/>
        <w:ind w:firstLine="1680"/>
        <w:rPr>
          <w:rFonts w:hint="eastAsia" w:ascii="宋体" w:hAnsi="宋体" w:cs="宋体"/>
          <w:color w:val="000000" w:themeColor="text1"/>
          <w:highlight w:val="none"/>
          <w14:textFill>
            <w14:solidFill>
              <w14:schemeClr w14:val="tx1"/>
            </w14:solidFill>
          </w14:textFill>
        </w:rPr>
      </w:pPr>
    </w:p>
    <w:p w14:paraId="233750EC">
      <w:pPr>
        <w:spacing w:line="400" w:lineRule="exact"/>
        <w:ind w:firstLine="1680"/>
        <w:rPr>
          <w:rFonts w:hint="eastAsia" w:ascii="宋体" w:hAnsi="宋体" w:cs="宋体"/>
          <w:color w:val="000000" w:themeColor="text1"/>
          <w:highlight w:val="none"/>
          <w14:textFill>
            <w14:solidFill>
              <w14:schemeClr w14:val="tx1"/>
            </w14:solidFill>
          </w14:textFill>
        </w:rPr>
      </w:pPr>
    </w:p>
    <w:p w14:paraId="046C581F">
      <w:pPr>
        <w:spacing w:line="400" w:lineRule="exact"/>
        <w:ind w:firstLine="1680"/>
        <w:rPr>
          <w:rFonts w:hint="eastAsia" w:ascii="宋体" w:hAnsi="宋体" w:cs="宋体"/>
          <w:color w:val="000000" w:themeColor="text1"/>
          <w:highlight w:val="none"/>
          <w14:textFill>
            <w14:solidFill>
              <w14:schemeClr w14:val="tx1"/>
            </w14:solidFill>
          </w14:textFill>
        </w:rPr>
      </w:pPr>
    </w:p>
    <w:p w14:paraId="4BEB8911">
      <w:pPr>
        <w:spacing w:line="400" w:lineRule="exact"/>
        <w:ind w:firstLine="1680"/>
        <w:rPr>
          <w:rFonts w:hint="eastAsia" w:ascii="宋体" w:hAnsi="宋体" w:cs="宋体"/>
          <w:color w:val="000000" w:themeColor="text1"/>
          <w:highlight w:val="none"/>
          <w14:textFill>
            <w14:solidFill>
              <w14:schemeClr w14:val="tx1"/>
            </w14:solidFill>
          </w14:textFill>
        </w:rPr>
      </w:pPr>
    </w:p>
    <w:p w14:paraId="3C5D4858">
      <w:pPr>
        <w:spacing w:line="400" w:lineRule="exact"/>
        <w:ind w:firstLine="1680"/>
        <w:rPr>
          <w:rFonts w:hint="eastAsia" w:ascii="宋体" w:hAnsi="宋体" w:cs="宋体"/>
          <w:color w:val="000000" w:themeColor="text1"/>
          <w:highlight w:val="none"/>
          <w14:textFill>
            <w14:solidFill>
              <w14:schemeClr w14:val="tx1"/>
            </w14:solidFill>
          </w14:textFill>
        </w:rPr>
      </w:pPr>
    </w:p>
    <w:p w14:paraId="202D3F7C">
      <w:pPr>
        <w:spacing w:line="400" w:lineRule="exact"/>
        <w:ind w:firstLine="1680"/>
        <w:rPr>
          <w:rFonts w:hint="eastAsia" w:ascii="宋体" w:hAnsi="宋体" w:cs="宋体"/>
          <w:color w:val="000000" w:themeColor="text1"/>
          <w:highlight w:val="none"/>
          <w14:textFill>
            <w14:solidFill>
              <w14:schemeClr w14:val="tx1"/>
            </w14:solidFill>
          </w14:textFill>
        </w:rPr>
      </w:pPr>
    </w:p>
    <w:p w14:paraId="225B2A07">
      <w:pPr>
        <w:spacing w:line="400" w:lineRule="exact"/>
        <w:ind w:firstLine="1680"/>
        <w:rPr>
          <w:rFonts w:hint="eastAsia" w:ascii="宋体" w:hAnsi="宋体" w:cs="宋体"/>
          <w:color w:val="000000" w:themeColor="text1"/>
          <w:highlight w:val="none"/>
          <w14:textFill>
            <w14:solidFill>
              <w14:schemeClr w14:val="tx1"/>
            </w14:solidFill>
          </w14:textFill>
        </w:rPr>
      </w:pPr>
    </w:p>
    <w:p w14:paraId="3F0DACE5">
      <w:pPr>
        <w:spacing w:line="400" w:lineRule="exact"/>
        <w:ind w:firstLine="1680"/>
        <w:rPr>
          <w:rFonts w:hint="eastAsia" w:ascii="宋体" w:hAnsi="宋体" w:cs="宋体"/>
          <w:color w:val="000000" w:themeColor="text1"/>
          <w:highlight w:val="none"/>
          <w14:textFill>
            <w14:solidFill>
              <w14:schemeClr w14:val="tx1"/>
            </w14:solidFill>
          </w14:textFill>
        </w:rPr>
      </w:pPr>
    </w:p>
    <w:p w14:paraId="46D2A4BA">
      <w:pPr>
        <w:pStyle w:val="21"/>
        <w:numPr>
          <w:ilvl w:val="0"/>
          <w:numId w:val="12"/>
        </w:numPr>
        <w:spacing w:line="340" w:lineRule="exact"/>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“采购需求”需提供的有效证明文件（按其要求提供）。</w:t>
      </w:r>
    </w:p>
    <w:p w14:paraId="76B0DFE3">
      <w:pPr>
        <w:spacing w:line="440" w:lineRule="exact"/>
        <w:jc w:val="center"/>
        <w:rPr>
          <w:b/>
          <w:bCs/>
          <w:color w:val="000000" w:themeColor="text1"/>
          <w:sz w:val="32"/>
          <w:szCs w:val="32"/>
          <w:highlight w:val="none"/>
          <w14:textFill>
            <w14:solidFill>
              <w14:schemeClr w14:val="tx1"/>
            </w14:solidFill>
          </w14:textFill>
        </w:rPr>
      </w:pPr>
    </w:p>
    <w:p w14:paraId="1C3A458A">
      <w:pPr>
        <w:spacing w:line="440" w:lineRule="exact"/>
        <w:jc w:val="center"/>
        <w:rPr>
          <w:b/>
          <w:bCs/>
          <w:color w:val="000000" w:themeColor="text1"/>
          <w:sz w:val="32"/>
          <w:szCs w:val="32"/>
          <w:highlight w:val="none"/>
          <w14:textFill>
            <w14:solidFill>
              <w14:schemeClr w14:val="tx1"/>
            </w14:solidFill>
          </w14:textFill>
        </w:rPr>
      </w:pPr>
    </w:p>
    <w:p w14:paraId="2817E3F1">
      <w:pPr>
        <w:spacing w:line="440" w:lineRule="exact"/>
        <w:jc w:val="center"/>
        <w:rPr>
          <w:b/>
          <w:bCs/>
          <w:color w:val="000000" w:themeColor="text1"/>
          <w:sz w:val="32"/>
          <w:szCs w:val="32"/>
          <w:highlight w:val="none"/>
          <w14:textFill>
            <w14:solidFill>
              <w14:schemeClr w14:val="tx1"/>
            </w14:solidFill>
          </w14:textFill>
        </w:rPr>
      </w:pPr>
    </w:p>
    <w:p w14:paraId="3BB30BA3">
      <w:pPr>
        <w:spacing w:line="440" w:lineRule="exact"/>
        <w:jc w:val="center"/>
        <w:rPr>
          <w:b/>
          <w:bCs/>
          <w:color w:val="000000" w:themeColor="text1"/>
          <w:sz w:val="32"/>
          <w:szCs w:val="32"/>
          <w:highlight w:val="none"/>
          <w14:textFill>
            <w14:solidFill>
              <w14:schemeClr w14:val="tx1"/>
            </w14:solidFill>
          </w14:textFill>
        </w:rPr>
      </w:pPr>
    </w:p>
    <w:p w14:paraId="1E86331F">
      <w:pPr>
        <w:spacing w:line="440" w:lineRule="exact"/>
        <w:jc w:val="center"/>
        <w:rPr>
          <w:b/>
          <w:bCs/>
          <w:color w:val="000000" w:themeColor="text1"/>
          <w:sz w:val="32"/>
          <w:szCs w:val="32"/>
          <w:highlight w:val="none"/>
          <w14:textFill>
            <w14:solidFill>
              <w14:schemeClr w14:val="tx1"/>
            </w14:solidFill>
          </w14:textFill>
        </w:rPr>
      </w:pPr>
    </w:p>
    <w:p w14:paraId="6955903F">
      <w:pPr>
        <w:spacing w:line="440" w:lineRule="exact"/>
        <w:jc w:val="center"/>
        <w:rPr>
          <w:b/>
          <w:bCs/>
          <w:color w:val="000000" w:themeColor="text1"/>
          <w:sz w:val="32"/>
          <w:szCs w:val="32"/>
          <w:highlight w:val="none"/>
          <w14:textFill>
            <w14:solidFill>
              <w14:schemeClr w14:val="tx1"/>
            </w14:solidFill>
          </w14:textFill>
        </w:rPr>
      </w:pPr>
    </w:p>
    <w:p w14:paraId="417AAD5A">
      <w:pPr>
        <w:spacing w:line="440" w:lineRule="exact"/>
        <w:jc w:val="center"/>
        <w:rPr>
          <w:b/>
          <w:bCs/>
          <w:color w:val="000000" w:themeColor="text1"/>
          <w:sz w:val="32"/>
          <w:szCs w:val="32"/>
          <w:highlight w:val="none"/>
          <w14:textFill>
            <w14:solidFill>
              <w14:schemeClr w14:val="tx1"/>
            </w14:solidFill>
          </w14:textFill>
        </w:rPr>
      </w:pPr>
    </w:p>
    <w:p w14:paraId="0479BC4E">
      <w:pPr>
        <w:pStyle w:val="13"/>
        <w:rPr>
          <w:b/>
          <w:bCs/>
          <w:color w:val="000000" w:themeColor="text1"/>
          <w:sz w:val="32"/>
          <w:szCs w:val="32"/>
          <w:highlight w:val="none"/>
          <w14:textFill>
            <w14:solidFill>
              <w14:schemeClr w14:val="tx1"/>
            </w14:solidFill>
          </w14:textFill>
        </w:rPr>
      </w:pPr>
    </w:p>
    <w:p w14:paraId="7DBD3CAC">
      <w:pPr>
        <w:spacing w:line="440" w:lineRule="exact"/>
        <w:jc w:val="center"/>
        <w:outlineLvl w:val="1"/>
        <w:rPr>
          <w:b/>
          <w:bCs/>
          <w:color w:val="000000" w:themeColor="text1"/>
          <w:sz w:val="32"/>
          <w:szCs w:val="32"/>
          <w:highlight w:val="none"/>
          <w14:textFill>
            <w14:solidFill>
              <w14:schemeClr w14:val="tx1"/>
            </w14:solidFill>
          </w14:textFill>
        </w:rPr>
      </w:pPr>
      <w:bookmarkStart w:id="998" w:name="_Toc26318"/>
      <w:bookmarkStart w:id="999" w:name="_Toc29815"/>
      <w:bookmarkStart w:id="1000" w:name="_Toc11523"/>
      <w:bookmarkStart w:id="1001" w:name="_Toc497927084"/>
      <w:bookmarkStart w:id="1002" w:name="_Toc20983"/>
      <w:bookmarkStart w:id="1003" w:name="_Toc26194"/>
      <w:bookmarkStart w:id="1004" w:name="_Toc9339"/>
      <w:bookmarkStart w:id="1005" w:name="_Toc11185"/>
      <w:bookmarkStart w:id="1006" w:name="_Toc28672"/>
      <w:bookmarkStart w:id="1007" w:name="_Toc8815"/>
      <w:bookmarkStart w:id="1008" w:name="_Toc2732"/>
      <w:r>
        <w:rPr>
          <w:b/>
          <w:bCs/>
          <w:color w:val="000000" w:themeColor="text1"/>
          <w:sz w:val="32"/>
          <w:szCs w:val="32"/>
          <w:highlight w:val="none"/>
          <w14:textFill>
            <w14:solidFill>
              <w14:schemeClr w14:val="tx1"/>
            </w14:solidFill>
          </w14:textFill>
        </w:rPr>
        <w:t>（</w:t>
      </w:r>
      <w:r>
        <w:rPr>
          <w:rFonts w:hint="eastAsia"/>
          <w:b/>
          <w:bCs/>
          <w:color w:val="000000" w:themeColor="text1"/>
          <w:sz w:val="32"/>
          <w:szCs w:val="32"/>
          <w:highlight w:val="none"/>
          <w14:textFill>
            <w14:solidFill>
              <w14:schemeClr w14:val="tx1"/>
            </w14:solidFill>
          </w14:textFill>
        </w:rPr>
        <w:t>三</w:t>
      </w:r>
      <w:r>
        <w:rPr>
          <w:b/>
          <w:bCs/>
          <w:color w:val="000000" w:themeColor="text1"/>
          <w:sz w:val="32"/>
          <w:szCs w:val="32"/>
          <w:highlight w:val="none"/>
          <w14:textFill>
            <w14:solidFill>
              <w14:schemeClr w14:val="tx1"/>
            </w14:solidFill>
          </w14:textFill>
        </w:rPr>
        <w:t>）其</w:t>
      </w:r>
      <w:r>
        <w:rPr>
          <w:rFonts w:hint="eastAsia"/>
          <w:b/>
          <w:bCs/>
          <w:color w:val="000000" w:themeColor="text1"/>
          <w:sz w:val="32"/>
          <w:szCs w:val="32"/>
          <w:highlight w:val="none"/>
          <w14:textFill>
            <w14:solidFill>
              <w14:schemeClr w14:val="tx1"/>
            </w14:solidFill>
          </w14:textFill>
        </w:rPr>
        <w:t>他</w:t>
      </w:r>
      <w:r>
        <w:rPr>
          <w:b/>
          <w:bCs/>
          <w:color w:val="000000" w:themeColor="text1"/>
          <w:sz w:val="32"/>
          <w:szCs w:val="32"/>
          <w:highlight w:val="none"/>
          <w14:textFill>
            <w14:solidFill>
              <w14:schemeClr w14:val="tx1"/>
            </w14:solidFill>
          </w14:textFill>
        </w:rPr>
        <w:t>有效证明材料目录</w:t>
      </w:r>
      <w:bookmarkEnd w:id="998"/>
      <w:bookmarkEnd w:id="999"/>
      <w:bookmarkEnd w:id="1000"/>
      <w:bookmarkEnd w:id="1001"/>
      <w:bookmarkEnd w:id="1002"/>
      <w:bookmarkEnd w:id="1003"/>
      <w:bookmarkEnd w:id="1004"/>
      <w:bookmarkEnd w:id="1005"/>
      <w:bookmarkEnd w:id="1006"/>
      <w:bookmarkEnd w:id="1007"/>
      <w:bookmarkEnd w:id="1008"/>
    </w:p>
    <w:p w14:paraId="1B070F05">
      <w:pPr>
        <w:spacing w:line="400" w:lineRule="exact"/>
        <w:ind w:firstLine="420"/>
        <w:rPr>
          <w:rFonts w:hint="eastAsia" w:ascii="宋体" w:hAnsi="宋体" w:cs="宋体"/>
          <w:color w:val="000000" w:themeColor="text1"/>
          <w:szCs w:val="21"/>
          <w:highlight w:val="none"/>
          <w14:textFill>
            <w14:solidFill>
              <w14:schemeClr w14:val="tx1"/>
            </w14:solidFill>
          </w14:textFill>
        </w:rPr>
      </w:pPr>
    </w:p>
    <w:p w14:paraId="7CEE5A64">
      <w:pPr>
        <w:spacing w:line="400" w:lineRule="exact"/>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1.项目实施人员一览表</w:t>
      </w:r>
      <w:r>
        <w:rPr>
          <w:rFonts w:hint="eastAsia" w:ascii="宋体" w:hAnsi="宋体" w:cs="宋体"/>
          <w:b/>
          <w:color w:val="000000" w:themeColor="text1"/>
          <w:szCs w:val="21"/>
          <w:highlight w:val="none"/>
          <w14:textFill>
            <w14:solidFill>
              <w14:schemeClr w14:val="tx1"/>
            </w14:solidFill>
          </w14:textFill>
        </w:rPr>
        <w:t>（如有，请提供）</w:t>
      </w:r>
      <w:r>
        <w:rPr>
          <w:rFonts w:hint="eastAsia" w:ascii="宋体" w:hAnsi="宋体" w:cs="宋体"/>
          <w:b/>
          <w:bCs/>
          <w:color w:val="000000" w:themeColor="text1"/>
          <w:szCs w:val="21"/>
          <w:highlight w:val="none"/>
          <w14:textFill>
            <w14:solidFill>
              <w14:schemeClr w14:val="tx1"/>
            </w14:solidFill>
          </w14:textFill>
        </w:rPr>
        <w:t>；</w:t>
      </w:r>
    </w:p>
    <w:p w14:paraId="15BF0AE1">
      <w:pPr>
        <w:tabs>
          <w:tab w:val="left" w:pos="1305"/>
        </w:tabs>
        <w:spacing w:line="400" w:lineRule="exact"/>
        <w:ind w:firstLine="42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2.节能方面的证书扫描件加盖电子签章</w:t>
      </w:r>
      <w:r>
        <w:rPr>
          <w:rFonts w:hint="eastAsia" w:ascii="宋体" w:hAnsi="宋体" w:cs="宋体"/>
          <w:b/>
          <w:color w:val="000000" w:themeColor="text1"/>
          <w:szCs w:val="21"/>
          <w:highlight w:val="none"/>
          <w14:textFill>
            <w14:solidFill>
              <w14:schemeClr w14:val="tx1"/>
            </w14:solidFill>
          </w14:textFill>
        </w:rPr>
        <w:t>（如有，请提供）</w:t>
      </w:r>
      <w:r>
        <w:rPr>
          <w:rFonts w:hint="eastAsia" w:ascii="宋体" w:hAnsi="宋体" w:cs="宋体"/>
          <w:bCs/>
          <w:color w:val="000000" w:themeColor="text1"/>
          <w:szCs w:val="21"/>
          <w:highlight w:val="none"/>
          <w14:textFill>
            <w14:solidFill>
              <w14:schemeClr w14:val="tx1"/>
            </w14:solidFill>
          </w14:textFill>
        </w:rPr>
        <w:t>；</w:t>
      </w:r>
    </w:p>
    <w:p w14:paraId="2F2482A7">
      <w:pPr>
        <w:tabs>
          <w:tab w:val="left" w:pos="1305"/>
        </w:tabs>
        <w:spacing w:line="4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3.环境标志方面的证书扫描件加盖电子签章</w:t>
      </w:r>
      <w:r>
        <w:rPr>
          <w:rFonts w:hint="eastAsia" w:ascii="宋体" w:hAnsi="宋体" w:cs="宋体"/>
          <w:b/>
          <w:color w:val="000000" w:themeColor="text1"/>
          <w:szCs w:val="21"/>
          <w:highlight w:val="none"/>
          <w14:textFill>
            <w14:solidFill>
              <w14:schemeClr w14:val="tx1"/>
            </w14:solidFill>
          </w14:textFill>
        </w:rPr>
        <w:t>（如有，请提供）</w:t>
      </w:r>
      <w:r>
        <w:rPr>
          <w:rFonts w:hint="eastAsia" w:ascii="宋体" w:hAnsi="宋体" w:cs="宋体"/>
          <w:bCs/>
          <w:color w:val="000000" w:themeColor="text1"/>
          <w:szCs w:val="21"/>
          <w:highlight w:val="none"/>
          <w14:textFill>
            <w14:solidFill>
              <w14:schemeClr w14:val="tx1"/>
            </w14:solidFill>
          </w14:textFill>
        </w:rPr>
        <w:t>；</w:t>
      </w:r>
    </w:p>
    <w:p w14:paraId="0F500D4E">
      <w:pPr>
        <w:tabs>
          <w:tab w:val="left" w:pos="1305"/>
        </w:tabs>
        <w:spacing w:line="40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4.供应商自</w:t>
      </w:r>
      <w:r>
        <w:rPr>
          <w:rFonts w:hint="eastAsia" w:ascii="宋体" w:hAnsi="宋体" w:cs="宋体"/>
          <w:color w:val="000000" w:themeColor="text1"/>
          <w:highlight w:val="none"/>
          <w14:textFill>
            <w14:solidFill>
              <w14:schemeClr w14:val="tx1"/>
            </w14:solidFill>
          </w14:textFill>
        </w:rPr>
        <w:t>2023年1月1日</w:t>
      </w:r>
      <w:r>
        <w:rPr>
          <w:rFonts w:hint="eastAsia" w:ascii="宋体" w:hAnsi="宋体" w:cs="宋体"/>
          <w:color w:val="000000" w:themeColor="text1"/>
          <w:szCs w:val="21"/>
          <w:highlight w:val="none"/>
          <w14:textFill>
            <w14:solidFill>
              <w14:schemeClr w14:val="tx1"/>
            </w14:solidFill>
          </w14:textFill>
        </w:rPr>
        <w:t>以来具有同类产品的销售业绩 [以中标（成交）通知书或采购合同扫描件加盖电子签章为准（能清晰反映所销售的货物名称、种类、金额)，否则将不予计分；同一个编号的项目有两个或两个以上的分标中标的只算一次]</w:t>
      </w:r>
      <w:r>
        <w:rPr>
          <w:rFonts w:hint="eastAsia" w:ascii="宋体" w:hAnsi="宋体" w:cs="宋体"/>
          <w:b/>
          <w:color w:val="000000" w:themeColor="text1"/>
          <w:highlight w:val="none"/>
          <w14:textFill>
            <w14:solidFill>
              <w14:schemeClr w14:val="tx1"/>
            </w14:solidFill>
          </w14:textFill>
        </w:rPr>
        <w:t>（如有，请提供）</w:t>
      </w:r>
      <w:r>
        <w:rPr>
          <w:rFonts w:hint="eastAsia" w:ascii="宋体" w:hAnsi="宋体" w:cs="宋体"/>
          <w:bCs/>
          <w:color w:val="000000" w:themeColor="text1"/>
          <w:highlight w:val="none"/>
          <w14:textFill>
            <w14:solidFill>
              <w14:schemeClr w14:val="tx1"/>
            </w14:solidFill>
          </w14:textFill>
        </w:rPr>
        <w:t>；</w:t>
      </w:r>
    </w:p>
    <w:p w14:paraId="67D3F6CA">
      <w:pPr>
        <w:pStyle w:val="13"/>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5.《中小企业声明函》（见附件）</w:t>
      </w:r>
      <w:r>
        <w:rPr>
          <w:rFonts w:hint="eastAsia"/>
          <w:b/>
          <w:bCs/>
          <w:color w:val="000000" w:themeColor="text1"/>
          <w:highlight w:val="none"/>
          <w14:textFill>
            <w14:solidFill>
              <w14:schemeClr w14:val="tx1"/>
            </w14:solidFill>
          </w14:textFill>
        </w:rPr>
        <w:t>（如有，请提供）</w:t>
      </w:r>
      <w:r>
        <w:rPr>
          <w:rFonts w:hint="eastAsia"/>
          <w:color w:val="000000" w:themeColor="text1"/>
          <w:highlight w:val="none"/>
          <w14:textFill>
            <w14:solidFill>
              <w14:schemeClr w14:val="tx1"/>
            </w14:solidFill>
          </w14:textFill>
        </w:rPr>
        <w:t>；</w:t>
      </w:r>
    </w:p>
    <w:p w14:paraId="0990A0CF">
      <w:pPr>
        <w:pStyle w:val="13"/>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6.如货物生产企业属于监狱企业的，应当提供由省级以上监狱管理局、戒毒管理局等（含新疆生产建设兵团）出具的属于监狱企业的证明文件</w:t>
      </w:r>
      <w:r>
        <w:rPr>
          <w:rFonts w:hint="eastAsia"/>
          <w:b/>
          <w:bCs/>
          <w:color w:val="000000" w:themeColor="text1"/>
          <w:highlight w:val="none"/>
          <w14:textFill>
            <w14:solidFill>
              <w14:schemeClr w14:val="tx1"/>
            </w14:solidFill>
          </w14:textFill>
        </w:rPr>
        <w:t>（如有，请提供）</w:t>
      </w:r>
      <w:r>
        <w:rPr>
          <w:rFonts w:hint="eastAsia"/>
          <w:color w:val="000000" w:themeColor="text1"/>
          <w:highlight w:val="none"/>
          <w14:textFill>
            <w14:solidFill>
              <w14:schemeClr w14:val="tx1"/>
            </w14:solidFill>
          </w14:textFill>
        </w:rPr>
        <w:t>；</w:t>
      </w:r>
    </w:p>
    <w:p w14:paraId="7EE73D8B">
      <w:pPr>
        <w:tabs>
          <w:tab w:val="left" w:pos="1305"/>
        </w:tabs>
        <w:spacing w:line="400" w:lineRule="exact"/>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7.符合条件的残疾人福利性单位在参加政府采购活动时，应当提供《残疾人福利性单位声明函》（见附件），并对声明的真实性负责；</w:t>
      </w:r>
      <w:r>
        <w:rPr>
          <w:rFonts w:hint="eastAsia"/>
          <w:b/>
          <w:bCs/>
          <w:color w:val="000000" w:themeColor="text1"/>
          <w:highlight w:val="none"/>
          <w14:textFill>
            <w14:solidFill>
              <w14:schemeClr w14:val="tx1"/>
            </w14:solidFill>
          </w14:textFill>
        </w:rPr>
        <w:t>（如有，请提供）</w:t>
      </w:r>
      <w:r>
        <w:rPr>
          <w:rFonts w:hint="eastAsia"/>
          <w:color w:val="000000" w:themeColor="text1"/>
          <w:highlight w:val="none"/>
          <w14:textFill>
            <w14:solidFill>
              <w14:schemeClr w14:val="tx1"/>
            </w14:solidFill>
          </w14:textFill>
        </w:rPr>
        <w:t>；</w:t>
      </w:r>
    </w:p>
    <w:p w14:paraId="3BEE9443">
      <w:pPr>
        <w:pStyle w:val="23"/>
        <w:ind w:firstLine="42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关于符合本国产品标准的声明函</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（见附件）</w:t>
      </w:r>
      <w:r>
        <w:rPr>
          <w:rFonts w:hint="eastAsia" w:ascii="宋体" w:hAnsi="宋体" w:eastAsia="宋体" w:cs="宋体"/>
          <w:b/>
          <w:bCs/>
          <w:color w:val="000000" w:themeColor="text1"/>
          <w:sz w:val="21"/>
          <w:szCs w:val="21"/>
          <w:highlight w:val="none"/>
          <w14:textFill>
            <w14:solidFill>
              <w14:schemeClr w14:val="tx1"/>
            </w14:solidFill>
          </w14:textFill>
        </w:rPr>
        <w:t>（如有，请提供）</w:t>
      </w:r>
      <w:r>
        <w:rPr>
          <w:rFonts w:hint="eastAsia" w:ascii="宋体" w:hAnsi="宋体" w:eastAsia="宋体" w:cs="宋体"/>
          <w:color w:val="000000" w:themeColor="text1"/>
          <w:sz w:val="21"/>
          <w:szCs w:val="21"/>
          <w:highlight w:val="none"/>
          <w14:textFill>
            <w14:solidFill>
              <w14:schemeClr w14:val="tx1"/>
            </w14:solidFill>
          </w14:textFill>
        </w:rPr>
        <w:t>；</w:t>
      </w:r>
    </w:p>
    <w:p w14:paraId="7365EB8F">
      <w:pPr>
        <w:tabs>
          <w:tab w:val="left" w:pos="1305"/>
        </w:tabs>
        <w:spacing w:line="400" w:lineRule="exact"/>
        <w:ind w:firstLine="420"/>
        <w:outlineLvl w:val="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.项目实施方案</w:t>
      </w:r>
      <w:r>
        <w:rPr>
          <w:rFonts w:hint="eastAsia" w:ascii="宋体" w:hAnsi="宋体" w:cs="宋体"/>
          <w:b/>
          <w:bCs/>
          <w:color w:val="000000" w:themeColor="text1"/>
          <w:szCs w:val="2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660003D2">
      <w:pPr>
        <w:tabs>
          <w:tab w:val="left" w:pos="1305"/>
        </w:tabs>
        <w:spacing w:line="400" w:lineRule="exact"/>
        <w:ind w:firstLine="420"/>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.供应商可结合本项目的评审办法视自身情况自行提交相关证明材料</w:t>
      </w:r>
      <w:r>
        <w:rPr>
          <w:rFonts w:hint="eastAsia" w:ascii="宋体" w:hAnsi="宋体" w:cs="宋体"/>
          <w:b/>
          <w:color w:val="000000" w:themeColor="text1"/>
          <w:highlight w:val="none"/>
          <w14:textFill>
            <w14:solidFill>
              <w14:schemeClr w14:val="tx1"/>
            </w14:solidFill>
          </w14:textFill>
        </w:rPr>
        <w:t>（如有，请提供）</w:t>
      </w:r>
      <w:r>
        <w:rPr>
          <w:rFonts w:hint="eastAsia" w:ascii="宋体" w:hAnsi="宋体" w:cs="宋体"/>
          <w:color w:val="000000" w:themeColor="text1"/>
          <w:szCs w:val="21"/>
          <w:highlight w:val="none"/>
          <w14:textFill>
            <w14:solidFill>
              <w14:schemeClr w14:val="tx1"/>
            </w14:solidFill>
          </w14:textFill>
        </w:rPr>
        <w:t>。</w:t>
      </w:r>
    </w:p>
    <w:p w14:paraId="2F58EB23">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供应商提供的以上相关证明材料属于“必须提供”的文件应加盖供应商公章（CA签章）/自然人签字或加盖个人CA签章，否则响应无效。</w:t>
      </w:r>
    </w:p>
    <w:p w14:paraId="1725C958">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p>
    <w:p w14:paraId="2A7A2D89">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p>
    <w:p w14:paraId="2DAED207">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p>
    <w:p w14:paraId="3C660E83">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p>
    <w:p w14:paraId="26C3A0FD">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p>
    <w:p w14:paraId="78F64843">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p>
    <w:p w14:paraId="00DA9FE2">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p>
    <w:p w14:paraId="74B11230">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p>
    <w:p w14:paraId="3E402CD5">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p>
    <w:p w14:paraId="0957FD79">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p>
    <w:p w14:paraId="4F803424">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p>
    <w:p w14:paraId="1EC2FF34">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p>
    <w:p w14:paraId="30AE6B35">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p>
    <w:p w14:paraId="19641B42">
      <w:pPr>
        <w:spacing w:line="440" w:lineRule="exact"/>
        <w:ind w:firstLine="422"/>
        <w:rPr>
          <w:rFonts w:hint="eastAsia" w:ascii="宋体" w:hAnsi="宋体" w:cs="宋体"/>
          <w:b/>
          <w:bCs/>
          <w:color w:val="000000" w:themeColor="text1"/>
          <w:szCs w:val="21"/>
          <w:highlight w:val="none"/>
          <w14:textFill>
            <w14:solidFill>
              <w14:schemeClr w14:val="tx1"/>
            </w14:solidFill>
          </w14:textFill>
        </w:rPr>
      </w:pPr>
    </w:p>
    <w:p w14:paraId="565D70DD">
      <w:pPr>
        <w:pStyle w:val="41"/>
        <w:rPr>
          <w:rFonts w:hint="eastAsia"/>
          <w:color w:val="000000" w:themeColor="text1"/>
          <w:highlight w:val="none"/>
          <w14:textFill>
            <w14:solidFill>
              <w14:schemeClr w14:val="tx1"/>
            </w14:solidFill>
          </w14:textFill>
        </w:rPr>
      </w:pPr>
    </w:p>
    <w:p w14:paraId="23C6958A">
      <w:pPr>
        <w:pStyle w:val="21"/>
        <w:rPr>
          <w:rFonts w:hint="eastAsia"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1.项目实施人员一览表（如有，请提供）</w:t>
      </w:r>
    </w:p>
    <w:p w14:paraId="32709E1D">
      <w:pPr>
        <w:pStyle w:val="21"/>
        <w:rPr>
          <w:rFonts w:hint="eastAsia" w:ascii="Times New Roman" w:hAnsi="Times New Roman"/>
          <w:b/>
          <w:bCs/>
          <w:color w:val="000000" w:themeColor="text1"/>
          <w:sz w:val="32"/>
          <w:szCs w:val="32"/>
          <w:highlight w:val="none"/>
          <w14:textFill>
            <w14:solidFill>
              <w14:schemeClr w14:val="tx1"/>
            </w14:solidFill>
          </w14:textFill>
        </w:rPr>
      </w:pPr>
      <w:r>
        <w:rPr>
          <w:rFonts w:hint="eastAsia" w:ascii="Times New Roman" w:hAnsi="Times New Roman"/>
          <w:b/>
          <w:bCs/>
          <w:color w:val="000000" w:themeColor="text1"/>
          <w:sz w:val="32"/>
          <w:szCs w:val="32"/>
          <w:highlight w:val="none"/>
          <w14:textFill>
            <w14:solidFill>
              <w14:schemeClr w14:val="tx1"/>
            </w14:solidFill>
          </w14:textFill>
        </w:rPr>
        <w:t>附件：</w:t>
      </w:r>
    </w:p>
    <w:p w14:paraId="34C27C98">
      <w:pPr>
        <w:pStyle w:val="21"/>
        <w:ind w:firstLine="472"/>
        <w:jc w:val="center"/>
        <w:rPr>
          <w:rFonts w:ascii="Times New Roman" w:hAnsi="Times New Roman"/>
          <w:b/>
          <w:bCs/>
          <w:color w:val="000000" w:themeColor="text1"/>
          <w:sz w:val="32"/>
          <w:szCs w:val="32"/>
          <w:highlight w:val="none"/>
          <w14:textFill>
            <w14:solidFill>
              <w14:schemeClr w14:val="tx1"/>
            </w14:solidFill>
          </w14:textFill>
        </w:rPr>
      </w:pPr>
      <w:r>
        <w:rPr>
          <w:rFonts w:ascii="Times New Roman" w:hAnsi="Times New Roman"/>
          <w:b/>
          <w:bCs/>
          <w:color w:val="000000" w:themeColor="text1"/>
          <w:sz w:val="32"/>
          <w:szCs w:val="32"/>
          <w:highlight w:val="none"/>
          <w14:textFill>
            <w14:solidFill>
              <w14:schemeClr w14:val="tx1"/>
            </w14:solidFill>
          </w14:textFill>
        </w:rPr>
        <w:t>项目实施人员一览表（格式）</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5033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8DB3E2"/>
            <w:noWrap w:val="0"/>
            <w:vAlign w:val="center"/>
          </w:tcPr>
          <w:p w14:paraId="162B5FB5">
            <w:pPr>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姓 名</w:t>
            </w:r>
          </w:p>
        </w:tc>
        <w:tc>
          <w:tcPr>
            <w:tcW w:w="993" w:type="dxa"/>
            <w:shd w:val="clear" w:color="auto" w:fill="8DB3E2"/>
            <w:noWrap w:val="0"/>
            <w:vAlign w:val="center"/>
          </w:tcPr>
          <w:p w14:paraId="0CEAF415">
            <w:pPr>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职务</w:t>
            </w:r>
          </w:p>
        </w:tc>
        <w:tc>
          <w:tcPr>
            <w:tcW w:w="1888" w:type="dxa"/>
            <w:shd w:val="clear" w:color="auto" w:fill="8DB3E2"/>
            <w:noWrap w:val="0"/>
            <w:vAlign w:val="center"/>
          </w:tcPr>
          <w:p w14:paraId="6087765B">
            <w:pPr>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专业技术资格</w:t>
            </w:r>
          </w:p>
        </w:tc>
        <w:tc>
          <w:tcPr>
            <w:tcW w:w="1559" w:type="dxa"/>
            <w:shd w:val="clear" w:color="auto" w:fill="8DB3E2"/>
            <w:noWrap w:val="0"/>
            <w:vAlign w:val="center"/>
          </w:tcPr>
          <w:p w14:paraId="12123105">
            <w:pPr>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证书编号</w:t>
            </w:r>
          </w:p>
        </w:tc>
        <w:tc>
          <w:tcPr>
            <w:tcW w:w="2163" w:type="dxa"/>
            <w:shd w:val="clear" w:color="auto" w:fill="8DB3E2"/>
            <w:noWrap w:val="0"/>
            <w:vAlign w:val="center"/>
          </w:tcPr>
          <w:p w14:paraId="2AFA4218">
            <w:pPr>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参加工作时间</w:t>
            </w:r>
          </w:p>
        </w:tc>
        <w:tc>
          <w:tcPr>
            <w:tcW w:w="1477" w:type="dxa"/>
            <w:shd w:val="clear" w:color="auto" w:fill="8DB3E2"/>
            <w:noWrap w:val="0"/>
            <w:vAlign w:val="center"/>
          </w:tcPr>
          <w:p w14:paraId="45463F38">
            <w:pPr>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14:paraId="6425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63BE5943">
            <w:pPr>
              <w:spacing w:line="400" w:lineRule="exact"/>
              <w:rPr>
                <w:rFonts w:ascii="宋体" w:hAnsi="宋体" w:cs="宋体"/>
                <w:color w:val="000000" w:themeColor="text1"/>
                <w:szCs w:val="21"/>
                <w:highlight w:val="none"/>
                <w14:textFill>
                  <w14:solidFill>
                    <w14:schemeClr w14:val="tx1"/>
                  </w14:solidFill>
                </w14:textFill>
              </w:rPr>
            </w:pPr>
          </w:p>
        </w:tc>
        <w:tc>
          <w:tcPr>
            <w:tcW w:w="993" w:type="dxa"/>
            <w:noWrap w:val="0"/>
            <w:vAlign w:val="top"/>
          </w:tcPr>
          <w:p w14:paraId="67137C25">
            <w:pPr>
              <w:spacing w:line="400" w:lineRule="exact"/>
              <w:rPr>
                <w:rFonts w:ascii="宋体" w:hAnsi="宋体" w:cs="宋体"/>
                <w:color w:val="000000" w:themeColor="text1"/>
                <w:szCs w:val="21"/>
                <w:highlight w:val="none"/>
                <w14:textFill>
                  <w14:solidFill>
                    <w14:schemeClr w14:val="tx1"/>
                  </w14:solidFill>
                </w14:textFill>
              </w:rPr>
            </w:pPr>
          </w:p>
        </w:tc>
        <w:tc>
          <w:tcPr>
            <w:tcW w:w="1888" w:type="dxa"/>
            <w:noWrap w:val="0"/>
            <w:vAlign w:val="top"/>
          </w:tcPr>
          <w:p w14:paraId="27A1AC0A">
            <w:pPr>
              <w:spacing w:line="400" w:lineRule="exact"/>
              <w:rPr>
                <w:rFonts w:ascii="宋体" w:hAnsi="宋体" w:cs="宋体"/>
                <w:color w:val="000000" w:themeColor="text1"/>
                <w:szCs w:val="21"/>
                <w:highlight w:val="none"/>
                <w14:textFill>
                  <w14:solidFill>
                    <w14:schemeClr w14:val="tx1"/>
                  </w14:solidFill>
                </w14:textFill>
              </w:rPr>
            </w:pPr>
          </w:p>
        </w:tc>
        <w:tc>
          <w:tcPr>
            <w:tcW w:w="1559" w:type="dxa"/>
            <w:noWrap w:val="0"/>
            <w:vAlign w:val="top"/>
          </w:tcPr>
          <w:p w14:paraId="04212208">
            <w:pPr>
              <w:spacing w:line="400" w:lineRule="exact"/>
              <w:rPr>
                <w:rFonts w:ascii="宋体" w:hAnsi="宋体" w:cs="宋体"/>
                <w:color w:val="000000" w:themeColor="text1"/>
                <w:szCs w:val="21"/>
                <w:highlight w:val="none"/>
                <w14:textFill>
                  <w14:solidFill>
                    <w14:schemeClr w14:val="tx1"/>
                  </w14:solidFill>
                </w14:textFill>
              </w:rPr>
            </w:pPr>
          </w:p>
        </w:tc>
        <w:tc>
          <w:tcPr>
            <w:tcW w:w="2163" w:type="dxa"/>
            <w:noWrap w:val="0"/>
            <w:vAlign w:val="top"/>
          </w:tcPr>
          <w:p w14:paraId="06A5FA65">
            <w:pPr>
              <w:spacing w:line="400" w:lineRule="exact"/>
              <w:rPr>
                <w:rFonts w:ascii="宋体" w:hAnsi="宋体" w:cs="宋体"/>
                <w:color w:val="000000" w:themeColor="text1"/>
                <w:szCs w:val="21"/>
                <w:highlight w:val="none"/>
                <w14:textFill>
                  <w14:solidFill>
                    <w14:schemeClr w14:val="tx1"/>
                  </w14:solidFill>
                </w14:textFill>
              </w:rPr>
            </w:pPr>
          </w:p>
        </w:tc>
        <w:tc>
          <w:tcPr>
            <w:tcW w:w="1477" w:type="dxa"/>
            <w:noWrap w:val="0"/>
            <w:vAlign w:val="top"/>
          </w:tcPr>
          <w:p w14:paraId="7B301637">
            <w:pPr>
              <w:spacing w:line="400" w:lineRule="exact"/>
              <w:rPr>
                <w:rFonts w:ascii="宋体" w:hAnsi="宋体" w:cs="宋体"/>
                <w:color w:val="000000" w:themeColor="text1"/>
                <w:szCs w:val="21"/>
                <w:highlight w:val="none"/>
                <w14:textFill>
                  <w14:solidFill>
                    <w14:schemeClr w14:val="tx1"/>
                  </w14:solidFill>
                </w14:textFill>
              </w:rPr>
            </w:pPr>
          </w:p>
        </w:tc>
      </w:tr>
      <w:tr w14:paraId="290A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3D7A556B">
            <w:pPr>
              <w:spacing w:line="400" w:lineRule="exact"/>
              <w:rPr>
                <w:rFonts w:ascii="宋体" w:hAnsi="宋体" w:cs="宋体"/>
                <w:color w:val="000000" w:themeColor="text1"/>
                <w:szCs w:val="21"/>
                <w:highlight w:val="none"/>
                <w14:textFill>
                  <w14:solidFill>
                    <w14:schemeClr w14:val="tx1"/>
                  </w14:solidFill>
                </w14:textFill>
              </w:rPr>
            </w:pPr>
          </w:p>
        </w:tc>
        <w:tc>
          <w:tcPr>
            <w:tcW w:w="993" w:type="dxa"/>
            <w:noWrap w:val="0"/>
            <w:vAlign w:val="top"/>
          </w:tcPr>
          <w:p w14:paraId="713E31CC">
            <w:pPr>
              <w:spacing w:line="400" w:lineRule="exact"/>
              <w:rPr>
                <w:rFonts w:ascii="宋体" w:hAnsi="宋体" w:cs="宋体"/>
                <w:color w:val="000000" w:themeColor="text1"/>
                <w:szCs w:val="21"/>
                <w:highlight w:val="none"/>
                <w14:textFill>
                  <w14:solidFill>
                    <w14:schemeClr w14:val="tx1"/>
                  </w14:solidFill>
                </w14:textFill>
              </w:rPr>
            </w:pPr>
          </w:p>
        </w:tc>
        <w:tc>
          <w:tcPr>
            <w:tcW w:w="1888" w:type="dxa"/>
            <w:noWrap w:val="0"/>
            <w:vAlign w:val="top"/>
          </w:tcPr>
          <w:p w14:paraId="4701FE97">
            <w:pPr>
              <w:spacing w:line="400" w:lineRule="exact"/>
              <w:rPr>
                <w:rFonts w:ascii="宋体" w:hAnsi="宋体" w:cs="宋体"/>
                <w:color w:val="000000" w:themeColor="text1"/>
                <w:szCs w:val="21"/>
                <w:highlight w:val="none"/>
                <w14:textFill>
                  <w14:solidFill>
                    <w14:schemeClr w14:val="tx1"/>
                  </w14:solidFill>
                </w14:textFill>
              </w:rPr>
            </w:pPr>
          </w:p>
        </w:tc>
        <w:tc>
          <w:tcPr>
            <w:tcW w:w="1559" w:type="dxa"/>
            <w:noWrap w:val="0"/>
            <w:vAlign w:val="top"/>
          </w:tcPr>
          <w:p w14:paraId="3B6AF310">
            <w:pPr>
              <w:spacing w:line="400" w:lineRule="exact"/>
              <w:rPr>
                <w:rFonts w:ascii="宋体" w:hAnsi="宋体" w:cs="宋体"/>
                <w:color w:val="000000" w:themeColor="text1"/>
                <w:szCs w:val="21"/>
                <w:highlight w:val="none"/>
                <w14:textFill>
                  <w14:solidFill>
                    <w14:schemeClr w14:val="tx1"/>
                  </w14:solidFill>
                </w14:textFill>
              </w:rPr>
            </w:pPr>
          </w:p>
        </w:tc>
        <w:tc>
          <w:tcPr>
            <w:tcW w:w="2163" w:type="dxa"/>
            <w:noWrap w:val="0"/>
            <w:vAlign w:val="top"/>
          </w:tcPr>
          <w:p w14:paraId="1D4BE69A">
            <w:pPr>
              <w:spacing w:line="400" w:lineRule="exact"/>
              <w:rPr>
                <w:rFonts w:ascii="宋体" w:hAnsi="宋体" w:cs="宋体"/>
                <w:color w:val="000000" w:themeColor="text1"/>
                <w:szCs w:val="21"/>
                <w:highlight w:val="none"/>
                <w14:textFill>
                  <w14:solidFill>
                    <w14:schemeClr w14:val="tx1"/>
                  </w14:solidFill>
                </w14:textFill>
              </w:rPr>
            </w:pPr>
          </w:p>
        </w:tc>
        <w:tc>
          <w:tcPr>
            <w:tcW w:w="1477" w:type="dxa"/>
            <w:noWrap w:val="0"/>
            <w:vAlign w:val="top"/>
          </w:tcPr>
          <w:p w14:paraId="035BFC77">
            <w:pPr>
              <w:spacing w:line="400" w:lineRule="exact"/>
              <w:rPr>
                <w:rFonts w:ascii="宋体" w:hAnsi="宋体" w:cs="宋体"/>
                <w:color w:val="000000" w:themeColor="text1"/>
                <w:szCs w:val="21"/>
                <w:highlight w:val="none"/>
                <w14:textFill>
                  <w14:solidFill>
                    <w14:schemeClr w14:val="tx1"/>
                  </w14:solidFill>
                </w14:textFill>
              </w:rPr>
            </w:pPr>
          </w:p>
        </w:tc>
      </w:tr>
      <w:tr w14:paraId="5DA6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24A59698">
            <w:pPr>
              <w:spacing w:line="400" w:lineRule="exact"/>
              <w:rPr>
                <w:rFonts w:ascii="宋体" w:hAnsi="宋体" w:cs="宋体"/>
                <w:color w:val="000000" w:themeColor="text1"/>
                <w:szCs w:val="21"/>
                <w:highlight w:val="none"/>
                <w14:textFill>
                  <w14:solidFill>
                    <w14:schemeClr w14:val="tx1"/>
                  </w14:solidFill>
                </w14:textFill>
              </w:rPr>
            </w:pPr>
          </w:p>
        </w:tc>
        <w:tc>
          <w:tcPr>
            <w:tcW w:w="993" w:type="dxa"/>
            <w:noWrap w:val="0"/>
            <w:vAlign w:val="top"/>
          </w:tcPr>
          <w:p w14:paraId="3AD11B53">
            <w:pPr>
              <w:spacing w:line="400" w:lineRule="exact"/>
              <w:rPr>
                <w:rFonts w:ascii="宋体" w:hAnsi="宋体" w:cs="宋体"/>
                <w:color w:val="000000" w:themeColor="text1"/>
                <w:szCs w:val="21"/>
                <w:highlight w:val="none"/>
                <w14:textFill>
                  <w14:solidFill>
                    <w14:schemeClr w14:val="tx1"/>
                  </w14:solidFill>
                </w14:textFill>
              </w:rPr>
            </w:pPr>
          </w:p>
        </w:tc>
        <w:tc>
          <w:tcPr>
            <w:tcW w:w="1888" w:type="dxa"/>
            <w:noWrap w:val="0"/>
            <w:vAlign w:val="top"/>
          </w:tcPr>
          <w:p w14:paraId="12DEBAC6">
            <w:pPr>
              <w:spacing w:line="400" w:lineRule="exact"/>
              <w:rPr>
                <w:rFonts w:ascii="宋体" w:hAnsi="宋体" w:cs="宋体"/>
                <w:color w:val="000000" w:themeColor="text1"/>
                <w:szCs w:val="21"/>
                <w:highlight w:val="none"/>
                <w14:textFill>
                  <w14:solidFill>
                    <w14:schemeClr w14:val="tx1"/>
                  </w14:solidFill>
                </w14:textFill>
              </w:rPr>
            </w:pPr>
          </w:p>
        </w:tc>
        <w:tc>
          <w:tcPr>
            <w:tcW w:w="1559" w:type="dxa"/>
            <w:noWrap w:val="0"/>
            <w:vAlign w:val="top"/>
          </w:tcPr>
          <w:p w14:paraId="42CA5A60">
            <w:pPr>
              <w:spacing w:line="400" w:lineRule="exact"/>
              <w:rPr>
                <w:rFonts w:ascii="宋体" w:hAnsi="宋体" w:cs="宋体"/>
                <w:color w:val="000000" w:themeColor="text1"/>
                <w:szCs w:val="21"/>
                <w:highlight w:val="none"/>
                <w14:textFill>
                  <w14:solidFill>
                    <w14:schemeClr w14:val="tx1"/>
                  </w14:solidFill>
                </w14:textFill>
              </w:rPr>
            </w:pPr>
          </w:p>
        </w:tc>
        <w:tc>
          <w:tcPr>
            <w:tcW w:w="2163" w:type="dxa"/>
            <w:noWrap w:val="0"/>
            <w:vAlign w:val="top"/>
          </w:tcPr>
          <w:p w14:paraId="00F43C87">
            <w:pPr>
              <w:spacing w:line="400" w:lineRule="exact"/>
              <w:rPr>
                <w:rFonts w:ascii="宋体" w:hAnsi="宋体" w:cs="宋体"/>
                <w:color w:val="000000" w:themeColor="text1"/>
                <w:szCs w:val="21"/>
                <w:highlight w:val="none"/>
                <w14:textFill>
                  <w14:solidFill>
                    <w14:schemeClr w14:val="tx1"/>
                  </w14:solidFill>
                </w14:textFill>
              </w:rPr>
            </w:pPr>
          </w:p>
        </w:tc>
        <w:tc>
          <w:tcPr>
            <w:tcW w:w="1477" w:type="dxa"/>
            <w:noWrap w:val="0"/>
            <w:vAlign w:val="top"/>
          </w:tcPr>
          <w:p w14:paraId="1A3A4904">
            <w:pPr>
              <w:spacing w:line="400" w:lineRule="exact"/>
              <w:rPr>
                <w:rFonts w:ascii="宋体" w:hAnsi="宋体" w:cs="宋体"/>
                <w:color w:val="000000" w:themeColor="text1"/>
                <w:szCs w:val="21"/>
                <w:highlight w:val="none"/>
                <w14:textFill>
                  <w14:solidFill>
                    <w14:schemeClr w14:val="tx1"/>
                  </w14:solidFill>
                </w14:textFill>
              </w:rPr>
            </w:pPr>
          </w:p>
        </w:tc>
      </w:tr>
      <w:tr w14:paraId="6B9D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5383D1F9">
            <w:pPr>
              <w:spacing w:line="400" w:lineRule="exact"/>
              <w:rPr>
                <w:rFonts w:ascii="宋体" w:hAnsi="宋体" w:cs="宋体"/>
                <w:color w:val="000000" w:themeColor="text1"/>
                <w:szCs w:val="21"/>
                <w:highlight w:val="none"/>
                <w14:textFill>
                  <w14:solidFill>
                    <w14:schemeClr w14:val="tx1"/>
                  </w14:solidFill>
                </w14:textFill>
              </w:rPr>
            </w:pPr>
          </w:p>
        </w:tc>
        <w:tc>
          <w:tcPr>
            <w:tcW w:w="993" w:type="dxa"/>
            <w:noWrap w:val="0"/>
            <w:vAlign w:val="top"/>
          </w:tcPr>
          <w:p w14:paraId="641515FB">
            <w:pPr>
              <w:spacing w:line="400" w:lineRule="exact"/>
              <w:rPr>
                <w:rFonts w:ascii="宋体" w:hAnsi="宋体" w:cs="宋体"/>
                <w:color w:val="000000" w:themeColor="text1"/>
                <w:szCs w:val="21"/>
                <w:highlight w:val="none"/>
                <w14:textFill>
                  <w14:solidFill>
                    <w14:schemeClr w14:val="tx1"/>
                  </w14:solidFill>
                </w14:textFill>
              </w:rPr>
            </w:pPr>
          </w:p>
        </w:tc>
        <w:tc>
          <w:tcPr>
            <w:tcW w:w="1888" w:type="dxa"/>
            <w:noWrap w:val="0"/>
            <w:vAlign w:val="top"/>
          </w:tcPr>
          <w:p w14:paraId="5B92CA0E">
            <w:pPr>
              <w:spacing w:line="400" w:lineRule="exact"/>
              <w:rPr>
                <w:rFonts w:ascii="宋体" w:hAnsi="宋体" w:cs="宋体"/>
                <w:color w:val="000000" w:themeColor="text1"/>
                <w:szCs w:val="21"/>
                <w:highlight w:val="none"/>
                <w14:textFill>
                  <w14:solidFill>
                    <w14:schemeClr w14:val="tx1"/>
                  </w14:solidFill>
                </w14:textFill>
              </w:rPr>
            </w:pPr>
          </w:p>
        </w:tc>
        <w:tc>
          <w:tcPr>
            <w:tcW w:w="1559" w:type="dxa"/>
            <w:noWrap w:val="0"/>
            <w:vAlign w:val="top"/>
          </w:tcPr>
          <w:p w14:paraId="7C245F95">
            <w:pPr>
              <w:spacing w:line="400" w:lineRule="exact"/>
              <w:rPr>
                <w:rFonts w:ascii="宋体" w:hAnsi="宋体" w:cs="宋体"/>
                <w:color w:val="000000" w:themeColor="text1"/>
                <w:szCs w:val="21"/>
                <w:highlight w:val="none"/>
                <w14:textFill>
                  <w14:solidFill>
                    <w14:schemeClr w14:val="tx1"/>
                  </w14:solidFill>
                </w14:textFill>
              </w:rPr>
            </w:pPr>
          </w:p>
        </w:tc>
        <w:tc>
          <w:tcPr>
            <w:tcW w:w="2163" w:type="dxa"/>
            <w:noWrap w:val="0"/>
            <w:vAlign w:val="top"/>
          </w:tcPr>
          <w:p w14:paraId="2AC3EF37">
            <w:pPr>
              <w:spacing w:line="400" w:lineRule="exact"/>
              <w:rPr>
                <w:rFonts w:ascii="宋体" w:hAnsi="宋体" w:cs="宋体"/>
                <w:color w:val="000000" w:themeColor="text1"/>
                <w:szCs w:val="21"/>
                <w:highlight w:val="none"/>
                <w14:textFill>
                  <w14:solidFill>
                    <w14:schemeClr w14:val="tx1"/>
                  </w14:solidFill>
                </w14:textFill>
              </w:rPr>
            </w:pPr>
          </w:p>
        </w:tc>
        <w:tc>
          <w:tcPr>
            <w:tcW w:w="1477" w:type="dxa"/>
            <w:noWrap w:val="0"/>
            <w:vAlign w:val="top"/>
          </w:tcPr>
          <w:p w14:paraId="587FE196">
            <w:pPr>
              <w:spacing w:line="400" w:lineRule="exact"/>
              <w:rPr>
                <w:rFonts w:ascii="宋体" w:hAnsi="宋体" w:cs="宋体"/>
                <w:color w:val="000000" w:themeColor="text1"/>
                <w:szCs w:val="21"/>
                <w:highlight w:val="none"/>
                <w14:textFill>
                  <w14:solidFill>
                    <w14:schemeClr w14:val="tx1"/>
                  </w14:solidFill>
                </w14:textFill>
              </w:rPr>
            </w:pPr>
          </w:p>
        </w:tc>
      </w:tr>
      <w:tr w14:paraId="627D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583D331A">
            <w:pPr>
              <w:spacing w:line="400" w:lineRule="exact"/>
              <w:rPr>
                <w:rFonts w:ascii="宋体" w:hAnsi="宋体" w:cs="宋体"/>
                <w:color w:val="000000" w:themeColor="text1"/>
                <w:szCs w:val="21"/>
                <w:highlight w:val="none"/>
                <w14:textFill>
                  <w14:solidFill>
                    <w14:schemeClr w14:val="tx1"/>
                  </w14:solidFill>
                </w14:textFill>
              </w:rPr>
            </w:pPr>
          </w:p>
        </w:tc>
        <w:tc>
          <w:tcPr>
            <w:tcW w:w="993" w:type="dxa"/>
            <w:noWrap w:val="0"/>
            <w:vAlign w:val="top"/>
          </w:tcPr>
          <w:p w14:paraId="464EDCBF">
            <w:pPr>
              <w:spacing w:line="400" w:lineRule="exact"/>
              <w:rPr>
                <w:rFonts w:ascii="宋体" w:hAnsi="宋体" w:cs="宋体"/>
                <w:color w:val="000000" w:themeColor="text1"/>
                <w:szCs w:val="21"/>
                <w:highlight w:val="none"/>
                <w14:textFill>
                  <w14:solidFill>
                    <w14:schemeClr w14:val="tx1"/>
                  </w14:solidFill>
                </w14:textFill>
              </w:rPr>
            </w:pPr>
          </w:p>
        </w:tc>
        <w:tc>
          <w:tcPr>
            <w:tcW w:w="1888" w:type="dxa"/>
            <w:noWrap w:val="0"/>
            <w:vAlign w:val="top"/>
          </w:tcPr>
          <w:p w14:paraId="602CAB6F">
            <w:pPr>
              <w:spacing w:line="400" w:lineRule="exact"/>
              <w:rPr>
                <w:rFonts w:ascii="宋体" w:hAnsi="宋体" w:cs="宋体"/>
                <w:color w:val="000000" w:themeColor="text1"/>
                <w:szCs w:val="21"/>
                <w:highlight w:val="none"/>
                <w14:textFill>
                  <w14:solidFill>
                    <w14:schemeClr w14:val="tx1"/>
                  </w14:solidFill>
                </w14:textFill>
              </w:rPr>
            </w:pPr>
          </w:p>
        </w:tc>
        <w:tc>
          <w:tcPr>
            <w:tcW w:w="1559" w:type="dxa"/>
            <w:noWrap w:val="0"/>
            <w:vAlign w:val="top"/>
          </w:tcPr>
          <w:p w14:paraId="57411958">
            <w:pPr>
              <w:spacing w:line="400" w:lineRule="exact"/>
              <w:rPr>
                <w:rFonts w:ascii="宋体" w:hAnsi="宋体" w:cs="宋体"/>
                <w:color w:val="000000" w:themeColor="text1"/>
                <w:szCs w:val="21"/>
                <w:highlight w:val="none"/>
                <w14:textFill>
                  <w14:solidFill>
                    <w14:schemeClr w14:val="tx1"/>
                  </w14:solidFill>
                </w14:textFill>
              </w:rPr>
            </w:pPr>
          </w:p>
        </w:tc>
        <w:tc>
          <w:tcPr>
            <w:tcW w:w="2163" w:type="dxa"/>
            <w:noWrap w:val="0"/>
            <w:vAlign w:val="top"/>
          </w:tcPr>
          <w:p w14:paraId="0C3B7F4A">
            <w:pPr>
              <w:spacing w:line="400" w:lineRule="exact"/>
              <w:rPr>
                <w:rFonts w:ascii="宋体" w:hAnsi="宋体" w:cs="宋体"/>
                <w:color w:val="000000" w:themeColor="text1"/>
                <w:szCs w:val="21"/>
                <w:highlight w:val="none"/>
                <w14:textFill>
                  <w14:solidFill>
                    <w14:schemeClr w14:val="tx1"/>
                  </w14:solidFill>
                </w14:textFill>
              </w:rPr>
            </w:pPr>
          </w:p>
        </w:tc>
        <w:tc>
          <w:tcPr>
            <w:tcW w:w="1477" w:type="dxa"/>
            <w:noWrap w:val="0"/>
            <w:vAlign w:val="top"/>
          </w:tcPr>
          <w:p w14:paraId="14BF185A">
            <w:pPr>
              <w:spacing w:line="400" w:lineRule="exact"/>
              <w:rPr>
                <w:rFonts w:ascii="宋体" w:hAnsi="宋体" w:cs="宋体"/>
                <w:color w:val="000000" w:themeColor="text1"/>
                <w:szCs w:val="21"/>
                <w:highlight w:val="none"/>
                <w14:textFill>
                  <w14:solidFill>
                    <w14:schemeClr w14:val="tx1"/>
                  </w14:solidFill>
                </w14:textFill>
              </w:rPr>
            </w:pPr>
          </w:p>
        </w:tc>
      </w:tr>
      <w:tr w14:paraId="3FFA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213D26C6">
            <w:pPr>
              <w:spacing w:line="400" w:lineRule="exact"/>
              <w:rPr>
                <w:rFonts w:ascii="宋体" w:hAnsi="宋体" w:cs="宋体"/>
                <w:color w:val="000000" w:themeColor="text1"/>
                <w:szCs w:val="21"/>
                <w:highlight w:val="none"/>
                <w14:textFill>
                  <w14:solidFill>
                    <w14:schemeClr w14:val="tx1"/>
                  </w14:solidFill>
                </w14:textFill>
              </w:rPr>
            </w:pPr>
          </w:p>
        </w:tc>
        <w:tc>
          <w:tcPr>
            <w:tcW w:w="993" w:type="dxa"/>
            <w:noWrap w:val="0"/>
            <w:vAlign w:val="top"/>
          </w:tcPr>
          <w:p w14:paraId="3A9F2283">
            <w:pPr>
              <w:spacing w:line="400" w:lineRule="exact"/>
              <w:rPr>
                <w:rFonts w:ascii="宋体" w:hAnsi="宋体" w:cs="宋体"/>
                <w:color w:val="000000" w:themeColor="text1"/>
                <w:szCs w:val="21"/>
                <w:highlight w:val="none"/>
                <w14:textFill>
                  <w14:solidFill>
                    <w14:schemeClr w14:val="tx1"/>
                  </w14:solidFill>
                </w14:textFill>
              </w:rPr>
            </w:pPr>
          </w:p>
        </w:tc>
        <w:tc>
          <w:tcPr>
            <w:tcW w:w="1888" w:type="dxa"/>
            <w:noWrap w:val="0"/>
            <w:vAlign w:val="top"/>
          </w:tcPr>
          <w:p w14:paraId="71D979AA">
            <w:pPr>
              <w:spacing w:line="400" w:lineRule="exact"/>
              <w:rPr>
                <w:rFonts w:ascii="宋体" w:hAnsi="宋体" w:cs="宋体"/>
                <w:color w:val="000000" w:themeColor="text1"/>
                <w:szCs w:val="21"/>
                <w:highlight w:val="none"/>
                <w14:textFill>
                  <w14:solidFill>
                    <w14:schemeClr w14:val="tx1"/>
                  </w14:solidFill>
                </w14:textFill>
              </w:rPr>
            </w:pPr>
          </w:p>
        </w:tc>
        <w:tc>
          <w:tcPr>
            <w:tcW w:w="1559" w:type="dxa"/>
            <w:noWrap w:val="0"/>
            <w:vAlign w:val="top"/>
          </w:tcPr>
          <w:p w14:paraId="15B03A17">
            <w:pPr>
              <w:spacing w:line="400" w:lineRule="exact"/>
              <w:rPr>
                <w:rFonts w:ascii="宋体" w:hAnsi="宋体" w:cs="宋体"/>
                <w:color w:val="000000" w:themeColor="text1"/>
                <w:szCs w:val="21"/>
                <w:highlight w:val="none"/>
                <w14:textFill>
                  <w14:solidFill>
                    <w14:schemeClr w14:val="tx1"/>
                  </w14:solidFill>
                </w14:textFill>
              </w:rPr>
            </w:pPr>
          </w:p>
        </w:tc>
        <w:tc>
          <w:tcPr>
            <w:tcW w:w="2163" w:type="dxa"/>
            <w:noWrap w:val="0"/>
            <w:vAlign w:val="top"/>
          </w:tcPr>
          <w:p w14:paraId="0319BA60">
            <w:pPr>
              <w:spacing w:line="400" w:lineRule="exact"/>
              <w:rPr>
                <w:rFonts w:ascii="宋体" w:hAnsi="宋体" w:cs="宋体"/>
                <w:color w:val="000000" w:themeColor="text1"/>
                <w:szCs w:val="21"/>
                <w:highlight w:val="none"/>
                <w14:textFill>
                  <w14:solidFill>
                    <w14:schemeClr w14:val="tx1"/>
                  </w14:solidFill>
                </w14:textFill>
              </w:rPr>
            </w:pPr>
          </w:p>
        </w:tc>
        <w:tc>
          <w:tcPr>
            <w:tcW w:w="1477" w:type="dxa"/>
            <w:noWrap w:val="0"/>
            <w:vAlign w:val="top"/>
          </w:tcPr>
          <w:p w14:paraId="32A5BF87">
            <w:pPr>
              <w:spacing w:line="400" w:lineRule="exact"/>
              <w:rPr>
                <w:rFonts w:ascii="宋体" w:hAnsi="宋体" w:cs="宋体"/>
                <w:color w:val="000000" w:themeColor="text1"/>
                <w:szCs w:val="21"/>
                <w:highlight w:val="none"/>
                <w14:textFill>
                  <w14:solidFill>
                    <w14:schemeClr w14:val="tx1"/>
                  </w14:solidFill>
                </w14:textFill>
              </w:rPr>
            </w:pPr>
          </w:p>
        </w:tc>
      </w:tr>
    </w:tbl>
    <w:p w14:paraId="058CE44B">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注：1.在填写时，如本表格不适合供应商的实际情况，可根据本表格式自行制表填写。</w:t>
      </w:r>
    </w:p>
    <w:p w14:paraId="5E4D6CCC">
      <w:pPr>
        <w:spacing w:line="400" w:lineRule="exact"/>
        <w:ind w:left="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2.项目实施人员一览表须由法定代表人、负责人、自然人或相应的委托代理人签字</w:t>
      </w:r>
      <w:r>
        <w:rPr>
          <w:color w:val="000000" w:themeColor="text1"/>
          <w:highlight w:val="none"/>
          <w14:textFill>
            <w14:solidFill>
              <w14:schemeClr w14:val="tx1"/>
            </w14:solidFill>
          </w14:textFill>
        </w:rPr>
        <w:t>（属自然人的应在签名处加盖大拇指指印）</w:t>
      </w:r>
      <w:r>
        <w:rPr>
          <w:color w:val="000000" w:themeColor="text1"/>
          <w:szCs w:val="21"/>
          <w:highlight w:val="none"/>
          <w14:textFill>
            <w14:solidFill>
              <w14:schemeClr w14:val="tx1"/>
            </w14:solidFill>
          </w14:textFill>
        </w:rPr>
        <w:t>并加盖供应商公章</w:t>
      </w:r>
      <w:r>
        <w:rPr>
          <w:color w:val="000000" w:themeColor="text1"/>
          <w:highlight w:val="none"/>
          <w14:textFill>
            <w14:solidFill>
              <w14:schemeClr w14:val="tx1"/>
            </w14:solidFill>
          </w14:textFill>
        </w:rPr>
        <w:t>（自然人除外）</w:t>
      </w:r>
      <w:r>
        <w:rPr>
          <w:color w:val="000000" w:themeColor="text1"/>
          <w:szCs w:val="21"/>
          <w:highlight w:val="none"/>
          <w14:textFill>
            <w14:solidFill>
              <w14:schemeClr w14:val="tx1"/>
            </w14:solidFill>
          </w14:textFill>
        </w:rPr>
        <w:t>。</w:t>
      </w:r>
    </w:p>
    <w:p w14:paraId="5FD238F4">
      <w:pPr>
        <w:pStyle w:val="21"/>
        <w:spacing w:line="400" w:lineRule="exact"/>
        <w:rPr>
          <w:rFonts w:ascii="Times New Roman" w:hAnsi="Times New Roman"/>
          <w:color w:val="000000" w:themeColor="text1"/>
          <w:highlight w:val="none"/>
          <w14:textFill>
            <w14:solidFill>
              <w14:schemeClr w14:val="tx1"/>
            </w14:solidFill>
          </w14:textFill>
        </w:rPr>
      </w:pPr>
    </w:p>
    <w:p w14:paraId="2B54330A">
      <w:pPr>
        <w:spacing w:line="400" w:lineRule="exact"/>
        <w:ind w:firstLine="3570"/>
        <w:rPr>
          <w:rFonts w:ascii="Times New Roman" w:hAnsi="Times New Roman"/>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公章(CA签章)，自然人签字或个人CA签章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51C7E84F">
      <w:pPr>
        <w:pStyle w:val="21"/>
        <w:ind w:firstLine="3400"/>
        <w:rPr>
          <w:rFonts w:ascii="Times New Roman" w:hAnsi="Times New Roman"/>
          <w:color w:val="000000" w:themeColor="text1"/>
          <w:highlight w:val="none"/>
          <w14:textFill>
            <w14:solidFill>
              <w14:schemeClr w14:val="tx1"/>
            </w14:solidFill>
          </w14:textFill>
        </w:rPr>
      </w:pPr>
    </w:p>
    <w:p w14:paraId="0D7D4BFD">
      <w:pPr>
        <w:pStyle w:val="21"/>
        <w:ind w:firstLine="3400"/>
        <w:rPr>
          <w:rFonts w:hint="eastAsia" w:cs="宋体"/>
          <w:color w:val="000000" w:themeColor="text1"/>
          <w:sz w:val="30"/>
          <w:szCs w:val="30"/>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日          期：</w:t>
      </w:r>
      <w:r>
        <w:rPr>
          <w:rFonts w:ascii="Times New Roman" w:hAnsi="Times New Roman"/>
          <w:color w:val="000000" w:themeColor="text1"/>
          <w:highlight w:val="none"/>
          <w:u w:val="single"/>
          <w14:textFill>
            <w14:solidFill>
              <w14:schemeClr w14:val="tx1"/>
            </w14:solidFill>
          </w14:textFill>
        </w:rPr>
        <w:t xml:space="preserve">                             </w:t>
      </w:r>
    </w:p>
    <w:p w14:paraId="43DD6D8E">
      <w:pPr>
        <w:spacing w:line="360" w:lineRule="auto"/>
        <w:rPr>
          <w:rFonts w:hint="eastAsia" w:ascii="宋体" w:cs="宋体"/>
          <w:b/>
          <w:bCs/>
          <w:color w:val="000000" w:themeColor="text1"/>
          <w:sz w:val="28"/>
          <w:szCs w:val="28"/>
          <w:highlight w:val="none"/>
          <w14:textFill>
            <w14:solidFill>
              <w14:schemeClr w14:val="tx1"/>
            </w14:solidFill>
          </w14:textFill>
        </w:rPr>
      </w:pPr>
      <w:r>
        <w:rPr>
          <w:rFonts w:hint="eastAsia" w:ascii="宋体" w:cs="宋体"/>
          <w:b/>
          <w:bCs/>
          <w:color w:val="000000" w:themeColor="text1"/>
          <w:sz w:val="28"/>
          <w:szCs w:val="28"/>
          <w:highlight w:val="none"/>
          <w14:textFill>
            <w14:solidFill>
              <w14:schemeClr w14:val="tx1"/>
            </w14:solidFill>
          </w14:textFill>
        </w:rPr>
        <w:t>注：供应商根据自身情况结合本项目自行制定</w:t>
      </w:r>
    </w:p>
    <w:p w14:paraId="3B064A4A">
      <w:pPr>
        <w:rPr>
          <w:rFonts w:hint="eastAsia" w:ascii="宋体" w:cs="宋体"/>
          <w:b/>
          <w:bCs/>
          <w:color w:val="000000" w:themeColor="text1"/>
          <w:sz w:val="28"/>
          <w:szCs w:val="28"/>
          <w:highlight w:val="none"/>
          <w14:textFill>
            <w14:solidFill>
              <w14:schemeClr w14:val="tx1"/>
            </w14:solidFill>
          </w14:textFill>
        </w:rPr>
      </w:pPr>
    </w:p>
    <w:p w14:paraId="6006C492">
      <w:pPr>
        <w:pStyle w:val="13"/>
        <w:ind w:firstLine="0"/>
        <w:rPr>
          <w:rFonts w:hint="eastAsia"/>
          <w:color w:val="000000" w:themeColor="text1"/>
          <w:sz w:val="28"/>
          <w:szCs w:val="28"/>
          <w:highlight w:val="none"/>
          <w14:textFill>
            <w14:solidFill>
              <w14:schemeClr w14:val="tx1"/>
            </w14:solidFill>
          </w14:textFill>
        </w:rPr>
      </w:pPr>
    </w:p>
    <w:p w14:paraId="4F1EA315">
      <w:pPr>
        <w:rPr>
          <w:rFonts w:hint="eastAsia"/>
          <w:color w:val="000000" w:themeColor="text1"/>
          <w:sz w:val="28"/>
          <w:szCs w:val="28"/>
          <w:highlight w:val="none"/>
          <w14:textFill>
            <w14:solidFill>
              <w14:schemeClr w14:val="tx1"/>
            </w14:solidFill>
          </w14:textFill>
        </w:rPr>
      </w:pPr>
    </w:p>
    <w:p w14:paraId="0B530CD4">
      <w:pPr>
        <w:tabs>
          <w:tab w:val="left" w:pos="1305"/>
        </w:tabs>
        <w:spacing w:line="40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2.节能方面的证书扫描件加盖电子签章（如有，请提供）；</w:t>
      </w:r>
    </w:p>
    <w:p w14:paraId="0C551318">
      <w:pPr>
        <w:tabs>
          <w:tab w:val="left" w:pos="1305"/>
        </w:tabs>
        <w:spacing w:line="400" w:lineRule="exact"/>
        <w:rPr>
          <w:rFonts w:hint="eastAsia" w:ascii="宋体" w:hAnsi="宋体" w:cs="宋体"/>
          <w:b/>
          <w:bCs/>
          <w:color w:val="000000" w:themeColor="text1"/>
          <w:sz w:val="28"/>
          <w:szCs w:val="28"/>
          <w:highlight w:val="none"/>
          <w14:textFill>
            <w14:solidFill>
              <w14:schemeClr w14:val="tx1"/>
            </w14:solidFill>
          </w14:textFill>
        </w:rPr>
      </w:pPr>
    </w:p>
    <w:p w14:paraId="7318292F">
      <w:pPr>
        <w:tabs>
          <w:tab w:val="left" w:pos="1305"/>
        </w:tabs>
        <w:spacing w:line="400" w:lineRule="exact"/>
        <w:rPr>
          <w:rFonts w:hint="eastAsia" w:ascii="宋体" w:hAnsi="宋体" w:cs="宋体"/>
          <w:b/>
          <w:bCs/>
          <w:color w:val="000000" w:themeColor="text1"/>
          <w:sz w:val="28"/>
          <w:szCs w:val="28"/>
          <w:highlight w:val="none"/>
          <w14:textFill>
            <w14:solidFill>
              <w14:schemeClr w14:val="tx1"/>
            </w14:solidFill>
          </w14:textFill>
        </w:rPr>
      </w:pPr>
    </w:p>
    <w:p w14:paraId="11143CA6">
      <w:pPr>
        <w:tabs>
          <w:tab w:val="left" w:pos="1305"/>
        </w:tabs>
        <w:spacing w:line="400" w:lineRule="exact"/>
        <w:rPr>
          <w:rFonts w:hint="eastAsia" w:ascii="宋体" w:hAnsi="宋体" w:cs="宋体"/>
          <w:b/>
          <w:bCs/>
          <w:color w:val="000000" w:themeColor="text1"/>
          <w:sz w:val="28"/>
          <w:szCs w:val="28"/>
          <w:highlight w:val="none"/>
          <w14:textFill>
            <w14:solidFill>
              <w14:schemeClr w14:val="tx1"/>
            </w14:solidFill>
          </w14:textFill>
        </w:rPr>
      </w:pPr>
    </w:p>
    <w:p w14:paraId="07B1E0A1">
      <w:pPr>
        <w:tabs>
          <w:tab w:val="left" w:pos="1305"/>
        </w:tabs>
        <w:spacing w:line="400" w:lineRule="exact"/>
        <w:rPr>
          <w:rFonts w:hint="eastAsia" w:ascii="宋体" w:hAnsi="宋体" w:cs="宋体"/>
          <w:b/>
          <w:bCs/>
          <w:color w:val="000000" w:themeColor="text1"/>
          <w:sz w:val="28"/>
          <w:szCs w:val="28"/>
          <w:highlight w:val="none"/>
          <w14:textFill>
            <w14:solidFill>
              <w14:schemeClr w14:val="tx1"/>
            </w14:solidFill>
          </w14:textFill>
        </w:rPr>
      </w:pPr>
    </w:p>
    <w:p w14:paraId="2AE4F0B6">
      <w:pPr>
        <w:tabs>
          <w:tab w:val="left" w:pos="1305"/>
        </w:tabs>
        <w:spacing w:line="40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3.环境标志方面的证书扫描件加盖电子签章（如有，请提供）；</w:t>
      </w:r>
    </w:p>
    <w:p w14:paraId="791B5697">
      <w:pPr>
        <w:tabs>
          <w:tab w:val="left" w:pos="1305"/>
        </w:tabs>
        <w:spacing w:line="400" w:lineRule="exact"/>
        <w:rPr>
          <w:rFonts w:hint="eastAsia" w:ascii="宋体" w:hAnsi="宋体" w:cs="宋体"/>
          <w:b/>
          <w:bCs/>
          <w:color w:val="000000" w:themeColor="text1"/>
          <w:sz w:val="28"/>
          <w:szCs w:val="28"/>
          <w:highlight w:val="none"/>
          <w14:textFill>
            <w14:solidFill>
              <w14:schemeClr w14:val="tx1"/>
            </w14:solidFill>
          </w14:textFill>
        </w:rPr>
      </w:pPr>
    </w:p>
    <w:p w14:paraId="48FEB6DA">
      <w:pPr>
        <w:tabs>
          <w:tab w:val="left" w:pos="1305"/>
        </w:tabs>
        <w:spacing w:line="400" w:lineRule="exact"/>
        <w:rPr>
          <w:rFonts w:hint="eastAsia" w:ascii="宋体" w:hAnsi="宋体" w:cs="宋体"/>
          <w:b/>
          <w:bCs/>
          <w:color w:val="000000" w:themeColor="text1"/>
          <w:sz w:val="28"/>
          <w:szCs w:val="28"/>
          <w:highlight w:val="none"/>
          <w14:textFill>
            <w14:solidFill>
              <w14:schemeClr w14:val="tx1"/>
            </w14:solidFill>
          </w14:textFill>
        </w:rPr>
      </w:pPr>
    </w:p>
    <w:p w14:paraId="116112EA">
      <w:pPr>
        <w:tabs>
          <w:tab w:val="left" w:pos="1305"/>
        </w:tabs>
        <w:spacing w:line="400" w:lineRule="exact"/>
        <w:rPr>
          <w:rFonts w:hint="eastAsia" w:ascii="宋体" w:hAnsi="宋体" w:cs="宋体"/>
          <w:b/>
          <w:bCs/>
          <w:color w:val="000000" w:themeColor="text1"/>
          <w:sz w:val="28"/>
          <w:szCs w:val="28"/>
          <w:highlight w:val="none"/>
          <w14:textFill>
            <w14:solidFill>
              <w14:schemeClr w14:val="tx1"/>
            </w14:solidFill>
          </w14:textFill>
        </w:rPr>
      </w:pPr>
    </w:p>
    <w:p w14:paraId="42617017">
      <w:pPr>
        <w:tabs>
          <w:tab w:val="left" w:pos="1305"/>
        </w:tabs>
        <w:spacing w:line="400" w:lineRule="exact"/>
        <w:rPr>
          <w:rFonts w:hint="eastAsia" w:ascii="宋体" w:hAnsi="宋体" w:cs="宋体"/>
          <w:b/>
          <w:bCs/>
          <w:color w:val="000000" w:themeColor="text1"/>
          <w:sz w:val="28"/>
          <w:szCs w:val="28"/>
          <w:highlight w:val="none"/>
          <w14:textFill>
            <w14:solidFill>
              <w14:schemeClr w14:val="tx1"/>
            </w14:solidFill>
          </w14:textFill>
        </w:rPr>
      </w:pPr>
    </w:p>
    <w:p w14:paraId="22B08A59">
      <w:pPr>
        <w:tabs>
          <w:tab w:val="left" w:pos="1305"/>
        </w:tabs>
        <w:spacing w:line="40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4.供应商自2023年1月1日以来具有同类产品的销售业绩 [以中标（成交）通知书或采购合同扫描件加盖电子签章为准（能清晰反映所销售的货物名称、种类、金额)，否则将不予计分；同一个编号的项目有两个或两个以上的分标中标的只算一次]（如有，请提供）；</w:t>
      </w:r>
    </w:p>
    <w:p w14:paraId="725B27E8">
      <w:pPr>
        <w:pStyle w:val="41"/>
        <w:ind w:left="0" w:firstLine="0"/>
        <w:rPr>
          <w:rFonts w:hint="eastAsia"/>
          <w:color w:val="000000" w:themeColor="text1"/>
          <w:sz w:val="28"/>
          <w:szCs w:val="28"/>
          <w:highlight w:val="none"/>
          <w14:textFill>
            <w14:solidFill>
              <w14:schemeClr w14:val="tx1"/>
            </w14:solidFill>
          </w14:textFill>
        </w:rPr>
      </w:pPr>
      <w:bookmarkStart w:id="1009" w:name="_Toc497927091"/>
      <w:bookmarkEnd w:id="1009"/>
      <w:bookmarkStart w:id="1010" w:name="_Toc11660"/>
      <w:bookmarkEnd w:id="1010"/>
      <w:bookmarkStart w:id="1011" w:name="_Toc9978"/>
      <w:bookmarkEnd w:id="1011"/>
    </w:p>
    <w:p w14:paraId="799B3915">
      <w:pPr>
        <w:pStyle w:val="21"/>
        <w:spacing w:line="340" w:lineRule="exact"/>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5.《中小企业声明函》（见附件）（如有，请提供）；</w:t>
      </w:r>
    </w:p>
    <w:p w14:paraId="3313BD02">
      <w:pPr>
        <w:pStyle w:val="21"/>
        <w:rPr>
          <w:rFonts w:hint="eastAsia" w:ascii="Times New Roman" w:hAnsi="Times New Roman"/>
          <w:b/>
          <w:bCs/>
          <w:color w:val="000000" w:themeColor="text1"/>
          <w:sz w:val="32"/>
          <w:szCs w:val="32"/>
          <w:highlight w:val="none"/>
          <w14:textFill>
            <w14:solidFill>
              <w14:schemeClr w14:val="tx1"/>
            </w14:solidFill>
          </w14:textFill>
        </w:rPr>
      </w:pPr>
      <w:r>
        <w:rPr>
          <w:rFonts w:hint="eastAsia" w:ascii="Times New Roman" w:hAnsi="Times New Roman"/>
          <w:b/>
          <w:bCs/>
          <w:color w:val="000000" w:themeColor="text1"/>
          <w:sz w:val="32"/>
          <w:szCs w:val="32"/>
          <w:highlight w:val="none"/>
          <w14:textFill>
            <w14:solidFill>
              <w14:schemeClr w14:val="tx1"/>
            </w14:solidFill>
          </w14:textFill>
        </w:rPr>
        <w:t>附件：</w:t>
      </w:r>
    </w:p>
    <w:p w14:paraId="2A0C79BB">
      <w:pPr>
        <w:pStyle w:val="240"/>
        <w:spacing w:after="0" w:line="400" w:lineRule="exact"/>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中小企业声明函(货物)</w:t>
      </w:r>
    </w:p>
    <w:p w14:paraId="5D79559E">
      <w:pPr>
        <w:pStyle w:val="240"/>
        <w:spacing w:after="0" w:line="400" w:lineRule="exact"/>
        <w:rPr>
          <w:rFonts w:hint="eastAsia"/>
          <w:color w:val="000000" w:themeColor="text1"/>
          <w:sz w:val="24"/>
          <w:szCs w:val="24"/>
          <w:highlight w:val="none"/>
          <w14:textFill>
            <w14:solidFill>
              <w14:schemeClr w14:val="tx1"/>
            </w14:solidFill>
          </w14:textFill>
        </w:rPr>
      </w:pPr>
    </w:p>
    <w:p w14:paraId="6947D2DE">
      <w:pPr>
        <w:pStyle w:val="236"/>
        <w:spacing w:line="400" w:lineRule="exact"/>
        <w:ind w:firstLine="64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本公司（联合体）郑重声明，根据《政府采购促进中小企业发展管理办法》（财库〔2020〕46号）的规定，本公司 （联合体）参加</w:t>
      </w:r>
      <w:r>
        <w:rPr>
          <w:rFonts w:hint="eastAsia"/>
          <w:color w:val="000000" w:themeColor="text1"/>
          <w:sz w:val="24"/>
          <w:szCs w:val="24"/>
          <w:highlight w:val="none"/>
          <w:u w:val="single"/>
          <w14:textFill>
            <w14:solidFill>
              <w14:schemeClr w14:val="tx1"/>
            </w14:solidFill>
          </w14:textFill>
        </w:rPr>
        <w:t>（单位名称）</w:t>
      </w:r>
      <w:r>
        <w:rPr>
          <w:rFonts w:hint="eastAsia"/>
          <w:color w:val="000000" w:themeColor="text1"/>
          <w:sz w:val="24"/>
          <w:szCs w:val="24"/>
          <w:highlight w:val="none"/>
          <w14:textFill>
            <w14:solidFill>
              <w14:schemeClr w14:val="tx1"/>
            </w14:solidFill>
          </w14:textFill>
        </w:rPr>
        <w:t>的</w:t>
      </w:r>
      <w:r>
        <w:rPr>
          <w:rFonts w:hint="eastAsia"/>
          <w:color w:val="000000" w:themeColor="text1"/>
          <w:sz w:val="24"/>
          <w:szCs w:val="24"/>
          <w:highlight w:val="none"/>
          <w:u w:val="single"/>
          <w14:textFill>
            <w14:solidFill>
              <w14:schemeClr w14:val="tx1"/>
            </w14:solidFill>
          </w14:textFill>
        </w:rPr>
        <w:t>（项目名称）</w:t>
      </w:r>
      <w:r>
        <w:rPr>
          <w:rFonts w:hint="eastAsia"/>
          <w:color w:val="000000" w:themeColor="text1"/>
          <w:sz w:val="24"/>
          <w:szCs w:val="24"/>
          <w:highlight w:val="none"/>
          <w14:textFill>
            <w14:solidFill>
              <w14:schemeClr w14:val="tx1"/>
            </w14:solidFill>
          </w14:textFill>
        </w:rPr>
        <w:t>釆购活动,提供的货物全部由符合政策要求的中小企业制造。相关企业（含联合体中的中小企业、签订分包意向协议的中小企业）的具体情况如下：</w:t>
      </w:r>
    </w:p>
    <w:p w14:paraId="5E31CE05">
      <w:pPr>
        <w:pStyle w:val="236"/>
        <w:spacing w:line="400" w:lineRule="exact"/>
        <w:ind w:firstLine="64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u w:val="single"/>
          <w14:textFill>
            <w14:solidFill>
              <w14:schemeClr w14:val="tx1"/>
            </w14:solidFill>
          </w14:textFill>
        </w:rPr>
        <w:t xml:space="preserve">     （标的名称）</w:t>
      </w:r>
      <w:r>
        <w:rPr>
          <w:rFonts w:hint="eastAsia"/>
          <w:color w:val="000000" w:themeColor="text1"/>
          <w:sz w:val="24"/>
          <w:szCs w:val="24"/>
          <w:highlight w:val="none"/>
          <w14:textFill>
            <w14:solidFill>
              <w14:schemeClr w14:val="tx1"/>
            </w14:solidFill>
          </w14:textFill>
        </w:rPr>
        <w:t>，属于</w:t>
      </w:r>
      <w:r>
        <w:rPr>
          <w:rFonts w:hint="eastAsia"/>
          <w:color w:val="000000" w:themeColor="text1"/>
          <w:sz w:val="24"/>
          <w:szCs w:val="24"/>
          <w:highlight w:val="none"/>
          <w:u w:val="single"/>
          <w14:textFill>
            <w14:solidFill>
              <w14:schemeClr w14:val="tx1"/>
            </w14:solidFill>
          </w14:textFill>
        </w:rPr>
        <w:t xml:space="preserve">     （釆购文件中明确的所属行业）行业</w:t>
      </w:r>
      <w:r>
        <w:rPr>
          <w:rFonts w:hint="eastAsia"/>
          <w:color w:val="000000" w:themeColor="text1"/>
          <w:sz w:val="24"/>
          <w:szCs w:val="24"/>
          <w:highlight w:val="none"/>
          <w14:textFill>
            <w14:solidFill>
              <w14:schemeClr w14:val="tx1"/>
            </w14:solidFill>
          </w14:textFill>
        </w:rPr>
        <w:t>；制造商为</w:t>
      </w:r>
      <w:r>
        <w:rPr>
          <w:rFonts w:hint="eastAsia"/>
          <w:color w:val="000000" w:themeColor="text1"/>
          <w:sz w:val="24"/>
          <w:szCs w:val="24"/>
          <w:highlight w:val="none"/>
          <w:u w:val="single"/>
          <w14:textFill>
            <w14:solidFill>
              <w14:schemeClr w14:val="tx1"/>
            </w14:solidFill>
          </w14:textFill>
        </w:rPr>
        <w:t>（企业名称）</w:t>
      </w:r>
      <w:r>
        <w:rPr>
          <w:rFonts w:hint="eastAsia"/>
          <w:color w:val="000000" w:themeColor="text1"/>
          <w:sz w:val="24"/>
          <w:szCs w:val="24"/>
          <w:highlight w:val="none"/>
          <w14:textFill>
            <w14:solidFill>
              <w14:schemeClr w14:val="tx1"/>
            </w14:solidFill>
          </w14:textFill>
        </w:rPr>
        <w:t>，从业人员</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ab/>
      </w:r>
      <w:r>
        <w:rPr>
          <w:rFonts w:hint="eastAsia"/>
          <w:color w:val="000000" w:themeColor="text1"/>
          <w:sz w:val="24"/>
          <w:szCs w:val="24"/>
          <w:highlight w:val="none"/>
          <w14:textFill>
            <w14:solidFill>
              <w14:schemeClr w14:val="tx1"/>
            </w14:solidFill>
          </w14:textFill>
        </w:rPr>
        <w:t>人，营业收入为</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万元，资产总额为</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万元，属于</w:t>
      </w:r>
      <w:r>
        <w:rPr>
          <w:rFonts w:hint="eastAsia"/>
          <w:color w:val="000000" w:themeColor="text1"/>
          <w:sz w:val="24"/>
          <w:szCs w:val="24"/>
          <w:highlight w:val="none"/>
          <w:u w:val="single"/>
          <w14:textFill>
            <w14:solidFill>
              <w14:schemeClr w14:val="tx1"/>
            </w14:solidFill>
          </w14:textFill>
        </w:rPr>
        <w:t>（中型企业、小型企业、微型企业）</w:t>
      </w:r>
      <w:r>
        <w:rPr>
          <w:rFonts w:hint="eastAsia"/>
          <w:color w:val="000000" w:themeColor="text1"/>
          <w:sz w:val="24"/>
          <w:szCs w:val="24"/>
          <w:highlight w:val="none"/>
          <w14:textFill>
            <w14:solidFill>
              <w14:schemeClr w14:val="tx1"/>
            </w14:solidFill>
          </w14:textFill>
        </w:rPr>
        <w:t xml:space="preserve">； </w:t>
      </w:r>
    </w:p>
    <w:p w14:paraId="60A5C0E3">
      <w:pPr>
        <w:pStyle w:val="236"/>
        <w:spacing w:line="400" w:lineRule="exact"/>
        <w:ind w:firstLine="64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rFonts w:hint="eastAsia"/>
          <w:color w:val="000000" w:themeColor="text1"/>
          <w:sz w:val="24"/>
          <w:szCs w:val="24"/>
          <w:highlight w:val="none"/>
          <w:u w:val="single"/>
          <w14:textFill>
            <w14:solidFill>
              <w14:schemeClr w14:val="tx1"/>
            </w14:solidFill>
          </w14:textFill>
        </w:rPr>
        <w:t xml:space="preserve">    （标的名称）</w:t>
      </w:r>
      <w:r>
        <w:rPr>
          <w:rFonts w:hint="eastAsia"/>
          <w:color w:val="000000" w:themeColor="text1"/>
          <w:sz w:val="24"/>
          <w:szCs w:val="24"/>
          <w:highlight w:val="none"/>
          <w14:textFill>
            <w14:solidFill>
              <w14:schemeClr w14:val="tx1"/>
            </w14:solidFill>
          </w14:textFill>
        </w:rPr>
        <w:t>，属于</w:t>
      </w:r>
      <w:r>
        <w:rPr>
          <w:rFonts w:hint="eastAsia"/>
          <w:color w:val="000000" w:themeColor="text1"/>
          <w:sz w:val="24"/>
          <w:szCs w:val="24"/>
          <w:highlight w:val="none"/>
          <w:u w:val="single"/>
          <w14:textFill>
            <w14:solidFill>
              <w14:schemeClr w14:val="tx1"/>
            </w14:solidFill>
          </w14:textFill>
        </w:rPr>
        <w:t xml:space="preserve">     （釆购文件中明确的所属行业）行业</w:t>
      </w:r>
      <w:r>
        <w:rPr>
          <w:rFonts w:hint="eastAsia"/>
          <w:color w:val="000000" w:themeColor="text1"/>
          <w:sz w:val="24"/>
          <w:szCs w:val="24"/>
          <w:highlight w:val="none"/>
          <w14:textFill>
            <w14:solidFill>
              <w14:schemeClr w14:val="tx1"/>
            </w14:solidFill>
          </w14:textFill>
        </w:rPr>
        <w:t>；制造商为</w:t>
      </w:r>
      <w:r>
        <w:rPr>
          <w:rFonts w:hint="eastAsia"/>
          <w:color w:val="000000" w:themeColor="text1"/>
          <w:sz w:val="24"/>
          <w:szCs w:val="24"/>
          <w:highlight w:val="none"/>
          <w:u w:val="single"/>
          <w14:textFill>
            <w14:solidFill>
              <w14:schemeClr w14:val="tx1"/>
            </w14:solidFill>
          </w14:textFill>
        </w:rPr>
        <w:t>（企业名称）</w:t>
      </w:r>
      <w:r>
        <w:rPr>
          <w:rFonts w:hint="eastAsia"/>
          <w:color w:val="000000" w:themeColor="text1"/>
          <w:sz w:val="24"/>
          <w:szCs w:val="24"/>
          <w:highlight w:val="none"/>
          <w14:textFill>
            <w14:solidFill>
              <w14:schemeClr w14:val="tx1"/>
            </w14:solidFill>
          </w14:textFill>
        </w:rPr>
        <w:t>、从业人员</w:t>
      </w:r>
      <w:r>
        <w:rPr>
          <w:rFonts w:hint="eastAsia"/>
          <w:color w:val="000000" w:themeColor="text1"/>
          <w:sz w:val="24"/>
          <w:szCs w:val="24"/>
          <w:highlight w:val="none"/>
          <w:u w:val="single"/>
          <w14:textFill>
            <w14:solidFill>
              <w14:schemeClr w14:val="tx1"/>
            </w14:solidFill>
          </w14:textFill>
        </w:rPr>
        <w:tab/>
      </w:r>
      <w:r>
        <w:rPr>
          <w:rFonts w:hint="eastAsia"/>
          <w:color w:val="000000" w:themeColor="text1"/>
          <w:sz w:val="24"/>
          <w:szCs w:val="24"/>
          <w:highlight w:val="none"/>
          <w14:textFill>
            <w14:solidFill>
              <w14:schemeClr w14:val="tx1"/>
            </w14:solidFill>
          </w14:textFill>
        </w:rPr>
        <w:t>人，营业收入为</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万元，资产总额为</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万元，属于</w:t>
      </w:r>
      <w:r>
        <w:rPr>
          <w:rFonts w:hint="eastAsia"/>
          <w:color w:val="000000" w:themeColor="text1"/>
          <w:sz w:val="24"/>
          <w:szCs w:val="24"/>
          <w:highlight w:val="none"/>
          <w:u w:val="single"/>
          <w14:textFill>
            <w14:solidFill>
              <w14:schemeClr w14:val="tx1"/>
            </w14:solidFill>
          </w14:textFill>
        </w:rPr>
        <w:t>（中型企业、小型 企业、微型企业）</w:t>
      </w:r>
      <w:r>
        <w:rPr>
          <w:rFonts w:hint="eastAsia"/>
          <w:color w:val="000000" w:themeColor="text1"/>
          <w:sz w:val="24"/>
          <w:szCs w:val="24"/>
          <w:highlight w:val="none"/>
          <w14:textFill>
            <w14:solidFill>
              <w14:schemeClr w14:val="tx1"/>
            </w14:solidFill>
          </w14:textFill>
        </w:rPr>
        <w:t>；</w:t>
      </w:r>
    </w:p>
    <w:p w14:paraId="0434634E">
      <w:pPr>
        <w:pStyle w:val="236"/>
        <w:spacing w:line="400" w:lineRule="exact"/>
        <w:ind w:firstLine="64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p>
    <w:p w14:paraId="5A781F17">
      <w:pPr>
        <w:pStyle w:val="236"/>
        <w:spacing w:line="400" w:lineRule="exact"/>
        <w:ind w:firstLine="64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1E185302">
      <w:pPr>
        <w:pStyle w:val="236"/>
        <w:spacing w:after="40" w:line="400" w:lineRule="exact"/>
        <w:ind w:firstLine="64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本企业对上述声明内容的真实性负责。如有虚假，将依法承担相应责任。</w:t>
      </w:r>
    </w:p>
    <w:p w14:paraId="393B86B2">
      <w:pPr>
        <w:pStyle w:val="236"/>
        <w:spacing w:after="40" w:line="400" w:lineRule="exact"/>
        <w:ind w:firstLine="640"/>
        <w:jc w:val="both"/>
        <w:rPr>
          <w:rFonts w:hint="eastAsia"/>
          <w:color w:val="000000" w:themeColor="text1"/>
          <w:sz w:val="24"/>
          <w:szCs w:val="24"/>
          <w:highlight w:val="none"/>
          <w14:textFill>
            <w14:solidFill>
              <w14:schemeClr w14:val="tx1"/>
            </w14:solidFill>
          </w14:textFill>
        </w:rPr>
      </w:pPr>
    </w:p>
    <w:p w14:paraId="58703E82">
      <w:pPr>
        <w:pStyle w:val="236"/>
        <w:spacing w:line="400" w:lineRule="exact"/>
        <w:ind w:firstLine="64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企业名称[盖公章（CA签章）]：</w:t>
      </w:r>
    </w:p>
    <w:p w14:paraId="762A8CCB">
      <w:pPr>
        <w:pStyle w:val="236"/>
        <w:spacing w:line="400" w:lineRule="exact"/>
        <w:ind w:firstLine="64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日期：</w:t>
      </w:r>
    </w:p>
    <w:p w14:paraId="244A400A">
      <w:pPr>
        <w:pStyle w:val="240"/>
        <w:spacing w:after="0" w:line="400" w:lineRule="exact"/>
        <w:rPr>
          <w:rFonts w:hint="eastAsia"/>
          <w:color w:val="000000" w:themeColor="text1"/>
          <w:sz w:val="24"/>
          <w:szCs w:val="24"/>
          <w:highlight w:val="none"/>
          <w14:textFill>
            <w14:solidFill>
              <w14:schemeClr w14:val="tx1"/>
            </w14:solidFill>
          </w14:textFill>
        </w:rPr>
      </w:pPr>
    </w:p>
    <w:p w14:paraId="05B53C70">
      <w:pPr>
        <w:pStyle w:val="240"/>
        <w:spacing w:after="0" w:line="400" w:lineRule="exact"/>
        <w:rPr>
          <w:rFonts w:hint="eastAsia"/>
          <w:color w:val="000000" w:themeColor="text1"/>
          <w:sz w:val="24"/>
          <w:szCs w:val="24"/>
          <w:highlight w:val="none"/>
          <w14:textFill>
            <w14:solidFill>
              <w14:schemeClr w14:val="tx1"/>
            </w14:solidFill>
          </w14:textFill>
        </w:rPr>
      </w:pPr>
    </w:p>
    <w:p w14:paraId="3BD2638D">
      <w:pPr>
        <w:pStyle w:val="240"/>
        <w:spacing w:after="0" w:line="400" w:lineRule="exact"/>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p w14:paraId="2788F625">
      <w:pPr>
        <w:pStyle w:val="240"/>
        <w:numPr>
          <w:ilvl w:val="0"/>
          <w:numId w:val="13"/>
        </w:numPr>
        <w:spacing w:after="0" w:line="400" w:lineRule="exact"/>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从业人员、营业收入、资产总额填报上一年度数据，无上一年度数据的新成立企业可不填报。</w:t>
      </w:r>
    </w:p>
    <w:p w14:paraId="02C1354A">
      <w:pPr>
        <w:pStyle w:val="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clear="all"/>
      </w:r>
    </w:p>
    <w:p w14:paraId="695B174C">
      <w:pPr>
        <w:pStyle w:val="21"/>
        <w:spacing w:line="340" w:lineRule="exact"/>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6.如货物生产企业属于监狱企业的，应当提供由省级以上监狱管理局、戒毒管理局等（含新疆生产建设兵团）出具的属于监狱企业的证明文件（如有，请提供）；</w:t>
      </w:r>
    </w:p>
    <w:p w14:paraId="1D8419AF">
      <w:pPr>
        <w:pStyle w:val="12"/>
        <w:rPr>
          <w:rFonts w:hint="eastAsia" w:hAnsi="Courier New"/>
          <w:b/>
          <w:color w:val="000000" w:themeColor="text1"/>
          <w:sz w:val="28"/>
          <w:szCs w:val="28"/>
          <w:highlight w:val="none"/>
          <w14:textFill>
            <w14:solidFill>
              <w14:schemeClr w14:val="tx1"/>
            </w14:solidFill>
          </w14:textFill>
        </w:rPr>
      </w:pPr>
    </w:p>
    <w:p w14:paraId="6E8241D1">
      <w:pPr>
        <w:rPr>
          <w:rFonts w:hint="eastAsia"/>
          <w:color w:val="000000" w:themeColor="text1"/>
          <w:highlight w:val="none"/>
          <w14:textFill>
            <w14:solidFill>
              <w14:schemeClr w14:val="tx1"/>
            </w14:solidFill>
          </w14:textFill>
        </w:rPr>
      </w:pPr>
    </w:p>
    <w:p w14:paraId="73F79EB5">
      <w:pPr>
        <w:pStyle w:val="21"/>
        <w:spacing w:line="340" w:lineRule="exact"/>
        <w:rPr>
          <w:rFonts w:hint="eastAsia"/>
          <w:b/>
          <w:color w:val="000000" w:themeColor="text1"/>
          <w:sz w:val="28"/>
          <w:szCs w:val="28"/>
          <w:highlight w:val="none"/>
          <w14:textFill>
            <w14:solidFill>
              <w14:schemeClr w14:val="tx1"/>
            </w14:solidFill>
          </w14:textFill>
        </w:rPr>
      </w:pPr>
    </w:p>
    <w:p w14:paraId="39F309DE">
      <w:pPr>
        <w:pStyle w:val="21"/>
        <w:spacing w:line="340" w:lineRule="exact"/>
        <w:rPr>
          <w:rFonts w:cs="宋体"/>
          <w:b/>
          <w:color w:val="000000" w:themeColor="text1"/>
          <w:spacing w:val="6"/>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7.符合条件的残疾人福利性单位在参加政府采购活动时，应当提供《残疾人福利性单位声明函》（见附件），并对声明的真实性负责（如有，请提供）；</w:t>
      </w:r>
    </w:p>
    <w:p w14:paraId="3BCD0672">
      <w:pPr>
        <w:spacing w:line="588" w:lineRule="exact"/>
        <w:rPr>
          <w:rFonts w:hint="eastAsia" w:ascii="宋体" w:hAnsi="宋体" w:cs="宋体"/>
          <w:b/>
          <w:color w:val="000000" w:themeColor="text1"/>
          <w:spacing w:val="6"/>
          <w:sz w:val="28"/>
          <w:szCs w:val="28"/>
          <w:highlight w:val="none"/>
          <w14:textFill>
            <w14:solidFill>
              <w14:schemeClr w14:val="tx1"/>
            </w14:solidFill>
          </w14:textFill>
        </w:rPr>
      </w:pPr>
      <w:r>
        <w:rPr>
          <w:rFonts w:hint="eastAsia" w:ascii="宋体" w:hAnsi="宋体" w:cs="宋体"/>
          <w:b/>
          <w:color w:val="000000" w:themeColor="text1"/>
          <w:spacing w:val="6"/>
          <w:sz w:val="28"/>
          <w:szCs w:val="28"/>
          <w:highlight w:val="none"/>
          <w14:textFill>
            <w14:solidFill>
              <w14:schemeClr w14:val="tx1"/>
            </w14:solidFill>
          </w14:textFill>
        </w:rPr>
        <w:t>附件：</w:t>
      </w:r>
    </w:p>
    <w:p w14:paraId="2B92099D">
      <w:pPr>
        <w:spacing w:line="588" w:lineRule="exact"/>
        <w:jc w:val="center"/>
        <w:rPr>
          <w:rFonts w:ascii="宋体" w:cs="宋体"/>
          <w:b/>
          <w:color w:val="000000" w:themeColor="text1"/>
          <w:spacing w:val="6"/>
          <w:sz w:val="28"/>
          <w:szCs w:val="28"/>
          <w:highlight w:val="none"/>
          <w14:textFill>
            <w14:solidFill>
              <w14:schemeClr w14:val="tx1"/>
            </w14:solidFill>
          </w14:textFill>
        </w:rPr>
      </w:pPr>
      <w:r>
        <w:rPr>
          <w:rFonts w:hint="eastAsia" w:ascii="宋体" w:hAnsi="宋体" w:cs="宋体"/>
          <w:b/>
          <w:color w:val="000000" w:themeColor="text1"/>
          <w:spacing w:val="6"/>
          <w:sz w:val="28"/>
          <w:szCs w:val="28"/>
          <w:highlight w:val="none"/>
          <w14:textFill>
            <w14:solidFill>
              <w14:schemeClr w14:val="tx1"/>
            </w14:solidFill>
          </w14:textFill>
        </w:rPr>
        <w:t>残疾人福利性单位声明函</w:t>
      </w:r>
    </w:p>
    <w:p w14:paraId="3FD26F79">
      <w:pPr>
        <w:spacing w:line="588" w:lineRule="exact"/>
        <w:ind w:firstLine="504"/>
        <w:rPr>
          <w:rFonts w:asci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本单位郑重声明，根据《财政部</w:t>
      </w:r>
      <w:r>
        <w:rPr>
          <w:rFonts w:ascii="宋体" w:hAnsi="宋体" w:cs="宋体"/>
          <w:color w:val="000000" w:themeColor="text1"/>
          <w:spacing w:val="6"/>
          <w:sz w:val="24"/>
          <w:highlight w:val="none"/>
          <w14:textFill>
            <w14:solidFill>
              <w14:schemeClr w14:val="tx1"/>
            </w14:solidFill>
          </w14:textFill>
        </w:rPr>
        <w:t xml:space="preserve"> </w:t>
      </w:r>
      <w:r>
        <w:rPr>
          <w:rFonts w:hint="eastAsia" w:ascii="宋体" w:hAnsi="宋体" w:cs="宋体"/>
          <w:color w:val="000000" w:themeColor="text1"/>
          <w:spacing w:val="6"/>
          <w:sz w:val="24"/>
          <w:highlight w:val="none"/>
          <w14:textFill>
            <w14:solidFill>
              <w14:schemeClr w14:val="tx1"/>
            </w14:solidFill>
          </w14:textFill>
        </w:rPr>
        <w:t>民政部</w:t>
      </w:r>
      <w:r>
        <w:rPr>
          <w:rFonts w:ascii="宋体" w:hAnsi="宋体" w:cs="宋体"/>
          <w:color w:val="000000" w:themeColor="text1"/>
          <w:spacing w:val="6"/>
          <w:sz w:val="24"/>
          <w:highlight w:val="none"/>
          <w14:textFill>
            <w14:solidFill>
              <w14:schemeClr w14:val="tx1"/>
            </w14:solidFill>
          </w14:textFill>
        </w:rPr>
        <w:t xml:space="preserve"> </w:t>
      </w:r>
      <w:r>
        <w:rPr>
          <w:rFonts w:hint="eastAsia" w:ascii="宋体" w:hAnsi="宋体" w:cs="宋体"/>
          <w:color w:val="000000" w:themeColor="text1"/>
          <w:spacing w:val="6"/>
          <w:sz w:val="24"/>
          <w:highlight w:val="none"/>
          <w14:textFill>
            <w14:solidFill>
              <w14:schemeClr w14:val="tx1"/>
            </w14:solidFill>
          </w14:textFill>
        </w:rPr>
        <w:t>中国残疾人联合会关于促进残疾人就业政府采购政策的通知》（财库</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2017</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 xml:space="preserve"> 141</w:t>
      </w:r>
      <w:r>
        <w:rPr>
          <w:rFonts w:hint="eastAsia" w:ascii="宋体" w:hAnsi="宋体" w:cs="宋体"/>
          <w:color w:val="000000" w:themeColor="text1"/>
          <w:spacing w:val="6"/>
          <w:sz w:val="24"/>
          <w:highlight w:val="none"/>
          <w14:textFill>
            <w14:solidFill>
              <w14:schemeClr w14:val="tx1"/>
            </w14:solidFill>
          </w14:textFill>
        </w:rPr>
        <w:t>号）的规定，本单位为符合条件的残疾人福利性单位，且本单位参加</w:t>
      </w:r>
      <w:r>
        <w:rPr>
          <w:rFonts w:ascii="宋体" w:hAnsi="宋体" w:cs="宋体"/>
          <w:color w:val="000000" w:themeColor="text1"/>
          <w:spacing w:val="6"/>
          <w:sz w:val="24"/>
          <w:highlight w:val="none"/>
          <w14:textFill>
            <w14:solidFill>
              <w14:schemeClr w14:val="tx1"/>
            </w14:solidFill>
          </w14:textFill>
        </w:rPr>
        <w:t>______</w:t>
      </w:r>
      <w:r>
        <w:rPr>
          <w:rFonts w:hint="eastAsia" w:ascii="宋体" w:hAnsi="宋体" w:cs="宋体"/>
          <w:color w:val="000000" w:themeColor="text1"/>
          <w:spacing w:val="6"/>
          <w:sz w:val="24"/>
          <w:highlight w:val="none"/>
          <w14:textFill>
            <w14:solidFill>
              <w14:schemeClr w14:val="tx1"/>
            </w14:solidFill>
          </w14:textFill>
        </w:rPr>
        <w:t>单位的</w:t>
      </w:r>
      <w:r>
        <w:rPr>
          <w:rFonts w:ascii="宋体" w:hAnsi="宋体" w:cs="宋体"/>
          <w:color w:val="000000" w:themeColor="text1"/>
          <w:spacing w:val="6"/>
          <w:sz w:val="24"/>
          <w:highlight w:val="none"/>
          <w14:textFill>
            <w14:solidFill>
              <w14:schemeClr w14:val="tx1"/>
            </w14:solidFill>
          </w14:textFill>
        </w:rPr>
        <w:t>______</w:t>
      </w:r>
      <w:r>
        <w:rPr>
          <w:rFonts w:hint="eastAsia" w:ascii="宋体" w:hAnsi="宋体" w:cs="宋体"/>
          <w:color w:val="000000" w:themeColor="text1"/>
          <w:spacing w:val="6"/>
          <w:sz w:val="24"/>
          <w:highlight w:val="none"/>
          <w14:textFill>
            <w14:solidFill>
              <w14:schemeClr w14:val="tx1"/>
            </w14:solidFill>
          </w14:textFill>
        </w:rPr>
        <w:t>项目采购活动提供本单位制造的货物（由本单位承担工程</w:t>
      </w:r>
      <w:r>
        <w:rPr>
          <w:rFonts w:ascii="宋体" w:hAnsi="宋体" w:cs="宋体"/>
          <w:color w:val="000000" w:themeColor="text1"/>
          <w:spacing w:val="6"/>
          <w:sz w:val="24"/>
          <w:highlight w:val="none"/>
          <w14:textFill>
            <w14:solidFill>
              <w14:schemeClr w14:val="tx1"/>
            </w14:solidFill>
          </w14:textFill>
        </w:rPr>
        <w:t>/</w:t>
      </w:r>
      <w:r>
        <w:rPr>
          <w:rFonts w:hint="eastAsia" w:ascii="宋体" w:hAnsi="宋体" w:cs="宋体"/>
          <w:color w:val="000000" w:themeColor="text1"/>
          <w:spacing w:val="6"/>
          <w:sz w:val="24"/>
          <w:highlight w:val="none"/>
          <w14:textFill>
            <w14:solidFill>
              <w14:schemeClr w14:val="tx1"/>
            </w14:solidFill>
          </w14:textFill>
        </w:rPr>
        <w:t>提供服务），或者提供其他残疾人福利性单位制造的货物（不包括使用非残疾人福利性单位注册商标的货物）。</w:t>
      </w:r>
    </w:p>
    <w:p w14:paraId="1631F155">
      <w:pPr>
        <w:spacing w:line="588" w:lineRule="exact"/>
        <w:ind w:firstLine="504"/>
        <w:rPr>
          <w:rFonts w:asci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本单位对上述声明的真实性负责。如有虚假，将依法承担相应责任。</w:t>
      </w:r>
    </w:p>
    <w:p w14:paraId="54536771">
      <w:pPr>
        <w:rPr>
          <w:rFonts w:ascii="宋体" w:cs="宋体"/>
          <w:color w:val="000000" w:themeColor="text1"/>
          <w:highlight w:val="none"/>
          <w14:textFill>
            <w14:solidFill>
              <w14:schemeClr w14:val="tx1"/>
            </w14:solidFill>
          </w14:textFill>
        </w:rPr>
      </w:pPr>
    </w:p>
    <w:p w14:paraId="7D70E5E5">
      <w:pPr>
        <w:tabs>
          <w:tab w:val="left" w:pos="4860"/>
        </w:tabs>
        <w:spacing w:line="588" w:lineRule="exact"/>
        <w:ind w:right="1560" w:firstLine="584"/>
        <w:jc w:val="center"/>
        <w:rPr>
          <w:rFonts w:ascii="宋体" w:cs="宋体"/>
          <w:color w:val="000000" w:themeColor="text1"/>
          <w:spacing w:val="6"/>
          <w:sz w:val="24"/>
          <w:highlight w:val="none"/>
          <w14:textFill>
            <w14:solidFill>
              <w14:schemeClr w14:val="tx1"/>
            </w14:solidFill>
          </w14:textFill>
        </w:rPr>
      </w:pPr>
      <w:r>
        <w:rPr>
          <w:rFonts w:ascii="宋体" w:hAnsi="宋体" w:cs="宋体"/>
          <w:color w:val="000000" w:themeColor="text1"/>
          <w:spacing w:val="6"/>
          <w:sz w:val="28"/>
          <w:szCs w:val="28"/>
          <w:highlight w:val="non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 xml:space="preserve">  </w:t>
      </w:r>
      <w:r>
        <w:rPr>
          <w:rFonts w:hint="eastAsia" w:ascii="宋体" w:hAnsi="宋体" w:cs="宋体"/>
          <w:color w:val="000000" w:themeColor="text1"/>
          <w:spacing w:val="6"/>
          <w:sz w:val="24"/>
          <w:highlight w:val="none"/>
          <w14:textFill>
            <w14:solidFill>
              <w14:schemeClr w14:val="tx1"/>
            </w14:solidFill>
          </w14:textFill>
        </w:rPr>
        <w:t>单位名称（公章(CA签章)）：</w:t>
      </w:r>
      <w:r>
        <w:rPr>
          <w:rFonts w:ascii="宋体" w:hAnsi="宋体" w:cs="宋体"/>
          <w:color w:val="000000" w:themeColor="text1"/>
          <w:spacing w:val="6"/>
          <w:sz w:val="24"/>
          <w:highlight w:val="none"/>
          <w14:textFill>
            <w14:solidFill>
              <w14:schemeClr w14:val="tx1"/>
            </w14:solidFill>
          </w14:textFill>
        </w:rPr>
        <w:t xml:space="preserve"> </w:t>
      </w:r>
    </w:p>
    <w:p w14:paraId="31A3EE9C">
      <w:pPr>
        <w:pStyle w:val="21"/>
        <w:ind w:firstLine="4032"/>
        <w:rPr>
          <w:rFonts w:hAnsi="宋体" w:cs="宋体"/>
          <w:color w:val="000000" w:themeColor="text1"/>
          <w:spacing w:val="6"/>
          <w:sz w:val="24"/>
          <w:szCs w:val="24"/>
          <w:highlight w:val="none"/>
          <w14:textFill>
            <w14:solidFill>
              <w14:schemeClr w14:val="tx1"/>
            </w14:solidFill>
          </w14:textFill>
        </w:rPr>
      </w:pPr>
      <w:r>
        <w:rPr>
          <w:rFonts w:hint="eastAsia" w:hAnsi="宋体" w:cs="宋体"/>
          <w:color w:val="000000" w:themeColor="text1"/>
          <w:spacing w:val="6"/>
          <w:sz w:val="24"/>
          <w:szCs w:val="24"/>
          <w:highlight w:val="none"/>
          <w14:textFill>
            <w14:solidFill>
              <w14:schemeClr w14:val="tx1"/>
            </w14:solidFill>
          </w14:textFill>
        </w:rPr>
        <w:t>日</w:t>
      </w:r>
      <w:r>
        <w:rPr>
          <w:rFonts w:hAnsi="宋体" w:cs="宋体"/>
          <w:color w:val="000000" w:themeColor="text1"/>
          <w:spacing w:val="6"/>
          <w:sz w:val="24"/>
          <w:szCs w:val="24"/>
          <w:highlight w:val="none"/>
          <w14:textFill>
            <w14:solidFill>
              <w14:schemeClr w14:val="tx1"/>
            </w14:solidFill>
          </w14:textFill>
        </w:rPr>
        <w:t xml:space="preserve">    </w:t>
      </w:r>
      <w:r>
        <w:rPr>
          <w:rFonts w:hint="eastAsia" w:hAnsi="宋体" w:cs="宋体"/>
          <w:color w:val="000000" w:themeColor="text1"/>
          <w:spacing w:val="6"/>
          <w:sz w:val="24"/>
          <w:szCs w:val="24"/>
          <w:highlight w:val="none"/>
          <w14:textFill>
            <w14:solidFill>
              <w14:schemeClr w14:val="tx1"/>
            </w14:solidFill>
          </w14:textFill>
        </w:rPr>
        <w:t>期：</w:t>
      </w:r>
      <w:r>
        <w:rPr>
          <w:rFonts w:hAnsi="宋体" w:cs="宋体"/>
          <w:color w:val="000000" w:themeColor="text1"/>
          <w:spacing w:val="6"/>
          <w:sz w:val="24"/>
          <w:szCs w:val="24"/>
          <w:highlight w:val="none"/>
          <w14:textFill>
            <w14:solidFill>
              <w14:schemeClr w14:val="tx1"/>
            </w14:solidFill>
          </w14:textFill>
        </w:rPr>
        <w:t xml:space="preserve">  </w:t>
      </w:r>
      <w:r>
        <w:rPr>
          <w:rFonts w:hint="eastAsia" w:hAnsi="宋体" w:cs="宋体"/>
          <w:color w:val="000000" w:themeColor="text1"/>
          <w:spacing w:val="6"/>
          <w:sz w:val="24"/>
          <w:szCs w:val="24"/>
          <w:highlight w:val="none"/>
          <w14:textFill>
            <w14:solidFill>
              <w14:schemeClr w14:val="tx1"/>
            </w14:solidFill>
          </w14:textFill>
        </w:rPr>
        <w:t>年</w:t>
      </w:r>
      <w:r>
        <w:rPr>
          <w:rFonts w:hAnsi="宋体" w:cs="宋体"/>
          <w:color w:val="000000" w:themeColor="text1"/>
          <w:spacing w:val="6"/>
          <w:sz w:val="24"/>
          <w:szCs w:val="24"/>
          <w:highlight w:val="none"/>
          <w14:textFill>
            <w14:solidFill>
              <w14:schemeClr w14:val="tx1"/>
            </w14:solidFill>
          </w14:textFill>
        </w:rPr>
        <w:t xml:space="preserve">  </w:t>
      </w:r>
      <w:r>
        <w:rPr>
          <w:rFonts w:hint="eastAsia" w:hAnsi="宋体" w:cs="宋体"/>
          <w:color w:val="000000" w:themeColor="text1"/>
          <w:spacing w:val="6"/>
          <w:sz w:val="24"/>
          <w:szCs w:val="24"/>
          <w:highlight w:val="none"/>
          <w14:textFill>
            <w14:solidFill>
              <w14:schemeClr w14:val="tx1"/>
            </w14:solidFill>
          </w14:textFill>
        </w:rPr>
        <w:t>月</w:t>
      </w:r>
      <w:r>
        <w:rPr>
          <w:rFonts w:hAnsi="宋体" w:cs="宋体"/>
          <w:color w:val="000000" w:themeColor="text1"/>
          <w:spacing w:val="6"/>
          <w:sz w:val="24"/>
          <w:szCs w:val="24"/>
          <w:highlight w:val="none"/>
          <w14:textFill>
            <w14:solidFill>
              <w14:schemeClr w14:val="tx1"/>
            </w14:solidFill>
          </w14:textFill>
        </w:rPr>
        <w:t xml:space="preserve">  </w:t>
      </w:r>
      <w:r>
        <w:rPr>
          <w:rFonts w:hint="eastAsia" w:hAnsi="宋体" w:cs="宋体"/>
          <w:color w:val="000000" w:themeColor="text1"/>
          <w:spacing w:val="6"/>
          <w:sz w:val="24"/>
          <w:szCs w:val="24"/>
          <w:highlight w:val="none"/>
          <w14:textFill>
            <w14:solidFill>
              <w14:schemeClr w14:val="tx1"/>
            </w14:solidFill>
          </w14:textFill>
        </w:rPr>
        <w:t>日</w:t>
      </w:r>
    </w:p>
    <w:p w14:paraId="212D15C7">
      <w:pPr>
        <w:spacing w:line="400" w:lineRule="exact"/>
        <w:outlineLvl w:val="4"/>
        <w:rPr>
          <w:rFonts w:ascii="宋体" w:cs="宋体"/>
          <w:color w:val="000000" w:themeColor="text1"/>
          <w:sz w:val="24"/>
          <w:highlight w:val="none"/>
          <w14:textFill>
            <w14:solidFill>
              <w14:schemeClr w14:val="tx1"/>
            </w14:solidFill>
          </w14:textFill>
        </w:rPr>
      </w:pPr>
    </w:p>
    <w:p w14:paraId="3F110E5C">
      <w:pPr>
        <w:tabs>
          <w:tab w:val="left" w:pos="1305"/>
        </w:tabs>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b/>
          <w:color w:val="000000" w:themeColor="text1"/>
          <w:szCs w:val="21"/>
          <w:highlight w:val="none"/>
          <w14:textFill>
            <w14:solidFill>
              <w14:schemeClr w14:val="tx1"/>
            </w14:solidFill>
          </w14:textFill>
        </w:rPr>
        <w:t>中标、成交供应商为残疾人福利性单位的，采购人或者其委托的采购代理机构应当随中标、成交结果同时公告其《残疾人福利性单位声明函》，接受社会监督</w:t>
      </w:r>
      <w:r>
        <w:rPr>
          <w:rFonts w:hint="eastAsia" w:ascii="宋体" w:hAnsi="宋体" w:cs="宋体"/>
          <w:color w:val="000000" w:themeColor="text1"/>
          <w:sz w:val="24"/>
          <w:highlight w:val="none"/>
          <w14:textFill>
            <w14:solidFill>
              <w14:schemeClr w14:val="tx1"/>
            </w14:solidFill>
          </w14:textFill>
        </w:rPr>
        <w:t>。</w:t>
      </w:r>
    </w:p>
    <w:p w14:paraId="4A5B1EC1">
      <w:pPr>
        <w:pStyle w:val="21"/>
        <w:spacing w:line="34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p w14:paraId="7E229953">
      <w:pPr>
        <w:pStyle w:val="41"/>
        <w:rPr>
          <w:rFonts w:hint="eastAsia"/>
          <w:color w:val="000000" w:themeColor="text1"/>
          <w:highlight w:val="none"/>
          <w14:textFill>
            <w14:solidFill>
              <w14:schemeClr w14:val="tx1"/>
            </w14:solidFill>
          </w14:textFill>
        </w:rPr>
      </w:pPr>
    </w:p>
    <w:p w14:paraId="7CCF0ADA">
      <w:pPr>
        <w:pStyle w:val="41"/>
        <w:rPr>
          <w:rFonts w:hint="eastAsia"/>
          <w:color w:val="000000" w:themeColor="text1"/>
          <w:highlight w:val="none"/>
          <w14:textFill>
            <w14:solidFill>
              <w14:schemeClr w14:val="tx1"/>
            </w14:solidFill>
          </w14:textFill>
        </w:rPr>
      </w:pPr>
    </w:p>
    <w:p w14:paraId="053C972E">
      <w:pPr>
        <w:pStyle w:val="41"/>
        <w:rPr>
          <w:rFonts w:hint="eastAsia"/>
          <w:color w:val="000000" w:themeColor="text1"/>
          <w:highlight w:val="none"/>
          <w14:textFill>
            <w14:solidFill>
              <w14:schemeClr w14:val="tx1"/>
            </w14:solidFill>
          </w14:textFill>
        </w:rPr>
      </w:pPr>
    </w:p>
    <w:p w14:paraId="7D3D4F9C">
      <w:pPr>
        <w:rPr>
          <w:rFonts w:hint="eastAsia"/>
          <w:color w:val="000000" w:themeColor="text1"/>
          <w:highlight w:val="none"/>
          <w14:textFill>
            <w14:solidFill>
              <w14:schemeClr w14:val="tx1"/>
            </w14:solidFill>
          </w14:textFill>
        </w:rPr>
      </w:pPr>
    </w:p>
    <w:p w14:paraId="751D5D06">
      <w:pPr>
        <w:pStyle w:val="4"/>
        <w:rPr>
          <w:rFonts w:hint="eastAsia"/>
          <w:color w:val="000000" w:themeColor="text1"/>
          <w:highlight w:val="none"/>
          <w14:textFill>
            <w14:solidFill>
              <w14:schemeClr w14:val="tx1"/>
            </w14:solidFill>
          </w14:textFill>
        </w:rPr>
      </w:pPr>
    </w:p>
    <w:p w14:paraId="3E8A07E0">
      <w:pPr>
        <w:rPr>
          <w:rFonts w:hint="eastAsia"/>
          <w:color w:val="000000" w:themeColor="text1"/>
          <w:highlight w:val="none"/>
          <w14:textFill>
            <w14:solidFill>
              <w14:schemeClr w14:val="tx1"/>
            </w14:solidFill>
          </w14:textFill>
        </w:rPr>
      </w:pPr>
    </w:p>
    <w:p w14:paraId="446F4AEE">
      <w:pPr>
        <w:pStyle w:val="4"/>
        <w:rPr>
          <w:rFonts w:hint="eastAsia"/>
          <w:color w:val="000000" w:themeColor="text1"/>
          <w:highlight w:val="none"/>
          <w14:textFill>
            <w14:solidFill>
              <w14:schemeClr w14:val="tx1"/>
            </w14:solidFill>
          </w14:textFill>
        </w:rPr>
      </w:pPr>
    </w:p>
    <w:p w14:paraId="17F7048B">
      <w:pPr>
        <w:rPr>
          <w:rFonts w:hint="eastAsia"/>
          <w:color w:val="000000" w:themeColor="text1"/>
          <w:highlight w:val="none"/>
          <w14:textFill>
            <w14:solidFill>
              <w14:schemeClr w14:val="tx1"/>
            </w14:solidFill>
          </w14:textFill>
        </w:rPr>
      </w:pPr>
    </w:p>
    <w:p w14:paraId="34B46216">
      <w:pPr>
        <w:rPr>
          <w:rFonts w:hint="eastAsia"/>
          <w:color w:val="000000" w:themeColor="text1"/>
          <w:highlight w:val="none"/>
          <w14:textFill>
            <w14:solidFill>
              <w14:schemeClr w14:val="tx1"/>
            </w14:solidFill>
          </w14:textFill>
        </w:rPr>
      </w:pPr>
    </w:p>
    <w:p w14:paraId="40B55CFC">
      <w:pPr>
        <w:rPr>
          <w:rFonts w:hint="eastAsia"/>
          <w:color w:val="000000" w:themeColor="text1"/>
          <w:highlight w:val="none"/>
          <w14:textFill>
            <w14:solidFill>
              <w14:schemeClr w14:val="tx1"/>
            </w14:solidFill>
          </w14:textFill>
        </w:rPr>
      </w:pPr>
    </w:p>
    <w:p w14:paraId="665ACE8F">
      <w:pPr>
        <w:rPr>
          <w:rFonts w:hint="eastAsia"/>
          <w:color w:val="000000" w:themeColor="text1"/>
          <w:highlight w:val="none"/>
          <w14:textFill>
            <w14:solidFill>
              <w14:schemeClr w14:val="tx1"/>
            </w14:solidFill>
          </w14:textFill>
        </w:rPr>
      </w:pPr>
    </w:p>
    <w:p w14:paraId="75D01789">
      <w:pPr>
        <w:rPr>
          <w:rFonts w:hint="eastAsia"/>
          <w:color w:val="000000" w:themeColor="text1"/>
          <w:highlight w:val="none"/>
          <w14:textFill>
            <w14:solidFill>
              <w14:schemeClr w14:val="tx1"/>
            </w14:solidFill>
          </w14:textFill>
        </w:rPr>
      </w:pPr>
    </w:p>
    <w:p w14:paraId="3E489163">
      <w:pPr>
        <w:tabs>
          <w:tab w:val="left" w:pos="1305"/>
        </w:tabs>
        <w:rPr>
          <w:rFonts w:ascii="宋体" w:cs="宋体"/>
          <w:color w:val="000000" w:themeColor="text1"/>
          <w:sz w:val="24"/>
          <w:highlight w:val="none"/>
          <w14:textFill>
            <w14:solidFill>
              <w14:schemeClr w14:val="tx1"/>
            </w14:solidFill>
          </w14:textFill>
        </w:rPr>
      </w:pPr>
    </w:p>
    <w:p w14:paraId="7F4003C2">
      <w:pPr>
        <w:outlineLvl w:val="3"/>
        <w:rPr>
          <w:rFonts w:hint="eastAsia" w:ascii="宋体" w:hAnsi="Courier New" w:eastAsia="宋体" w:cs="Times New Roman"/>
          <w:b/>
          <w:bCs w:val="0"/>
          <w:color w:val="000000" w:themeColor="text1"/>
          <w:sz w:val="28"/>
          <w:szCs w:val="28"/>
          <w:highlight w:val="none"/>
          <w:lang w:eastAsia="zh-CN"/>
          <w14:textFill>
            <w14:solidFill>
              <w14:schemeClr w14:val="tx1"/>
            </w14:solidFill>
          </w14:textFill>
        </w:rPr>
      </w:pPr>
      <w:r>
        <w:rPr>
          <w:rFonts w:hint="eastAsia" w:ascii="宋体" w:hAnsi="Courier New" w:eastAsia="宋体" w:cs="Times New Roman"/>
          <w:b/>
          <w:bCs w:val="0"/>
          <w:color w:val="000000" w:themeColor="text1"/>
          <w:sz w:val="28"/>
          <w:szCs w:val="28"/>
          <w:highlight w:val="none"/>
          <w:lang w:val="en-US" w:eastAsia="zh-CN"/>
          <w14:textFill>
            <w14:solidFill>
              <w14:schemeClr w14:val="tx1"/>
            </w14:solidFill>
          </w14:textFill>
        </w:rPr>
        <w:t>8.</w:t>
      </w:r>
      <w:r>
        <w:rPr>
          <w:rFonts w:hint="eastAsia" w:ascii="宋体" w:hAnsi="Courier New" w:eastAsia="宋体" w:cs="Times New Roman"/>
          <w:b/>
          <w:bCs w:val="0"/>
          <w:color w:val="000000" w:themeColor="text1"/>
          <w:sz w:val="28"/>
          <w:szCs w:val="28"/>
          <w:highlight w:val="none"/>
          <w:lang w:eastAsia="zh-CN"/>
          <w14:textFill>
            <w14:solidFill>
              <w14:schemeClr w14:val="tx1"/>
            </w14:solidFill>
          </w14:textFill>
        </w:rPr>
        <w:t>关于符合本国产品标准的声明函</w:t>
      </w:r>
      <w:r>
        <w:rPr>
          <w:rFonts w:hint="eastAsia" w:ascii="宋体" w:hAnsi="Courier New" w:eastAsia="宋体" w:cs="Times New Roman"/>
          <w:b/>
          <w:bCs w:val="0"/>
          <w:color w:val="000000" w:themeColor="text1"/>
          <w:sz w:val="28"/>
          <w:szCs w:val="28"/>
          <w:highlight w:val="none"/>
          <w14:textFill>
            <w14:solidFill>
              <w14:schemeClr w14:val="tx1"/>
            </w14:solidFill>
          </w14:textFill>
        </w:rPr>
        <w:t>（见附件）（如有，请提供）；</w:t>
      </w:r>
    </w:p>
    <w:p w14:paraId="4795BD36">
      <w:pPr>
        <w:tabs>
          <w:tab w:val="left" w:pos="1305"/>
        </w:tabs>
        <w:spacing w:line="400" w:lineRule="exact"/>
        <w:rPr>
          <w:rFonts w:hint="eastAsia" w:ascii="宋体" w:hAnsi="宋体" w:cs="宋体"/>
          <w:b/>
          <w:bCs/>
          <w:color w:val="000000" w:themeColor="text1"/>
          <w:sz w:val="28"/>
          <w:szCs w:val="28"/>
          <w:highlight w:val="none"/>
          <w14:textFill>
            <w14:solidFill>
              <w14:schemeClr w14:val="tx1"/>
            </w14:solidFill>
          </w14:textFill>
        </w:rPr>
      </w:pPr>
    </w:p>
    <w:p w14:paraId="6100A52C">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560" w:lineRule="atLeast"/>
        <w:ind w:left="0" w:right="0" w:firstLine="0"/>
        <w:jc w:val="center"/>
        <w:rPr>
          <w:rStyle w:val="45"/>
          <w:rFonts w:ascii="仿宋" w:hAnsi="仿宋" w:eastAsia="仿宋" w:cs="仿宋"/>
          <w:i w:val="0"/>
          <w:iCs w:val="0"/>
          <w:caps w:val="0"/>
          <w:color w:val="000000" w:themeColor="text1"/>
          <w:spacing w:val="0"/>
          <w:sz w:val="36"/>
          <w:szCs w:val="36"/>
          <w:highlight w:val="none"/>
          <w:shd w:val="clear" w:color="auto" w:fill="FFFFFF"/>
          <w:vertAlign w:val="baseline"/>
          <w14:textFill>
            <w14:solidFill>
              <w14:schemeClr w14:val="tx1"/>
            </w14:solidFill>
          </w14:textFill>
        </w:rPr>
      </w:pPr>
      <w:r>
        <w:rPr>
          <w:rStyle w:val="45"/>
          <w:rFonts w:ascii="仿宋" w:hAnsi="仿宋" w:eastAsia="仿宋" w:cs="仿宋"/>
          <w:i w:val="0"/>
          <w:iCs w:val="0"/>
          <w:caps w:val="0"/>
          <w:color w:val="000000" w:themeColor="text1"/>
          <w:spacing w:val="0"/>
          <w:sz w:val="36"/>
          <w:szCs w:val="36"/>
          <w:highlight w:val="none"/>
          <w:shd w:val="clear" w:color="auto" w:fill="FFFFFF"/>
          <w:vertAlign w:val="baseline"/>
          <w14:textFill>
            <w14:solidFill>
              <w14:schemeClr w14:val="tx1"/>
            </w14:solidFill>
          </w14:textFill>
        </w:rPr>
        <w:t>关于符合本国产品标准的声明函</w:t>
      </w:r>
    </w:p>
    <w:p w14:paraId="575F9A69">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000000" w:themeColor="text1"/>
          <w:spacing w:val="6"/>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60FCE647">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000000" w:themeColor="text1"/>
          <w:spacing w:val="6"/>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1.</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（产品名称1）</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1，生产厂为</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（厂名）</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2，厂址为</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（生产厂址）</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（产品名称1）</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的中国境内生产的组件成本占比≥</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（规定比例）</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3。</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（产品名称1）</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的</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（关键组件）</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4在中国境内生产。</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（产品名称1）</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的</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（关键工序）</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5在中国境内完成。</w:t>
      </w:r>
    </w:p>
    <w:p w14:paraId="7821EBF1">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000000" w:themeColor="text1"/>
          <w:spacing w:val="6"/>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2.</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（产品名称2）</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，生产厂为</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（厂名）</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，厂址为</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（生产厂址）</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（产品名称2）</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的中国境内生产的组件成本占比≥</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（规定比例）</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（产品名称2）</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的</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（关键组件）</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在中国境内生产。</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（产品名称2</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）的</w:t>
      </w:r>
      <w:r>
        <w:rPr>
          <w:rFonts w:hint="eastAsia" w:ascii="仿宋" w:hAnsi="仿宋" w:eastAsia="仿宋" w:cs="仿宋"/>
          <w:i w:val="0"/>
          <w:iCs w:val="0"/>
          <w:caps w:val="0"/>
          <w:color w:val="000000" w:themeColor="text1"/>
          <w:spacing w:val="6"/>
          <w:sz w:val="24"/>
          <w:szCs w:val="24"/>
          <w:highlight w:val="none"/>
          <w:u w:val="single"/>
          <w:shd w:val="clear" w:color="auto" w:fill="auto"/>
          <w:vertAlign w:val="baseline"/>
          <w14:textFill>
            <w14:solidFill>
              <w14:schemeClr w14:val="tx1"/>
            </w14:solidFill>
          </w14:textFill>
        </w:rPr>
        <w:t>（关键工序）</w:t>
      </w: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在中国境内完成。</w:t>
      </w:r>
    </w:p>
    <w:p w14:paraId="7F91A346">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000000" w:themeColor="text1"/>
          <w:spacing w:val="6"/>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w:t>
      </w:r>
    </w:p>
    <w:p w14:paraId="4D936718">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i w:val="0"/>
          <w:iCs w:val="0"/>
          <w:caps w:val="0"/>
          <w:color w:val="000000" w:themeColor="text1"/>
          <w:spacing w:val="6"/>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本公司（单位）对上述声明内容的真实性负责。如有虚假，愿承担相应法律责任。</w:t>
      </w:r>
    </w:p>
    <w:p w14:paraId="73FA3A13">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560" w:lineRule="atLeast"/>
        <w:ind w:left="0" w:right="0" w:firstLine="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color="auto" w:fill="FFFFFF"/>
          <w:vertAlign w:val="baseline"/>
          <w14:textFill>
            <w14:solidFill>
              <w14:schemeClr w14:val="tx1"/>
            </w14:solidFill>
          </w14:textFill>
        </w:rPr>
        <w:t> </w:t>
      </w:r>
    </w:p>
    <w:p w14:paraId="0195D64B">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jc w:val="right"/>
        <w:rPr>
          <w:rFonts w:hint="eastAsia" w:ascii="仿宋" w:hAnsi="仿宋" w:eastAsia="仿宋" w:cs="仿宋"/>
          <w:i w:val="0"/>
          <w:iCs w:val="0"/>
          <w:caps w:val="0"/>
          <w:color w:val="000000" w:themeColor="text1"/>
          <w:spacing w:val="6"/>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公司（单位）名称（盖章）：　        </w:t>
      </w:r>
    </w:p>
    <w:p w14:paraId="7D30E59E">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jc w:val="right"/>
        <w:rPr>
          <w:rFonts w:hint="eastAsia" w:ascii="仿宋" w:hAnsi="仿宋" w:eastAsia="仿宋" w:cs="仿宋"/>
          <w:i w:val="0"/>
          <w:iCs w:val="0"/>
          <w:caps w:val="0"/>
          <w:color w:val="000000" w:themeColor="text1"/>
          <w:spacing w:val="0"/>
          <w:sz w:val="28"/>
          <w:szCs w:val="28"/>
          <w:highlight w:val="none"/>
          <w:shd w:val="clear" w:color="auto" w:fill="FFFFFF"/>
          <w:vertAlign w:val="baseline"/>
          <w14:textFill>
            <w14:solidFill>
              <w14:schemeClr w14:val="tx1"/>
            </w14:solidFill>
          </w14:textFill>
        </w:rPr>
      </w:pPr>
      <w:r>
        <w:rPr>
          <w:rFonts w:hint="eastAsia" w:ascii="仿宋" w:hAnsi="仿宋" w:eastAsia="仿宋" w:cs="仿宋"/>
          <w:i w:val="0"/>
          <w:iCs w:val="0"/>
          <w:caps w:val="0"/>
          <w:color w:val="000000" w:themeColor="text1"/>
          <w:spacing w:val="6"/>
          <w:sz w:val="24"/>
          <w:szCs w:val="24"/>
          <w:highlight w:val="none"/>
          <w:shd w:val="clear" w:color="auto" w:fill="auto"/>
          <w:vertAlign w:val="baseline"/>
          <w14:textFill>
            <w14:solidFill>
              <w14:schemeClr w14:val="tx1"/>
            </w14:solidFill>
          </w14:textFill>
        </w:rPr>
        <w:t>日期：　     年　  月　  日</w:t>
      </w:r>
      <w:r>
        <w:rPr>
          <w:rFonts w:hint="eastAsia" w:ascii="宋体" w:hAnsi="宋体" w:eastAsia="宋体" w:cs="宋体"/>
          <w:i w:val="0"/>
          <w:iCs w:val="0"/>
          <w:caps w:val="0"/>
          <w:color w:val="000000" w:themeColor="text1"/>
          <w:spacing w:val="6"/>
          <w:sz w:val="22"/>
          <w:szCs w:val="22"/>
          <w:highlight w:val="none"/>
          <w:shd w:val="clear" w:color="auto" w:fill="auto"/>
          <w:vertAlign w:val="baseline"/>
          <w14:textFill>
            <w14:solidFill>
              <w14:schemeClr w14:val="tx1"/>
            </w14:solidFill>
          </w14:textFill>
        </w:rPr>
        <w:t> </w:t>
      </w:r>
      <w:r>
        <w:rPr>
          <w:rFonts w:hint="eastAsia" w:ascii="宋体" w:hAnsi="宋体" w:eastAsia="宋体" w:cs="宋体"/>
          <w:i w:val="0"/>
          <w:iCs w:val="0"/>
          <w:caps w:val="0"/>
          <w:color w:val="000000" w:themeColor="text1"/>
          <w:spacing w:val="6"/>
          <w:sz w:val="24"/>
          <w:szCs w:val="24"/>
          <w:highlight w:val="none"/>
          <w:shd w:val="clear" w:color="auto" w:fill="auto"/>
          <w:vertAlign w:val="baseline"/>
          <w14:textFill>
            <w14:solidFill>
              <w14:schemeClr w14:val="tx1"/>
            </w14:solidFill>
          </w14:textFill>
        </w:rPr>
        <w:t>        </w:t>
      </w:r>
    </w:p>
    <w:p w14:paraId="77A14E01">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560" w:lineRule="atLeast"/>
        <w:ind w:left="0" w:right="0" w:firstLine="0"/>
        <w:rPr>
          <w:rFonts w:hint="eastAsia" w:ascii="仿宋" w:hAnsi="仿宋" w:eastAsia="仿宋" w:cs="仿宋"/>
          <w:i w:val="0"/>
          <w:iCs w:val="0"/>
          <w:caps w:val="0"/>
          <w:color w:val="000000" w:themeColor="text1"/>
          <w:spacing w:val="0"/>
          <w:sz w:val="28"/>
          <w:szCs w:val="28"/>
          <w:highlight w:val="none"/>
          <w:shd w:val="clear" w:color="auto" w:fill="FFFFFF"/>
          <w:vertAlign w:val="baseline"/>
          <w14:textFill>
            <w14:solidFill>
              <w14:schemeClr w14:val="tx1"/>
            </w14:solidFill>
          </w14:textFill>
        </w:rPr>
      </w:pPr>
    </w:p>
    <w:p w14:paraId="3E015FB2">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560" w:lineRule="atLeast"/>
        <w:ind w:left="0" w:right="0" w:firstLine="0"/>
        <w:rPr>
          <w:rFonts w:hint="eastAsia" w:ascii="仿宋" w:hAnsi="仿宋" w:eastAsia="仿宋" w:cs="仿宋"/>
          <w:i w:val="0"/>
          <w:iCs w:val="0"/>
          <w:caps w:val="0"/>
          <w:color w:val="000000" w:themeColor="text1"/>
          <w:spacing w:val="0"/>
          <w:sz w:val="28"/>
          <w:szCs w:val="28"/>
          <w:highlight w:val="none"/>
          <w:shd w:val="clear" w:color="auto" w:fill="FFFFFF"/>
          <w:vertAlign w:val="baseline"/>
          <w14:textFill>
            <w14:solidFill>
              <w14:schemeClr w14:val="tx1"/>
            </w14:solidFill>
          </w14:textFill>
        </w:rPr>
      </w:pPr>
    </w:p>
    <w:p w14:paraId="5FD61BD6">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560" w:lineRule="atLeast"/>
        <w:ind w:left="0" w:right="0" w:firstLine="0"/>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highlight w:val="none"/>
          <w:shd w:val="clear" w:color="auto" w:fill="FFFFFF"/>
          <w:vertAlign w:val="baseline"/>
          <w14:textFill>
            <w14:solidFill>
              <w14:schemeClr w14:val="tx1"/>
            </w14:solidFill>
          </w14:textFill>
        </w:rPr>
        <w:t>_______________</w:t>
      </w:r>
    </w:p>
    <w:p w14:paraId="7EE07D3C">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420"/>
        <w:rPr>
          <w:rFonts w:hint="eastAsia" w:ascii="仿宋" w:hAnsi="仿宋" w:eastAsia="仿宋" w:cs="仿宋"/>
          <w:b w:val="0"/>
          <w:bCs w:val="0"/>
          <w:i w:val="0"/>
          <w:iCs w:val="0"/>
          <w:caps w:val="0"/>
          <w:color w:val="000000" w:themeColor="text1"/>
          <w:spacing w:val="6"/>
          <w:sz w:val="22"/>
          <w:szCs w:val="22"/>
          <w:highlight w:val="none"/>
          <w14:textFill>
            <w14:solidFill>
              <w14:schemeClr w14:val="tx1"/>
            </w14:solidFill>
          </w14:textFill>
        </w:rPr>
      </w:pPr>
      <w:r>
        <w:rPr>
          <w:rFonts w:hint="eastAsia" w:ascii="仿宋" w:hAnsi="仿宋" w:eastAsia="仿宋" w:cs="仿宋"/>
          <w:b w:val="0"/>
          <w:bCs w:val="0"/>
          <w:i w:val="0"/>
          <w:iCs w:val="0"/>
          <w:caps w:val="0"/>
          <w:color w:val="000000" w:themeColor="text1"/>
          <w:spacing w:val="6"/>
          <w:sz w:val="22"/>
          <w:szCs w:val="22"/>
          <w:highlight w:val="none"/>
          <w:shd w:val="clear" w:color="auto" w:fill="auto"/>
          <w:vertAlign w:val="baseline"/>
          <w:lang w:eastAsia="zh-CN"/>
          <w14:textFill>
            <w14:solidFill>
              <w14:schemeClr w14:val="tx1"/>
            </w14:solidFill>
          </w14:textFill>
        </w:rPr>
        <w:t>注：</w:t>
      </w:r>
      <w:r>
        <w:rPr>
          <w:rFonts w:hint="eastAsia" w:ascii="仿宋" w:hAnsi="仿宋" w:eastAsia="仿宋" w:cs="仿宋"/>
          <w:b w:val="0"/>
          <w:bCs w:val="0"/>
          <w:i w:val="0"/>
          <w:iCs w:val="0"/>
          <w:caps w:val="0"/>
          <w:color w:val="000000" w:themeColor="text1"/>
          <w:spacing w:val="6"/>
          <w:sz w:val="22"/>
          <w:szCs w:val="22"/>
          <w:highlight w:val="none"/>
          <w:shd w:val="clear" w:color="auto" w:fill="auto"/>
          <w:vertAlign w:val="baseline"/>
          <w14:textFill>
            <w14:solidFill>
              <w14:schemeClr w14:val="tx1"/>
            </w14:solidFill>
          </w14:textFill>
        </w:rPr>
        <w:t>1.产品如有型号，请在“产品名称”栏一并填写。</w:t>
      </w:r>
    </w:p>
    <w:p w14:paraId="47F65385">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928"/>
        <w:rPr>
          <w:rFonts w:hint="eastAsia" w:ascii="仿宋" w:hAnsi="仿宋" w:eastAsia="仿宋" w:cs="仿宋"/>
          <w:b w:val="0"/>
          <w:bCs w:val="0"/>
          <w:i w:val="0"/>
          <w:iCs w:val="0"/>
          <w:caps w:val="0"/>
          <w:color w:val="000000" w:themeColor="text1"/>
          <w:spacing w:val="6"/>
          <w:sz w:val="22"/>
          <w:szCs w:val="22"/>
          <w:highlight w:val="none"/>
          <w14:textFill>
            <w14:solidFill>
              <w14:schemeClr w14:val="tx1"/>
            </w14:solidFill>
          </w14:textFill>
        </w:rPr>
      </w:pPr>
      <w:r>
        <w:rPr>
          <w:rFonts w:hint="eastAsia" w:ascii="仿宋" w:hAnsi="仿宋" w:eastAsia="仿宋" w:cs="仿宋"/>
          <w:b w:val="0"/>
          <w:bCs w:val="0"/>
          <w:i w:val="0"/>
          <w:iCs w:val="0"/>
          <w:caps w:val="0"/>
          <w:color w:val="000000" w:themeColor="text1"/>
          <w:spacing w:val="6"/>
          <w:sz w:val="22"/>
          <w:szCs w:val="22"/>
          <w:highlight w:val="none"/>
          <w:shd w:val="clear" w:color="auto" w:fill="auto"/>
          <w:vertAlign w:val="baseline"/>
          <w14:textFill>
            <w14:solidFill>
              <w14:schemeClr w14:val="tx1"/>
            </w14:solidFill>
          </w14:textFill>
        </w:rPr>
        <w:t>2.生产厂名与厂址应与生产厂营业执照载明的相关信息保持一致。</w:t>
      </w:r>
    </w:p>
    <w:p w14:paraId="60C765CF">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tLeast"/>
        <w:ind w:left="0" w:right="0" w:firstLine="928"/>
        <w:rPr>
          <w:rFonts w:hint="eastAsia" w:ascii="仿宋" w:hAnsi="仿宋" w:eastAsia="仿宋" w:cs="仿宋"/>
          <w:b w:val="0"/>
          <w:bCs w:val="0"/>
          <w:i w:val="0"/>
          <w:iCs w:val="0"/>
          <w:caps w:val="0"/>
          <w:color w:val="000000" w:themeColor="text1"/>
          <w:spacing w:val="6"/>
          <w:sz w:val="22"/>
          <w:szCs w:val="22"/>
          <w:highlight w:val="none"/>
          <w14:textFill>
            <w14:solidFill>
              <w14:schemeClr w14:val="tx1"/>
            </w14:solidFill>
          </w14:textFill>
        </w:rPr>
      </w:pPr>
      <w:r>
        <w:rPr>
          <w:rFonts w:hint="eastAsia" w:ascii="仿宋" w:hAnsi="仿宋" w:eastAsia="仿宋" w:cs="仿宋"/>
          <w:b w:val="0"/>
          <w:bCs w:val="0"/>
          <w:i w:val="0"/>
          <w:iCs w:val="0"/>
          <w:caps w:val="0"/>
          <w:color w:val="000000" w:themeColor="text1"/>
          <w:spacing w:val="6"/>
          <w:sz w:val="22"/>
          <w:szCs w:val="22"/>
          <w:highlight w:val="none"/>
          <w:shd w:val="clear" w:color="auto" w:fill="auto"/>
          <w:vertAlign w:val="baseline"/>
          <w14:textFill>
            <w14:solidFill>
              <w14:schemeClr w14:val="tx1"/>
            </w14:solidFill>
          </w14:textFill>
        </w:rPr>
        <w:t>3.该产品的中国境内生产的组件成本占比相关要求实施前，“规定比例”栏可不填，下同。</w:t>
      </w:r>
    </w:p>
    <w:p w14:paraId="3156E73E">
      <w:pPr>
        <w:pStyle w:val="36"/>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left="0" w:right="0" w:firstLine="928"/>
        <w:rPr>
          <w:rFonts w:hint="eastAsia" w:ascii="仿宋" w:hAnsi="仿宋" w:eastAsia="仿宋" w:cs="仿宋"/>
          <w:b w:val="0"/>
          <w:bCs w:val="0"/>
          <w:i w:val="0"/>
          <w:iCs w:val="0"/>
          <w:caps w:val="0"/>
          <w:color w:val="000000" w:themeColor="text1"/>
          <w:spacing w:val="6"/>
          <w:sz w:val="22"/>
          <w:szCs w:val="22"/>
          <w:highlight w:val="none"/>
          <w:shd w:val="clear" w:color="auto" w:fill="auto"/>
          <w14:textFill>
            <w14:solidFill>
              <w14:schemeClr w14:val="tx1"/>
            </w14:solidFill>
          </w14:textFill>
        </w:rPr>
      </w:pPr>
      <w:r>
        <w:rPr>
          <w:rFonts w:hint="eastAsia" w:ascii="仿宋" w:hAnsi="仿宋" w:eastAsia="仿宋" w:cs="仿宋"/>
          <w:b w:val="0"/>
          <w:bCs w:val="0"/>
          <w:i w:val="0"/>
          <w:iCs w:val="0"/>
          <w:caps w:val="0"/>
          <w:color w:val="000000" w:themeColor="text1"/>
          <w:spacing w:val="6"/>
          <w:sz w:val="22"/>
          <w:szCs w:val="22"/>
          <w:highlight w:val="none"/>
          <w:shd w:val="clear" w:color="auto" w:fill="auto"/>
          <w:vertAlign w:val="baseline"/>
          <w14:textFill>
            <w14:solidFill>
              <w14:schemeClr w14:val="tx1"/>
            </w14:solidFill>
          </w14:textFill>
        </w:rPr>
        <w:t>4.该产品的关键组件要求实施前，“关键组件”栏可不填，下同。</w:t>
      </w:r>
    </w:p>
    <w:p w14:paraId="276E5533">
      <w:pPr>
        <w:pStyle w:val="36"/>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480" w:lineRule="atLeast"/>
        <w:ind w:firstLine="928"/>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6"/>
          <w:sz w:val="22"/>
          <w:szCs w:val="22"/>
          <w:highlight w:val="none"/>
          <w:shd w:val="clear" w:color="auto" w:fill="auto"/>
          <w:vertAlign w:val="baseline"/>
          <w14:textFill>
            <w14:solidFill>
              <w14:schemeClr w14:val="tx1"/>
            </w14:solidFill>
          </w14:textFill>
        </w:rPr>
        <w:t>5.该产品的关键工序要求实施前，“关键工序”栏可不填，下同。</w:t>
      </w:r>
    </w:p>
    <w:p w14:paraId="3D331864">
      <w:pPr>
        <w:tabs>
          <w:tab w:val="left" w:pos="1305"/>
        </w:tabs>
        <w:rPr>
          <w:rFonts w:ascii="宋体" w:cs="宋体"/>
          <w:color w:val="000000" w:themeColor="text1"/>
          <w:sz w:val="24"/>
          <w:highlight w:val="none"/>
          <w14:textFill>
            <w14:solidFill>
              <w14:schemeClr w14:val="tx1"/>
            </w14:solidFill>
          </w14:textFill>
        </w:rPr>
      </w:pPr>
    </w:p>
    <w:p w14:paraId="60FB8629">
      <w:pPr>
        <w:tabs>
          <w:tab w:val="left" w:pos="1305"/>
        </w:tabs>
        <w:rPr>
          <w:rFonts w:ascii="宋体" w:cs="宋体"/>
          <w:color w:val="000000" w:themeColor="text1"/>
          <w:sz w:val="24"/>
          <w:highlight w:val="none"/>
          <w14:textFill>
            <w14:solidFill>
              <w14:schemeClr w14:val="tx1"/>
            </w14:solidFill>
          </w14:textFill>
        </w:rPr>
      </w:pPr>
    </w:p>
    <w:p w14:paraId="25A4586B">
      <w:pPr>
        <w:tabs>
          <w:tab w:val="left" w:pos="1305"/>
        </w:tabs>
        <w:rPr>
          <w:rFonts w:ascii="宋体" w:cs="宋体"/>
          <w:color w:val="000000" w:themeColor="text1"/>
          <w:sz w:val="24"/>
          <w:highlight w:val="none"/>
          <w14:textFill>
            <w14:solidFill>
              <w14:schemeClr w14:val="tx1"/>
            </w14:solidFill>
          </w14:textFill>
        </w:rPr>
      </w:pPr>
    </w:p>
    <w:p w14:paraId="0A9AC7AD">
      <w:pPr>
        <w:outlineLvl w:val="3"/>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9</w:t>
      </w:r>
      <w:r>
        <w:rPr>
          <w:rFonts w:hint="eastAsia" w:ascii="宋体" w:hAnsi="宋体" w:cs="宋体"/>
          <w:b/>
          <w:bCs/>
          <w:color w:val="000000" w:themeColor="text1"/>
          <w:sz w:val="28"/>
          <w:szCs w:val="28"/>
          <w:highlight w:val="none"/>
          <w14:textFill>
            <w14:solidFill>
              <w14:schemeClr w14:val="tx1"/>
            </w14:solidFill>
          </w14:textFill>
        </w:rPr>
        <w:t>.</w:t>
      </w:r>
      <w:r>
        <w:rPr>
          <w:rFonts w:hint="eastAsia" w:ascii="宋体" w:hAnsi="Courier New"/>
          <w:b/>
          <w:color w:val="000000" w:themeColor="text1"/>
          <w:sz w:val="28"/>
          <w:szCs w:val="28"/>
          <w:highlight w:val="none"/>
          <w14:textFill>
            <w14:solidFill>
              <w14:schemeClr w14:val="tx1"/>
            </w14:solidFill>
          </w14:textFill>
        </w:rPr>
        <w:t>项目实施方案</w:t>
      </w:r>
      <w:r>
        <w:rPr>
          <w:rFonts w:hint="eastAsia" w:ascii="宋体" w:hAnsi="宋体" w:cs="宋体"/>
          <w:b/>
          <w:bCs/>
          <w:color w:val="000000" w:themeColor="text1"/>
          <w:sz w:val="28"/>
          <w:szCs w:val="28"/>
          <w:highlight w:val="none"/>
          <w14:textFill>
            <w14:solidFill>
              <w14:schemeClr w14:val="tx1"/>
            </w14:solidFill>
          </w14:textFill>
        </w:rPr>
        <w:t>（格式见附件）（如有，请提供）；</w:t>
      </w:r>
    </w:p>
    <w:p w14:paraId="6668EFD0">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3B6E0006">
      <w:pPr>
        <w:rPr>
          <w:color w:val="000000" w:themeColor="text1"/>
          <w:highlight w:val="none"/>
          <w14:textFill>
            <w14:solidFill>
              <w14:schemeClr w14:val="tx1"/>
            </w14:solidFill>
          </w14:textFill>
        </w:rPr>
      </w:pPr>
    </w:p>
    <w:p w14:paraId="12B6B661">
      <w:pPr>
        <w:pStyle w:val="18"/>
        <w:rPr>
          <w:color w:val="000000" w:themeColor="text1"/>
          <w:highlight w:val="none"/>
          <w14:textFill>
            <w14:solidFill>
              <w14:schemeClr w14:val="tx1"/>
            </w14:solidFill>
          </w14:textFill>
        </w:rPr>
      </w:pPr>
    </w:p>
    <w:p w14:paraId="35C2CE83">
      <w:pPr>
        <w:jc w:val="center"/>
        <w:rPr>
          <w:color w:val="000000" w:themeColor="text1"/>
          <w:highlight w:val="none"/>
          <w14:textFill>
            <w14:solidFill>
              <w14:schemeClr w14:val="tx1"/>
            </w14:solidFill>
          </w14:textFill>
        </w:rPr>
      </w:pPr>
    </w:p>
    <w:p w14:paraId="79C55BD2">
      <w:pPr>
        <w:pStyle w:val="21"/>
        <w:spacing w:line="340" w:lineRule="exact"/>
        <w:jc w:val="center"/>
        <w:outlineLvl w:val="0"/>
        <w:rPr>
          <w:b/>
          <w:color w:val="000000" w:themeColor="text1"/>
          <w:sz w:val="32"/>
          <w:szCs w:val="32"/>
          <w:highlight w:val="none"/>
          <w14:textFill>
            <w14:solidFill>
              <w14:schemeClr w14:val="tx1"/>
            </w14:solidFill>
          </w14:textFill>
        </w:rPr>
      </w:pPr>
      <w:bookmarkStart w:id="1012" w:name="_Toc22868"/>
      <w:bookmarkStart w:id="1013" w:name="_Toc5411"/>
      <w:bookmarkStart w:id="1014" w:name="_Toc13394"/>
      <w:r>
        <w:rPr>
          <w:rFonts w:hint="eastAsia"/>
          <w:b/>
          <w:color w:val="000000" w:themeColor="text1"/>
          <w:sz w:val="28"/>
          <w:szCs w:val="28"/>
          <w:highlight w:val="none"/>
          <w14:textFill>
            <w14:solidFill>
              <w14:schemeClr w14:val="tx1"/>
            </w14:solidFill>
          </w14:textFill>
        </w:rPr>
        <w:t>项目实施方案</w:t>
      </w:r>
      <w:r>
        <w:rPr>
          <w:rFonts w:hint="eastAsia"/>
          <w:b/>
          <w:color w:val="000000" w:themeColor="text1"/>
          <w:sz w:val="32"/>
          <w:szCs w:val="32"/>
          <w:highlight w:val="none"/>
          <w14:textFill>
            <w14:solidFill>
              <w14:schemeClr w14:val="tx1"/>
            </w14:solidFill>
          </w14:textFill>
        </w:rPr>
        <w:t xml:space="preserve"> （格式）</w:t>
      </w:r>
      <w:bookmarkEnd w:id="1012"/>
      <w:bookmarkEnd w:id="1013"/>
      <w:bookmarkEnd w:id="1014"/>
    </w:p>
    <w:p w14:paraId="551BC538">
      <w:pPr>
        <w:jc w:val="center"/>
        <w:rPr>
          <w:rFonts w:hAnsi="Courier New"/>
          <w:b/>
          <w:color w:val="000000" w:themeColor="text1"/>
          <w:sz w:val="32"/>
          <w:szCs w:val="32"/>
          <w:highlight w:val="none"/>
          <w14:textFill>
            <w14:solidFill>
              <w14:schemeClr w14:val="tx1"/>
            </w14:solidFill>
          </w14:textFill>
        </w:rPr>
      </w:pPr>
    </w:p>
    <w:p w14:paraId="41AACF6F">
      <w:pPr>
        <w:pStyle w:val="18"/>
        <w:jc w:val="center"/>
        <w:rPr>
          <w:color w:val="000000" w:themeColor="text1"/>
          <w:highlight w:val="none"/>
          <w14:textFill>
            <w14:solidFill>
              <w14:schemeClr w14:val="tx1"/>
            </w14:solidFill>
          </w14:textFill>
        </w:rPr>
      </w:pPr>
    </w:p>
    <w:p w14:paraId="515E38D2">
      <w:pPr>
        <w:widowControl/>
        <w:jc w:val="center"/>
        <w:outlineLvl w:val="0"/>
        <w:rPr>
          <w:rFonts w:ascii="宋体" w:hAnsi="宋体" w:cs="宋体"/>
          <w:b/>
          <w:color w:val="000000" w:themeColor="text1"/>
          <w:sz w:val="28"/>
          <w:szCs w:val="28"/>
          <w:highlight w:val="none"/>
          <w:lang w:bidi="ar"/>
          <w14:textFill>
            <w14:solidFill>
              <w14:schemeClr w14:val="tx1"/>
            </w14:solidFill>
          </w14:textFill>
        </w:rPr>
      </w:pPr>
      <w:bookmarkStart w:id="1015" w:name="_Toc20746"/>
      <w:bookmarkStart w:id="1016" w:name="_Toc25066"/>
      <w:bookmarkStart w:id="1017" w:name="_Toc10481"/>
      <w:r>
        <w:rPr>
          <w:rFonts w:hint="eastAsia" w:ascii="宋体" w:hAnsi="宋体" w:cs="宋体"/>
          <w:b/>
          <w:color w:val="000000" w:themeColor="text1"/>
          <w:sz w:val="28"/>
          <w:szCs w:val="28"/>
          <w:highlight w:val="none"/>
          <w:lang w:bidi="ar"/>
          <w14:textFill>
            <w14:solidFill>
              <w14:schemeClr w14:val="tx1"/>
            </w14:solidFill>
          </w14:textFill>
        </w:rPr>
        <w:t>（根据采购需求自行编制）</w:t>
      </w:r>
      <w:bookmarkEnd w:id="1015"/>
      <w:bookmarkEnd w:id="1016"/>
      <w:bookmarkEnd w:id="1017"/>
    </w:p>
    <w:p w14:paraId="2774F675">
      <w:pPr>
        <w:widowControl/>
        <w:ind w:firstLine="3092"/>
        <w:jc w:val="left"/>
        <w:rPr>
          <w:rFonts w:ascii="宋体" w:hAnsi="宋体" w:cs="宋体"/>
          <w:b/>
          <w:color w:val="000000" w:themeColor="text1"/>
          <w:sz w:val="28"/>
          <w:szCs w:val="28"/>
          <w:highlight w:val="none"/>
          <w:lang w:bidi="ar"/>
          <w14:textFill>
            <w14:solidFill>
              <w14:schemeClr w14:val="tx1"/>
            </w14:solidFill>
          </w14:textFill>
        </w:rPr>
      </w:pPr>
    </w:p>
    <w:p w14:paraId="4FE47C96">
      <w:pPr>
        <w:widowControl/>
        <w:ind w:firstLine="1470"/>
        <w:jc w:val="left"/>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2DBD8ED5">
      <w:pPr>
        <w:pStyle w:val="21"/>
        <w:spacing w:line="300" w:lineRule="exact"/>
        <w:ind w:left="2940" w:firstLine="600"/>
        <w:rPr>
          <w:rFonts w:hAnsi="宋体"/>
          <w:color w:val="000000" w:themeColor="text1"/>
          <w:highlight w:val="none"/>
          <w14:textFill>
            <w14:solidFill>
              <w14:schemeClr w14:val="tx1"/>
            </w14:solidFill>
          </w14:textFill>
        </w:rPr>
      </w:pPr>
    </w:p>
    <w:p w14:paraId="3F87D8A2">
      <w:pPr>
        <w:pStyle w:val="21"/>
        <w:spacing w:line="300" w:lineRule="exact"/>
        <w:ind w:firstLine="4638"/>
        <w:rPr>
          <w:b/>
          <w:color w:val="000000" w:themeColor="text1"/>
          <w:sz w:val="28"/>
          <w:szCs w:val="28"/>
          <w:highlight w:val="none"/>
          <w14:textFill>
            <w14:solidFill>
              <w14:schemeClr w14:val="tx1"/>
            </w14:solidFill>
          </w14:textFill>
        </w:rPr>
      </w:pPr>
    </w:p>
    <w:p w14:paraId="79879CB8">
      <w:pPr>
        <w:pStyle w:val="21"/>
        <w:spacing w:line="300" w:lineRule="exact"/>
        <w:rPr>
          <w:b/>
          <w:color w:val="000000" w:themeColor="text1"/>
          <w:sz w:val="28"/>
          <w:szCs w:val="28"/>
          <w:highlight w:val="none"/>
          <w14:textFill>
            <w14:solidFill>
              <w14:schemeClr w14:val="tx1"/>
            </w14:solidFill>
          </w14:textFill>
        </w:rPr>
      </w:pPr>
    </w:p>
    <w:p w14:paraId="1EC31B0D">
      <w:pPr>
        <w:spacing w:line="300" w:lineRule="exact"/>
        <w:ind w:firstLine="3570"/>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日          期：</w:t>
      </w:r>
      <w:r>
        <w:rPr>
          <w:color w:val="000000" w:themeColor="text1"/>
          <w:highlight w:val="none"/>
          <w:u w:val="single"/>
          <w14:textFill>
            <w14:solidFill>
              <w14:schemeClr w14:val="tx1"/>
            </w14:solidFill>
          </w14:textFill>
        </w:rPr>
        <w:t xml:space="preserve">                              </w:t>
      </w:r>
    </w:p>
    <w:p w14:paraId="53FC2F34">
      <w:pPr>
        <w:pStyle w:val="2"/>
        <w:rPr>
          <w:color w:val="000000" w:themeColor="text1"/>
          <w:highlight w:val="none"/>
          <w14:textFill>
            <w14:solidFill>
              <w14:schemeClr w14:val="tx1"/>
            </w14:solidFill>
          </w14:textFill>
        </w:rPr>
      </w:pPr>
    </w:p>
    <w:p w14:paraId="5E3EE52E">
      <w:pPr>
        <w:rPr>
          <w:color w:val="000000" w:themeColor="text1"/>
          <w:highlight w:val="none"/>
          <w14:textFill>
            <w14:solidFill>
              <w14:schemeClr w14:val="tx1"/>
            </w14:solidFill>
          </w14:textFill>
        </w:rPr>
      </w:pPr>
    </w:p>
    <w:p w14:paraId="64C11EEF">
      <w:pPr>
        <w:rPr>
          <w:color w:val="000000" w:themeColor="text1"/>
          <w:highlight w:val="none"/>
          <w14:textFill>
            <w14:solidFill>
              <w14:schemeClr w14:val="tx1"/>
            </w14:solidFill>
          </w14:textFill>
        </w:rPr>
      </w:pPr>
    </w:p>
    <w:p w14:paraId="6FC3B9CC">
      <w:pPr>
        <w:rPr>
          <w:color w:val="000000" w:themeColor="text1"/>
          <w:highlight w:val="none"/>
          <w14:textFill>
            <w14:solidFill>
              <w14:schemeClr w14:val="tx1"/>
            </w14:solidFill>
          </w14:textFill>
        </w:rPr>
      </w:pPr>
    </w:p>
    <w:p w14:paraId="554E24FC">
      <w:pPr>
        <w:rPr>
          <w:color w:val="000000" w:themeColor="text1"/>
          <w:highlight w:val="none"/>
          <w14:textFill>
            <w14:solidFill>
              <w14:schemeClr w14:val="tx1"/>
            </w14:solidFill>
          </w14:textFill>
        </w:rPr>
      </w:pPr>
    </w:p>
    <w:p w14:paraId="57FED211">
      <w:pPr>
        <w:tabs>
          <w:tab w:val="left" w:pos="1305"/>
        </w:tabs>
        <w:spacing w:line="40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10</w:t>
      </w:r>
      <w:r>
        <w:rPr>
          <w:rFonts w:hint="eastAsia" w:ascii="宋体" w:hAnsi="宋体" w:cs="宋体"/>
          <w:b/>
          <w:bCs/>
          <w:color w:val="000000" w:themeColor="text1"/>
          <w:sz w:val="28"/>
          <w:szCs w:val="28"/>
          <w:highlight w:val="none"/>
          <w14:textFill>
            <w14:solidFill>
              <w14:schemeClr w14:val="tx1"/>
            </w14:solidFill>
          </w14:textFill>
        </w:rPr>
        <w:t>.供应商可结合本项目的评审办法视自身情况自行提交相关证明材料（如有，请提供）。</w:t>
      </w:r>
    </w:p>
    <w:p w14:paraId="23CE6737">
      <w:pPr>
        <w:pStyle w:val="4"/>
        <w:rPr>
          <w:color w:val="000000" w:themeColor="text1"/>
          <w:highlight w:val="none"/>
          <w14:textFill>
            <w14:solidFill>
              <w14:schemeClr w14:val="tx1"/>
            </w14:solidFill>
          </w14:textFill>
        </w:rPr>
      </w:pPr>
    </w:p>
    <w:p w14:paraId="779ACFF2">
      <w:pPr>
        <w:tabs>
          <w:tab w:val="left" w:pos="1305"/>
        </w:tabs>
        <w:spacing w:line="400" w:lineRule="exact"/>
        <w:rPr>
          <w:rFonts w:hint="eastAsia" w:ascii="宋体" w:hAnsi="宋体" w:cs="宋体"/>
          <w:b/>
          <w:bCs/>
          <w:color w:val="000000" w:themeColor="text1"/>
          <w:sz w:val="28"/>
          <w:szCs w:val="28"/>
          <w:highlight w:val="none"/>
          <w14:textFill>
            <w14:solidFill>
              <w14:schemeClr w14:val="tx1"/>
            </w14:solidFill>
          </w14:textFill>
        </w:rPr>
      </w:pPr>
    </w:p>
    <w:p w14:paraId="5D433812">
      <w:pPr>
        <w:spacing w:line="300" w:lineRule="exact"/>
        <w:rPr>
          <w:rFonts w:hint="eastAsia" w:ascii="宋体" w:hAnsi="宋体"/>
          <w:color w:val="000000" w:themeColor="text1"/>
          <w:szCs w:val="21"/>
          <w:highlight w:val="none"/>
          <w14:textFill>
            <w14:solidFill>
              <w14:schemeClr w14:val="tx1"/>
            </w14:solidFill>
          </w14:textFill>
        </w:rPr>
      </w:pPr>
    </w:p>
    <w:p w14:paraId="150663FF">
      <w:pPr>
        <w:rPr>
          <w:rFonts w:hint="eastAsia"/>
          <w:color w:val="000000" w:themeColor="text1"/>
          <w:highlight w:val="none"/>
          <w14:textFill>
            <w14:solidFill>
              <w14:schemeClr w14:val="tx1"/>
            </w14:solidFill>
          </w14:textFill>
        </w:rPr>
      </w:pPr>
    </w:p>
    <w:sectPr>
      <w:footerReference r:id="rId12" w:type="default"/>
      <w:pgSz w:w="11906" w:h="16838"/>
      <w:pgMar w:top="1440" w:right="935" w:bottom="1440" w:left="777" w:header="851"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AvantGarde Bk BT">
    <w:altName w:val="Segoe Print"/>
    <w:panose1 w:val="020B0603030804020204"/>
    <w:charset w:val="00"/>
    <w:family w:val="auto"/>
    <w:pitch w:val="default"/>
    <w:sig w:usb0="00000000" w:usb1="00000000" w:usb2="00000000" w:usb3="00000000" w:csb0="00000000" w:csb1="00000000"/>
  </w:font>
  <w:font w:name="等线 Light">
    <w:altName w:val="Segoe Print"/>
    <w:panose1 w:val="020B06030308040202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UI Emoji">
    <w:altName w:val="Segoe UI"/>
    <w:panose1 w:val="020B0603030804020204"/>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B6DB9">
    <w:pPr>
      <w:pStyle w:val="26"/>
      <w:pBdr>
        <w:bottom w:val="single" w:color="000000" w:sz="4" w:space="0"/>
      </w:pBdr>
      <w:rPr>
        <w:rFonts w:hint="eastAsia"/>
      </w:rPr>
    </w:pPr>
  </w:p>
  <w:p w14:paraId="201FB1B1">
    <w:pPr>
      <w:pStyle w:val="26"/>
    </w:pPr>
    <w:r>
      <w:rPr>
        <w:rFonts w:hint="eastAsia"/>
      </w:rPr>
      <w:t>桂林市政府集中采购中心                                                                                 竞争性谈判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7FF2">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4DAFE">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2FEA">
    <w:pPr>
      <w:pStyle w:val="26"/>
      <w:pBdr>
        <w:bottom w:val="single" w:color="000000" w:sz="4" w:space="0"/>
      </w:pBdr>
      <w:tabs>
        <w:tab w:val="center" w:pos="5096"/>
        <w:tab w:val="clear" w:pos="4153"/>
      </w:tabs>
      <w:rPr>
        <w:rFonts w:hint="eastAsia"/>
      </w:rPr>
    </w:pPr>
    <w:r>
      <w:rPr>
        <w:rFonts w:hint="eastAsia"/>
      </w:rPr>
      <w:tab/>
    </w:r>
  </w:p>
  <w:p w14:paraId="16B73978">
    <w:pPr>
      <w:pStyle w:val="26"/>
    </w:pPr>
    <w:r>
      <w:rPr>
        <w:rFonts w:hint="eastAsia"/>
      </w:rPr>
      <w:t>桂林市政府集中采购中心                                                                                 竞争性谈判</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1F0F">
    <w:pPr>
      <w:pStyle w:val="26"/>
      <w:pBdr>
        <w:bottom w:val="single" w:color="000000" w:sz="4" w:space="0"/>
      </w:pBdr>
      <w:tabs>
        <w:tab w:val="center" w:pos="5096"/>
        <w:tab w:val="clear" w:pos="4153"/>
      </w:tabs>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72D80F1">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&#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Da3E+I1QEAAKoDAAAOAAAAAAAAAAEAIAAAAB4B&#10;AABkcnMvZTJvRG9jLnhtbFBLBQYAAAAABgAGAFkBAABlBQAAAAA=&#10;">
              <v:fill on="f" focussize="0,0"/>
              <v:stroke on="f"/>
              <v:imagedata o:title=""/>
              <o:lock v:ext="edit" aspectratio="f"/>
              <v:textbox inset="0mm,0mm,0mm,0mm" style="mso-fit-shape-to-text:t;">
                <w:txbxContent>
                  <w:p w14:paraId="072D80F1">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w:rPr>
        <w:rFonts w:hint="eastAsia"/>
      </w:rPr>
      <w:tab/>
    </w:r>
  </w:p>
  <w:p w14:paraId="5A5A60BF">
    <w:pPr>
      <w:pStyle w:val="26"/>
    </w:pPr>
    <w:r>
      <w:rPr>
        <w:rFonts w:hint="eastAsia"/>
      </w:rPr>
      <w:t>桂林市政府集中采购中心                                                                                 竞争性谈判</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EDE83">
    <w:pPr>
      <w:pStyle w:val="26"/>
      <w:pBdr>
        <w:bottom w:val="single" w:color="000000" w:sz="4" w:space="0"/>
      </w:pBd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0FCBBD1">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- 123 -</w:t>
                          </w:r>
                          <w:r>
                            <w:rPr>
                              <w:rFonts w:hint="eastAsia"/>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AHu5ba1QEAAKoDAAAOAAAAAAAAAAEAIAAAAB4B&#10;AABkcnMvZTJvRG9jLnhtbFBLBQYAAAAABgAGAFkBAABlBQAAAAA=&#10;">
              <v:fill on="f" focussize="0,0"/>
              <v:stroke on="f"/>
              <v:imagedata o:title=""/>
              <o:lock v:ext="edit" aspectratio="f"/>
              <v:textbox inset="0mm,0mm,0mm,0mm" style="mso-fit-shape-to-text:t;">
                <w:txbxContent>
                  <w:p w14:paraId="50FCBBD1">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- 123 -</w:t>
                    </w:r>
                    <w:r>
                      <w:rPr>
                        <w:rFonts w:hint="eastAsia"/>
                      </w:rPr>
                      <w:fldChar w:fldCharType="end"/>
                    </w:r>
                  </w:p>
                </w:txbxContent>
              </v:textbox>
            </v:shape>
          </w:pict>
        </mc:Fallback>
      </mc:AlternateContent>
    </w:r>
  </w:p>
  <w:p w14:paraId="5D8140A5">
    <w:pPr>
      <w:pStyle w:val="26"/>
    </w:pPr>
    <w:r>
      <w:rPr>
        <w:rFonts w:hint="eastAsia"/>
      </w:rPr>
      <w:t>桂林市政府集中采购中心                                                                                 竞争性谈判</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59C9F">
    <w:pPr>
      <w:pStyle w:val="26"/>
      <w:pBdr>
        <w:bottom w:val="single" w:color="000000" w:sz="4" w:space="0"/>
      </w:pBd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00A115C">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- 131 -</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AjizQn1QEAAKoDAAAOAAAAAAAAAAEAIAAAAB4B&#10;AABkcnMvZTJvRG9jLnhtbFBLBQYAAAAABgAGAFkBAABlBQAAAAA=&#10;">
              <v:fill on="f" focussize="0,0"/>
              <v:stroke on="f"/>
              <v:imagedata o:title=""/>
              <o:lock v:ext="edit" aspectratio="f"/>
              <v:textbox inset="0mm,0mm,0mm,0mm" style="mso-fit-shape-to-text:t;">
                <w:txbxContent>
                  <w:p w14:paraId="500A115C">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- 131 -</w:t>
                    </w:r>
                    <w:r>
                      <w:rPr>
                        <w:rFonts w:hint="eastAsia"/>
                      </w:rPr>
                      <w:fldChar w:fldCharType="end"/>
                    </w:r>
                  </w:p>
                </w:txbxContent>
              </v:textbox>
            </v:shape>
          </w:pict>
        </mc:Fallback>
      </mc:AlternateContent>
    </w:r>
  </w:p>
  <w:p w14:paraId="7B0C3AA6">
    <w:pPr>
      <w:pStyle w:val="26"/>
    </w:pPr>
    <w:r>
      <w:rPr>
        <w:rFonts w:hint="eastAsia"/>
      </w:rPr>
      <w:t>桂林市政府集中采购中心                                                                            竞争性谈判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836D4">
    <w:pPr>
      <w:pStyle w:val="27"/>
      <w:jc w:val="left"/>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232323"/>
        <w:sz w:val="20"/>
        <w:szCs w:val="20"/>
        <w:shd w:val="clear" w:color="auto" w:fill="FFFFFF"/>
        <w:lang w:eastAsia="zh-CN"/>
      </w:rPr>
      <w:t>2026年支持学前教育发展中央和自治区资金设备采购项目</w:t>
    </w:r>
    <w:r>
      <w:rPr>
        <w:rFonts w:hint="eastAsia" w:ascii="宋体" w:hAnsi="宋体" w:eastAsia="宋体" w:cs="宋体"/>
        <w:color w:val="232323"/>
        <w:sz w:val="20"/>
        <w:szCs w:val="20"/>
        <w:shd w:val="clear" w:color="auto" w:fill="FFFFFF"/>
      </w:rPr>
      <w:t xml:space="preserve">  </w:t>
    </w:r>
    <w:r>
      <w:rPr>
        <w:rFonts w:hint="eastAsia" w:ascii="宋体" w:hAnsi="宋体" w:eastAsia="宋体" w:cs="宋体"/>
        <w:sz w:val="20"/>
        <w:szCs w:val="20"/>
        <w:lang w:val="en-US" w:eastAsia="zh-CN"/>
      </w:rPr>
      <w:t xml:space="preserve">     </w:t>
    </w:r>
    <w:r>
      <w:rPr>
        <w:rFonts w:hint="eastAsia" w:ascii="宋体" w:hAnsi="宋体" w:cs="宋体"/>
        <w:sz w:val="20"/>
        <w:szCs w:val="20"/>
        <w:lang w:val="en-US" w:eastAsia="zh-CN"/>
      </w:rPr>
      <w:t xml:space="preserve">                    </w:t>
    </w:r>
    <w:r>
      <w:rPr>
        <w:rFonts w:hint="eastAsia" w:ascii="宋体" w:hAnsi="宋体" w:eastAsia="宋体" w:cs="宋体"/>
        <w:color w:val="000000" w:themeColor="text1"/>
        <w:sz w:val="20"/>
        <w:szCs w:val="20"/>
        <w:lang w:val="en-US" w:eastAsia="zh-CN"/>
        <w14:textFill>
          <w14:solidFill>
            <w14:schemeClr w14:val="tx1"/>
          </w14:solidFill>
        </w14:textFill>
      </w:rPr>
      <w:t xml:space="preserve"> </w:t>
    </w:r>
    <w:r>
      <w:rPr>
        <w:rFonts w:hint="eastAsia" w:ascii="宋体" w:hAnsi="宋体" w:cs="宋体"/>
        <w:color w:val="000000" w:themeColor="text1"/>
        <w:sz w:val="20"/>
        <w:szCs w:val="20"/>
        <w:shd w:val="clear" w:color="auto" w:fill="FFFFFF"/>
        <w:lang w:eastAsia="zh-CN"/>
        <w14:textFill>
          <w14:solidFill>
            <w14:schemeClr w14:val="tx1"/>
          </w14:solidFill>
        </w14:textFill>
      </w:rPr>
      <w:t>GLZC2026-J1-990205-GLSZ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2DF97">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06AC">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75C16"/>
    <w:multiLevelType w:val="multilevel"/>
    <w:tmpl w:val="84D75C16"/>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A06B0A9C"/>
    <w:multiLevelType w:val="multilevel"/>
    <w:tmpl w:val="A06B0A9C"/>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AE60DD0D"/>
    <w:multiLevelType w:val="multilevel"/>
    <w:tmpl w:val="AE60DD0D"/>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C27C4015"/>
    <w:multiLevelType w:val="multilevel"/>
    <w:tmpl w:val="C27C4015"/>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C8041509"/>
    <w:multiLevelType w:val="multilevel"/>
    <w:tmpl w:val="C8041509"/>
    <w:lvl w:ilvl="0" w:tentative="0">
      <w:start w:val="4"/>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CE1BE637"/>
    <w:multiLevelType w:val="multilevel"/>
    <w:tmpl w:val="CE1BE637"/>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08A6CCA8"/>
    <w:multiLevelType w:val="multilevel"/>
    <w:tmpl w:val="08A6CCA8"/>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7">
    <w:nsid w:val="0F3F0521"/>
    <w:multiLevelType w:val="multilevel"/>
    <w:tmpl w:val="0F3F0521"/>
    <w:lvl w:ilvl="0" w:tentative="0">
      <w:start w:val="1"/>
      <w:numFmt w:val="decimal"/>
      <w:lvlText w:val="%1)"/>
      <w:lvlJc w:val="left"/>
      <w:pPr>
        <w:ind w:left="425" w:hanging="425"/>
      </w:pPr>
      <w:rPr>
        <w:rFonts w:hint="default"/>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8">
    <w:nsid w:val="495CE388"/>
    <w:multiLevelType w:val="multilevel"/>
    <w:tmpl w:val="495CE388"/>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9">
    <w:nsid w:val="4F956548"/>
    <w:multiLevelType w:val="multilevel"/>
    <w:tmpl w:val="4F956548"/>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0">
    <w:nsid w:val="525786A0"/>
    <w:multiLevelType w:val="multilevel"/>
    <w:tmpl w:val="525786A0"/>
    <w:lvl w:ilvl="0" w:tentative="0">
      <w:start w:val="3"/>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1">
    <w:nsid w:val="525D1BD4"/>
    <w:multiLevelType w:val="multilevel"/>
    <w:tmpl w:val="525D1BD4"/>
    <w:lvl w:ilvl="0" w:tentative="0">
      <w:start w:val="1"/>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2">
    <w:nsid w:val="5E32929B"/>
    <w:multiLevelType w:val="multilevel"/>
    <w:tmpl w:val="5E32929B"/>
    <w:lvl w:ilvl="0" w:tentative="0">
      <w:start w:val="4"/>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10"/>
  </w:num>
  <w:num w:numId="2">
    <w:abstractNumId w:val="12"/>
  </w:num>
  <w:num w:numId="3">
    <w:abstractNumId w:val="4"/>
  </w:num>
  <w:num w:numId="4">
    <w:abstractNumId w:val="7"/>
  </w:num>
  <w:num w:numId="5">
    <w:abstractNumId w:val="8"/>
  </w:num>
  <w:num w:numId="6">
    <w:abstractNumId w:val="6"/>
  </w:num>
  <w:num w:numId="7">
    <w:abstractNumId w:val="0"/>
  </w:num>
  <w:num w:numId="8">
    <w:abstractNumId w:val="3"/>
  </w:num>
  <w:num w:numId="9">
    <w:abstractNumId w:val="9"/>
  </w:num>
  <w:num w:numId="10">
    <w:abstractNumId w:val="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A3523"/>
    <w:rsid w:val="09C120A6"/>
    <w:rsid w:val="147815B3"/>
    <w:rsid w:val="1A00024E"/>
    <w:rsid w:val="1B583D8E"/>
    <w:rsid w:val="230961F8"/>
    <w:rsid w:val="253631D8"/>
    <w:rsid w:val="26A1499A"/>
    <w:rsid w:val="286278C9"/>
    <w:rsid w:val="308710A4"/>
    <w:rsid w:val="32B174F1"/>
    <w:rsid w:val="39B45C3D"/>
    <w:rsid w:val="3B1D01E3"/>
    <w:rsid w:val="438E264C"/>
    <w:rsid w:val="47FC0010"/>
    <w:rsid w:val="4C543BCF"/>
    <w:rsid w:val="4F212553"/>
    <w:rsid w:val="53294728"/>
    <w:rsid w:val="54520EFE"/>
    <w:rsid w:val="57050864"/>
    <w:rsid w:val="576F0018"/>
    <w:rsid w:val="578A6C00"/>
    <w:rsid w:val="5A957127"/>
    <w:rsid w:val="66054089"/>
    <w:rsid w:val="7B437A1B"/>
    <w:rsid w:val="7F1D59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4"/>
      <w:lang w:val="en-US" w:eastAsia="zh-CN" w:bidi="ar-SA"/>
    </w:rPr>
  </w:style>
  <w:style w:type="paragraph" w:styleId="3">
    <w:name w:val="heading 1"/>
    <w:basedOn w:val="1"/>
    <w:next w:val="1"/>
    <w:link w:val="254"/>
    <w:qFormat/>
    <w:uiPriority w:val="9"/>
    <w:pPr>
      <w:keepNext/>
      <w:keepLines/>
      <w:spacing w:before="340" w:after="330" w:line="578" w:lineRule="auto"/>
      <w:outlineLvl w:val="0"/>
    </w:pPr>
    <w:rPr>
      <w:b/>
      <w:bCs/>
      <w:sz w:val="44"/>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212"/>
    <w:qFormat/>
    <w:uiPriority w:val="0"/>
    <w:pPr>
      <w:keepNext/>
      <w:keepLines/>
      <w:spacing w:before="260" w:beforeAutospacing="0" w:after="260" w:afterAutospacing="0" w:line="240" w:lineRule="auto"/>
      <w:outlineLvl w:val="2"/>
    </w:pPr>
    <w:rPr>
      <w:b/>
      <w:sz w:val="32"/>
      <w:szCs w:val="20"/>
    </w:rPr>
  </w:style>
  <w:style w:type="paragraph" w:styleId="2">
    <w:name w:val="heading 4"/>
    <w:basedOn w:val="1"/>
    <w:next w:val="1"/>
    <w:qFormat/>
    <w:uiPriority w:val="0"/>
    <w:pPr>
      <w:keepNext/>
      <w:spacing w:before="240" w:after="60"/>
      <w:outlineLvl w:val="3"/>
    </w:pPr>
    <w:rPr>
      <w:b/>
      <w:bCs/>
      <w:sz w:val="28"/>
      <w:szCs w:val="28"/>
    </w:rPr>
  </w:style>
  <w:style w:type="paragraph" w:styleId="6">
    <w:name w:val="heading 5"/>
    <w:basedOn w:val="1"/>
    <w:next w:val="1"/>
    <w:link w:val="190"/>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91"/>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92"/>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93"/>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94"/>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index 8"/>
    <w:basedOn w:val="1"/>
    <w:next w:val="1"/>
    <w:qFormat/>
    <w:uiPriority w:val="0"/>
    <w:pPr>
      <w:ind w:left="2940"/>
    </w:pPr>
  </w:style>
  <w:style w:type="paragraph" w:styleId="13">
    <w:name w:val="Normal Indent"/>
    <w:basedOn w:val="1"/>
    <w:next w:val="14"/>
    <w:unhideWhenUsed/>
    <w:qFormat/>
    <w:uiPriority w:val="0"/>
    <w:pPr>
      <w:ind w:firstLine="420"/>
    </w:pPr>
    <w:rPr>
      <w:rFonts w:ascii="Calibri" w:hAnsi="Calibri" w:eastAsia="宋体" w:cs="Times New Roman"/>
      <w:szCs w:val="22"/>
    </w:rPr>
  </w:style>
  <w:style w:type="paragraph" w:styleId="14">
    <w:name w:val="Body Text Indent"/>
    <w:basedOn w:val="1"/>
    <w:next w:val="13"/>
    <w:qFormat/>
    <w:uiPriority w:val="0"/>
    <w:pPr>
      <w:spacing w:after="120"/>
      <w:ind w:left="420"/>
    </w:pPr>
  </w:style>
  <w:style w:type="paragraph" w:styleId="15">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6">
    <w:name w:val="Document Map"/>
    <w:basedOn w:val="1"/>
    <w:link w:val="213"/>
    <w:semiHidden/>
    <w:qFormat/>
    <w:uiPriority w:val="99"/>
    <w:pPr>
      <w:shd w:val="clear" w:color="auto" w:fill="000080"/>
    </w:pPr>
    <w:rPr>
      <w:rFonts w:ascii="Times New Roman" w:hAnsi="Times New Roman"/>
      <w:sz w:val="16"/>
      <w:szCs w:val="16"/>
    </w:rPr>
  </w:style>
  <w:style w:type="paragraph" w:styleId="17">
    <w:name w:val="annotation text"/>
    <w:basedOn w:val="1"/>
    <w:link w:val="214"/>
    <w:qFormat/>
    <w:uiPriority w:val="99"/>
    <w:pPr>
      <w:jc w:val="left"/>
    </w:pPr>
    <w:rPr>
      <w:sz w:val="24"/>
    </w:rPr>
  </w:style>
  <w:style w:type="paragraph" w:styleId="18">
    <w:name w:val="Body Text"/>
    <w:basedOn w:val="1"/>
    <w:next w:val="1"/>
    <w:link w:val="215"/>
    <w:qFormat/>
    <w:uiPriority w:val="0"/>
  </w:style>
  <w:style w:type="paragraph" w:styleId="19">
    <w:name w:val="toc 5"/>
    <w:basedOn w:val="1"/>
    <w:next w:val="1"/>
    <w:unhideWhenUsed/>
    <w:qFormat/>
    <w:uiPriority w:val="39"/>
    <w:pPr>
      <w:spacing w:after="100"/>
      <w:ind w:left="880"/>
    </w:pPr>
  </w:style>
  <w:style w:type="paragraph" w:styleId="20">
    <w:name w:val="toc 3"/>
    <w:basedOn w:val="1"/>
    <w:next w:val="1"/>
    <w:unhideWhenUsed/>
    <w:qFormat/>
    <w:uiPriority w:val="39"/>
    <w:pPr>
      <w:ind w:left="840"/>
    </w:pPr>
  </w:style>
  <w:style w:type="paragraph" w:styleId="21">
    <w:name w:val="Plain Text"/>
    <w:basedOn w:val="1"/>
    <w:next w:val="3"/>
    <w:link w:val="216"/>
    <w:qFormat/>
    <w:uiPriority w:val="99"/>
    <w:rPr>
      <w:rFonts w:ascii="宋体" w:hAnsi="Courier New"/>
      <w:sz w:val="20"/>
      <w:szCs w:val="21"/>
    </w:rPr>
  </w:style>
  <w:style w:type="paragraph" w:styleId="22">
    <w:name w:val="toc 8"/>
    <w:basedOn w:val="1"/>
    <w:next w:val="1"/>
    <w:unhideWhenUsed/>
    <w:qFormat/>
    <w:uiPriority w:val="39"/>
    <w:pPr>
      <w:spacing w:after="100"/>
      <w:ind w:left="1540"/>
    </w:pPr>
  </w:style>
  <w:style w:type="paragraph" w:styleId="23">
    <w:name w:val="Body Text Indent 2"/>
    <w:basedOn w:val="1"/>
    <w:qFormat/>
    <w:uiPriority w:val="0"/>
    <w:pPr>
      <w:ind w:firstLine="630"/>
    </w:pPr>
    <w:rPr>
      <w:sz w:val="32"/>
      <w:szCs w:val="20"/>
    </w:rPr>
  </w:style>
  <w:style w:type="paragraph" w:styleId="24">
    <w:name w:val="endnote text"/>
    <w:basedOn w:val="1"/>
    <w:link w:val="209"/>
    <w:semiHidden/>
    <w:unhideWhenUsed/>
    <w:qFormat/>
    <w:uiPriority w:val="99"/>
    <w:pPr>
      <w:spacing w:after="0" w:line="240" w:lineRule="auto"/>
    </w:pPr>
    <w:rPr>
      <w:sz w:val="20"/>
      <w:szCs w:val="20"/>
    </w:rPr>
  </w:style>
  <w:style w:type="paragraph" w:styleId="25">
    <w:name w:val="Balloon Text"/>
    <w:basedOn w:val="1"/>
    <w:link w:val="217"/>
    <w:qFormat/>
    <w:uiPriority w:val="99"/>
    <w:rPr>
      <w:sz w:val="18"/>
      <w:szCs w:val="18"/>
    </w:rPr>
  </w:style>
  <w:style w:type="paragraph" w:styleId="26">
    <w:name w:val="footer"/>
    <w:basedOn w:val="1"/>
    <w:link w:val="218"/>
    <w:qFormat/>
    <w:uiPriority w:val="99"/>
    <w:pPr>
      <w:tabs>
        <w:tab w:val="center" w:pos="4153"/>
        <w:tab w:val="right" w:pos="8306"/>
      </w:tabs>
      <w:jc w:val="left"/>
    </w:pPr>
    <w:rPr>
      <w:sz w:val="18"/>
      <w:szCs w:val="18"/>
    </w:rPr>
  </w:style>
  <w:style w:type="paragraph" w:styleId="27">
    <w:name w:val="header"/>
    <w:basedOn w:val="1"/>
    <w:link w:val="219"/>
    <w:qFormat/>
    <w:uiPriority w:val="99"/>
    <w:pPr>
      <w:pBdr>
        <w:bottom w:val="single" w:color="000000" w:sz="6" w:space="1"/>
      </w:pBdr>
      <w:tabs>
        <w:tab w:val="center" w:pos="4153"/>
        <w:tab w:val="right" w:pos="8306"/>
      </w:tabs>
      <w:jc w:val="center"/>
    </w:pPr>
    <w:rPr>
      <w:sz w:val="18"/>
      <w:szCs w:val="18"/>
    </w:rPr>
  </w:style>
  <w:style w:type="paragraph" w:styleId="28">
    <w:name w:val="toc 1"/>
    <w:basedOn w:val="1"/>
    <w:next w:val="1"/>
    <w:unhideWhenUsed/>
    <w:qFormat/>
    <w:uiPriority w:val="39"/>
  </w:style>
  <w:style w:type="paragraph" w:styleId="29">
    <w:name w:val="toc 4"/>
    <w:basedOn w:val="1"/>
    <w:next w:val="1"/>
    <w:qFormat/>
    <w:uiPriority w:val="0"/>
    <w:pPr>
      <w:ind w:left="1260"/>
    </w:pPr>
    <w:rPr>
      <w:rFonts w:ascii="Calibri" w:hAnsi="Calibri" w:eastAsia="宋体" w:cs="Times New Roman"/>
      <w:szCs w:val="22"/>
    </w:rPr>
  </w:style>
  <w:style w:type="paragraph" w:styleId="30">
    <w:name w:val="Subtitle"/>
    <w:basedOn w:val="1"/>
    <w:next w:val="1"/>
    <w:link w:val="196"/>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31">
    <w:name w:val="footnote text"/>
    <w:basedOn w:val="1"/>
    <w:link w:val="208"/>
    <w:semiHidden/>
    <w:unhideWhenUsed/>
    <w:qFormat/>
    <w:uiPriority w:val="99"/>
    <w:pPr>
      <w:spacing w:after="0" w:line="240" w:lineRule="auto"/>
    </w:pPr>
    <w:rPr>
      <w:sz w:val="20"/>
      <w:szCs w:val="20"/>
    </w:rPr>
  </w:style>
  <w:style w:type="paragraph" w:styleId="32">
    <w:name w:val="toc 6"/>
    <w:basedOn w:val="1"/>
    <w:next w:val="1"/>
    <w:unhideWhenUsed/>
    <w:qFormat/>
    <w:uiPriority w:val="39"/>
    <w:pPr>
      <w:spacing w:after="100"/>
      <w:ind w:left="1100"/>
    </w:pPr>
  </w:style>
  <w:style w:type="paragraph" w:styleId="33">
    <w:name w:val="table of figures"/>
    <w:basedOn w:val="1"/>
    <w:next w:val="1"/>
    <w:unhideWhenUsed/>
    <w:qFormat/>
    <w:uiPriority w:val="99"/>
    <w:pPr>
      <w:spacing w:after="0" w:afterAutospacing="0"/>
    </w:pPr>
  </w:style>
  <w:style w:type="paragraph" w:styleId="34">
    <w:name w:val="toc 2"/>
    <w:basedOn w:val="1"/>
    <w:next w:val="1"/>
    <w:unhideWhenUsed/>
    <w:qFormat/>
    <w:uiPriority w:val="39"/>
    <w:pPr>
      <w:ind w:left="420"/>
    </w:pPr>
  </w:style>
  <w:style w:type="paragraph" w:styleId="35">
    <w:name w:val="toc 9"/>
    <w:basedOn w:val="1"/>
    <w:next w:val="1"/>
    <w:unhideWhenUsed/>
    <w:qFormat/>
    <w:uiPriority w:val="39"/>
    <w:pPr>
      <w:spacing w:after="100"/>
      <w:ind w:left="1760"/>
    </w:pPr>
  </w:style>
  <w:style w:type="paragraph" w:styleId="36">
    <w:name w:val="Normal (Web)"/>
    <w:basedOn w:val="1"/>
    <w:qFormat/>
    <w:uiPriority w:val="99"/>
    <w:pPr>
      <w:widowControl/>
      <w:spacing w:before="100" w:beforeAutospacing="1" w:after="100" w:afterAutospacing="1"/>
      <w:jc w:val="left"/>
    </w:pPr>
    <w:rPr>
      <w:rFonts w:ascii="宋体" w:hAnsi="宋体"/>
      <w:sz w:val="24"/>
      <w:szCs w:val="20"/>
    </w:rPr>
  </w:style>
  <w:style w:type="paragraph" w:styleId="37">
    <w:name w:val="index 1"/>
    <w:basedOn w:val="1"/>
    <w:next w:val="1"/>
    <w:semiHidden/>
    <w:qFormat/>
    <w:uiPriority w:val="0"/>
    <w:pPr>
      <w:spacing w:line="400" w:lineRule="exact"/>
      <w:ind w:firstLine="420"/>
    </w:pPr>
    <w:rPr>
      <w:rFonts w:ascii="宋体" w:hAnsi="Courier New"/>
      <w:b/>
      <w:szCs w:val="20"/>
    </w:rPr>
  </w:style>
  <w:style w:type="paragraph" w:styleId="38">
    <w:name w:val="Title"/>
    <w:basedOn w:val="1"/>
    <w:next w:val="1"/>
    <w:link w:val="195"/>
    <w:qFormat/>
    <w:uiPriority w:val="10"/>
    <w:pPr>
      <w:spacing w:after="80" w:line="240" w:lineRule="auto"/>
      <w:contextualSpacing/>
    </w:pPr>
    <w:rPr>
      <w:rFonts w:ascii="Arial" w:hAnsi="Arial" w:eastAsia="Arial" w:cs="Arial"/>
      <w:spacing w:val="-10"/>
      <w:sz w:val="56"/>
      <w:szCs w:val="56"/>
    </w:rPr>
  </w:style>
  <w:style w:type="paragraph" w:styleId="39">
    <w:name w:val="annotation subject"/>
    <w:basedOn w:val="17"/>
    <w:next w:val="17"/>
    <w:link w:val="220"/>
    <w:qFormat/>
    <w:uiPriority w:val="99"/>
    <w:rPr>
      <w:b/>
      <w:bCs/>
      <w:sz w:val="24"/>
    </w:rPr>
  </w:style>
  <w:style w:type="paragraph" w:styleId="40">
    <w:name w:val="Body Text First Indent"/>
    <w:basedOn w:val="18"/>
    <w:qFormat/>
    <w:uiPriority w:val="0"/>
    <w:pPr>
      <w:ind w:firstLine="420"/>
    </w:pPr>
  </w:style>
  <w:style w:type="paragraph" w:styleId="41">
    <w:name w:val="Body Text First Indent 2"/>
    <w:basedOn w:val="14"/>
    <w:next w:val="1"/>
    <w:unhideWhenUsed/>
    <w:qFormat/>
    <w:uiPriority w:val="99"/>
    <w:pPr>
      <w:ind w:firstLine="420"/>
    </w:pPr>
  </w:style>
  <w:style w:type="table" w:styleId="43">
    <w:name w:val="Table Grid"/>
    <w:basedOn w:val="42"/>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5">
    <w:name w:val="Strong"/>
    <w:basedOn w:val="44"/>
    <w:qFormat/>
    <w:uiPriority w:val="99"/>
    <w:rPr>
      <w:rFonts w:cs="Times New Roman"/>
      <w:b/>
    </w:rPr>
  </w:style>
  <w:style w:type="character" w:styleId="46">
    <w:name w:val="endnote reference"/>
    <w:basedOn w:val="44"/>
    <w:semiHidden/>
    <w:unhideWhenUsed/>
    <w:qFormat/>
    <w:uiPriority w:val="99"/>
    <w:rPr>
      <w:vertAlign w:val="superscript"/>
    </w:rPr>
  </w:style>
  <w:style w:type="character" w:styleId="47">
    <w:name w:val="page number"/>
    <w:qFormat/>
    <w:uiPriority w:val="99"/>
    <w:rPr>
      <w:rFonts w:cs="Times New Roman"/>
    </w:rPr>
  </w:style>
  <w:style w:type="character" w:styleId="48">
    <w:name w:val="FollowedHyperlink"/>
    <w:qFormat/>
    <w:uiPriority w:val="99"/>
    <w:rPr>
      <w:rFonts w:cs="Times New Roman"/>
      <w:color w:val="333333"/>
      <w:u w:val="none"/>
    </w:rPr>
  </w:style>
  <w:style w:type="character" w:styleId="49">
    <w:name w:val="Emphasis"/>
    <w:qFormat/>
    <w:uiPriority w:val="0"/>
  </w:style>
  <w:style w:type="character" w:styleId="50">
    <w:name w:val="HTML Definition"/>
    <w:unhideWhenUsed/>
    <w:qFormat/>
    <w:uiPriority w:val="99"/>
  </w:style>
  <w:style w:type="character" w:styleId="51">
    <w:name w:val="HTML Typewriter"/>
    <w:unhideWhenUsed/>
    <w:qFormat/>
    <w:uiPriority w:val="99"/>
    <w:rPr>
      <w:rFonts w:hint="default" w:ascii="monospace" w:hAnsi="monospace" w:eastAsia="monospace" w:cs="monospace"/>
      <w:sz w:val="20"/>
    </w:rPr>
  </w:style>
  <w:style w:type="character" w:styleId="52">
    <w:name w:val="HTML Acronym"/>
    <w:unhideWhenUsed/>
    <w:qFormat/>
    <w:uiPriority w:val="99"/>
    <w:rPr>
      <w:rFonts w:ascii="微软雅黑" w:hAnsi="微软雅黑" w:eastAsia="微软雅黑" w:cs="微软雅黑"/>
      <w:sz w:val="14"/>
      <w:szCs w:val="14"/>
    </w:rPr>
  </w:style>
  <w:style w:type="character" w:styleId="53">
    <w:name w:val="HTML Variable"/>
    <w:unhideWhenUsed/>
    <w:qFormat/>
    <w:uiPriority w:val="99"/>
  </w:style>
  <w:style w:type="character" w:styleId="54">
    <w:name w:val="Hyperlink"/>
    <w:qFormat/>
    <w:uiPriority w:val="99"/>
    <w:rPr>
      <w:rFonts w:cs="Times New Roman"/>
      <w:color w:val="0000FF"/>
      <w:u w:val="single"/>
    </w:rPr>
  </w:style>
  <w:style w:type="character" w:styleId="55">
    <w:name w:val="HTML Code"/>
    <w:unhideWhenUsed/>
    <w:qFormat/>
    <w:uiPriority w:val="99"/>
    <w:rPr>
      <w:rFonts w:hint="default" w:ascii="monospace" w:hAnsi="monospace" w:eastAsia="monospace" w:cs="monospace"/>
      <w:sz w:val="20"/>
    </w:rPr>
  </w:style>
  <w:style w:type="character" w:styleId="56">
    <w:name w:val="annotation reference"/>
    <w:qFormat/>
    <w:uiPriority w:val="99"/>
    <w:rPr>
      <w:rFonts w:cs="Times New Roman"/>
      <w:sz w:val="21"/>
      <w:szCs w:val="21"/>
    </w:rPr>
  </w:style>
  <w:style w:type="character" w:styleId="57">
    <w:name w:val="HTML Cite"/>
    <w:unhideWhenUsed/>
    <w:qFormat/>
    <w:uiPriority w:val="99"/>
  </w:style>
  <w:style w:type="character" w:styleId="58">
    <w:name w:val="footnote reference"/>
    <w:basedOn w:val="44"/>
    <w:semiHidden/>
    <w:unhideWhenUsed/>
    <w:qFormat/>
    <w:uiPriority w:val="99"/>
    <w:rPr>
      <w:vertAlign w:val="superscript"/>
    </w:rPr>
  </w:style>
  <w:style w:type="character" w:styleId="59">
    <w:name w:val="HTML Keyboard"/>
    <w:unhideWhenUsed/>
    <w:qFormat/>
    <w:uiPriority w:val="99"/>
    <w:rPr>
      <w:rFonts w:ascii="monospace" w:hAnsi="monospace" w:eastAsia="monospace" w:cs="monospace"/>
      <w:sz w:val="20"/>
    </w:rPr>
  </w:style>
  <w:style w:type="character" w:styleId="60">
    <w:name w:val="HTML Sample"/>
    <w:unhideWhenUsed/>
    <w:qFormat/>
    <w:uiPriority w:val="99"/>
    <w:rPr>
      <w:rFonts w:hint="default" w:ascii="monospace" w:hAnsi="monospace" w:eastAsia="monospace" w:cs="monospace"/>
    </w:rPr>
  </w:style>
  <w:style w:type="table" w:customStyle="1" w:styleId="61">
    <w:name w:val="Table Grid Light"/>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2">
    <w:name w:val="Plain Table 1"/>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3">
    <w:name w:val="Plain Table 2"/>
    <w:basedOn w:val="4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4">
    <w:name w:val="Plain Table 3"/>
    <w:basedOn w:val="4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5">
    <w:name w:val="Plain Table 4"/>
    <w:basedOn w:val="4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6">
    <w:name w:val="Plain Table 5"/>
    <w:basedOn w:val="4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7">
    <w:name w:val="Grid Table 1 Light"/>
    <w:basedOn w:val="4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8">
    <w:name w:val="Grid Table 1 Light - Accent 1"/>
    <w:basedOn w:val="4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9">
    <w:name w:val="Grid Table 1 Light - Accent 2"/>
    <w:basedOn w:val="4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70">
    <w:name w:val="Grid Table 1 Light - Accent 3"/>
    <w:basedOn w:val="4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71">
    <w:name w:val="Grid Table 1 Light - Accent 4"/>
    <w:basedOn w:val="4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72">
    <w:name w:val="Grid Table 1 Light - Accent 5"/>
    <w:basedOn w:val="4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73">
    <w:name w:val="Grid Table 1 Light - Accent 6"/>
    <w:basedOn w:val="4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74">
    <w:name w:val="Grid Table 2"/>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2 - Accent 1"/>
    <w:basedOn w:val="4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6">
    <w:name w:val="Grid Table 2 - Accent 2"/>
    <w:basedOn w:val="4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2 - Accent 3"/>
    <w:basedOn w:val="4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2 - Accent 4"/>
    <w:basedOn w:val="4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2 - Accent 5"/>
    <w:basedOn w:val="4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2 - Accent 6"/>
    <w:basedOn w:val="4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3"/>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3 - Accent 1"/>
    <w:basedOn w:val="4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3">
    <w:name w:val="Grid Table 3 - Accent 2"/>
    <w:basedOn w:val="4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3 - Accent 3"/>
    <w:basedOn w:val="4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3 - Accent 4"/>
    <w:basedOn w:val="4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3 - Accent 5"/>
    <w:basedOn w:val="4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3 - Accent 6"/>
    <w:basedOn w:val="4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4"/>
    <w:basedOn w:val="4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9">
    <w:name w:val="Grid Table 4 - Accent 1"/>
    <w:basedOn w:val="4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90">
    <w:name w:val="Grid Table 4 - Accent 2"/>
    <w:basedOn w:val="4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1">
    <w:name w:val="Grid Table 4 - Accent 3"/>
    <w:basedOn w:val="4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2">
    <w:name w:val="Grid Table 4 - Accent 4"/>
    <w:basedOn w:val="4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3">
    <w:name w:val="Grid Table 4 - Accent 5"/>
    <w:basedOn w:val="4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4">
    <w:name w:val="Grid Table 4 - Accent 6"/>
    <w:basedOn w:val="4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5">
    <w:name w:val="Grid Table 5 Dark"/>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6">
    <w:name w:val="Grid Table 5 Dark- Accent 1"/>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7">
    <w:name w:val="Grid Table 5 Dark - Accent 2"/>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8">
    <w:name w:val="Grid Table 5 Dark - Accent 3"/>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9">
    <w:name w:val="Grid Table 5 Dark- Accent 4"/>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00">
    <w:name w:val="Grid Table 5 Dark - Accent 5"/>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01">
    <w:name w:val="Grid Table 5 Dark - Accent 6"/>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02">
    <w:name w:val="Grid Table 6 Colorful"/>
    <w:basedOn w:val="4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6 Colorful - Accent 1"/>
    <w:basedOn w:val="4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6 Colorful - Accent 2"/>
    <w:basedOn w:val="4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6 Colorful - Accent 3"/>
    <w:basedOn w:val="4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6 Colorful - Accent 4"/>
    <w:basedOn w:val="4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6 Colorful - Accent 5"/>
    <w:basedOn w:val="4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6 Colorful - Accent 6"/>
    <w:basedOn w:val="4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9">
    <w:name w:val="Grid Table 7 Colorful"/>
    <w:basedOn w:val="4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0">
    <w:name w:val="Grid Table 7 Colorful - Accent 1"/>
    <w:basedOn w:val="4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1">
    <w:name w:val="Grid Table 7 Colorful - Accent 2"/>
    <w:basedOn w:val="4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2">
    <w:name w:val="Grid Table 7 Colorful - Accent 3"/>
    <w:basedOn w:val="4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3">
    <w:name w:val="Grid Table 7 Colorful - Accent 4"/>
    <w:basedOn w:val="4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4">
    <w:name w:val="Grid Table 7 Colorful - Accent 5"/>
    <w:basedOn w:val="4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5">
    <w:name w:val="Grid Table 7 Colorful - Accent 6"/>
    <w:basedOn w:val="4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6">
    <w:name w:val="List Table 1 Light"/>
    <w:basedOn w:val="4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1 Light - Accent 1"/>
    <w:basedOn w:val="4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1 Light - Accent 2"/>
    <w:basedOn w:val="4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1 Light - Accent 3"/>
    <w:basedOn w:val="4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1 Light - Accent 4"/>
    <w:basedOn w:val="4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1 Light - Accent 5"/>
    <w:basedOn w:val="4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1 Light - Accent 6"/>
    <w:basedOn w:val="4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2"/>
    <w:basedOn w:val="4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4">
    <w:name w:val="List Table 2 - Accent 1"/>
    <w:basedOn w:val="4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5">
    <w:name w:val="List Table 2 - Accent 2"/>
    <w:basedOn w:val="4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6">
    <w:name w:val="List Table 2 - Accent 3"/>
    <w:basedOn w:val="4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7">
    <w:name w:val="List Table 2 - Accent 4"/>
    <w:basedOn w:val="4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8">
    <w:name w:val="List Table 2 - Accent 5"/>
    <w:basedOn w:val="4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9">
    <w:name w:val="List Table 2 - Accent 6"/>
    <w:basedOn w:val="4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0">
    <w:name w:val="List Table 3"/>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1">
    <w:name w:val="List Table 3 - Accent 1"/>
    <w:basedOn w:val="4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32">
    <w:name w:val="List Table 3 - Accent 2"/>
    <w:basedOn w:val="4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33">
    <w:name w:val="List Table 3 - Accent 3"/>
    <w:basedOn w:val="4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34">
    <w:name w:val="List Table 3 - Accent 4"/>
    <w:basedOn w:val="4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5">
    <w:name w:val="List Table 3 - Accent 5"/>
    <w:basedOn w:val="4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6">
    <w:name w:val="List Table 3 - Accent 6"/>
    <w:basedOn w:val="4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7">
    <w:name w:val="List Table 4"/>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8">
    <w:name w:val="List Table 4 - Accent 1"/>
    <w:basedOn w:val="4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9">
    <w:name w:val="List Table 4 - Accent 2"/>
    <w:basedOn w:val="4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40">
    <w:name w:val="List Table 4 - Accent 3"/>
    <w:basedOn w:val="4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41">
    <w:name w:val="List Table 4 - Accent 4"/>
    <w:basedOn w:val="4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42">
    <w:name w:val="List Table 4 - Accent 5"/>
    <w:basedOn w:val="4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43">
    <w:name w:val="List Table 4 - Accent 6"/>
    <w:basedOn w:val="4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4">
    <w:name w:val="List Table 5 Dark"/>
    <w:basedOn w:val="4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5">
    <w:name w:val="List Table 5 Dark - Accent 1"/>
    <w:basedOn w:val="4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6">
    <w:name w:val="List Table 5 Dark - Accent 2"/>
    <w:basedOn w:val="4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7">
    <w:name w:val="List Table 5 Dark - Accent 3"/>
    <w:basedOn w:val="4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8">
    <w:name w:val="List Table 5 Dark - Accent 4"/>
    <w:basedOn w:val="4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9">
    <w:name w:val="List Table 5 Dark - Accent 5"/>
    <w:basedOn w:val="4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50">
    <w:name w:val="List Table 5 Dark - Accent 6"/>
    <w:basedOn w:val="4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51">
    <w:name w:val="List Table 6 Colorful"/>
    <w:basedOn w:val="4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2">
    <w:name w:val="List Table 6 Colorful - Accent 1"/>
    <w:basedOn w:val="4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6 Colorful - Accent 2"/>
    <w:basedOn w:val="4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6 Colorful - Accent 3"/>
    <w:basedOn w:val="4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6 Colorful - Accent 4"/>
    <w:basedOn w:val="4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6 Colorful - Accent 5"/>
    <w:basedOn w:val="4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6 Colorful - Accent 6"/>
    <w:basedOn w:val="4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st Table 7 Colorful"/>
    <w:basedOn w:val="4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9">
    <w:name w:val="List Table 7 Colorful - Accent 1"/>
    <w:basedOn w:val="4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0">
    <w:name w:val="List Table 7 Colorful - Accent 2"/>
    <w:basedOn w:val="4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1">
    <w:name w:val="List Table 7 Colorful - Accent 3"/>
    <w:basedOn w:val="4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2">
    <w:name w:val="List Table 7 Colorful - Accent 4"/>
    <w:basedOn w:val="4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3">
    <w:name w:val="List Table 7 Colorful - Accent 5"/>
    <w:basedOn w:val="4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4">
    <w:name w:val="List Table 7 Colorful - Accent 6"/>
    <w:basedOn w:val="4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5">
    <w:name w:val="Lined - Accent"/>
    <w:basedOn w:val="4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Lined - Accent 1"/>
    <w:basedOn w:val="42"/>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7">
    <w:name w:val="Lined - Accent 2"/>
    <w:basedOn w:val="4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8">
    <w:name w:val="Lined - Accent 3"/>
    <w:basedOn w:val="42"/>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9">
    <w:name w:val="Lined - Accent 4"/>
    <w:basedOn w:val="42"/>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0">
    <w:name w:val="Lined - Accent 5"/>
    <w:basedOn w:val="4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1">
    <w:name w:val="Lined - Accent 6"/>
    <w:basedOn w:val="42"/>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2">
    <w:name w:val="Bordered &amp; Lined - Accent"/>
    <w:basedOn w:val="4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3">
    <w:name w:val="Bordered &amp; Lined - Accent 1"/>
    <w:basedOn w:val="4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4">
    <w:name w:val="Bordered &amp; Lined - Accent 2"/>
    <w:basedOn w:val="4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5">
    <w:name w:val="Bordered &amp; Lined - Accent 3"/>
    <w:basedOn w:val="4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6">
    <w:name w:val="Bordered &amp; Lined - Accent 4"/>
    <w:basedOn w:val="4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7">
    <w:name w:val="Bordered &amp; Lined - Accent 5"/>
    <w:basedOn w:val="4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8">
    <w:name w:val="Bordered &amp; Lined - Accent 6"/>
    <w:basedOn w:val="4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9">
    <w:name w:val="Bordered"/>
    <w:basedOn w:val="4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0">
    <w:name w:val="Bordered - Accent 1"/>
    <w:basedOn w:val="4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81">
    <w:name w:val="Bordered - Accent 2"/>
    <w:basedOn w:val="4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82">
    <w:name w:val="Bordered - Accent 3"/>
    <w:basedOn w:val="4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83">
    <w:name w:val="Bordered - Accent 4"/>
    <w:basedOn w:val="4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84">
    <w:name w:val="Bordered - Accent 5"/>
    <w:basedOn w:val="4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5">
    <w:name w:val="Bordered - Accent 6"/>
    <w:basedOn w:val="4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6">
    <w:name w:val="Heading 1 Char"/>
    <w:basedOn w:val="44"/>
    <w:qFormat/>
    <w:uiPriority w:val="9"/>
    <w:rPr>
      <w:rFonts w:ascii="Arial" w:hAnsi="Arial" w:eastAsia="Arial" w:cs="Arial"/>
      <w:color w:val="376092" w:themeColor="accent1" w:themeShade="BF"/>
      <w:sz w:val="40"/>
      <w:szCs w:val="40"/>
    </w:rPr>
  </w:style>
  <w:style w:type="character" w:customStyle="1" w:styleId="187">
    <w:name w:val="Heading 2 Char"/>
    <w:basedOn w:val="44"/>
    <w:qFormat/>
    <w:uiPriority w:val="9"/>
    <w:rPr>
      <w:rFonts w:ascii="Arial" w:hAnsi="Arial" w:eastAsia="Arial" w:cs="Arial"/>
      <w:color w:val="376092" w:themeColor="accent1" w:themeShade="BF"/>
      <w:sz w:val="32"/>
      <w:szCs w:val="32"/>
    </w:rPr>
  </w:style>
  <w:style w:type="character" w:customStyle="1" w:styleId="188">
    <w:name w:val="Heading 3 Char"/>
    <w:basedOn w:val="44"/>
    <w:qFormat/>
    <w:uiPriority w:val="9"/>
    <w:rPr>
      <w:rFonts w:ascii="Arial" w:hAnsi="Arial" w:eastAsia="Arial" w:cs="Arial"/>
      <w:color w:val="376092" w:themeColor="accent1" w:themeShade="BF"/>
      <w:sz w:val="28"/>
      <w:szCs w:val="28"/>
    </w:rPr>
  </w:style>
  <w:style w:type="character" w:customStyle="1" w:styleId="189">
    <w:name w:val="Heading 4 Char"/>
    <w:basedOn w:val="44"/>
    <w:qFormat/>
    <w:uiPriority w:val="9"/>
    <w:rPr>
      <w:rFonts w:ascii="Arial" w:hAnsi="Arial" w:eastAsia="Arial" w:cs="Arial"/>
      <w:i/>
      <w:iCs/>
      <w:color w:val="376092" w:themeColor="accent1" w:themeShade="BF"/>
    </w:rPr>
  </w:style>
  <w:style w:type="character" w:customStyle="1" w:styleId="190">
    <w:name w:val="Heading 5 Char"/>
    <w:basedOn w:val="44"/>
    <w:link w:val="6"/>
    <w:qFormat/>
    <w:uiPriority w:val="9"/>
    <w:rPr>
      <w:rFonts w:ascii="Arial" w:hAnsi="Arial" w:eastAsia="Arial" w:cs="Arial"/>
      <w:color w:val="376092" w:themeColor="accent1" w:themeShade="BF"/>
    </w:rPr>
  </w:style>
  <w:style w:type="character" w:customStyle="1" w:styleId="191">
    <w:name w:val="Heading 6 Char"/>
    <w:basedOn w:val="44"/>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92">
    <w:name w:val="Heading 7 Char"/>
    <w:basedOn w:val="44"/>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93">
    <w:name w:val="Heading 8 Char"/>
    <w:basedOn w:val="44"/>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94">
    <w:name w:val="Heading 9 Char"/>
    <w:basedOn w:val="44"/>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95">
    <w:name w:val="Title Char"/>
    <w:basedOn w:val="44"/>
    <w:link w:val="38"/>
    <w:qFormat/>
    <w:uiPriority w:val="10"/>
    <w:rPr>
      <w:rFonts w:ascii="Arial" w:hAnsi="Arial" w:eastAsia="Arial" w:cs="Arial"/>
      <w:spacing w:val="-10"/>
      <w:sz w:val="56"/>
      <w:szCs w:val="56"/>
    </w:rPr>
  </w:style>
  <w:style w:type="character" w:customStyle="1" w:styleId="196">
    <w:name w:val="Subtitle Char"/>
    <w:basedOn w:val="44"/>
    <w:link w:val="30"/>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97">
    <w:name w:val="Quote"/>
    <w:basedOn w:val="1"/>
    <w:next w:val="1"/>
    <w:link w:val="19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98">
    <w:name w:val="Quote Char"/>
    <w:basedOn w:val="44"/>
    <w:link w:val="197"/>
    <w:qFormat/>
    <w:uiPriority w:val="29"/>
    <w:rPr>
      <w:i/>
      <w:iCs/>
      <w:color w:val="404040" w:themeColor="text1" w:themeTint="BF"/>
      <w14:textFill>
        <w14:solidFill>
          <w14:schemeClr w14:val="tx1">
            <w14:lumMod w14:val="75000"/>
            <w14:lumOff w14:val="25000"/>
          </w14:schemeClr>
        </w14:solidFill>
      </w14:textFill>
    </w:rPr>
  </w:style>
  <w:style w:type="character" w:customStyle="1" w:styleId="199">
    <w:name w:val="Intense Emphasis"/>
    <w:basedOn w:val="44"/>
    <w:qFormat/>
    <w:uiPriority w:val="21"/>
    <w:rPr>
      <w:i/>
      <w:iCs/>
      <w:color w:val="376092" w:themeColor="accent1" w:themeShade="BF"/>
    </w:rPr>
  </w:style>
  <w:style w:type="paragraph" w:styleId="200">
    <w:name w:val="Intense Quote"/>
    <w:basedOn w:val="1"/>
    <w:next w:val="1"/>
    <w:link w:val="20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201">
    <w:name w:val="Intense Quote Char"/>
    <w:basedOn w:val="44"/>
    <w:link w:val="200"/>
    <w:qFormat/>
    <w:uiPriority w:val="30"/>
    <w:rPr>
      <w:i/>
      <w:iCs/>
      <w:color w:val="376092" w:themeColor="accent1" w:themeShade="BF"/>
    </w:rPr>
  </w:style>
  <w:style w:type="character" w:customStyle="1" w:styleId="202">
    <w:name w:val="Intense Reference"/>
    <w:basedOn w:val="44"/>
    <w:qFormat/>
    <w:uiPriority w:val="32"/>
    <w:rPr>
      <w:b/>
      <w:bCs/>
      <w:smallCaps/>
      <w:color w:val="376092" w:themeColor="accent1" w:themeShade="BF"/>
      <w:spacing w:val="5"/>
    </w:rPr>
  </w:style>
  <w:style w:type="character" w:customStyle="1" w:styleId="203">
    <w:name w:val="Subtle Emphasis"/>
    <w:basedOn w:val="44"/>
    <w:qFormat/>
    <w:uiPriority w:val="19"/>
    <w:rPr>
      <w:i/>
      <w:iCs/>
      <w:color w:val="404040" w:themeColor="text1" w:themeTint="BF"/>
      <w14:textFill>
        <w14:solidFill>
          <w14:schemeClr w14:val="tx1">
            <w14:lumMod w14:val="75000"/>
            <w14:lumOff w14:val="25000"/>
          </w14:schemeClr>
        </w14:solidFill>
      </w14:textFill>
    </w:rPr>
  </w:style>
  <w:style w:type="character" w:customStyle="1" w:styleId="204">
    <w:name w:val="Subtle Reference"/>
    <w:basedOn w:val="44"/>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05">
    <w:name w:val="Book Title"/>
    <w:basedOn w:val="44"/>
    <w:qFormat/>
    <w:uiPriority w:val="33"/>
    <w:rPr>
      <w:b/>
      <w:bCs/>
      <w:i/>
      <w:iCs/>
      <w:spacing w:val="5"/>
    </w:rPr>
  </w:style>
  <w:style w:type="character" w:customStyle="1" w:styleId="206">
    <w:name w:val="Header Char"/>
    <w:basedOn w:val="44"/>
    <w:qFormat/>
    <w:uiPriority w:val="99"/>
  </w:style>
  <w:style w:type="character" w:customStyle="1" w:styleId="207">
    <w:name w:val="Footer Char"/>
    <w:basedOn w:val="44"/>
    <w:qFormat/>
    <w:uiPriority w:val="99"/>
  </w:style>
  <w:style w:type="character" w:customStyle="1" w:styleId="208">
    <w:name w:val="Footnote Text Char"/>
    <w:basedOn w:val="44"/>
    <w:link w:val="31"/>
    <w:semiHidden/>
    <w:qFormat/>
    <w:uiPriority w:val="99"/>
    <w:rPr>
      <w:sz w:val="20"/>
      <w:szCs w:val="20"/>
    </w:rPr>
  </w:style>
  <w:style w:type="character" w:customStyle="1" w:styleId="209">
    <w:name w:val="Endnote Text Char"/>
    <w:basedOn w:val="44"/>
    <w:link w:val="24"/>
    <w:semiHidden/>
    <w:qFormat/>
    <w:uiPriority w:val="99"/>
    <w:rPr>
      <w:sz w:val="20"/>
      <w:szCs w:val="20"/>
    </w:rPr>
  </w:style>
  <w:style w:type="character" w:styleId="210">
    <w:name w:val="Placeholder Text"/>
    <w:basedOn w:val="44"/>
    <w:semiHidden/>
    <w:qFormat/>
    <w:uiPriority w:val="99"/>
    <w:rPr>
      <w:color w:val="666666"/>
    </w:rPr>
  </w:style>
  <w:style w:type="paragraph" w:customStyle="1" w:styleId="211">
    <w:name w:val="TOC Heading"/>
    <w:unhideWhenUsed/>
    <w:qFormat/>
    <w:uiPriority w:val="39"/>
    <w:rPr>
      <w:rFonts w:hint="default" w:ascii="Times New Roman" w:hAnsi="Times New Roman" w:eastAsia="宋体" w:cs="Times New Roman"/>
    </w:rPr>
  </w:style>
  <w:style w:type="character" w:customStyle="1" w:styleId="212">
    <w:name w:val="标题 3 Char"/>
    <w:link w:val="5"/>
    <w:qFormat/>
    <w:uiPriority w:val="0"/>
    <w:rPr>
      <w:rFonts w:ascii="Calibri" w:hAnsi="Calibri" w:eastAsia="宋体"/>
      <w:b/>
      <w:sz w:val="32"/>
    </w:rPr>
  </w:style>
  <w:style w:type="character" w:customStyle="1" w:styleId="213">
    <w:name w:val="文档结构图 Char"/>
    <w:link w:val="16"/>
    <w:semiHidden/>
    <w:qFormat/>
    <w:uiPriority w:val="99"/>
    <w:rPr>
      <w:sz w:val="16"/>
      <w:szCs w:val="0"/>
    </w:rPr>
  </w:style>
  <w:style w:type="character" w:customStyle="1" w:styleId="214">
    <w:name w:val="批注文字 Char"/>
    <w:link w:val="17"/>
    <w:qFormat/>
    <w:uiPriority w:val="99"/>
    <w:rPr>
      <w:rFonts w:ascii="Calibri" w:hAnsi="Calibri" w:eastAsia="宋体" w:cs="Times New Roman"/>
      <w:sz w:val="24"/>
      <w:szCs w:val="24"/>
    </w:rPr>
  </w:style>
  <w:style w:type="character" w:customStyle="1" w:styleId="215">
    <w:name w:val="正文文本 Char"/>
    <w:link w:val="18"/>
    <w:qFormat/>
    <w:uiPriority w:val="0"/>
  </w:style>
  <w:style w:type="character" w:customStyle="1" w:styleId="216">
    <w:name w:val="纯文本 Char"/>
    <w:link w:val="21"/>
    <w:semiHidden/>
    <w:qFormat/>
    <w:uiPriority w:val="99"/>
    <w:rPr>
      <w:rFonts w:ascii="宋体" w:hAnsi="Courier New" w:cs="Courier New"/>
      <w:szCs w:val="21"/>
    </w:rPr>
  </w:style>
  <w:style w:type="character" w:customStyle="1" w:styleId="217">
    <w:name w:val="批注框文本 Char"/>
    <w:link w:val="25"/>
    <w:qFormat/>
    <w:uiPriority w:val="99"/>
    <w:rPr>
      <w:rFonts w:ascii="Calibri" w:hAnsi="Calibri" w:eastAsia="宋体" w:cs="Times New Roman"/>
      <w:sz w:val="18"/>
      <w:szCs w:val="18"/>
    </w:rPr>
  </w:style>
  <w:style w:type="character" w:customStyle="1" w:styleId="218">
    <w:name w:val="页脚 Char"/>
    <w:link w:val="26"/>
    <w:semiHidden/>
    <w:qFormat/>
    <w:uiPriority w:val="99"/>
    <w:rPr>
      <w:rFonts w:ascii="Calibri" w:hAnsi="Calibri"/>
      <w:sz w:val="18"/>
      <w:szCs w:val="18"/>
    </w:rPr>
  </w:style>
  <w:style w:type="character" w:customStyle="1" w:styleId="219">
    <w:name w:val="页眉 Char"/>
    <w:link w:val="27"/>
    <w:semiHidden/>
    <w:qFormat/>
    <w:uiPriority w:val="99"/>
    <w:rPr>
      <w:rFonts w:ascii="Calibri" w:hAnsi="Calibri"/>
      <w:sz w:val="18"/>
      <w:szCs w:val="18"/>
    </w:rPr>
  </w:style>
  <w:style w:type="character" w:customStyle="1" w:styleId="220">
    <w:name w:val="批注主题 Char"/>
    <w:link w:val="39"/>
    <w:qFormat/>
    <w:uiPriority w:val="99"/>
    <w:rPr>
      <w:rFonts w:ascii="Calibri" w:hAnsi="Calibri" w:eastAsia="宋体" w:cs="Times New Roman"/>
      <w:b/>
      <w:bCs/>
      <w:sz w:val="24"/>
      <w:szCs w:val="24"/>
    </w:rPr>
  </w:style>
  <w:style w:type="character" w:customStyle="1" w:styleId="221">
    <w:name w:val="15"/>
    <w:qFormat/>
    <w:uiPriority w:val="0"/>
    <w:rPr>
      <w:rFonts w:hint="default" w:ascii="Times New Roman" w:hAnsi="Times New Roman" w:cs="Times New Roman"/>
      <w:color w:val="0000FF"/>
      <w:u w:val="single"/>
    </w:rPr>
  </w:style>
  <w:style w:type="character" w:customStyle="1" w:styleId="222">
    <w:name w:val="hover1"/>
    <w:qFormat/>
    <w:uiPriority w:val="0"/>
    <w:rPr>
      <w:color w:val="2590EB"/>
    </w:rPr>
  </w:style>
  <w:style w:type="character" w:customStyle="1" w:styleId="223">
    <w:name w:val="font31"/>
    <w:qFormat/>
    <w:uiPriority w:val="0"/>
    <w:rPr>
      <w:rFonts w:hint="eastAsia" w:ascii="宋体" w:hAnsi="宋体" w:eastAsia="宋体" w:cs="宋体"/>
      <w:color w:val="FF0000"/>
      <w:sz w:val="24"/>
      <w:szCs w:val="24"/>
      <w:u w:val="none"/>
    </w:rPr>
  </w:style>
  <w:style w:type="character" w:customStyle="1" w:styleId="224">
    <w:name w:val="font101"/>
    <w:qFormat/>
    <w:uiPriority w:val="0"/>
    <w:rPr>
      <w:rFonts w:hint="eastAsia" w:ascii="宋体" w:hAnsi="宋体" w:eastAsia="宋体" w:cs="宋体"/>
      <w:color w:val="000000"/>
      <w:sz w:val="20"/>
      <w:szCs w:val="20"/>
      <w:u w:val="none"/>
    </w:rPr>
  </w:style>
  <w:style w:type="character" w:customStyle="1" w:styleId="225">
    <w:name w:val="font11"/>
    <w:qFormat/>
    <w:uiPriority w:val="0"/>
    <w:rPr>
      <w:rFonts w:hint="eastAsia" w:ascii="宋体" w:hAnsi="宋体" w:eastAsia="宋体" w:cs="宋体"/>
      <w:color w:val="000000"/>
      <w:sz w:val="24"/>
      <w:szCs w:val="24"/>
      <w:u w:val="none"/>
    </w:rPr>
  </w:style>
  <w:style w:type="character" w:customStyle="1" w:styleId="226">
    <w:name w:val="font71"/>
    <w:qFormat/>
    <w:uiPriority w:val="0"/>
    <w:rPr>
      <w:rFonts w:hint="eastAsia" w:ascii="宋体" w:hAnsi="宋体" w:eastAsia="宋体" w:cs="宋体"/>
      <w:color w:val="FF0000"/>
      <w:sz w:val="24"/>
      <w:szCs w:val="24"/>
      <w:u w:val="none"/>
    </w:rPr>
  </w:style>
  <w:style w:type="character" w:customStyle="1" w:styleId="227">
    <w:name w:val="apple-style-span"/>
    <w:qFormat/>
    <w:uiPriority w:val="99"/>
    <w:rPr>
      <w:rFonts w:cs="Times New Roman"/>
    </w:rPr>
  </w:style>
  <w:style w:type="character" w:customStyle="1" w:styleId="228">
    <w:name w:val="font01"/>
    <w:qFormat/>
    <w:uiPriority w:val="0"/>
    <w:rPr>
      <w:rFonts w:hint="eastAsia" w:ascii="宋体" w:hAnsi="宋体" w:eastAsia="宋体" w:cs="宋体"/>
      <w:b/>
      <w:color w:val="000000"/>
      <w:sz w:val="20"/>
      <w:szCs w:val="20"/>
      <w:u w:val="none"/>
    </w:rPr>
  </w:style>
  <w:style w:type="character" w:customStyle="1" w:styleId="229">
    <w:name w:val="font61"/>
    <w:qFormat/>
    <w:uiPriority w:val="0"/>
    <w:rPr>
      <w:rFonts w:hint="eastAsia" w:ascii="宋体" w:hAnsi="宋体" w:eastAsia="宋体" w:cs="宋体"/>
      <w:color w:val="FF0000"/>
      <w:sz w:val="24"/>
      <w:szCs w:val="24"/>
      <w:u w:val="none"/>
    </w:rPr>
  </w:style>
  <w:style w:type="character" w:customStyle="1" w:styleId="230">
    <w:name w:val="font41"/>
    <w:qFormat/>
    <w:uiPriority w:val="0"/>
    <w:rPr>
      <w:rFonts w:hint="eastAsia" w:ascii="宋体" w:hAnsi="宋体" w:eastAsia="宋体" w:cs="宋体"/>
      <w:color w:val="FF0000"/>
      <w:sz w:val="24"/>
      <w:szCs w:val="24"/>
      <w:u w:val="none"/>
    </w:rPr>
  </w:style>
  <w:style w:type="character" w:customStyle="1" w:styleId="231">
    <w:name w:val="hover"/>
    <w:qFormat/>
    <w:uiPriority w:val="0"/>
  </w:style>
  <w:style w:type="character" w:customStyle="1" w:styleId="232">
    <w:name w:val="hover2"/>
    <w:qFormat/>
    <w:uiPriority w:val="0"/>
    <w:rPr>
      <w:color w:val="2590EB"/>
    </w:rPr>
  </w:style>
  <w:style w:type="character" w:customStyle="1" w:styleId="233">
    <w:name w:val="mini-outputtext1"/>
    <w:qFormat/>
    <w:uiPriority w:val="0"/>
  </w:style>
  <w:style w:type="character" w:customStyle="1" w:styleId="234">
    <w:name w:val="font21"/>
    <w:basedOn w:val="44"/>
    <w:qFormat/>
    <w:uiPriority w:val="0"/>
    <w:rPr>
      <w:rFonts w:hint="default" w:ascii="Calibri" w:hAnsi="Calibri" w:cs="Calibri"/>
      <w:color w:val="000000"/>
      <w:sz w:val="21"/>
      <w:szCs w:val="21"/>
      <w:u w:val="none"/>
    </w:rPr>
  </w:style>
  <w:style w:type="character" w:customStyle="1" w:styleId="235">
    <w:name w:val="font51"/>
    <w:qFormat/>
    <w:uiPriority w:val="0"/>
    <w:rPr>
      <w:rFonts w:ascii="AvantGarde Bk BT" w:hAnsi="AvantGarde Bk BT" w:eastAsia="AvantGarde Bk BT" w:cs="AvantGarde Bk BT"/>
      <w:color w:val="000000"/>
      <w:sz w:val="24"/>
      <w:szCs w:val="24"/>
      <w:u w:val="none"/>
    </w:rPr>
  </w:style>
  <w:style w:type="paragraph" w:customStyle="1" w:styleId="236">
    <w:name w:val="Body text|1"/>
    <w:basedOn w:val="1"/>
    <w:qFormat/>
    <w:uiPriority w:val="0"/>
    <w:pPr>
      <w:spacing w:line="350" w:lineRule="auto"/>
      <w:ind w:firstLine="400"/>
      <w:jc w:val="left"/>
    </w:pPr>
    <w:rPr>
      <w:rFonts w:ascii="宋体" w:hAnsi="宋体" w:cs="宋体"/>
      <w:sz w:val="30"/>
      <w:szCs w:val="30"/>
    </w:rPr>
  </w:style>
  <w:style w:type="paragraph" w:customStyle="1" w:styleId="237">
    <w:name w:val="正文 New New New New"/>
    <w:qFormat/>
    <w:uiPriority w:val="0"/>
    <w:pPr>
      <w:widowControl w:val="0"/>
      <w:jc w:val="both"/>
    </w:pPr>
    <w:rPr>
      <w:rFonts w:hint="default" w:ascii="Times New Roman" w:hAnsi="Times New Roman" w:eastAsia="宋体" w:cs="Times New Roman"/>
      <w:szCs w:val="24"/>
      <w:lang w:val="en-US" w:eastAsia="zh-CN" w:bidi="ar-SA"/>
    </w:rPr>
  </w:style>
  <w:style w:type="paragraph" w:customStyle="1" w:styleId="238">
    <w:name w:val="TOC 标题1"/>
    <w:basedOn w:val="3"/>
    <w:next w:val="1"/>
    <w:unhideWhenUsed/>
    <w:qFormat/>
    <w:uiPriority w:val="39"/>
    <w:pPr>
      <w:widowControl/>
      <w:spacing w:before="240" w:after="0" w:line="256" w:lineRule="auto"/>
      <w:jc w:val="left"/>
      <w:outlineLvl w:val="9"/>
    </w:pPr>
    <w:rPr>
      <w:rFonts w:ascii="等线 Light" w:hAnsi="等线 Light" w:eastAsia="等线 Light"/>
      <w:b w:val="0"/>
      <w:bCs w:val="0"/>
      <w:color w:val="2F5496"/>
      <w:sz w:val="32"/>
      <w:szCs w:val="32"/>
    </w:rPr>
  </w:style>
  <w:style w:type="paragraph" w:customStyle="1" w:styleId="239">
    <w:name w:val="No Spacing"/>
    <w:basedOn w:val="1"/>
    <w:qFormat/>
    <w:uiPriority w:val="0"/>
    <w:pPr>
      <w:widowControl w:val="0"/>
      <w:jc w:val="both"/>
    </w:pPr>
    <w:rPr>
      <w:rFonts w:ascii="Calibri" w:hAnsi="Calibri"/>
      <w:sz w:val="21"/>
      <w:szCs w:val="22"/>
      <w:lang w:val="en-US" w:eastAsia="zh-CN" w:bidi="ar-SA"/>
    </w:rPr>
  </w:style>
  <w:style w:type="paragraph" w:customStyle="1" w:styleId="240">
    <w:name w:val="Body text|3"/>
    <w:basedOn w:val="1"/>
    <w:qFormat/>
    <w:uiPriority w:val="0"/>
    <w:pPr>
      <w:spacing w:after="460"/>
      <w:jc w:val="center"/>
    </w:pPr>
    <w:rPr>
      <w:rFonts w:ascii="宋体" w:hAnsi="宋体" w:cs="宋体"/>
      <w:sz w:val="34"/>
      <w:szCs w:val="34"/>
    </w:rPr>
  </w:style>
  <w:style w:type="paragraph" w:customStyle="1" w:styleId="241">
    <w:name w:val="Default"/>
    <w:qFormat/>
    <w:uiPriority w:val="99"/>
    <w:pPr>
      <w:widowControl w:val="0"/>
    </w:pPr>
    <w:rPr>
      <w:rFonts w:hint="default" w:ascii="Times New Roman" w:hAnsi="Times New Roman" w:eastAsia="宋体" w:cs="Times New Roman"/>
      <w:color w:val="000000"/>
      <w:sz w:val="24"/>
      <w:szCs w:val="24"/>
      <w:lang w:val="en-US" w:eastAsia="zh-CN" w:bidi="ar-SA"/>
    </w:rPr>
  </w:style>
  <w:style w:type="paragraph" w:customStyle="1" w:styleId="242">
    <w:name w:val="p0"/>
    <w:basedOn w:val="1"/>
    <w:qFormat/>
    <w:uiPriority w:val="99"/>
    <w:pPr>
      <w:widowControl/>
      <w:jc w:val="left"/>
    </w:pPr>
    <w:rPr>
      <w:rFonts w:ascii="Times New Roman" w:hAnsi="Times New Roman"/>
      <w:szCs w:val="21"/>
    </w:rPr>
  </w:style>
  <w:style w:type="paragraph" w:customStyle="1" w:styleId="243">
    <w:name w:val="正文_0"/>
    <w:qFormat/>
    <w:uiPriority w:val="1"/>
    <w:pPr>
      <w:widowControl w:val="0"/>
    </w:pPr>
    <w:rPr>
      <w:rFonts w:hint="default" w:ascii="宋体" w:hAnsi="宋体" w:eastAsia="宋体" w:cs="宋体"/>
      <w:sz w:val="22"/>
      <w:szCs w:val="22"/>
      <w:lang w:val="en-US" w:eastAsia="en-US" w:bidi="ar-SA"/>
    </w:rPr>
  </w:style>
  <w:style w:type="paragraph" w:customStyle="1" w:styleId="244">
    <w:name w:val="Char Char Char Char Char Char Char"/>
    <w:basedOn w:val="1"/>
    <w:qFormat/>
    <w:uiPriority w:val="0"/>
    <w:rPr>
      <w:color w:val="auto"/>
    </w:rPr>
  </w:style>
  <w:style w:type="paragraph" w:customStyle="1" w:styleId="245">
    <w:name w:val="_Style 1"/>
    <w:qFormat/>
    <w:uiPriority w:val="1"/>
    <w:pPr>
      <w:widowControl w:val="0"/>
      <w:jc w:val="both"/>
    </w:pPr>
    <w:rPr>
      <w:rFonts w:hint="default" w:ascii="Times New Roman" w:hAnsi="Times New Roman" w:eastAsia="宋体" w:cs="Times New Roman"/>
      <w:sz w:val="21"/>
      <w:szCs w:val="24"/>
      <w:lang w:val="en-US" w:eastAsia="zh-CN" w:bidi="ar-SA"/>
    </w:rPr>
  </w:style>
  <w:style w:type="paragraph" w:customStyle="1" w:styleId="246">
    <w:name w:val="首行缩进"/>
    <w:basedOn w:val="1"/>
    <w:qFormat/>
    <w:uiPriority w:val="0"/>
    <w:pPr>
      <w:spacing w:line="360" w:lineRule="auto"/>
      <w:ind w:firstLine="480"/>
    </w:pPr>
    <w:rPr>
      <w:rFonts w:ascii="宋体" w:hAnsi="宋体" w:cs="宋体"/>
      <w:sz w:val="24"/>
    </w:rPr>
  </w:style>
  <w:style w:type="paragraph" w:customStyle="1" w:styleId="247">
    <w:name w:val="List Paragraph"/>
    <w:basedOn w:val="1"/>
    <w:qFormat/>
    <w:uiPriority w:val="99"/>
    <w:pPr>
      <w:ind w:firstLine="420"/>
    </w:pPr>
    <w:rPr>
      <w:rFonts w:ascii="Times New Roman" w:hAnsi="Times New Roman"/>
    </w:rPr>
  </w:style>
  <w:style w:type="paragraph" w:customStyle="1" w:styleId="248">
    <w:name w:val="BodyText"/>
    <w:basedOn w:val="1"/>
    <w:next w:val="1"/>
    <w:qFormat/>
    <w:uiPriority w:val="0"/>
    <w:pPr>
      <w:spacing w:line="380" w:lineRule="exact"/>
    </w:pPr>
    <w:rPr>
      <w:sz w:val="24"/>
    </w:rPr>
  </w:style>
  <w:style w:type="paragraph" w:customStyle="1" w:styleId="249">
    <w:name w:val="列出段落3"/>
    <w:basedOn w:val="1"/>
    <w:qFormat/>
    <w:uiPriority w:val="34"/>
    <w:pPr>
      <w:ind w:firstLine="420"/>
    </w:pPr>
  </w:style>
  <w:style w:type="paragraph" w:customStyle="1" w:styleId="250">
    <w:name w:val="WPSOffice手动目录 1"/>
    <w:qFormat/>
    <w:uiPriority w:val="0"/>
    <w:rPr>
      <w:rFonts w:hint="default" w:ascii="Times New Roman" w:hAnsi="Times New Roman" w:eastAsia="宋体" w:cs="Times New Roman"/>
      <w:lang w:val="en-US" w:eastAsia="zh-CN" w:bidi="ar-SA"/>
    </w:rPr>
  </w:style>
  <w:style w:type="paragraph" w:customStyle="1" w:styleId="251">
    <w:name w:val="_Style 361"/>
    <w:basedOn w:val="1"/>
    <w:next w:val="247"/>
    <w:qFormat/>
    <w:uiPriority w:val="34"/>
    <w:pPr>
      <w:ind w:firstLine="420"/>
    </w:pPr>
  </w:style>
  <w:style w:type="paragraph" w:customStyle="1" w:styleId="252">
    <w:name w:val="Table Paragraph"/>
    <w:basedOn w:val="1"/>
    <w:qFormat/>
    <w:uiPriority w:val="1"/>
    <w:rPr>
      <w:rFonts w:ascii="宋体" w:hAnsi="宋体" w:eastAsia="宋体" w:cs="宋体"/>
      <w:lang w:val="zh-CN" w:eastAsia="zh-CN" w:bidi="zh-CN"/>
    </w:rPr>
  </w:style>
  <w:style w:type="character" w:customStyle="1" w:styleId="253">
    <w:name w:val="NormalCharacter"/>
    <w:qFormat/>
    <w:uiPriority w:val="0"/>
  </w:style>
  <w:style w:type="character" w:customStyle="1" w:styleId="254">
    <w:name w:val="标题 1 Char"/>
    <w:link w:val="3"/>
    <w:qFormat/>
    <w:uiPriority w:val="0"/>
    <w:rPr>
      <w:b/>
      <w:bCs/>
      <w:sz w:val="44"/>
      <w:szCs w:val="44"/>
    </w:rPr>
  </w:style>
  <w:style w:type="paragraph" w:customStyle="1" w:styleId="255">
    <w:name w:val="无间隔2"/>
    <w:qFormat/>
    <w:uiPriority w:val="0"/>
    <w:pPr>
      <w:widowControl w:val="0"/>
      <w:jc w:val="both"/>
    </w:pPr>
    <w:rPr>
      <w:rFonts w:hint="default"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18897</Words>
  <Characters>20298</Characters>
  <TotalTime>51</TotalTime>
  <ScaleCrop>false</ScaleCrop>
  <LinksUpToDate>false</LinksUpToDate>
  <CharactersWithSpaces>20918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2025-12-12T08:54:00Z</dcterms:created>
  <dc:creator>Administrator</dc:creator>
  <cp:lastModifiedBy>李吉</cp:lastModifiedBy>
  <dcterms:modified xsi:type="dcterms:W3CDTF">2026-06-09T01:53:40Z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7317A2E936134D688535E1A6C9CC8AF2_13</vt:lpwstr>
  </property>
  <property fmtid="{D5CDD505-2E9C-101B-9397-08002B2CF9AE}" pid="4" name="KSOTemplateDocerSaveRecord">
    <vt:lpwstr>eyJoZGlkIjoiZWRmZDRkNTQzYzg5MjkzZDJiZDcyYjgyZThlYzM5MTEiLCJ1c2VySWQiOiIxNTgzODA5NjczIn0=</vt:lpwstr>
  </property>
</Properties>
</file>