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B46A4">
      <w:pPr>
        <w:numPr>
          <w:ilvl w:val="0"/>
          <w:numId w:val="0"/>
        </w:numPr>
        <w:ind w:left="0" w:leftChars="0" w:firstLine="0" w:firstLineChars="0"/>
        <w:jc w:val="center"/>
        <w:outlineLvl w:val="0"/>
        <w:rPr>
          <w:rFonts w:hint="eastAsia"/>
          <w:color w:val="auto"/>
          <w:highlight w:val="none"/>
        </w:rPr>
      </w:pPr>
      <w:bookmarkStart w:id="0" w:name="_Toc11243"/>
      <w:r>
        <w:rPr>
          <w:rFonts w:hint="eastAsia"/>
          <w:color w:val="auto"/>
          <w:kern w:val="2"/>
          <w:sz w:val="44"/>
          <w:szCs w:val="44"/>
          <w:lang w:val="en-US" w:eastAsia="zh-CN" w:bidi="ar-SA"/>
        </w:rPr>
        <w:t xml:space="preserve">第七章 </w:t>
      </w:r>
      <w:r>
        <w:rPr>
          <w:rFonts w:hint="eastAsia"/>
          <w:color w:val="auto"/>
          <w:sz w:val="44"/>
          <w:szCs w:val="44"/>
          <w:highlight w:val="none"/>
        </w:rPr>
        <w:t>合同文本</w:t>
      </w:r>
      <w:bookmarkEnd w:id="0"/>
    </w:p>
    <w:p w14:paraId="70A5F7C3">
      <w:pPr>
        <w:pStyle w:val="4"/>
        <w:keepNext w:val="0"/>
        <w:keepLines w:val="0"/>
        <w:pageBreakBefore w:val="0"/>
        <w:widowControl w:val="0"/>
        <w:kinsoku/>
        <w:wordWrap/>
        <w:overflowPunct/>
        <w:topLinePunct w:val="0"/>
        <w:bidi w:val="0"/>
        <w:adjustRightInd/>
        <w:snapToGrid/>
        <w:spacing w:line="560" w:lineRule="exact"/>
        <w:ind w:left="0" w:leftChars="0" w:right="-64" w:rightChars="0" w:firstLine="0" w:firstLineChars="0"/>
        <w:jc w:val="center"/>
        <w:textAlignment w:val="auto"/>
        <w:outlineLvl w:val="9"/>
        <w:rPr>
          <w:rFonts w:hint="eastAsia" w:ascii="华文仿宋" w:hAnsi="华文仿宋" w:eastAsia="华文仿宋" w:cs="Times New Roman"/>
          <w:b/>
          <w:bCs/>
          <w:color w:val="auto"/>
          <w:kern w:val="44"/>
          <w:sz w:val="28"/>
          <w:szCs w:val="28"/>
          <w:lang w:val="zh-CN" w:eastAsia="zh-CN" w:bidi="ar-SA"/>
        </w:rPr>
      </w:pPr>
      <w:r>
        <w:rPr>
          <w:rFonts w:hint="eastAsia" w:ascii="华文仿宋" w:hAnsi="华文仿宋" w:eastAsia="华文仿宋" w:cs="Times New Roman"/>
          <w:b/>
          <w:bCs/>
          <w:color w:val="auto"/>
          <w:kern w:val="44"/>
          <w:sz w:val="28"/>
          <w:szCs w:val="28"/>
          <w:lang w:val="zh-CN" w:eastAsia="zh-CN" w:bidi="ar-SA"/>
        </w:rPr>
        <w:t>第一部分合同协议书</w:t>
      </w:r>
    </w:p>
    <w:p w14:paraId="59E31141">
      <w:pPr>
        <w:pStyle w:val="2"/>
        <w:keepNext w:val="0"/>
        <w:keepLines w:val="0"/>
        <w:pageBreakBefore w:val="0"/>
        <w:widowControl w:val="0"/>
        <w:kinsoku/>
        <w:wordWrap/>
        <w:overflowPunct/>
        <w:topLinePunct w:val="0"/>
        <w:bidi w:val="0"/>
        <w:adjustRightInd/>
        <w:snapToGrid/>
        <w:spacing w:line="560" w:lineRule="exact"/>
        <w:ind w:left="0"/>
        <w:jc w:val="both"/>
        <w:textAlignment w:val="auto"/>
        <w:outlineLvl w:val="9"/>
        <w:rPr>
          <w:rFonts w:hint="eastAsia" w:ascii="仿宋_GB2312" w:hAnsi="仿宋_GB2312" w:eastAsia="仿宋_GB2312" w:cs="仿宋_GB2312"/>
          <w:color w:val="auto"/>
          <w:sz w:val="20"/>
        </w:rPr>
      </w:pPr>
      <w:bookmarkStart w:id="1" w:name="合同协议书"/>
      <w:bookmarkEnd w:id="1"/>
    </w:p>
    <w:p w14:paraId="5AADEB5B">
      <w:pPr>
        <w:keepNext w:val="0"/>
        <w:keepLines w:val="0"/>
        <w:pageBreakBefore w:val="0"/>
        <w:widowControl w:val="0"/>
        <w:kinsoku/>
        <w:wordWrap/>
        <w:overflowPunct/>
        <w:topLinePunct w:val="0"/>
        <w:autoSpaceDE/>
        <w:autoSpaceDN/>
        <w:bidi w:val="0"/>
        <w:adjustRightInd/>
        <w:snapToGrid/>
        <w:spacing w:line="360" w:lineRule="auto"/>
        <w:ind w:right="4784" w:firstLine="3"/>
        <w:textAlignment w:val="auto"/>
        <w:outlineLvl w:val="9"/>
        <w:rPr>
          <w:rFonts w:hint="eastAsia" w:ascii="宋体" w:hAnsi="宋体" w:eastAsia="宋体" w:cs="宋体"/>
          <w:color w:val="auto"/>
          <w:spacing w:val="1"/>
          <w:sz w:val="20"/>
          <w:szCs w:val="20"/>
          <w:lang w:eastAsia="zh-CN"/>
        </w:rPr>
      </w:pPr>
      <w:r>
        <w:rPr>
          <w:rFonts w:ascii="宋体" w:hAnsi="宋体" w:eastAsia="宋体" w:cs="宋体"/>
          <w:color w:val="auto"/>
          <w:spacing w:val="8"/>
          <w:sz w:val="20"/>
          <w:szCs w:val="20"/>
        </w:rPr>
        <w:t>发包人（全称</w:t>
      </w:r>
      <w:r>
        <w:rPr>
          <w:rFonts w:ascii="宋体" w:hAnsi="宋体" w:eastAsia="宋体" w:cs="宋体"/>
          <w:color w:val="auto"/>
          <w:spacing w:val="18"/>
          <w:sz w:val="20"/>
          <w:szCs w:val="20"/>
        </w:rPr>
        <w:t>）：</w:t>
      </w:r>
      <w:r>
        <w:rPr>
          <w:rFonts w:hint="eastAsia" w:ascii="宋体" w:hAnsi="宋体" w:eastAsia="宋体" w:cs="宋体"/>
          <w:color w:val="auto"/>
          <w:spacing w:val="8"/>
          <w:sz w:val="20"/>
          <w:szCs w:val="20"/>
          <w:u w:val="single" w:color="auto"/>
          <w:lang w:eastAsia="zh-CN"/>
        </w:rPr>
        <w:t>岑溪市梨木镇人民政府</w:t>
      </w:r>
    </w:p>
    <w:p w14:paraId="57F2D418">
      <w:pPr>
        <w:keepNext w:val="0"/>
        <w:keepLines w:val="0"/>
        <w:pageBreakBefore w:val="0"/>
        <w:widowControl w:val="0"/>
        <w:kinsoku/>
        <w:wordWrap/>
        <w:overflowPunct/>
        <w:topLinePunct w:val="0"/>
        <w:autoSpaceDE/>
        <w:autoSpaceDN/>
        <w:bidi w:val="0"/>
        <w:adjustRightInd/>
        <w:snapToGrid/>
        <w:spacing w:line="360" w:lineRule="auto"/>
        <w:ind w:right="4784" w:firstLine="3"/>
        <w:textAlignment w:val="auto"/>
        <w:outlineLvl w:val="9"/>
        <w:rPr>
          <w:rFonts w:hint="eastAsia" w:ascii="宋体" w:hAnsi="宋体" w:eastAsia="宋体" w:cs="宋体"/>
          <w:color w:val="auto"/>
          <w:sz w:val="20"/>
          <w:szCs w:val="20"/>
          <w:u w:val="single"/>
          <w:lang w:eastAsia="zh-CN"/>
        </w:rPr>
      </w:pPr>
      <w:r>
        <w:rPr>
          <w:rFonts w:ascii="宋体" w:hAnsi="宋体" w:eastAsia="宋体" w:cs="宋体"/>
          <w:color w:val="auto"/>
          <w:spacing w:val="8"/>
          <w:sz w:val="20"/>
          <w:szCs w:val="20"/>
        </w:rPr>
        <w:t>承包人（全称</w:t>
      </w:r>
      <w:r>
        <w:rPr>
          <w:rFonts w:ascii="宋体" w:hAnsi="宋体" w:eastAsia="宋体" w:cs="宋体"/>
          <w:color w:val="auto"/>
          <w:spacing w:val="11"/>
          <w:sz w:val="20"/>
          <w:szCs w:val="20"/>
        </w:rPr>
        <w:t>）：</w:t>
      </w:r>
    </w:p>
    <w:p w14:paraId="6B706B04">
      <w:pPr>
        <w:keepNext w:val="0"/>
        <w:keepLines w:val="0"/>
        <w:pageBreakBefore w:val="0"/>
        <w:widowControl w:val="0"/>
        <w:kinsoku/>
        <w:wordWrap/>
        <w:overflowPunct/>
        <w:topLinePunct w:val="0"/>
        <w:autoSpaceDE/>
        <w:autoSpaceDN/>
        <w:bidi w:val="0"/>
        <w:adjustRightInd/>
        <w:snapToGrid/>
        <w:spacing w:line="360" w:lineRule="auto"/>
        <w:ind w:firstLine="421"/>
        <w:textAlignment w:val="auto"/>
        <w:outlineLvl w:val="9"/>
        <w:rPr>
          <w:rFonts w:ascii="宋体" w:hAnsi="宋体" w:eastAsia="宋体" w:cs="宋体"/>
          <w:color w:val="auto"/>
          <w:sz w:val="20"/>
          <w:szCs w:val="20"/>
        </w:rPr>
      </w:pPr>
      <w:r>
        <w:rPr>
          <w:rFonts w:ascii="宋体" w:hAnsi="宋体" w:eastAsia="宋体" w:cs="宋体"/>
          <w:color w:val="auto"/>
          <w:spacing w:val="11"/>
          <w:sz w:val="20"/>
          <w:szCs w:val="20"/>
        </w:rPr>
        <w:t>依据《中华人民共和国民法典》、《中华人民共和国建筑法》及有关法律规定，遵循平等、自愿、公平和诚实信用的原则，双方就</w:t>
      </w:r>
      <w:r>
        <w:rPr>
          <w:rFonts w:hint="eastAsia" w:ascii="宋体" w:hAnsi="宋体" w:eastAsia="宋体" w:cs="宋体"/>
          <w:color w:val="auto"/>
          <w:spacing w:val="11"/>
          <w:sz w:val="20"/>
          <w:szCs w:val="20"/>
          <w:u w:val="single" w:color="auto"/>
          <w:lang w:eastAsia="zh-CN"/>
        </w:rPr>
        <w:t>岑溪市梨木镇梨木社区农产品交易中心建设项目</w:t>
      </w:r>
      <w:r>
        <w:rPr>
          <w:rFonts w:ascii="宋体" w:hAnsi="宋体" w:eastAsia="宋体" w:cs="宋体"/>
          <w:color w:val="auto"/>
          <w:spacing w:val="11"/>
          <w:sz w:val="20"/>
          <w:szCs w:val="20"/>
        </w:rPr>
        <w:t>施工及有关</w:t>
      </w:r>
      <w:r>
        <w:rPr>
          <w:rFonts w:ascii="宋体" w:hAnsi="宋体" w:eastAsia="宋体" w:cs="宋体"/>
          <w:color w:val="auto"/>
          <w:spacing w:val="9"/>
          <w:sz w:val="20"/>
          <w:szCs w:val="20"/>
        </w:rPr>
        <w:t>事项，根据发包人竞争性磋商文件及承包人响应文件，共同达成如下协议：</w:t>
      </w:r>
    </w:p>
    <w:p w14:paraId="613AB844">
      <w:pPr>
        <w:keepNext w:val="0"/>
        <w:keepLines w:val="0"/>
        <w:pageBreakBefore w:val="0"/>
        <w:widowControl w:val="0"/>
        <w:kinsoku/>
        <w:wordWrap/>
        <w:overflowPunct/>
        <w:topLinePunct w:val="0"/>
        <w:autoSpaceDE/>
        <w:autoSpaceDN/>
        <w:bidi w:val="0"/>
        <w:adjustRightInd/>
        <w:snapToGrid/>
        <w:spacing w:line="360" w:lineRule="auto"/>
        <w:ind w:left="423"/>
        <w:textAlignment w:val="auto"/>
        <w:outlineLvl w:val="9"/>
        <w:rPr>
          <w:rFonts w:ascii="宋体" w:hAnsi="宋体" w:eastAsia="宋体" w:cs="宋体"/>
          <w:color w:val="auto"/>
          <w:sz w:val="20"/>
          <w:szCs w:val="20"/>
        </w:rPr>
      </w:pPr>
      <w:r>
        <w:rPr>
          <w:rFonts w:ascii="宋体" w:hAnsi="宋体" w:eastAsia="宋体" w:cs="宋体"/>
          <w:b/>
          <w:bCs/>
          <w:color w:val="auto"/>
          <w:spacing w:val="6"/>
          <w:sz w:val="20"/>
          <w:szCs w:val="20"/>
        </w:rPr>
        <w:t>一、工程概况</w:t>
      </w:r>
    </w:p>
    <w:p w14:paraId="2ECFBC7D">
      <w:pPr>
        <w:keepNext w:val="0"/>
        <w:keepLines w:val="0"/>
        <w:pageBreakBefore w:val="0"/>
        <w:widowControl w:val="0"/>
        <w:kinsoku/>
        <w:wordWrap/>
        <w:overflowPunct/>
        <w:topLinePunct w:val="0"/>
        <w:autoSpaceDE/>
        <w:autoSpaceDN/>
        <w:bidi w:val="0"/>
        <w:adjustRightInd/>
        <w:snapToGrid/>
        <w:spacing w:line="360" w:lineRule="auto"/>
        <w:ind w:left="429"/>
        <w:textAlignment w:val="auto"/>
        <w:outlineLvl w:val="9"/>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1.</w:t>
      </w:r>
      <w:r>
        <w:rPr>
          <w:rFonts w:ascii="宋体" w:hAnsi="宋体" w:eastAsia="宋体" w:cs="宋体"/>
          <w:color w:val="auto"/>
          <w:spacing w:val="8"/>
          <w:sz w:val="20"/>
          <w:szCs w:val="20"/>
        </w:rPr>
        <w:t>工程名称：</w:t>
      </w:r>
      <w:r>
        <w:rPr>
          <w:rFonts w:hint="eastAsia" w:ascii="宋体" w:hAnsi="宋体" w:eastAsia="宋体" w:cs="宋体"/>
          <w:color w:val="auto"/>
          <w:spacing w:val="8"/>
          <w:sz w:val="20"/>
          <w:szCs w:val="20"/>
          <w:u w:val="single" w:color="auto"/>
          <w:lang w:eastAsia="zh-CN"/>
        </w:rPr>
        <w:t>岑溪市梨木镇梨木社区农产品交易中心建设项目</w:t>
      </w:r>
      <w:r>
        <w:rPr>
          <w:rFonts w:ascii="宋体" w:hAnsi="宋体" w:eastAsia="宋体" w:cs="宋体"/>
          <w:color w:val="auto"/>
          <w:spacing w:val="7"/>
          <w:sz w:val="20"/>
          <w:szCs w:val="20"/>
        </w:rPr>
        <w:t>。</w:t>
      </w:r>
    </w:p>
    <w:p w14:paraId="474F1A27">
      <w:pPr>
        <w:keepNext w:val="0"/>
        <w:keepLines w:val="0"/>
        <w:pageBreakBefore w:val="0"/>
        <w:widowControl w:val="0"/>
        <w:kinsoku/>
        <w:wordWrap/>
        <w:overflowPunct/>
        <w:topLinePunct w:val="0"/>
        <w:autoSpaceDE/>
        <w:autoSpaceDN/>
        <w:bidi w:val="0"/>
        <w:adjustRightInd/>
        <w:snapToGrid/>
        <w:spacing w:line="360" w:lineRule="auto"/>
        <w:ind w:left="409"/>
        <w:textAlignment w:val="auto"/>
        <w:outlineLvl w:val="9"/>
        <w:rPr>
          <w:rFonts w:ascii="宋体" w:hAnsi="宋体" w:eastAsia="宋体" w:cs="宋体"/>
          <w:color w:val="auto"/>
          <w:sz w:val="20"/>
          <w:szCs w:val="20"/>
        </w:rPr>
      </w:pPr>
      <w:r>
        <w:rPr>
          <w:rFonts w:ascii="Times New Roman" w:hAnsi="Times New Roman" w:eastAsia="Times New Roman" w:cs="Times New Roman"/>
          <w:color w:val="auto"/>
          <w:spacing w:val="5"/>
          <w:sz w:val="20"/>
          <w:szCs w:val="20"/>
        </w:rPr>
        <w:t>2.</w:t>
      </w:r>
      <w:r>
        <w:rPr>
          <w:rFonts w:ascii="宋体" w:hAnsi="宋体" w:eastAsia="宋体" w:cs="宋体"/>
          <w:color w:val="auto"/>
          <w:spacing w:val="5"/>
          <w:sz w:val="20"/>
          <w:szCs w:val="20"/>
        </w:rPr>
        <w:t>工程地点：</w:t>
      </w:r>
      <w:r>
        <w:rPr>
          <w:rFonts w:hint="eastAsia" w:ascii="宋体" w:hAnsi="宋体" w:eastAsia="宋体" w:cs="宋体"/>
          <w:color w:val="auto"/>
          <w:spacing w:val="1"/>
          <w:sz w:val="20"/>
          <w:szCs w:val="20"/>
          <w:u w:val="single" w:color="auto"/>
          <w:lang w:val="en-US" w:eastAsia="zh-CN"/>
        </w:rPr>
        <w:t xml:space="preserve"> 岑溪市梨木镇</w:t>
      </w:r>
      <w:r>
        <w:rPr>
          <w:rFonts w:ascii="宋体" w:hAnsi="宋体" w:eastAsia="宋体" w:cs="宋体"/>
          <w:color w:val="auto"/>
          <w:spacing w:val="5"/>
          <w:sz w:val="20"/>
          <w:szCs w:val="20"/>
        </w:rPr>
        <w:t>。</w:t>
      </w:r>
    </w:p>
    <w:p w14:paraId="4CBBE825">
      <w:pPr>
        <w:keepNext w:val="0"/>
        <w:keepLines w:val="0"/>
        <w:pageBreakBefore w:val="0"/>
        <w:widowControl w:val="0"/>
        <w:kinsoku/>
        <w:wordWrap/>
        <w:overflowPunct/>
        <w:topLinePunct w:val="0"/>
        <w:autoSpaceDE/>
        <w:autoSpaceDN/>
        <w:bidi w:val="0"/>
        <w:adjustRightInd/>
        <w:snapToGrid/>
        <w:spacing w:line="360" w:lineRule="auto"/>
        <w:ind w:left="413"/>
        <w:textAlignment w:val="auto"/>
        <w:outlineLvl w:val="9"/>
        <w:rPr>
          <w:rFonts w:hint="default" w:ascii="宋体" w:hAnsi="宋体" w:eastAsia="宋体" w:cs="宋体"/>
          <w:color w:val="auto"/>
          <w:sz w:val="20"/>
          <w:szCs w:val="20"/>
          <w:u w:val="single"/>
          <w:lang w:val="en-US" w:eastAsia="zh-CN"/>
        </w:rPr>
      </w:pPr>
      <w:r>
        <w:rPr>
          <w:rFonts w:ascii="Times New Roman" w:hAnsi="Times New Roman" w:eastAsia="Times New Roman" w:cs="Times New Roman"/>
          <w:color w:val="auto"/>
          <w:spacing w:val="6"/>
          <w:sz w:val="20"/>
          <w:szCs w:val="20"/>
        </w:rPr>
        <w:t>3.</w:t>
      </w:r>
      <w:r>
        <w:rPr>
          <w:rFonts w:ascii="宋体" w:hAnsi="宋体" w:eastAsia="宋体" w:cs="宋体"/>
          <w:color w:val="auto"/>
          <w:spacing w:val="6"/>
          <w:sz w:val="20"/>
          <w:szCs w:val="20"/>
        </w:rPr>
        <w:t>工程</w:t>
      </w:r>
      <w:r>
        <w:rPr>
          <w:rFonts w:hint="eastAsia" w:ascii="宋体" w:hAnsi="宋体" w:cs="宋体"/>
          <w:color w:val="auto"/>
          <w:spacing w:val="6"/>
          <w:sz w:val="20"/>
          <w:szCs w:val="20"/>
          <w:lang w:val="en-US" w:eastAsia="zh-CN"/>
        </w:rPr>
        <w:t>建设</w:t>
      </w:r>
      <w:r>
        <w:rPr>
          <w:rFonts w:ascii="宋体" w:hAnsi="宋体" w:eastAsia="宋体" w:cs="宋体"/>
          <w:color w:val="auto"/>
          <w:spacing w:val="6"/>
          <w:sz w:val="20"/>
          <w:szCs w:val="20"/>
        </w:rPr>
        <w:t>批准文号：</w:t>
      </w:r>
      <w:r>
        <w:rPr>
          <w:rFonts w:hint="eastAsia" w:ascii="宋体" w:hAnsi="宋体" w:eastAsia="宋体" w:cs="宋体"/>
          <w:color w:val="auto"/>
          <w:spacing w:val="6"/>
          <w:sz w:val="20"/>
          <w:szCs w:val="20"/>
          <w:u w:val="single"/>
          <w:lang w:val="en-US" w:eastAsia="zh-CN"/>
        </w:rPr>
        <w:t xml:space="preserve">           </w:t>
      </w:r>
    </w:p>
    <w:p w14:paraId="6C1A3FE5">
      <w:pPr>
        <w:keepNext w:val="0"/>
        <w:keepLines w:val="0"/>
        <w:pageBreakBefore w:val="0"/>
        <w:widowControl w:val="0"/>
        <w:kinsoku/>
        <w:wordWrap/>
        <w:overflowPunct/>
        <w:topLinePunct w:val="0"/>
        <w:autoSpaceDE/>
        <w:autoSpaceDN/>
        <w:bidi w:val="0"/>
        <w:adjustRightInd/>
        <w:snapToGrid/>
        <w:spacing w:line="360" w:lineRule="auto"/>
        <w:ind w:left="407"/>
        <w:textAlignment w:val="auto"/>
        <w:outlineLvl w:val="9"/>
        <w:rPr>
          <w:rFonts w:hint="default" w:ascii="宋体" w:hAnsi="宋体" w:eastAsia="宋体" w:cs="宋体"/>
          <w:color w:val="auto"/>
          <w:sz w:val="20"/>
          <w:szCs w:val="20"/>
          <w:lang w:val="en-US"/>
        </w:rPr>
      </w:pPr>
      <w:r>
        <w:rPr>
          <w:rFonts w:ascii="Times New Roman" w:hAnsi="Times New Roman" w:eastAsia="Times New Roman" w:cs="Times New Roman"/>
          <w:color w:val="auto"/>
          <w:spacing w:val="4"/>
          <w:sz w:val="20"/>
          <w:szCs w:val="20"/>
        </w:rPr>
        <w:t>4.</w:t>
      </w:r>
      <w:r>
        <w:rPr>
          <w:rFonts w:ascii="宋体" w:hAnsi="宋体" w:eastAsia="宋体" w:cs="宋体"/>
          <w:color w:val="auto"/>
          <w:spacing w:val="4"/>
          <w:sz w:val="20"/>
          <w:szCs w:val="20"/>
        </w:rPr>
        <w:t>资金来源：</w:t>
      </w:r>
      <w:r>
        <w:rPr>
          <w:rFonts w:hint="eastAsia" w:ascii="宋体" w:hAnsi="宋体" w:cs="宋体"/>
          <w:color w:val="auto"/>
          <w:spacing w:val="10"/>
          <w:sz w:val="21"/>
          <w:szCs w:val="21"/>
          <w:u w:val="single"/>
          <w:lang w:val="en-US" w:eastAsia="zh-CN"/>
        </w:rPr>
        <w:t xml:space="preserve">                  </w:t>
      </w:r>
    </w:p>
    <w:p w14:paraId="30379376">
      <w:pPr>
        <w:keepNext w:val="0"/>
        <w:keepLines w:val="0"/>
        <w:pageBreakBefore w:val="0"/>
        <w:widowControl w:val="0"/>
        <w:kinsoku/>
        <w:wordWrap/>
        <w:overflowPunct/>
        <w:topLinePunct w:val="0"/>
        <w:autoSpaceDE/>
        <w:autoSpaceDN/>
        <w:bidi w:val="0"/>
        <w:adjustRightInd/>
        <w:snapToGrid/>
        <w:spacing w:line="360" w:lineRule="auto"/>
        <w:ind w:left="414"/>
        <w:textAlignment w:val="auto"/>
        <w:outlineLvl w:val="9"/>
        <w:rPr>
          <w:rFonts w:ascii="宋体" w:hAnsi="宋体" w:eastAsia="宋体" w:cs="宋体"/>
          <w:color w:val="auto"/>
          <w:sz w:val="20"/>
          <w:szCs w:val="20"/>
        </w:rPr>
      </w:pPr>
      <w:r>
        <w:rPr>
          <w:rFonts w:ascii="Times New Roman" w:hAnsi="Times New Roman" w:eastAsia="Times New Roman" w:cs="Times New Roman"/>
          <w:color w:val="auto"/>
          <w:spacing w:val="3"/>
          <w:sz w:val="20"/>
          <w:szCs w:val="20"/>
        </w:rPr>
        <w:t>5.</w:t>
      </w:r>
      <w:r>
        <w:rPr>
          <w:rFonts w:ascii="宋体" w:hAnsi="宋体" w:eastAsia="宋体" w:cs="宋体"/>
          <w:color w:val="auto"/>
          <w:spacing w:val="3"/>
          <w:sz w:val="20"/>
          <w:szCs w:val="20"/>
        </w:rPr>
        <w:t>工程内容：</w:t>
      </w:r>
      <w:r>
        <w:rPr>
          <w:rFonts w:hint="eastAsia" w:ascii="宋体" w:hAnsi="宋体" w:cs="宋体"/>
          <w:color w:val="auto"/>
          <w:spacing w:val="10"/>
          <w:sz w:val="21"/>
          <w:szCs w:val="21"/>
          <w:u w:val="single"/>
          <w:lang w:val="en-US" w:eastAsia="zh-CN"/>
        </w:rPr>
        <w:t xml:space="preserve">                   </w:t>
      </w:r>
      <w:r>
        <w:rPr>
          <w:rFonts w:ascii="宋体" w:hAnsi="宋体" w:eastAsia="宋体" w:cs="宋体"/>
          <w:color w:val="auto"/>
          <w:spacing w:val="3"/>
          <w:sz w:val="20"/>
          <w:szCs w:val="20"/>
        </w:rPr>
        <w:t>。</w:t>
      </w:r>
    </w:p>
    <w:p w14:paraId="4880320D">
      <w:pPr>
        <w:keepNext w:val="0"/>
        <w:keepLines w:val="0"/>
        <w:pageBreakBefore w:val="0"/>
        <w:widowControl w:val="0"/>
        <w:kinsoku/>
        <w:wordWrap/>
        <w:overflowPunct/>
        <w:topLinePunct w:val="0"/>
        <w:autoSpaceDE/>
        <w:autoSpaceDN/>
        <w:bidi w:val="0"/>
        <w:adjustRightInd/>
        <w:snapToGrid/>
        <w:spacing w:line="360" w:lineRule="auto"/>
        <w:ind w:left="413"/>
        <w:textAlignment w:val="auto"/>
        <w:outlineLvl w:val="9"/>
        <w:rPr>
          <w:rFonts w:ascii="宋体" w:hAnsi="宋体" w:eastAsia="宋体" w:cs="宋体"/>
          <w:color w:val="auto"/>
          <w:sz w:val="20"/>
          <w:szCs w:val="20"/>
        </w:rPr>
      </w:pPr>
      <w:r>
        <w:rPr>
          <w:rFonts w:ascii="Times New Roman" w:hAnsi="Times New Roman" w:eastAsia="Times New Roman" w:cs="Times New Roman"/>
          <w:color w:val="auto"/>
          <w:spacing w:val="5"/>
          <w:sz w:val="20"/>
          <w:szCs w:val="20"/>
        </w:rPr>
        <w:t>6.</w:t>
      </w:r>
      <w:r>
        <w:rPr>
          <w:rFonts w:ascii="宋体" w:hAnsi="宋体" w:eastAsia="宋体" w:cs="宋体"/>
          <w:color w:val="auto"/>
          <w:spacing w:val="5"/>
          <w:sz w:val="20"/>
          <w:szCs w:val="20"/>
        </w:rPr>
        <w:t>工程承包范围：</w:t>
      </w:r>
      <w:r>
        <w:rPr>
          <w:rFonts w:ascii="宋体" w:hAnsi="宋体" w:eastAsia="宋体" w:cs="宋体"/>
          <w:color w:val="auto"/>
          <w:sz w:val="20"/>
          <w:szCs w:val="20"/>
          <w:u w:val="single" w:color="auto"/>
        </w:rPr>
        <w:tab/>
      </w:r>
      <w:r>
        <w:rPr>
          <w:rFonts w:hint="eastAsia" w:ascii="宋体" w:hAnsi="宋体" w:eastAsia="宋体" w:cs="宋体"/>
          <w:color w:val="auto"/>
          <w:spacing w:val="10"/>
          <w:sz w:val="21"/>
          <w:szCs w:val="21"/>
          <w:u w:val="single"/>
          <w:lang w:val="en-US" w:eastAsia="zh-CN"/>
        </w:rPr>
        <w:t>按招标文件、发标施工图纸、工程量清单及补遗通知等全部内容。</w:t>
      </w:r>
    </w:p>
    <w:p w14:paraId="1C2ACB0D">
      <w:pPr>
        <w:keepNext w:val="0"/>
        <w:keepLines w:val="0"/>
        <w:pageBreakBefore w:val="0"/>
        <w:widowControl w:val="0"/>
        <w:kinsoku/>
        <w:wordWrap/>
        <w:overflowPunct/>
        <w:topLinePunct w:val="0"/>
        <w:autoSpaceDE/>
        <w:autoSpaceDN/>
        <w:bidi w:val="0"/>
        <w:adjustRightInd/>
        <w:snapToGrid/>
        <w:spacing w:line="360" w:lineRule="auto"/>
        <w:ind w:left="408"/>
        <w:textAlignment w:val="auto"/>
        <w:outlineLvl w:val="9"/>
        <w:rPr>
          <w:rFonts w:ascii="宋体" w:hAnsi="宋体" w:eastAsia="宋体" w:cs="宋体"/>
          <w:color w:val="auto"/>
          <w:sz w:val="20"/>
          <w:szCs w:val="20"/>
        </w:rPr>
      </w:pPr>
      <w:r>
        <w:rPr>
          <w:rFonts w:ascii="宋体" w:hAnsi="宋体" w:eastAsia="宋体" w:cs="宋体"/>
          <w:b/>
          <w:bCs/>
          <w:color w:val="auto"/>
          <w:spacing w:val="6"/>
          <w:sz w:val="20"/>
          <w:szCs w:val="20"/>
        </w:rPr>
        <w:t>二、合同工期</w:t>
      </w:r>
    </w:p>
    <w:p w14:paraId="6AE16016">
      <w:pPr>
        <w:keepNext w:val="0"/>
        <w:keepLines w:val="0"/>
        <w:pageBreakBefore w:val="0"/>
        <w:widowControl w:val="0"/>
        <w:kinsoku/>
        <w:wordWrap/>
        <w:overflowPunct/>
        <w:topLinePunct w:val="0"/>
        <w:autoSpaceDE/>
        <w:autoSpaceDN/>
        <w:bidi w:val="0"/>
        <w:adjustRightInd/>
        <w:snapToGrid/>
        <w:spacing w:line="360" w:lineRule="auto"/>
        <w:ind w:left="458"/>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计划开工日期</w:t>
      </w:r>
      <w:r>
        <w:rPr>
          <w:rFonts w:ascii="宋体" w:hAnsi="宋体" w:eastAsia="宋体" w:cs="宋体"/>
          <w:color w:val="auto"/>
          <w:spacing w:val="6"/>
          <w:sz w:val="20"/>
          <w:szCs w:val="20"/>
          <w:u w:val="none"/>
        </w:rPr>
        <w:t>：</w:t>
      </w:r>
      <w:r>
        <w:rPr>
          <w:rFonts w:hint="eastAsia" w:cs="宋体"/>
          <w:color w:val="auto"/>
          <w:spacing w:val="6"/>
          <w:sz w:val="20"/>
          <w:szCs w:val="20"/>
          <w:u w:val="single"/>
          <w:lang w:val="en-US" w:eastAsia="zh-CN"/>
        </w:rPr>
        <w:t xml:space="preserve"> </w:t>
      </w:r>
      <w:r>
        <w:rPr>
          <w:rFonts w:ascii="宋体" w:hAnsi="宋体" w:eastAsia="宋体" w:cs="宋体"/>
          <w:color w:val="auto"/>
          <w:spacing w:val="6"/>
          <w:sz w:val="20"/>
          <w:szCs w:val="20"/>
          <w:u w:val="single"/>
        </w:rPr>
        <w:t>年</w:t>
      </w:r>
      <w:r>
        <w:rPr>
          <w:rFonts w:hint="eastAsia" w:cs="宋体"/>
          <w:color w:val="auto"/>
          <w:spacing w:val="6"/>
          <w:sz w:val="20"/>
          <w:szCs w:val="20"/>
          <w:u w:val="single"/>
          <w:lang w:val="en-US" w:eastAsia="zh-CN"/>
        </w:rPr>
        <w:t xml:space="preserve">  </w:t>
      </w:r>
      <w:r>
        <w:rPr>
          <w:rFonts w:ascii="宋体" w:hAnsi="宋体" w:eastAsia="宋体" w:cs="宋体"/>
          <w:color w:val="auto"/>
          <w:spacing w:val="6"/>
          <w:sz w:val="20"/>
          <w:szCs w:val="20"/>
          <w:u w:val="single"/>
        </w:rPr>
        <w:t>月</w:t>
      </w:r>
      <w:r>
        <w:rPr>
          <w:rFonts w:hint="eastAsia" w:cs="宋体"/>
          <w:color w:val="auto"/>
          <w:spacing w:val="6"/>
          <w:sz w:val="20"/>
          <w:szCs w:val="20"/>
          <w:u w:val="single"/>
          <w:lang w:val="en-US" w:eastAsia="zh-CN"/>
        </w:rPr>
        <w:t xml:space="preserve">   </w:t>
      </w:r>
      <w:r>
        <w:rPr>
          <w:rFonts w:ascii="宋体" w:hAnsi="宋体" w:eastAsia="宋体" w:cs="宋体"/>
          <w:color w:val="auto"/>
          <w:spacing w:val="6"/>
          <w:sz w:val="20"/>
          <w:szCs w:val="20"/>
          <w:u w:val="single"/>
        </w:rPr>
        <w:t>日</w:t>
      </w:r>
      <w:r>
        <w:rPr>
          <w:rFonts w:ascii="宋体" w:hAnsi="宋体" w:eastAsia="宋体" w:cs="宋体"/>
          <w:color w:val="auto"/>
          <w:spacing w:val="6"/>
          <w:sz w:val="20"/>
          <w:szCs w:val="20"/>
        </w:rPr>
        <w:t>。（具体以发包人书面通知为准）</w:t>
      </w:r>
    </w:p>
    <w:p w14:paraId="447D04BD">
      <w:pPr>
        <w:keepNext w:val="0"/>
        <w:keepLines w:val="0"/>
        <w:pageBreakBefore w:val="0"/>
        <w:widowControl w:val="0"/>
        <w:kinsoku/>
        <w:wordWrap/>
        <w:overflowPunct/>
        <w:topLinePunct w:val="0"/>
        <w:autoSpaceDE/>
        <w:autoSpaceDN/>
        <w:bidi w:val="0"/>
        <w:adjustRightInd/>
        <w:snapToGrid/>
        <w:spacing w:line="360" w:lineRule="auto"/>
        <w:ind w:left="458"/>
        <w:textAlignment w:val="auto"/>
        <w:outlineLvl w:val="9"/>
        <w:rPr>
          <w:rFonts w:ascii="宋体" w:hAnsi="宋体" w:eastAsia="宋体" w:cs="宋体"/>
          <w:color w:val="auto"/>
          <w:sz w:val="20"/>
          <w:szCs w:val="20"/>
        </w:rPr>
      </w:pPr>
      <w:r>
        <w:rPr>
          <w:rFonts w:ascii="宋体" w:hAnsi="宋体" w:eastAsia="宋体" w:cs="宋体"/>
          <w:color w:val="auto"/>
          <w:spacing w:val="2"/>
          <w:sz w:val="20"/>
          <w:szCs w:val="20"/>
        </w:rPr>
        <w:t>计划竣工日期：</w:t>
      </w:r>
      <w:r>
        <w:rPr>
          <w:rFonts w:hint="eastAsia" w:cs="宋体"/>
          <w:color w:val="auto"/>
          <w:spacing w:val="2"/>
          <w:sz w:val="20"/>
          <w:szCs w:val="20"/>
          <w:u w:val="single"/>
          <w:lang w:val="en-US" w:eastAsia="zh-CN"/>
        </w:rPr>
        <w:t xml:space="preserve">  </w:t>
      </w:r>
      <w:r>
        <w:rPr>
          <w:rFonts w:ascii="宋体" w:hAnsi="宋体" w:eastAsia="宋体" w:cs="宋体"/>
          <w:color w:val="auto"/>
          <w:spacing w:val="2"/>
          <w:sz w:val="20"/>
          <w:szCs w:val="20"/>
          <w:u w:val="single"/>
        </w:rPr>
        <w:t>年</w:t>
      </w:r>
      <w:r>
        <w:rPr>
          <w:rFonts w:hint="eastAsia" w:cs="宋体"/>
          <w:color w:val="auto"/>
          <w:spacing w:val="2"/>
          <w:sz w:val="20"/>
          <w:szCs w:val="20"/>
          <w:u w:val="single"/>
          <w:lang w:val="en-US" w:eastAsia="zh-CN"/>
        </w:rPr>
        <w:t xml:space="preserve">  </w:t>
      </w:r>
      <w:r>
        <w:rPr>
          <w:rFonts w:ascii="宋体" w:hAnsi="宋体" w:eastAsia="宋体" w:cs="宋体"/>
          <w:color w:val="auto"/>
          <w:spacing w:val="2"/>
          <w:sz w:val="20"/>
          <w:szCs w:val="20"/>
          <w:u w:val="single"/>
        </w:rPr>
        <w:t>月</w:t>
      </w:r>
      <w:r>
        <w:rPr>
          <w:rFonts w:hint="eastAsia" w:cs="宋体"/>
          <w:color w:val="auto"/>
          <w:spacing w:val="2"/>
          <w:sz w:val="20"/>
          <w:szCs w:val="20"/>
          <w:u w:val="single"/>
          <w:lang w:val="en-US" w:eastAsia="zh-CN"/>
        </w:rPr>
        <w:t xml:space="preserve">   </w:t>
      </w:r>
      <w:r>
        <w:rPr>
          <w:rFonts w:ascii="宋体" w:hAnsi="宋体" w:eastAsia="宋体" w:cs="宋体"/>
          <w:color w:val="auto"/>
          <w:spacing w:val="2"/>
          <w:sz w:val="20"/>
          <w:szCs w:val="20"/>
          <w:u w:val="single"/>
        </w:rPr>
        <w:t>日</w:t>
      </w:r>
      <w:r>
        <w:rPr>
          <w:rFonts w:ascii="宋体" w:hAnsi="宋体" w:eastAsia="宋体" w:cs="宋体"/>
          <w:color w:val="auto"/>
          <w:spacing w:val="2"/>
          <w:sz w:val="20"/>
          <w:szCs w:val="20"/>
        </w:rPr>
        <w:t>。</w:t>
      </w:r>
    </w:p>
    <w:p w14:paraId="5511894A">
      <w:pPr>
        <w:keepNext w:val="0"/>
        <w:keepLines w:val="0"/>
        <w:pageBreakBefore w:val="0"/>
        <w:widowControl w:val="0"/>
        <w:kinsoku/>
        <w:wordWrap/>
        <w:overflowPunct/>
        <w:topLinePunct w:val="0"/>
        <w:autoSpaceDE/>
        <w:autoSpaceDN/>
        <w:bidi w:val="0"/>
        <w:adjustRightInd/>
        <w:snapToGrid/>
        <w:spacing w:line="360" w:lineRule="auto"/>
        <w:ind w:left="3" w:firstLine="457"/>
        <w:textAlignment w:val="auto"/>
        <w:outlineLvl w:val="9"/>
        <w:rPr>
          <w:rFonts w:ascii="宋体" w:hAnsi="宋体" w:eastAsia="宋体" w:cs="宋体"/>
          <w:color w:val="auto"/>
          <w:sz w:val="20"/>
          <w:szCs w:val="20"/>
        </w:rPr>
      </w:pPr>
      <w:r>
        <w:rPr>
          <w:rFonts w:ascii="宋体" w:hAnsi="宋体" w:eastAsia="宋体" w:cs="宋体"/>
          <w:color w:val="auto"/>
          <w:spacing w:val="7"/>
          <w:sz w:val="20"/>
          <w:szCs w:val="20"/>
        </w:rPr>
        <w:t>工期总日历天数：</w:t>
      </w:r>
      <w:r>
        <w:rPr>
          <w:rFonts w:hint="eastAsia" w:cs="宋体"/>
          <w:color w:val="auto"/>
          <w:spacing w:val="7"/>
          <w:sz w:val="20"/>
          <w:szCs w:val="20"/>
          <w:u w:val="single"/>
          <w:lang w:val="en-US" w:eastAsia="zh-CN"/>
        </w:rPr>
        <w:t xml:space="preserve">    </w:t>
      </w:r>
      <w:r>
        <w:rPr>
          <w:rFonts w:ascii="宋体" w:hAnsi="宋体" w:eastAsia="宋体" w:cs="宋体"/>
          <w:color w:val="auto"/>
          <w:spacing w:val="7"/>
          <w:sz w:val="20"/>
          <w:szCs w:val="20"/>
        </w:rPr>
        <w:t>天。工期总日历天</w:t>
      </w:r>
      <w:r>
        <w:rPr>
          <w:rFonts w:ascii="宋体" w:hAnsi="宋体" w:eastAsia="宋体" w:cs="宋体"/>
          <w:color w:val="auto"/>
          <w:spacing w:val="6"/>
          <w:sz w:val="20"/>
          <w:szCs w:val="20"/>
        </w:rPr>
        <w:t>数与根据前述计划开竣工日期计算的工期天数</w:t>
      </w:r>
      <w:r>
        <w:rPr>
          <w:rFonts w:ascii="宋体" w:hAnsi="宋体" w:eastAsia="宋体" w:cs="宋体"/>
          <w:color w:val="auto"/>
          <w:spacing w:val="8"/>
          <w:sz w:val="20"/>
          <w:szCs w:val="20"/>
        </w:rPr>
        <w:t>不一致的，以工期总日历天数为准。</w:t>
      </w:r>
    </w:p>
    <w:p w14:paraId="616BA861">
      <w:pPr>
        <w:keepNext w:val="0"/>
        <w:keepLines w:val="0"/>
        <w:pageBreakBefore w:val="0"/>
        <w:widowControl w:val="0"/>
        <w:kinsoku/>
        <w:wordWrap/>
        <w:overflowPunct/>
        <w:topLinePunct w:val="0"/>
        <w:autoSpaceDE/>
        <w:autoSpaceDN/>
        <w:bidi w:val="0"/>
        <w:adjustRightInd/>
        <w:snapToGrid/>
        <w:spacing w:line="360" w:lineRule="auto"/>
        <w:ind w:left="458"/>
        <w:textAlignment w:val="auto"/>
        <w:outlineLvl w:val="9"/>
        <w:rPr>
          <w:rFonts w:ascii="宋体" w:hAnsi="宋体" w:eastAsia="宋体" w:cs="宋体"/>
          <w:color w:val="auto"/>
          <w:sz w:val="20"/>
          <w:szCs w:val="20"/>
        </w:rPr>
      </w:pPr>
      <w:r>
        <w:rPr>
          <w:rFonts w:ascii="宋体" w:hAnsi="宋体" w:eastAsia="宋体" w:cs="宋体"/>
          <w:b/>
          <w:bCs/>
          <w:color w:val="auto"/>
          <w:spacing w:val="6"/>
          <w:sz w:val="20"/>
          <w:szCs w:val="20"/>
        </w:rPr>
        <w:t>三、质量标准</w:t>
      </w:r>
    </w:p>
    <w:p w14:paraId="245BFB57">
      <w:pPr>
        <w:keepNext w:val="0"/>
        <w:keepLines w:val="0"/>
        <w:pageBreakBefore w:val="0"/>
        <w:widowControl w:val="0"/>
        <w:kinsoku/>
        <w:wordWrap/>
        <w:overflowPunct/>
        <w:topLinePunct w:val="0"/>
        <w:autoSpaceDE/>
        <w:autoSpaceDN/>
        <w:bidi w:val="0"/>
        <w:adjustRightInd/>
        <w:snapToGrid/>
        <w:spacing w:line="360" w:lineRule="auto"/>
        <w:ind w:left="460"/>
        <w:textAlignment w:val="auto"/>
        <w:outlineLvl w:val="9"/>
        <w:rPr>
          <w:rFonts w:ascii="宋体" w:hAnsi="宋体" w:eastAsia="宋体" w:cs="宋体"/>
          <w:color w:val="auto"/>
          <w:sz w:val="20"/>
          <w:szCs w:val="20"/>
        </w:rPr>
      </w:pPr>
      <w:r>
        <w:rPr>
          <w:rFonts w:ascii="宋体" w:hAnsi="宋体" w:eastAsia="宋体" w:cs="宋体"/>
          <w:color w:val="auto"/>
          <w:spacing w:val="8"/>
          <w:sz w:val="20"/>
          <w:szCs w:val="20"/>
        </w:rPr>
        <w:t>工程质量符合</w:t>
      </w:r>
      <w:r>
        <w:rPr>
          <w:rFonts w:hint="eastAsia" w:ascii="宋体" w:hAnsi="宋体" w:eastAsia="宋体" w:cs="宋体"/>
          <w:color w:val="auto"/>
          <w:spacing w:val="8"/>
          <w:sz w:val="20"/>
          <w:szCs w:val="20"/>
          <w:u w:val="single" w:color="auto"/>
        </w:rPr>
        <w:t>达到国家施工验收规范合格</w:t>
      </w:r>
      <w:r>
        <w:rPr>
          <w:rFonts w:ascii="宋体" w:hAnsi="宋体" w:eastAsia="宋体" w:cs="宋体"/>
          <w:color w:val="auto"/>
          <w:spacing w:val="8"/>
          <w:sz w:val="20"/>
          <w:szCs w:val="20"/>
          <w:u w:val="single" w:color="auto"/>
        </w:rPr>
        <w:t>标准</w:t>
      </w:r>
      <w:r>
        <w:rPr>
          <w:rFonts w:ascii="宋体" w:hAnsi="宋体" w:eastAsia="宋体" w:cs="宋体"/>
          <w:color w:val="auto"/>
          <w:spacing w:val="8"/>
          <w:sz w:val="20"/>
          <w:szCs w:val="20"/>
        </w:rPr>
        <w:t>。</w:t>
      </w:r>
    </w:p>
    <w:p w14:paraId="1F32A2C2">
      <w:pPr>
        <w:keepNext w:val="0"/>
        <w:keepLines w:val="0"/>
        <w:pageBreakBefore w:val="0"/>
        <w:widowControl w:val="0"/>
        <w:kinsoku/>
        <w:wordWrap/>
        <w:overflowPunct/>
        <w:topLinePunct w:val="0"/>
        <w:autoSpaceDE/>
        <w:autoSpaceDN/>
        <w:bidi w:val="0"/>
        <w:adjustRightInd/>
        <w:snapToGrid/>
        <w:spacing w:line="360" w:lineRule="auto"/>
        <w:ind w:left="478"/>
        <w:textAlignment w:val="auto"/>
        <w:outlineLvl w:val="9"/>
        <w:rPr>
          <w:rFonts w:ascii="宋体" w:hAnsi="宋体" w:eastAsia="宋体" w:cs="宋体"/>
          <w:color w:val="auto"/>
          <w:sz w:val="20"/>
          <w:szCs w:val="20"/>
        </w:rPr>
      </w:pPr>
      <w:r>
        <w:rPr>
          <w:rFonts w:ascii="宋体" w:hAnsi="宋体" w:eastAsia="宋体" w:cs="宋体"/>
          <w:b/>
          <w:bCs/>
          <w:color w:val="auto"/>
          <w:spacing w:val="6"/>
          <w:sz w:val="20"/>
          <w:szCs w:val="20"/>
        </w:rPr>
        <w:t>四、签约合同价与合同价格形式</w:t>
      </w:r>
    </w:p>
    <w:p w14:paraId="596A9D60">
      <w:pPr>
        <w:keepNext w:val="0"/>
        <w:keepLines w:val="0"/>
        <w:pageBreakBefore w:val="0"/>
        <w:widowControl w:val="0"/>
        <w:kinsoku/>
        <w:wordWrap/>
        <w:overflowPunct/>
        <w:topLinePunct w:val="0"/>
        <w:autoSpaceDE/>
        <w:autoSpaceDN/>
        <w:bidi w:val="0"/>
        <w:adjustRightInd/>
        <w:snapToGrid/>
        <w:spacing w:line="360" w:lineRule="auto"/>
        <w:ind w:left="474"/>
        <w:textAlignment w:val="auto"/>
        <w:outlineLvl w:val="9"/>
        <w:rPr>
          <w:rFonts w:ascii="宋体" w:hAnsi="宋体" w:eastAsia="宋体" w:cs="宋体"/>
          <w:color w:val="auto"/>
          <w:sz w:val="20"/>
          <w:szCs w:val="20"/>
        </w:rPr>
      </w:pPr>
      <w:r>
        <w:rPr>
          <w:rFonts w:ascii="Times New Roman" w:hAnsi="Times New Roman" w:eastAsia="Times New Roman" w:cs="Times New Roman"/>
          <w:color w:val="auto"/>
          <w:spacing w:val="4"/>
          <w:sz w:val="20"/>
          <w:szCs w:val="20"/>
        </w:rPr>
        <w:t>1.</w:t>
      </w:r>
      <w:r>
        <w:rPr>
          <w:rFonts w:ascii="宋体" w:hAnsi="宋体" w:eastAsia="宋体" w:cs="宋体"/>
          <w:color w:val="auto"/>
          <w:spacing w:val="4"/>
          <w:sz w:val="20"/>
          <w:szCs w:val="20"/>
        </w:rPr>
        <w:t>签约合同价为：</w:t>
      </w:r>
    </w:p>
    <w:p w14:paraId="45FF90E1">
      <w:pPr>
        <w:keepNext w:val="0"/>
        <w:keepLines w:val="0"/>
        <w:pageBreakBefore w:val="0"/>
        <w:widowControl w:val="0"/>
        <w:kinsoku/>
        <w:wordWrap/>
        <w:overflowPunct/>
        <w:topLinePunct w:val="0"/>
        <w:autoSpaceDE/>
        <w:autoSpaceDN/>
        <w:bidi w:val="0"/>
        <w:adjustRightInd/>
        <w:snapToGrid/>
        <w:spacing w:line="360" w:lineRule="auto"/>
        <w:ind w:left="526" w:right="51" w:rightChars="0"/>
        <w:jc w:val="left"/>
        <w:textAlignment w:val="auto"/>
        <w:outlineLvl w:val="9"/>
        <w:rPr>
          <w:rFonts w:hint="eastAsia" w:ascii="宋体" w:hAnsi="宋体" w:eastAsia="宋体" w:cs="宋体"/>
          <w:color w:val="auto"/>
          <w:sz w:val="20"/>
          <w:szCs w:val="20"/>
          <w:lang w:eastAsia="zh-CN"/>
        </w:rPr>
      </w:pPr>
      <w:r>
        <w:rPr>
          <w:rFonts w:ascii="宋体" w:hAnsi="宋体" w:eastAsia="宋体" w:cs="宋体"/>
          <w:color w:val="auto"/>
          <w:spacing w:val="6"/>
          <w:sz w:val="20"/>
          <w:szCs w:val="20"/>
        </w:rPr>
        <w:t>人民币</w:t>
      </w:r>
      <w:r>
        <w:rPr>
          <w:rFonts w:hint="eastAsia" w:cs="宋体"/>
          <w:color w:val="auto"/>
          <w:spacing w:val="6"/>
          <w:sz w:val="20"/>
          <w:szCs w:val="20"/>
          <w:u w:val="single"/>
          <w:lang w:val="en-US" w:eastAsia="zh-CN"/>
        </w:rPr>
        <w:t xml:space="preserve">           </w:t>
      </w:r>
      <w:r>
        <w:rPr>
          <w:rFonts w:ascii="宋体" w:hAnsi="宋体" w:eastAsia="宋体" w:cs="宋体"/>
          <w:color w:val="auto"/>
          <w:spacing w:val="6"/>
          <w:sz w:val="20"/>
          <w:szCs w:val="20"/>
        </w:rPr>
        <w:t>（大写）</w:t>
      </w:r>
      <w:r>
        <w:rPr>
          <w:rFonts w:hint="eastAsia" w:cs="宋体"/>
          <w:color w:val="auto"/>
          <w:spacing w:val="6"/>
          <w:sz w:val="20"/>
          <w:szCs w:val="20"/>
          <w:lang w:val="en-US" w:eastAsia="zh-CN"/>
        </w:rPr>
        <w:t xml:space="preserve"> </w:t>
      </w:r>
      <w:r>
        <w:rPr>
          <w:rFonts w:ascii="宋体" w:hAnsi="宋体" w:eastAsia="宋体" w:cs="宋体"/>
          <w:color w:val="auto"/>
          <w:spacing w:val="6"/>
          <w:sz w:val="20"/>
          <w:szCs w:val="20"/>
        </w:rPr>
        <w:t>(</w:t>
      </w:r>
      <w:r>
        <w:rPr>
          <w:rFonts w:hint="eastAsia" w:cs="宋体"/>
          <w:color w:val="auto"/>
          <w:spacing w:val="6"/>
          <w:sz w:val="20"/>
          <w:szCs w:val="20"/>
          <w:lang w:val="en-US" w:eastAsia="zh-CN"/>
        </w:rPr>
        <w:t xml:space="preserve"> </w:t>
      </w:r>
      <w:r>
        <w:rPr>
          <w:rFonts w:ascii="Times New Roman" w:hAnsi="Times New Roman" w:eastAsia="Times New Roman" w:cs="Times New Roman"/>
          <w:color w:val="auto"/>
          <w:spacing w:val="6"/>
          <w:sz w:val="20"/>
          <w:szCs w:val="20"/>
        </w:rPr>
        <w:t>¥</w:t>
      </w:r>
      <w:r>
        <w:rPr>
          <w:rFonts w:hint="eastAsia" w:ascii="Times New Roman" w:hAnsi="Times New Roman" w:eastAsia="宋体" w:cs="Times New Roman"/>
          <w:color w:val="auto"/>
          <w:spacing w:val="6"/>
          <w:sz w:val="20"/>
          <w:szCs w:val="20"/>
          <w:lang w:val="en-US" w:eastAsia="zh-CN"/>
        </w:rPr>
        <w:t xml:space="preserve">  </w:t>
      </w:r>
      <w:r>
        <w:rPr>
          <w:rFonts w:hint="eastAsia" w:ascii="Times New Roman" w:hAnsi="Times New Roman" w:eastAsia="宋体" w:cs="Times New Roman"/>
          <w:color w:val="auto"/>
          <w:spacing w:val="6"/>
          <w:sz w:val="20"/>
          <w:szCs w:val="20"/>
          <w:u w:val="single"/>
          <w:lang w:val="en-US" w:eastAsia="zh-CN"/>
        </w:rPr>
        <w:t xml:space="preserve">        </w:t>
      </w:r>
      <w:r>
        <w:rPr>
          <w:rFonts w:ascii="宋体" w:hAnsi="宋体" w:eastAsia="宋体" w:cs="宋体"/>
          <w:color w:val="auto"/>
          <w:spacing w:val="6"/>
          <w:sz w:val="20"/>
          <w:szCs w:val="20"/>
        </w:rPr>
        <w:t>元</w:t>
      </w:r>
      <w:r>
        <w:rPr>
          <w:rFonts w:ascii="宋体" w:hAnsi="宋体" w:eastAsia="宋体" w:cs="宋体"/>
          <w:color w:val="auto"/>
          <w:spacing w:val="-14"/>
          <w:sz w:val="20"/>
          <w:szCs w:val="20"/>
        </w:rPr>
        <w:t>）；</w:t>
      </w:r>
    </w:p>
    <w:p w14:paraId="2D6CF699">
      <w:pPr>
        <w:keepNext w:val="0"/>
        <w:keepLines w:val="0"/>
        <w:pageBreakBefore w:val="0"/>
        <w:widowControl w:val="0"/>
        <w:kinsoku/>
        <w:wordWrap/>
        <w:overflowPunct/>
        <w:topLinePunct w:val="0"/>
        <w:autoSpaceDE/>
        <w:autoSpaceDN/>
        <w:bidi w:val="0"/>
        <w:adjustRightInd/>
        <w:snapToGrid/>
        <w:spacing w:line="360" w:lineRule="auto"/>
        <w:ind w:left="526" w:right="51" w:rightChars="0"/>
        <w:jc w:val="left"/>
        <w:textAlignment w:val="auto"/>
        <w:outlineLvl w:val="9"/>
        <w:rPr>
          <w:rFonts w:ascii="宋体" w:hAnsi="宋体" w:eastAsia="宋体" w:cs="宋体"/>
          <w:color w:val="auto"/>
          <w:sz w:val="20"/>
          <w:szCs w:val="20"/>
        </w:rPr>
      </w:pPr>
      <w:r>
        <w:rPr>
          <w:rFonts w:ascii="宋体" w:hAnsi="宋体" w:eastAsia="宋体" w:cs="宋体"/>
          <w:color w:val="auto"/>
          <w:spacing w:val="2"/>
          <w:sz w:val="20"/>
          <w:szCs w:val="20"/>
        </w:rPr>
        <w:t>其中：</w:t>
      </w:r>
    </w:p>
    <w:p w14:paraId="05A1D209">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w:t>
      </w:r>
      <w:r>
        <w:rPr>
          <w:rFonts w:ascii="Times New Roman" w:hAnsi="Times New Roman" w:eastAsia="Times New Roman" w:cs="Times New Roman"/>
          <w:color w:val="auto"/>
          <w:spacing w:val="6"/>
          <w:sz w:val="20"/>
          <w:szCs w:val="20"/>
        </w:rPr>
        <w:t>1</w:t>
      </w:r>
      <w:r>
        <w:rPr>
          <w:rFonts w:ascii="宋体" w:hAnsi="宋体" w:eastAsia="宋体" w:cs="宋体"/>
          <w:color w:val="auto"/>
          <w:spacing w:val="6"/>
          <w:sz w:val="20"/>
          <w:szCs w:val="20"/>
        </w:rPr>
        <w:t>）安全文明施工费：</w:t>
      </w:r>
    </w:p>
    <w:p w14:paraId="22EE7F89">
      <w:pPr>
        <w:keepNext w:val="0"/>
        <w:keepLines w:val="0"/>
        <w:pageBreakBefore w:val="0"/>
        <w:widowControl w:val="0"/>
        <w:kinsoku/>
        <w:wordWrap/>
        <w:overflowPunct/>
        <w:topLinePunct w:val="0"/>
        <w:autoSpaceDE/>
        <w:autoSpaceDN/>
        <w:bidi w:val="0"/>
        <w:adjustRightInd/>
        <w:snapToGrid/>
        <w:spacing w:line="360" w:lineRule="auto"/>
        <w:ind w:left="947"/>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人民币</w:t>
      </w:r>
      <w:r>
        <w:rPr>
          <w:rFonts w:hint="eastAsia" w:cs="宋体"/>
          <w:color w:val="auto"/>
          <w:spacing w:val="6"/>
          <w:sz w:val="20"/>
          <w:szCs w:val="20"/>
          <w:u w:val="single"/>
          <w:lang w:val="en-US" w:eastAsia="zh-CN"/>
        </w:rPr>
        <w:t xml:space="preserve">           </w:t>
      </w:r>
      <w:r>
        <w:rPr>
          <w:rFonts w:ascii="宋体" w:hAnsi="宋体" w:eastAsia="宋体" w:cs="宋体"/>
          <w:color w:val="auto"/>
          <w:spacing w:val="6"/>
          <w:sz w:val="20"/>
          <w:szCs w:val="20"/>
        </w:rPr>
        <w:t>（大写）</w:t>
      </w:r>
      <w:r>
        <w:rPr>
          <w:rFonts w:hint="eastAsia" w:cs="宋体"/>
          <w:color w:val="auto"/>
          <w:spacing w:val="6"/>
          <w:sz w:val="20"/>
          <w:szCs w:val="20"/>
          <w:lang w:val="en-US" w:eastAsia="zh-CN"/>
        </w:rPr>
        <w:t xml:space="preserve"> </w:t>
      </w:r>
      <w:r>
        <w:rPr>
          <w:rFonts w:ascii="宋体" w:hAnsi="宋体" w:eastAsia="宋体" w:cs="宋体"/>
          <w:color w:val="auto"/>
          <w:spacing w:val="6"/>
          <w:sz w:val="20"/>
          <w:szCs w:val="20"/>
        </w:rPr>
        <w:t>(</w:t>
      </w:r>
      <w:r>
        <w:rPr>
          <w:rFonts w:hint="eastAsia" w:cs="宋体"/>
          <w:color w:val="auto"/>
          <w:spacing w:val="6"/>
          <w:sz w:val="20"/>
          <w:szCs w:val="20"/>
          <w:lang w:val="en-US" w:eastAsia="zh-CN"/>
        </w:rPr>
        <w:t xml:space="preserve"> </w:t>
      </w:r>
      <w:r>
        <w:rPr>
          <w:rFonts w:ascii="Times New Roman" w:hAnsi="Times New Roman" w:eastAsia="Times New Roman" w:cs="Times New Roman"/>
          <w:color w:val="auto"/>
          <w:spacing w:val="6"/>
          <w:sz w:val="20"/>
          <w:szCs w:val="20"/>
        </w:rPr>
        <w:t>¥</w:t>
      </w:r>
      <w:r>
        <w:rPr>
          <w:rFonts w:hint="eastAsia" w:ascii="Times New Roman" w:hAnsi="Times New Roman" w:eastAsia="宋体" w:cs="Times New Roman"/>
          <w:color w:val="auto"/>
          <w:spacing w:val="6"/>
          <w:sz w:val="20"/>
          <w:szCs w:val="20"/>
          <w:lang w:val="en-US" w:eastAsia="zh-CN"/>
        </w:rPr>
        <w:t xml:space="preserve">  </w:t>
      </w:r>
      <w:r>
        <w:rPr>
          <w:rFonts w:hint="eastAsia" w:ascii="Times New Roman" w:hAnsi="Times New Roman" w:eastAsia="宋体" w:cs="Times New Roman"/>
          <w:color w:val="auto"/>
          <w:spacing w:val="6"/>
          <w:sz w:val="20"/>
          <w:szCs w:val="20"/>
          <w:u w:val="single"/>
          <w:lang w:val="en-US" w:eastAsia="zh-CN"/>
        </w:rPr>
        <w:t xml:space="preserve">        </w:t>
      </w:r>
      <w:r>
        <w:rPr>
          <w:rFonts w:ascii="宋体" w:hAnsi="宋体" w:eastAsia="宋体" w:cs="宋体"/>
          <w:color w:val="auto"/>
          <w:spacing w:val="6"/>
          <w:sz w:val="20"/>
          <w:szCs w:val="20"/>
        </w:rPr>
        <w:t>元</w:t>
      </w:r>
      <w:r>
        <w:rPr>
          <w:rFonts w:ascii="宋体" w:hAnsi="宋体" w:eastAsia="宋体" w:cs="宋体"/>
          <w:color w:val="auto"/>
          <w:spacing w:val="-14"/>
          <w:sz w:val="20"/>
          <w:szCs w:val="20"/>
        </w:rPr>
        <w:t>）</w:t>
      </w:r>
      <w:r>
        <w:rPr>
          <w:rFonts w:ascii="宋体" w:hAnsi="宋体" w:eastAsia="宋体" w:cs="宋体"/>
          <w:color w:val="auto"/>
          <w:sz w:val="20"/>
          <w:szCs w:val="20"/>
        </w:rPr>
        <w:t>；</w:t>
      </w:r>
    </w:p>
    <w:p w14:paraId="026C55A5">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7"/>
          <w:sz w:val="20"/>
          <w:szCs w:val="20"/>
        </w:rPr>
        <w:t>（</w:t>
      </w:r>
      <w:r>
        <w:rPr>
          <w:rFonts w:ascii="Times New Roman" w:hAnsi="Times New Roman" w:eastAsia="Times New Roman" w:cs="Times New Roman"/>
          <w:color w:val="auto"/>
          <w:spacing w:val="7"/>
          <w:sz w:val="20"/>
          <w:szCs w:val="20"/>
        </w:rPr>
        <w:t>2</w:t>
      </w:r>
      <w:r>
        <w:rPr>
          <w:rFonts w:ascii="宋体" w:hAnsi="宋体" w:eastAsia="宋体" w:cs="宋体"/>
          <w:color w:val="auto"/>
          <w:spacing w:val="7"/>
          <w:sz w:val="20"/>
          <w:szCs w:val="20"/>
        </w:rPr>
        <w:t>）材料和工程设备暂估价金额：</w:t>
      </w:r>
    </w:p>
    <w:p w14:paraId="60E5ED2A">
      <w:pPr>
        <w:keepNext w:val="0"/>
        <w:keepLines w:val="0"/>
        <w:pageBreakBefore w:val="0"/>
        <w:widowControl w:val="0"/>
        <w:kinsoku/>
        <w:wordWrap/>
        <w:overflowPunct/>
        <w:topLinePunct w:val="0"/>
        <w:autoSpaceDE/>
        <w:autoSpaceDN/>
        <w:bidi w:val="0"/>
        <w:adjustRightInd/>
        <w:snapToGrid/>
        <w:spacing w:line="360" w:lineRule="auto"/>
        <w:ind w:left="947"/>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人民币</w:t>
      </w:r>
      <w:r>
        <w:rPr>
          <w:rFonts w:hint="eastAsia" w:cs="宋体"/>
          <w:color w:val="auto"/>
          <w:spacing w:val="6"/>
          <w:sz w:val="20"/>
          <w:szCs w:val="20"/>
          <w:u w:val="single"/>
          <w:lang w:val="en-US" w:eastAsia="zh-CN"/>
        </w:rPr>
        <w:t xml:space="preserve">           </w:t>
      </w:r>
      <w:r>
        <w:rPr>
          <w:rFonts w:ascii="宋体" w:hAnsi="宋体" w:eastAsia="宋体" w:cs="宋体"/>
          <w:color w:val="auto"/>
          <w:spacing w:val="6"/>
          <w:sz w:val="20"/>
          <w:szCs w:val="20"/>
        </w:rPr>
        <w:t>（大写）</w:t>
      </w:r>
      <w:r>
        <w:rPr>
          <w:rFonts w:hint="eastAsia" w:cs="宋体"/>
          <w:color w:val="auto"/>
          <w:spacing w:val="6"/>
          <w:sz w:val="20"/>
          <w:szCs w:val="20"/>
          <w:lang w:val="en-US" w:eastAsia="zh-CN"/>
        </w:rPr>
        <w:t xml:space="preserve"> </w:t>
      </w:r>
      <w:r>
        <w:rPr>
          <w:rFonts w:ascii="宋体" w:hAnsi="宋体" w:eastAsia="宋体" w:cs="宋体"/>
          <w:color w:val="auto"/>
          <w:spacing w:val="6"/>
          <w:sz w:val="20"/>
          <w:szCs w:val="20"/>
        </w:rPr>
        <w:t>(</w:t>
      </w:r>
      <w:r>
        <w:rPr>
          <w:rFonts w:hint="eastAsia" w:cs="宋体"/>
          <w:color w:val="auto"/>
          <w:spacing w:val="6"/>
          <w:sz w:val="20"/>
          <w:szCs w:val="20"/>
          <w:lang w:val="en-US" w:eastAsia="zh-CN"/>
        </w:rPr>
        <w:t xml:space="preserve"> </w:t>
      </w:r>
      <w:r>
        <w:rPr>
          <w:rFonts w:ascii="Times New Roman" w:hAnsi="Times New Roman" w:eastAsia="Times New Roman" w:cs="Times New Roman"/>
          <w:color w:val="auto"/>
          <w:spacing w:val="6"/>
          <w:sz w:val="20"/>
          <w:szCs w:val="20"/>
        </w:rPr>
        <w:t>¥</w:t>
      </w:r>
      <w:r>
        <w:rPr>
          <w:rFonts w:hint="eastAsia" w:ascii="Times New Roman" w:hAnsi="Times New Roman" w:eastAsia="宋体" w:cs="Times New Roman"/>
          <w:color w:val="auto"/>
          <w:spacing w:val="6"/>
          <w:sz w:val="20"/>
          <w:szCs w:val="20"/>
          <w:lang w:val="en-US" w:eastAsia="zh-CN"/>
        </w:rPr>
        <w:t xml:space="preserve">  </w:t>
      </w:r>
      <w:r>
        <w:rPr>
          <w:rFonts w:hint="eastAsia" w:ascii="Times New Roman" w:hAnsi="Times New Roman" w:eastAsia="宋体" w:cs="Times New Roman"/>
          <w:color w:val="auto"/>
          <w:spacing w:val="6"/>
          <w:sz w:val="20"/>
          <w:szCs w:val="20"/>
          <w:u w:val="single"/>
          <w:lang w:val="en-US" w:eastAsia="zh-CN"/>
        </w:rPr>
        <w:t xml:space="preserve">        </w:t>
      </w:r>
      <w:r>
        <w:rPr>
          <w:rFonts w:ascii="宋体" w:hAnsi="宋体" w:eastAsia="宋体" w:cs="宋体"/>
          <w:color w:val="auto"/>
          <w:spacing w:val="6"/>
          <w:sz w:val="20"/>
          <w:szCs w:val="20"/>
        </w:rPr>
        <w:t>元</w:t>
      </w:r>
      <w:r>
        <w:rPr>
          <w:rFonts w:ascii="宋体" w:hAnsi="宋体" w:eastAsia="宋体" w:cs="宋体"/>
          <w:color w:val="auto"/>
          <w:spacing w:val="-14"/>
          <w:sz w:val="20"/>
          <w:szCs w:val="20"/>
        </w:rPr>
        <w:t>）</w:t>
      </w:r>
      <w:r>
        <w:rPr>
          <w:rFonts w:ascii="宋体" w:hAnsi="宋体" w:eastAsia="宋体" w:cs="宋体"/>
          <w:color w:val="auto"/>
          <w:sz w:val="20"/>
          <w:szCs w:val="20"/>
        </w:rPr>
        <w:t>；</w:t>
      </w:r>
    </w:p>
    <w:p w14:paraId="787AEAA1">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7"/>
          <w:sz w:val="20"/>
          <w:szCs w:val="20"/>
        </w:rPr>
        <w:t>（</w:t>
      </w:r>
      <w:r>
        <w:rPr>
          <w:rFonts w:ascii="Times New Roman" w:hAnsi="Times New Roman" w:eastAsia="Times New Roman" w:cs="Times New Roman"/>
          <w:color w:val="auto"/>
          <w:spacing w:val="7"/>
          <w:sz w:val="20"/>
          <w:szCs w:val="20"/>
        </w:rPr>
        <w:t>3</w:t>
      </w:r>
      <w:r>
        <w:rPr>
          <w:rFonts w:ascii="宋体" w:hAnsi="宋体" w:eastAsia="宋体" w:cs="宋体"/>
          <w:color w:val="auto"/>
          <w:spacing w:val="7"/>
          <w:sz w:val="20"/>
          <w:szCs w:val="20"/>
        </w:rPr>
        <w:t>）专业工程暂估价金额：</w:t>
      </w:r>
    </w:p>
    <w:p w14:paraId="76CD77D6">
      <w:pPr>
        <w:keepNext w:val="0"/>
        <w:keepLines w:val="0"/>
        <w:pageBreakBefore w:val="0"/>
        <w:widowControl w:val="0"/>
        <w:kinsoku/>
        <w:wordWrap/>
        <w:overflowPunct/>
        <w:topLinePunct w:val="0"/>
        <w:autoSpaceDE/>
        <w:autoSpaceDN/>
        <w:bidi w:val="0"/>
        <w:adjustRightInd/>
        <w:snapToGrid/>
        <w:spacing w:line="360" w:lineRule="auto"/>
        <w:ind w:left="947"/>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人民币</w:t>
      </w:r>
      <w:r>
        <w:rPr>
          <w:rFonts w:hint="eastAsia" w:cs="宋体"/>
          <w:color w:val="auto"/>
          <w:spacing w:val="6"/>
          <w:sz w:val="20"/>
          <w:szCs w:val="20"/>
          <w:u w:val="single"/>
          <w:lang w:val="en-US" w:eastAsia="zh-CN"/>
        </w:rPr>
        <w:t xml:space="preserve">           </w:t>
      </w:r>
      <w:r>
        <w:rPr>
          <w:rFonts w:ascii="宋体" w:hAnsi="宋体" w:eastAsia="宋体" w:cs="宋体"/>
          <w:color w:val="auto"/>
          <w:spacing w:val="6"/>
          <w:sz w:val="20"/>
          <w:szCs w:val="20"/>
        </w:rPr>
        <w:t>（大写）</w:t>
      </w:r>
      <w:r>
        <w:rPr>
          <w:rFonts w:hint="eastAsia" w:cs="宋体"/>
          <w:color w:val="auto"/>
          <w:spacing w:val="6"/>
          <w:sz w:val="20"/>
          <w:szCs w:val="20"/>
          <w:lang w:val="en-US" w:eastAsia="zh-CN"/>
        </w:rPr>
        <w:t xml:space="preserve"> </w:t>
      </w:r>
      <w:r>
        <w:rPr>
          <w:rFonts w:ascii="宋体" w:hAnsi="宋体" w:eastAsia="宋体" w:cs="宋体"/>
          <w:color w:val="auto"/>
          <w:spacing w:val="6"/>
          <w:sz w:val="20"/>
          <w:szCs w:val="20"/>
        </w:rPr>
        <w:t>(</w:t>
      </w:r>
      <w:r>
        <w:rPr>
          <w:rFonts w:hint="eastAsia" w:cs="宋体"/>
          <w:color w:val="auto"/>
          <w:spacing w:val="6"/>
          <w:sz w:val="20"/>
          <w:szCs w:val="20"/>
          <w:lang w:val="en-US" w:eastAsia="zh-CN"/>
        </w:rPr>
        <w:t xml:space="preserve"> </w:t>
      </w:r>
      <w:r>
        <w:rPr>
          <w:rFonts w:ascii="Times New Roman" w:hAnsi="Times New Roman" w:eastAsia="Times New Roman" w:cs="Times New Roman"/>
          <w:color w:val="auto"/>
          <w:spacing w:val="6"/>
          <w:sz w:val="20"/>
          <w:szCs w:val="20"/>
        </w:rPr>
        <w:t>¥</w:t>
      </w:r>
      <w:r>
        <w:rPr>
          <w:rFonts w:hint="eastAsia" w:ascii="Times New Roman" w:hAnsi="Times New Roman" w:eastAsia="宋体" w:cs="Times New Roman"/>
          <w:color w:val="auto"/>
          <w:spacing w:val="6"/>
          <w:sz w:val="20"/>
          <w:szCs w:val="20"/>
          <w:lang w:val="en-US" w:eastAsia="zh-CN"/>
        </w:rPr>
        <w:t xml:space="preserve">  </w:t>
      </w:r>
      <w:r>
        <w:rPr>
          <w:rFonts w:hint="eastAsia" w:ascii="Times New Roman" w:hAnsi="Times New Roman" w:eastAsia="宋体" w:cs="Times New Roman"/>
          <w:color w:val="auto"/>
          <w:spacing w:val="6"/>
          <w:sz w:val="20"/>
          <w:szCs w:val="20"/>
          <w:u w:val="single"/>
          <w:lang w:val="en-US" w:eastAsia="zh-CN"/>
        </w:rPr>
        <w:t xml:space="preserve">        </w:t>
      </w:r>
      <w:r>
        <w:rPr>
          <w:rFonts w:ascii="宋体" w:hAnsi="宋体" w:eastAsia="宋体" w:cs="宋体"/>
          <w:color w:val="auto"/>
          <w:spacing w:val="6"/>
          <w:sz w:val="20"/>
          <w:szCs w:val="20"/>
        </w:rPr>
        <w:t>元</w:t>
      </w:r>
      <w:r>
        <w:rPr>
          <w:rFonts w:ascii="宋体" w:hAnsi="宋体" w:eastAsia="宋体" w:cs="宋体"/>
          <w:color w:val="auto"/>
          <w:spacing w:val="-14"/>
          <w:sz w:val="20"/>
          <w:szCs w:val="20"/>
        </w:rPr>
        <w:t>）</w:t>
      </w:r>
      <w:r>
        <w:rPr>
          <w:rFonts w:ascii="宋体" w:hAnsi="宋体" w:eastAsia="宋体" w:cs="宋体"/>
          <w:color w:val="auto"/>
          <w:sz w:val="20"/>
          <w:szCs w:val="20"/>
        </w:rPr>
        <w:t>；</w:t>
      </w:r>
    </w:p>
    <w:p w14:paraId="7C2EF763">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5"/>
          <w:sz w:val="20"/>
          <w:szCs w:val="20"/>
        </w:rPr>
        <w:t>（</w:t>
      </w:r>
      <w:r>
        <w:rPr>
          <w:rFonts w:ascii="Times New Roman" w:hAnsi="Times New Roman" w:eastAsia="Times New Roman" w:cs="Times New Roman"/>
          <w:color w:val="auto"/>
          <w:spacing w:val="5"/>
          <w:sz w:val="20"/>
          <w:szCs w:val="20"/>
        </w:rPr>
        <w:t>4</w:t>
      </w:r>
      <w:r>
        <w:rPr>
          <w:rFonts w:ascii="宋体" w:hAnsi="宋体" w:eastAsia="宋体" w:cs="宋体"/>
          <w:color w:val="auto"/>
          <w:spacing w:val="5"/>
          <w:sz w:val="20"/>
          <w:szCs w:val="20"/>
        </w:rPr>
        <w:t>）暂列金额：</w:t>
      </w:r>
    </w:p>
    <w:p w14:paraId="4D166B6B">
      <w:pPr>
        <w:keepNext w:val="0"/>
        <w:keepLines w:val="0"/>
        <w:pageBreakBefore w:val="0"/>
        <w:widowControl w:val="0"/>
        <w:kinsoku/>
        <w:wordWrap/>
        <w:overflowPunct/>
        <w:topLinePunct w:val="0"/>
        <w:autoSpaceDE/>
        <w:autoSpaceDN/>
        <w:bidi w:val="0"/>
        <w:adjustRightInd/>
        <w:snapToGrid/>
        <w:spacing w:line="360" w:lineRule="auto"/>
        <w:ind w:left="947"/>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人民币</w:t>
      </w:r>
      <w:r>
        <w:rPr>
          <w:rFonts w:hint="eastAsia" w:cs="宋体"/>
          <w:color w:val="auto"/>
          <w:spacing w:val="6"/>
          <w:sz w:val="20"/>
          <w:szCs w:val="20"/>
          <w:u w:val="single"/>
          <w:lang w:val="en-US" w:eastAsia="zh-CN"/>
        </w:rPr>
        <w:t xml:space="preserve">           </w:t>
      </w:r>
      <w:r>
        <w:rPr>
          <w:rFonts w:ascii="宋体" w:hAnsi="宋体" w:eastAsia="宋体" w:cs="宋体"/>
          <w:color w:val="auto"/>
          <w:spacing w:val="6"/>
          <w:sz w:val="20"/>
          <w:szCs w:val="20"/>
        </w:rPr>
        <w:t>（大写）</w:t>
      </w:r>
      <w:r>
        <w:rPr>
          <w:rFonts w:hint="eastAsia" w:cs="宋体"/>
          <w:color w:val="auto"/>
          <w:spacing w:val="6"/>
          <w:sz w:val="20"/>
          <w:szCs w:val="20"/>
          <w:lang w:val="en-US" w:eastAsia="zh-CN"/>
        </w:rPr>
        <w:t xml:space="preserve"> </w:t>
      </w:r>
      <w:r>
        <w:rPr>
          <w:rFonts w:ascii="宋体" w:hAnsi="宋体" w:eastAsia="宋体" w:cs="宋体"/>
          <w:color w:val="auto"/>
          <w:spacing w:val="6"/>
          <w:sz w:val="20"/>
          <w:szCs w:val="20"/>
        </w:rPr>
        <w:t>(</w:t>
      </w:r>
      <w:r>
        <w:rPr>
          <w:rFonts w:hint="eastAsia" w:cs="宋体"/>
          <w:color w:val="auto"/>
          <w:spacing w:val="6"/>
          <w:sz w:val="20"/>
          <w:szCs w:val="20"/>
          <w:lang w:val="en-US" w:eastAsia="zh-CN"/>
        </w:rPr>
        <w:t xml:space="preserve"> </w:t>
      </w:r>
      <w:r>
        <w:rPr>
          <w:rFonts w:ascii="Times New Roman" w:hAnsi="Times New Roman" w:eastAsia="Times New Roman" w:cs="Times New Roman"/>
          <w:color w:val="auto"/>
          <w:spacing w:val="6"/>
          <w:sz w:val="20"/>
          <w:szCs w:val="20"/>
        </w:rPr>
        <w:t>¥</w:t>
      </w:r>
      <w:r>
        <w:rPr>
          <w:rFonts w:hint="eastAsia" w:ascii="Times New Roman" w:hAnsi="Times New Roman" w:eastAsia="宋体" w:cs="Times New Roman"/>
          <w:color w:val="auto"/>
          <w:spacing w:val="6"/>
          <w:sz w:val="20"/>
          <w:szCs w:val="20"/>
          <w:lang w:val="en-US" w:eastAsia="zh-CN"/>
        </w:rPr>
        <w:t xml:space="preserve">  </w:t>
      </w:r>
      <w:r>
        <w:rPr>
          <w:rFonts w:hint="eastAsia" w:ascii="Times New Roman" w:hAnsi="Times New Roman" w:eastAsia="宋体" w:cs="Times New Roman"/>
          <w:color w:val="auto"/>
          <w:spacing w:val="6"/>
          <w:sz w:val="20"/>
          <w:szCs w:val="20"/>
          <w:u w:val="single"/>
          <w:lang w:val="en-US" w:eastAsia="zh-CN"/>
        </w:rPr>
        <w:t xml:space="preserve">        </w:t>
      </w:r>
      <w:r>
        <w:rPr>
          <w:rFonts w:ascii="宋体" w:hAnsi="宋体" w:eastAsia="宋体" w:cs="宋体"/>
          <w:color w:val="auto"/>
          <w:spacing w:val="6"/>
          <w:sz w:val="20"/>
          <w:szCs w:val="20"/>
        </w:rPr>
        <w:t>元</w:t>
      </w:r>
      <w:r>
        <w:rPr>
          <w:rFonts w:ascii="宋体" w:hAnsi="宋体" w:eastAsia="宋体" w:cs="宋体"/>
          <w:color w:val="auto"/>
          <w:spacing w:val="-14"/>
          <w:sz w:val="20"/>
          <w:szCs w:val="20"/>
        </w:rPr>
        <w:t>）</w:t>
      </w:r>
      <w:r>
        <w:rPr>
          <w:rFonts w:ascii="宋体" w:hAnsi="宋体" w:eastAsia="宋体" w:cs="宋体"/>
          <w:color w:val="auto"/>
          <w:spacing w:val="5"/>
          <w:sz w:val="20"/>
          <w:szCs w:val="20"/>
        </w:rPr>
        <w:t>。</w:t>
      </w:r>
    </w:p>
    <w:p w14:paraId="4DC4631F">
      <w:pPr>
        <w:keepNext w:val="0"/>
        <w:keepLines w:val="0"/>
        <w:pageBreakBefore w:val="0"/>
        <w:widowControl w:val="0"/>
        <w:kinsoku/>
        <w:wordWrap/>
        <w:overflowPunct/>
        <w:topLinePunct w:val="0"/>
        <w:autoSpaceDE/>
        <w:autoSpaceDN/>
        <w:bidi w:val="0"/>
        <w:adjustRightInd/>
        <w:snapToGrid/>
        <w:spacing w:line="360" w:lineRule="auto"/>
        <w:ind w:left="416"/>
        <w:textAlignment w:val="auto"/>
        <w:outlineLvl w:val="9"/>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2.</w:t>
      </w:r>
      <w:r>
        <w:rPr>
          <w:rFonts w:ascii="宋体" w:hAnsi="宋体" w:eastAsia="宋体" w:cs="宋体"/>
          <w:color w:val="auto"/>
          <w:spacing w:val="8"/>
          <w:sz w:val="20"/>
          <w:szCs w:val="20"/>
        </w:rPr>
        <w:t>合同价格形式：综合单价固定，工程量清单范围内总价承包。</w:t>
      </w:r>
    </w:p>
    <w:p w14:paraId="0B94DC35">
      <w:pPr>
        <w:keepNext w:val="0"/>
        <w:keepLines w:val="0"/>
        <w:pageBreakBefore w:val="0"/>
        <w:widowControl w:val="0"/>
        <w:kinsoku/>
        <w:wordWrap/>
        <w:overflowPunct/>
        <w:topLinePunct w:val="0"/>
        <w:autoSpaceDE/>
        <w:autoSpaceDN/>
        <w:bidi w:val="0"/>
        <w:adjustRightInd/>
        <w:snapToGrid/>
        <w:spacing w:line="360" w:lineRule="auto"/>
        <w:ind w:left="416"/>
        <w:textAlignment w:val="auto"/>
        <w:outlineLvl w:val="9"/>
        <w:rPr>
          <w:rFonts w:ascii="宋体" w:hAnsi="宋体" w:eastAsia="宋体" w:cs="宋体"/>
          <w:color w:val="auto"/>
          <w:spacing w:val="8"/>
          <w:sz w:val="20"/>
          <w:szCs w:val="20"/>
        </w:rPr>
      </w:pPr>
      <w:r>
        <w:rPr>
          <w:rFonts w:ascii="Times New Roman" w:hAnsi="Times New Roman" w:eastAsia="Times New Roman" w:cs="Times New Roman"/>
          <w:color w:val="auto"/>
          <w:spacing w:val="8"/>
          <w:sz w:val="20"/>
          <w:szCs w:val="20"/>
        </w:rPr>
        <w:t>3.发包人将工程款按合同约定划入承包人账户，其中工程款支付账户（承包人需于合同签订之日起30日内在岑溪市设立本项目</w:t>
      </w:r>
      <w:r>
        <w:rPr>
          <w:rFonts w:ascii="宋体" w:hAnsi="宋体" w:eastAsia="宋体" w:cs="宋体"/>
          <w:color w:val="auto"/>
          <w:spacing w:val="8"/>
          <w:sz w:val="20"/>
          <w:szCs w:val="20"/>
        </w:rPr>
        <w:t>资金监管账户并书面通知发包人，承包人原因逾期提供账号造成工程款不到位的责任由承包人自行承担）为该笔工程款的</w:t>
      </w:r>
      <w:r>
        <w:rPr>
          <w:rFonts w:hint="eastAsia" w:ascii="宋体" w:hAnsi="宋体" w:eastAsia="宋体" w:cs="宋体"/>
          <w:color w:val="auto"/>
          <w:spacing w:val="8"/>
          <w:sz w:val="20"/>
          <w:szCs w:val="20"/>
          <w:u w:val="single"/>
          <w:lang w:val="en-US" w:eastAsia="zh-CN"/>
        </w:rPr>
        <w:t xml:space="preserve">    </w:t>
      </w:r>
      <w:r>
        <w:rPr>
          <w:rFonts w:ascii="宋体" w:hAnsi="宋体" w:eastAsia="宋体" w:cs="宋体"/>
          <w:color w:val="auto"/>
          <w:spacing w:val="8"/>
          <w:sz w:val="20"/>
          <w:szCs w:val="20"/>
        </w:rPr>
        <w:t>%</w:t>
      </w:r>
      <w:r>
        <w:rPr>
          <w:rFonts w:hint="eastAsia" w:ascii="宋体" w:hAnsi="宋体" w:eastAsia="宋体" w:cs="宋体"/>
          <w:color w:val="auto"/>
          <w:spacing w:val="8"/>
          <w:sz w:val="20"/>
          <w:szCs w:val="20"/>
          <w:lang w:eastAsia="zh-CN"/>
        </w:rPr>
        <w:t>，</w:t>
      </w:r>
      <w:r>
        <w:rPr>
          <w:rFonts w:hint="eastAsia" w:ascii="宋体" w:hAnsi="宋体" w:eastAsia="宋体" w:cs="宋体"/>
          <w:color w:val="auto"/>
          <w:spacing w:val="8"/>
          <w:sz w:val="20"/>
          <w:szCs w:val="20"/>
          <w:lang w:val="en-US" w:eastAsia="zh-CN"/>
        </w:rPr>
        <w:t>汇入农民工工资支付专用账户（农民工工资支付专用账户</w:t>
      </w:r>
      <w:r>
        <w:rPr>
          <w:rFonts w:hint="eastAsia" w:ascii="宋体" w:hAnsi="宋体" w:eastAsia="宋体" w:cs="宋体"/>
          <w:color w:val="auto"/>
          <w:spacing w:val="8"/>
          <w:sz w:val="20"/>
          <w:szCs w:val="20"/>
          <w:u w:val="single"/>
          <w:lang w:val="en-US" w:eastAsia="zh-CN"/>
        </w:rPr>
        <w:t xml:space="preserve">         </w:t>
      </w:r>
      <w:r>
        <w:rPr>
          <w:rFonts w:hint="eastAsia" w:ascii="宋体" w:hAnsi="宋体" w:eastAsia="宋体" w:cs="宋体"/>
          <w:color w:val="auto"/>
          <w:spacing w:val="8"/>
          <w:sz w:val="20"/>
          <w:szCs w:val="20"/>
          <w:lang w:val="en-US" w:eastAsia="zh-CN"/>
        </w:rPr>
        <w:t>、账号：</w:t>
      </w:r>
      <w:r>
        <w:rPr>
          <w:rFonts w:hint="eastAsia" w:ascii="宋体" w:hAnsi="宋体" w:eastAsia="宋体" w:cs="宋体"/>
          <w:color w:val="auto"/>
          <w:spacing w:val="8"/>
          <w:sz w:val="20"/>
          <w:szCs w:val="20"/>
          <w:u w:val="single"/>
          <w:lang w:val="en-US" w:eastAsia="zh-CN"/>
        </w:rPr>
        <w:t xml:space="preserve">         </w:t>
      </w:r>
      <w:r>
        <w:rPr>
          <w:rFonts w:hint="eastAsia" w:ascii="宋体" w:hAnsi="宋体" w:eastAsia="宋体" w:cs="宋体"/>
          <w:color w:val="auto"/>
          <w:spacing w:val="8"/>
          <w:sz w:val="20"/>
          <w:szCs w:val="20"/>
          <w:lang w:val="en-US" w:eastAsia="zh-CN"/>
        </w:rPr>
        <w:t>、开户银行：</w:t>
      </w:r>
      <w:r>
        <w:rPr>
          <w:rFonts w:hint="eastAsia" w:ascii="宋体" w:hAnsi="宋体" w:eastAsia="宋体" w:cs="宋体"/>
          <w:color w:val="auto"/>
          <w:spacing w:val="8"/>
          <w:sz w:val="20"/>
          <w:szCs w:val="20"/>
          <w:u w:val="single"/>
          <w:lang w:val="en-US" w:eastAsia="zh-CN"/>
        </w:rPr>
        <w:t xml:space="preserve">        </w:t>
      </w:r>
      <w:r>
        <w:rPr>
          <w:rFonts w:hint="eastAsia" w:ascii="宋体" w:hAnsi="宋体" w:eastAsia="宋体" w:cs="宋体"/>
          <w:color w:val="auto"/>
          <w:spacing w:val="8"/>
          <w:sz w:val="20"/>
          <w:szCs w:val="20"/>
          <w:lang w:val="en-US" w:eastAsia="zh-CN"/>
        </w:rPr>
        <w:t>）为该笔工程款的</w:t>
      </w:r>
      <w:r>
        <w:rPr>
          <w:rFonts w:hint="eastAsia" w:ascii="宋体" w:hAnsi="宋体" w:eastAsia="宋体" w:cs="宋体"/>
          <w:color w:val="auto"/>
          <w:spacing w:val="8"/>
          <w:sz w:val="20"/>
          <w:szCs w:val="20"/>
          <w:u w:val="single"/>
          <w:lang w:val="en-US" w:eastAsia="zh-CN"/>
        </w:rPr>
        <w:t xml:space="preserve">      </w:t>
      </w:r>
      <w:r>
        <w:rPr>
          <w:rFonts w:hint="eastAsia" w:ascii="宋体" w:hAnsi="宋体" w:eastAsia="宋体" w:cs="宋体"/>
          <w:color w:val="auto"/>
          <w:spacing w:val="8"/>
          <w:sz w:val="20"/>
          <w:szCs w:val="20"/>
          <w:lang w:val="en-US" w:eastAsia="zh-CN"/>
        </w:rPr>
        <w:t>%。</w:t>
      </w:r>
    </w:p>
    <w:p w14:paraId="7AB6567E">
      <w:pPr>
        <w:keepNext w:val="0"/>
        <w:keepLines w:val="0"/>
        <w:pageBreakBefore w:val="0"/>
        <w:widowControl w:val="0"/>
        <w:kinsoku/>
        <w:wordWrap/>
        <w:overflowPunct/>
        <w:topLinePunct w:val="0"/>
        <w:autoSpaceDE/>
        <w:autoSpaceDN/>
        <w:bidi w:val="0"/>
        <w:adjustRightInd/>
        <w:snapToGrid/>
        <w:spacing w:line="360" w:lineRule="auto"/>
        <w:ind w:left="423" w:firstLine="213" w:firstLineChars="100"/>
        <w:textAlignment w:val="auto"/>
        <w:outlineLvl w:val="9"/>
        <w:rPr>
          <w:rFonts w:ascii="宋体" w:hAnsi="宋体" w:eastAsia="宋体" w:cs="宋体"/>
          <w:color w:val="auto"/>
          <w:sz w:val="20"/>
          <w:szCs w:val="20"/>
        </w:rPr>
      </w:pPr>
      <w:r>
        <w:rPr>
          <w:rFonts w:ascii="宋体" w:hAnsi="宋体" w:eastAsia="宋体" w:cs="宋体"/>
          <w:b/>
          <w:bCs/>
          <w:color w:val="auto"/>
          <w:spacing w:val="6"/>
          <w:sz w:val="20"/>
          <w:szCs w:val="20"/>
        </w:rPr>
        <w:t>五、项目经理</w:t>
      </w:r>
    </w:p>
    <w:p w14:paraId="79F12C96">
      <w:pPr>
        <w:keepNext w:val="0"/>
        <w:keepLines w:val="0"/>
        <w:pageBreakBefore w:val="0"/>
        <w:widowControl w:val="0"/>
        <w:kinsoku/>
        <w:wordWrap/>
        <w:overflowPunct/>
        <w:topLinePunct w:val="0"/>
        <w:autoSpaceDE/>
        <w:autoSpaceDN/>
        <w:bidi w:val="0"/>
        <w:adjustRightInd/>
        <w:snapToGrid/>
        <w:spacing w:line="360" w:lineRule="auto"/>
        <w:ind w:firstLine="636" w:firstLineChars="300"/>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承包人项目经理：</w:t>
      </w:r>
      <w:r>
        <w:rPr>
          <w:rFonts w:hint="eastAsia" w:ascii="宋体" w:hAnsi="宋体" w:cs="宋体"/>
          <w:color w:val="auto"/>
          <w:spacing w:val="6"/>
          <w:sz w:val="20"/>
          <w:szCs w:val="20"/>
          <w:u w:val="single"/>
          <w:lang w:val="en-US" w:eastAsia="zh-CN"/>
        </w:rPr>
        <w:t xml:space="preserve">       </w:t>
      </w:r>
      <w:r>
        <w:rPr>
          <w:rFonts w:ascii="宋体" w:hAnsi="宋体" w:eastAsia="宋体" w:cs="宋体"/>
          <w:color w:val="auto"/>
          <w:spacing w:val="5"/>
          <w:sz w:val="20"/>
          <w:szCs w:val="20"/>
        </w:rPr>
        <w:t>。</w:t>
      </w:r>
    </w:p>
    <w:p w14:paraId="44A6D157">
      <w:pPr>
        <w:keepNext w:val="0"/>
        <w:keepLines w:val="0"/>
        <w:pageBreakBefore w:val="0"/>
        <w:widowControl w:val="0"/>
        <w:kinsoku/>
        <w:wordWrap/>
        <w:overflowPunct/>
        <w:topLinePunct w:val="0"/>
        <w:autoSpaceDE/>
        <w:autoSpaceDN/>
        <w:bidi w:val="0"/>
        <w:adjustRightInd/>
        <w:snapToGrid/>
        <w:spacing w:line="360" w:lineRule="auto"/>
        <w:ind w:left="421" w:firstLine="215" w:firstLineChars="100"/>
        <w:textAlignment w:val="auto"/>
        <w:outlineLvl w:val="9"/>
        <w:rPr>
          <w:rFonts w:ascii="宋体" w:hAnsi="宋体" w:eastAsia="宋体" w:cs="宋体"/>
          <w:color w:val="auto"/>
          <w:sz w:val="20"/>
          <w:szCs w:val="20"/>
        </w:rPr>
      </w:pPr>
      <w:r>
        <w:rPr>
          <w:rFonts w:ascii="宋体" w:hAnsi="宋体" w:eastAsia="宋体" w:cs="宋体"/>
          <w:b/>
          <w:bCs/>
          <w:color w:val="auto"/>
          <w:spacing w:val="7"/>
          <w:sz w:val="20"/>
          <w:szCs w:val="20"/>
        </w:rPr>
        <w:t>六、合同文件构成</w:t>
      </w:r>
    </w:p>
    <w:p w14:paraId="1EA418B3">
      <w:pPr>
        <w:keepNext w:val="0"/>
        <w:keepLines w:val="0"/>
        <w:pageBreakBefore w:val="0"/>
        <w:widowControl w:val="0"/>
        <w:kinsoku/>
        <w:wordWrap/>
        <w:overflowPunct/>
        <w:topLinePunct w:val="0"/>
        <w:autoSpaceDE/>
        <w:autoSpaceDN/>
        <w:bidi w:val="0"/>
        <w:adjustRightInd/>
        <w:snapToGrid/>
        <w:spacing w:line="360" w:lineRule="auto"/>
        <w:ind w:left="420" w:firstLine="216" w:firstLineChars="100"/>
        <w:textAlignment w:val="auto"/>
        <w:outlineLvl w:val="9"/>
        <w:rPr>
          <w:rFonts w:ascii="宋体" w:hAnsi="宋体" w:eastAsia="宋体" w:cs="宋体"/>
          <w:color w:val="auto"/>
          <w:sz w:val="20"/>
          <w:szCs w:val="20"/>
        </w:rPr>
      </w:pPr>
      <w:r>
        <w:rPr>
          <w:rFonts w:ascii="宋体" w:hAnsi="宋体" w:eastAsia="宋体" w:cs="宋体"/>
          <w:color w:val="auto"/>
          <w:spacing w:val="8"/>
          <w:sz w:val="20"/>
          <w:szCs w:val="20"/>
        </w:rPr>
        <w:t>本协议书与下列文件一起构成合同文件：</w:t>
      </w:r>
    </w:p>
    <w:p w14:paraId="4B4A6C79">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7"/>
          <w:sz w:val="20"/>
          <w:szCs w:val="20"/>
        </w:rPr>
        <w:t>（</w:t>
      </w:r>
      <w:r>
        <w:rPr>
          <w:rFonts w:ascii="Times New Roman" w:hAnsi="Times New Roman" w:eastAsia="Times New Roman" w:cs="Times New Roman"/>
          <w:color w:val="auto"/>
          <w:spacing w:val="7"/>
          <w:sz w:val="20"/>
          <w:szCs w:val="20"/>
        </w:rPr>
        <w:t>1</w:t>
      </w:r>
      <w:r>
        <w:rPr>
          <w:rFonts w:ascii="宋体" w:hAnsi="宋体" w:eastAsia="宋体" w:cs="宋体"/>
          <w:color w:val="auto"/>
          <w:spacing w:val="7"/>
          <w:sz w:val="20"/>
          <w:szCs w:val="20"/>
        </w:rPr>
        <w:t>）成交通知书（如有</w:t>
      </w:r>
      <w:r>
        <w:rPr>
          <w:rFonts w:ascii="宋体" w:hAnsi="宋体" w:eastAsia="宋体" w:cs="宋体"/>
          <w:color w:val="auto"/>
          <w:spacing w:val="3"/>
          <w:sz w:val="20"/>
          <w:szCs w:val="20"/>
        </w:rPr>
        <w:t>）；</w:t>
      </w:r>
    </w:p>
    <w:p w14:paraId="0AC6BBDD">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8"/>
          <w:sz w:val="20"/>
          <w:szCs w:val="20"/>
        </w:rPr>
        <w:t>（</w:t>
      </w:r>
      <w:r>
        <w:rPr>
          <w:rFonts w:ascii="Times New Roman" w:hAnsi="Times New Roman" w:eastAsia="Times New Roman" w:cs="Times New Roman"/>
          <w:color w:val="auto"/>
          <w:spacing w:val="8"/>
          <w:sz w:val="20"/>
          <w:szCs w:val="20"/>
        </w:rPr>
        <w:t>2</w:t>
      </w:r>
      <w:r>
        <w:rPr>
          <w:rFonts w:ascii="宋体" w:hAnsi="宋体" w:eastAsia="宋体" w:cs="宋体"/>
          <w:color w:val="auto"/>
          <w:spacing w:val="8"/>
          <w:sz w:val="20"/>
          <w:szCs w:val="20"/>
        </w:rPr>
        <w:t>）投标函及其附录（如有</w:t>
      </w:r>
      <w:r>
        <w:rPr>
          <w:rFonts w:ascii="宋体" w:hAnsi="宋体" w:eastAsia="宋体" w:cs="宋体"/>
          <w:color w:val="auto"/>
          <w:sz w:val="20"/>
          <w:szCs w:val="20"/>
        </w:rPr>
        <w:t>）；</w:t>
      </w:r>
    </w:p>
    <w:p w14:paraId="76C29FDB">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7"/>
          <w:sz w:val="20"/>
          <w:szCs w:val="20"/>
        </w:rPr>
        <w:t>（</w:t>
      </w:r>
      <w:r>
        <w:rPr>
          <w:rFonts w:ascii="Times New Roman" w:hAnsi="Times New Roman" w:eastAsia="Times New Roman" w:cs="Times New Roman"/>
          <w:color w:val="auto"/>
          <w:spacing w:val="7"/>
          <w:sz w:val="20"/>
          <w:szCs w:val="20"/>
        </w:rPr>
        <w:t>3</w:t>
      </w:r>
      <w:r>
        <w:rPr>
          <w:rFonts w:ascii="宋体" w:hAnsi="宋体" w:eastAsia="宋体" w:cs="宋体"/>
          <w:color w:val="auto"/>
          <w:spacing w:val="7"/>
          <w:sz w:val="20"/>
          <w:szCs w:val="20"/>
        </w:rPr>
        <w:t>）专用合同条款及其附件；</w:t>
      </w:r>
    </w:p>
    <w:p w14:paraId="09171488">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w:t>
      </w:r>
      <w:r>
        <w:rPr>
          <w:rFonts w:ascii="Times New Roman" w:hAnsi="Times New Roman" w:eastAsia="Times New Roman" w:cs="Times New Roman"/>
          <w:color w:val="auto"/>
          <w:spacing w:val="6"/>
          <w:sz w:val="20"/>
          <w:szCs w:val="20"/>
        </w:rPr>
        <w:t>4</w:t>
      </w:r>
      <w:r>
        <w:rPr>
          <w:rFonts w:ascii="宋体" w:hAnsi="宋体" w:eastAsia="宋体" w:cs="宋体"/>
          <w:color w:val="auto"/>
          <w:spacing w:val="6"/>
          <w:sz w:val="20"/>
          <w:szCs w:val="20"/>
        </w:rPr>
        <w:t>）通用合同条款；</w:t>
      </w:r>
    </w:p>
    <w:p w14:paraId="1813C2F7">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w:t>
      </w:r>
      <w:r>
        <w:rPr>
          <w:rFonts w:ascii="Times New Roman" w:hAnsi="Times New Roman" w:eastAsia="Times New Roman" w:cs="Times New Roman"/>
          <w:color w:val="auto"/>
          <w:spacing w:val="6"/>
          <w:sz w:val="20"/>
          <w:szCs w:val="20"/>
        </w:rPr>
        <w:t>5</w:t>
      </w:r>
      <w:r>
        <w:rPr>
          <w:rFonts w:ascii="宋体" w:hAnsi="宋体" w:eastAsia="宋体" w:cs="宋体"/>
          <w:color w:val="auto"/>
          <w:spacing w:val="6"/>
          <w:sz w:val="20"/>
          <w:szCs w:val="20"/>
        </w:rPr>
        <w:t>）技术标准和要求；</w:t>
      </w:r>
    </w:p>
    <w:p w14:paraId="71299C03">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5"/>
          <w:sz w:val="20"/>
          <w:szCs w:val="20"/>
        </w:rPr>
        <w:t>（</w:t>
      </w:r>
      <w:r>
        <w:rPr>
          <w:rFonts w:ascii="Times New Roman" w:hAnsi="Times New Roman" w:eastAsia="Times New Roman" w:cs="Times New Roman"/>
          <w:color w:val="auto"/>
          <w:spacing w:val="5"/>
          <w:sz w:val="20"/>
          <w:szCs w:val="20"/>
        </w:rPr>
        <w:t>6</w:t>
      </w:r>
      <w:r>
        <w:rPr>
          <w:rFonts w:ascii="宋体" w:hAnsi="宋体" w:eastAsia="宋体" w:cs="宋体"/>
          <w:color w:val="auto"/>
          <w:spacing w:val="5"/>
          <w:sz w:val="20"/>
          <w:szCs w:val="20"/>
        </w:rPr>
        <w:t>）已标价工程量清单或预算书；</w:t>
      </w:r>
    </w:p>
    <w:p w14:paraId="2D76F3EC">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4"/>
          <w:sz w:val="20"/>
          <w:szCs w:val="20"/>
        </w:rPr>
        <w:t>（</w:t>
      </w:r>
      <w:r>
        <w:rPr>
          <w:rFonts w:ascii="Times New Roman" w:hAnsi="Times New Roman" w:eastAsia="Times New Roman" w:cs="Times New Roman"/>
          <w:color w:val="auto"/>
          <w:spacing w:val="4"/>
          <w:sz w:val="20"/>
          <w:szCs w:val="20"/>
        </w:rPr>
        <w:t>7</w:t>
      </w:r>
      <w:r>
        <w:rPr>
          <w:rFonts w:ascii="宋体" w:hAnsi="宋体" w:eastAsia="宋体" w:cs="宋体"/>
          <w:color w:val="auto"/>
          <w:spacing w:val="4"/>
          <w:sz w:val="20"/>
          <w:szCs w:val="20"/>
        </w:rPr>
        <w:t>）图纸；</w:t>
      </w:r>
    </w:p>
    <w:p w14:paraId="1E4C73AA">
      <w:pPr>
        <w:keepNext w:val="0"/>
        <w:keepLines w:val="0"/>
        <w:pageBreakBefore w:val="0"/>
        <w:widowControl w:val="0"/>
        <w:kinsoku/>
        <w:wordWrap/>
        <w:overflowPunct/>
        <w:topLinePunct w:val="0"/>
        <w:autoSpaceDE/>
        <w:autoSpaceDN/>
        <w:bidi w:val="0"/>
        <w:adjustRightInd/>
        <w:snapToGrid/>
        <w:spacing w:line="360" w:lineRule="auto"/>
        <w:ind w:left="430"/>
        <w:textAlignment w:val="auto"/>
        <w:outlineLvl w:val="9"/>
        <w:rPr>
          <w:rFonts w:ascii="宋体" w:hAnsi="宋体" w:eastAsia="宋体" w:cs="宋体"/>
          <w:color w:val="auto"/>
          <w:sz w:val="20"/>
          <w:szCs w:val="20"/>
        </w:rPr>
      </w:pPr>
      <w:r>
        <w:rPr>
          <w:rFonts w:ascii="宋体" w:hAnsi="宋体" w:eastAsia="宋体" w:cs="宋体"/>
          <w:color w:val="auto"/>
          <w:spacing w:val="6"/>
          <w:sz w:val="20"/>
          <w:szCs w:val="20"/>
        </w:rPr>
        <w:t>（</w:t>
      </w:r>
      <w:r>
        <w:rPr>
          <w:rFonts w:ascii="Times New Roman" w:hAnsi="Times New Roman" w:eastAsia="Times New Roman" w:cs="Times New Roman"/>
          <w:color w:val="auto"/>
          <w:spacing w:val="6"/>
          <w:sz w:val="20"/>
          <w:szCs w:val="20"/>
        </w:rPr>
        <w:t>8</w:t>
      </w:r>
      <w:r>
        <w:rPr>
          <w:rFonts w:ascii="宋体" w:hAnsi="宋体" w:eastAsia="宋体" w:cs="宋体"/>
          <w:color w:val="auto"/>
          <w:spacing w:val="6"/>
          <w:sz w:val="20"/>
          <w:szCs w:val="20"/>
        </w:rPr>
        <w:t>）其他合同文件。</w:t>
      </w:r>
    </w:p>
    <w:p w14:paraId="77864BEB">
      <w:pPr>
        <w:keepNext w:val="0"/>
        <w:keepLines w:val="0"/>
        <w:pageBreakBefore w:val="0"/>
        <w:widowControl w:val="0"/>
        <w:kinsoku/>
        <w:wordWrap/>
        <w:overflowPunct/>
        <w:topLinePunct w:val="0"/>
        <w:autoSpaceDE/>
        <w:autoSpaceDN/>
        <w:bidi w:val="0"/>
        <w:adjustRightInd/>
        <w:snapToGrid/>
        <w:spacing w:line="360" w:lineRule="auto"/>
        <w:ind w:left="419"/>
        <w:textAlignment w:val="auto"/>
        <w:outlineLvl w:val="9"/>
        <w:rPr>
          <w:rFonts w:ascii="宋体" w:hAnsi="宋体" w:eastAsia="宋体" w:cs="宋体"/>
          <w:color w:val="auto"/>
          <w:sz w:val="20"/>
          <w:szCs w:val="20"/>
        </w:rPr>
      </w:pPr>
      <w:r>
        <w:rPr>
          <w:rFonts w:ascii="宋体" w:hAnsi="宋体" w:eastAsia="宋体" w:cs="宋体"/>
          <w:color w:val="auto"/>
          <w:spacing w:val="9"/>
          <w:sz w:val="20"/>
          <w:szCs w:val="20"/>
        </w:rPr>
        <w:t>在合同订立及履行过程中形成的与合同有关的文件均构成合同文件组成部分。</w:t>
      </w:r>
    </w:p>
    <w:p w14:paraId="634DA4E9">
      <w:pPr>
        <w:keepNext w:val="0"/>
        <w:keepLines w:val="0"/>
        <w:pageBreakBefore w:val="0"/>
        <w:widowControl w:val="0"/>
        <w:kinsoku/>
        <w:wordWrap/>
        <w:overflowPunct/>
        <w:topLinePunct w:val="0"/>
        <w:autoSpaceDE/>
        <w:autoSpaceDN/>
        <w:bidi w:val="0"/>
        <w:adjustRightInd/>
        <w:snapToGrid/>
        <w:spacing w:line="360" w:lineRule="auto"/>
        <w:ind w:firstLine="1"/>
        <w:textAlignment w:val="auto"/>
        <w:outlineLvl w:val="9"/>
        <w:rPr>
          <w:rFonts w:ascii="宋体" w:hAnsi="宋体" w:eastAsia="宋体" w:cs="宋体"/>
          <w:color w:val="auto"/>
          <w:sz w:val="20"/>
          <w:szCs w:val="20"/>
        </w:rPr>
      </w:pPr>
      <w:r>
        <w:rPr>
          <w:rFonts w:ascii="宋体" w:hAnsi="宋体" w:eastAsia="宋体" w:cs="宋体"/>
          <w:color w:val="auto"/>
          <w:spacing w:val="8"/>
          <w:sz w:val="20"/>
          <w:szCs w:val="20"/>
        </w:rPr>
        <w:t>上述各项合同文件包括合同当事人就该项合同文件</w:t>
      </w:r>
      <w:r>
        <w:rPr>
          <w:rFonts w:ascii="宋体" w:hAnsi="宋体" w:eastAsia="宋体" w:cs="宋体"/>
          <w:color w:val="auto"/>
          <w:spacing w:val="7"/>
          <w:sz w:val="20"/>
          <w:szCs w:val="20"/>
        </w:rPr>
        <w:t>所作出的补充和修改，属于同一类内容的文件，</w:t>
      </w:r>
      <w:r>
        <w:rPr>
          <w:rFonts w:ascii="宋体" w:hAnsi="宋体" w:eastAsia="宋体" w:cs="宋体"/>
          <w:color w:val="auto"/>
          <w:spacing w:val="9"/>
          <w:sz w:val="20"/>
          <w:szCs w:val="20"/>
        </w:rPr>
        <w:t>应以最新签署的为准。专用合同条款及其附件须经合同当事人签字或盖章。</w:t>
      </w:r>
    </w:p>
    <w:p w14:paraId="2D0CE38D">
      <w:pPr>
        <w:keepNext w:val="0"/>
        <w:keepLines w:val="0"/>
        <w:pageBreakBefore w:val="0"/>
        <w:widowControl w:val="0"/>
        <w:kinsoku/>
        <w:wordWrap/>
        <w:overflowPunct/>
        <w:topLinePunct w:val="0"/>
        <w:autoSpaceDE/>
        <w:autoSpaceDN/>
        <w:bidi w:val="0"/>
        <w:adjustRightInd/>
        <w:snapToGrid/>
        <w:spacing w:line="360" w:lineRule="auto"/>
        <w:ind w:left="1" w:right="113" w:firstLine="420"/>
        <w:jc w:val="both"/>
        <w:textAlignment w:val="auto"/>
        <w:outlineLvl w:val="9"/>
        <w:rPr>
          <w:rFonts w:ascii="宋体" w:hAnsi="宋体" w:eastAsia="宋体" w:cs="宋体"/>
          <w:color w:val="auto"/>
          <w:sz w:val="20"/>
          <w:szCs w:val="20"/>
        </w:rPr>
      </w:pPr>
      <w:r>
        <w:rPr>
          <w:rFonts w:ascii="宋体" w:hAnsi="宋体" w:eastAsia="宋体" w:cs="宋体"/>
          <w:color w:val="auto"/>
          <w:spacing w:val="10"/>
          <w:sz w:val="20"/>
          <w:szCs w:val="20"/>
        </w:rPr>
        <w:t>上述各项合同文件包括合同当事人就该项合同文件所作出的</w:t>
      </w:r>
      <w:r>
        <w:rPr>
          <w:rFonts w:ascii="宋体" w:hAnsi="宋体" w:eastAsia="宋体" w:cs="宋体"/>
          <w:color w:val="auto"/>
          <w:spacing w:val="9"/>
          <w:sz w:val="20"/>
          <w:szCs w:val="20"/>
        </w:rPr>
        <w:t>补充和修改，属于同一类内容的</w:t>
      </w:r>
      <w:r>
        <w:rPr>
          <w:rFonts w:ascii="宋体" w:hAnsi="宋体" w:eastAsia="宋体" w:cs="宋体"/>
          <w:color w:val="auto"/>
          <w:spacing w:val="10"/>
          <w:sz w:val="20"/>
          <w:szCs w:val="20"/>
        </w:rPr>
        <w:t>文件，应以最新签署的为准（违反磋商文件实质性内容的约定除外）。</w:t>
      </w:r>
      <w:r>
        <w:rPr>
          <w:rFonts w:ascii="宋体" w:hAnsi="宋体" w:eastAsia="宋体" w:cs="宋体"/>
          <w:color w:val="auto"/>
          <w:spacing w:val="9"/>
          <w:sz w:val="20"/>
          <w:szCs w:val="20"/>
        </w:rPr>
        <w:t>专用合同条款及其附件须</w:t>
      </w:r>
      <w:r>
        <w:rPr>
          <w:rFonts w:ascii="宋体" w:hAnsi="宋体" w:eastAsia="宋体" w:cs="宋体"/>
          <w:color w:val="auto"/>
          <w:spacing w:val="8"/>
          <w:sz w:val="20"/>
          <w:szCs w:val="20"/>
        </w:rPr>
        <w:t>经合同当事人签字或盖章。</w:t>
      </w:r>
    </w:p>
    <w:p w14:paraId="7CF71511">
      <w:pPr>
        <w:keepNext w:val="0"/>
        <w:keepLines w:val="0"/>
        <w:pageBreakBefore w:val="0"/>
        <w:widowControl w:val="0"/>
        <w:kinsoku/>
        <w:wordWrap/>
        <w:overflowPunct/>
        <w:topLinePunct w:val="0"/>
        <w:autoSpaceDE/>
        <w:autoSpaceDN/>
        <w:bidi w:val="0"/>
        <w:adjustRightInd/>
        <w:snapToGrid/>
        <w:spacing w:line="360" w:lineRule="auto"/>
        <w:ind w:left="419"/>
        <w:textAlignment w:val="auto"/>
        <w:outlineLvl w:val="9"/>
        <w:rPr>
          <w:rFonts w:ascii="宋体" w:hAnsi="宋体" w:eastAsia="宋体" w:cs="宋体"/>
          <w:color w:val="auto"/>
          <w:sz w:val="20"/>
          <w:szCs w:val="20"/>
        </w:rPr>
      </w:pPr>
      <w:r>
        <w:rPr>
          <w:rFonts w:ascii="宋体" w:hAnsi="宋体" w:eastAsia="宋体" w:cs="宋体"/>
          <w:b/>
          <w:bCs/>
          <w:color w:val="auto"/>
          <w:spacing w:val="6"/>
          <w:sz w:val="20"/>
          <w:szCs w:val="20"/>
        </w:rPr>
        <w:t>七、承诺</w:t>
      </w:r>
    </w:p>
    <w:p w14:paraId="016B4984">
      <w:pPr>
        <w:keepNext w:val="0"/>
        <w:keepLines w:val="0"/>
        <w:pageBreakBefore w:val="0"/>
        <w:widowControl w:val="0"/>
        <w:kinsoku/>
        <w:wordWrap/>
        <w:overflowPunct/>
        <w:topLinePunct w:val="0"/>
        <w:autoSpaceDE/>
        <w:autoSpaceDN/>
        <w:bidi w:val="0"/>
        <w:adjustRightInd/>
        <w:snapToGrid/>
        <w:spacing w:line="360" w:lineRule="auto"/>
        <w:ind w:right="57" w:firstLine="435"/>
        <w:textAlignment w:val="auto"/>
        <w:outlineLvl w:val="9"/>
        <w:rPr>
          <w:rFonts w:ascii="宋体" w:hAnsi="宋体" w:eastAsia="宋体" w:cs="宋体"/>
          <w:color w:val="auto"/>
          <w:sz w:val="20"/>
          <w:szCs w:val="20"/>
        </w:rPr>
      </w:pPr>
      <w:r>
        <w:rPr>
          <w:rFonts w:ascii="Times New Roman" w:hAnsi="Times New Roman" w:eastAsia="Times New Roman" w:cs="Times New Roman"/>
          <w:color w:val="auto"/>
          <w:spacing w:val="9"/>
          <w:sz w:val="20"/>
          <w:szCs w:val="20"/>
        </w:rPr>
        <w:t>1.</w:t>
      </w:r>
      <w:r>
        <w:rPr>
          <w:rFonts w:ascii="宋体" w:hAnsi="宋体" w:eastAsia="宋体" w:cs="宋体"/>
          <w:color w:val="auto"/>
          <w:spacing w:val="9"/>
          <w:sz w:val="20"/>
          <w:szCs w:val="20"/>
        </w:rPr>
        <w:t>发包人承诺按照法律规定履行项目审批手续、筹集工程建设资金并按照</w:t>
      </w:r>
      <w:r>
        <w:rPr>
          <w:rFonts w:ascii="宋体" w:hAnsi="宋体" w:eastAsia="宋体" w:cs="宋体"/>
          <w:color w:val="auto"/>
          <w:spacing w:val="8"/>
          <w:sz w:val="20"/>
          <w:szCs w:val="20"/>
        </w:rPr>
        <w:t>合同约定的期限和</w:t>
      </w:r>
      <w:r>
        <w:rPr>
          <w:rFonts w:ascii="宋体" w:hAnsi="宋体" w:eastAsia="宋体" w:cs="宋体"/>
          <w:color w:val="auto"/>
          <w:spacing w:val="7"/>
          <w:sz w:val="20"/>
          <w:szCs w:val="20"/>
        </w:rPr>
        <w:t>方式支付合同价款。</w:t>
      </w:r>
    </w:p>
    <w:p w14:paraId="1DBF404D">
      <w:pPr>
        <w:keepNext w:val="0"/>
        <w:keepLines w:val="0"/>
        <w:pageBreakBefore w:val="0"/>
        <w:widowControl w:val="0"/>
        <w:kinsoku/>
        <w:wordWrap/>
        <w:overflowPunct/>
        <w:topLinePunct w:val="0"/>
        <w:autoSpaceDE/>
        <w:autoSpaceDN/>
        <w:bidi w:val="0"/>
        <w:adjustRightInd/>
        <w:snapToGrid/>
        <w:spacing w:line="360" w:lineRule="auto"/>
        <w:ind w:right="57" w:firstLine="416"/>
        <w:textAlignment w:val="auto"/>
        <w:outlineLvl w:val="9"/>
        <w:rPr>
          <w:rFonts w:ascii="宋体" w:hAnsi="宋体" w:eastAsia="宋体" w:cs="宋体"/>
          <w:color w:val="auto"/>
          <w:sz w:val="20"/>
          <w:szCs w:val="20"/>
        </w:rPr>
      </w:pPr>
      <w:r>
        <w:rPr>
          <w:rFonts w:ascii="Times New Roman" w:hAnsi="Times New Roman" w:eastAsia="Times New Roman" w:cs="Times New Roman"/>
          <w:color w:val="auto"/>
          <w:spacing w:val="9"/>
          <w:sz w:val="20"/>
          <w:szCs w:val="20"/>
        </w:rPr>
        <w:t>2.</w:t>
      </w:r>
      <w:r>
        <w:rPr>
          <w:rFonts w:ascii="宋体" w:hAnsi="宋体" w:eastAsia="宋体" w:cs="宋体"/>
          <w:color w:val="auto"/>
          <w:spacing w:val="9"/>
          <w:sz w:val="20"/>
          <w:szCs w:val="20"/>
        </w:rPr>
        <w:t>承包人承诺按照法律规定及合同约定组织完成工程施工，确保工程质量和安全，不进行转包及违法分包，并在缺陷责任期及保修期内承担相应的工程维修责任。</w:t>
      </w:r>
    </w:p>
    <w:p w14:paraId="4F27897C">
      <w:pPr>
        <w:keepNext w:val="0"/>
        <w:keepLines w:val="0"/>
        <w:pageBreakBefore w:val="0"/>
        <w:widowControl w:val="0"/>
        <w:kinsoku/>
        <w:wordWrap/>
        <w:overflowPunct/>
        <w:topLinePunct w:val="0"/>
        <w:autoSpaceDE/>
        <w:autoSpaceDN/>
        <w:bidi w:val="0"/>
        <w:adjustRightInd/>
        <w:snapToGrid/>
        <w:spacing w:line="360" w:lineRule="auto"/>
        <w:ind w:right="57" w:firstLine="419"/>
        <w:textAlignment w:val="auto"/>
        <w:outlineLvl w:val="9"/>
        <w:rPr>
          <w:rFonts w:ascii="宋体" w:hAnsi="宋体" w:eastAsia="宋体" w:cs="宋体"/>
          <w:color w:val="auto"/>
          <w:sz w:val="20"/>
          <w:szCs w:val="20"/>
        </w:rPr>
      </w:pPr>
      <w:r>
        <w:rPr>
          <w:rFonts w:ascii="Times New Roman" w:hAnsi="Times New Roman" w:eastAsia="Times New Roman" w:cs="Times New Roman"/>
          <w:color w:val="auto"/>
          <w:spacing w:val="9"/>
          <w:sz w:val="20"/>
          <w:szCs w:val="20"/>
        </w:rPr>
        <w:t>3.</w:t>
      </w:r>
      <w:r>
        <w:rPr>
          <w:rFonts w:ascii="宋体" w:hAnsi="宋体" w:eastAsia="宋体" w:cs="宋体"/>
          <w:color w:val="auto"/>
          <w:spacing w:val="9"/>
          <w:sz w:val="20"/>
          <w:szCs w:val="20"/>
        </w:rPr>
        <w:t>发包人和承包人通过招投标形式签订合同的，双方理解并承诺不再就同一工程另行签订与</w:t>
      </w:r>
      <w:r>
        <w:rPr>
          <w:rFonts w:ascii="宋体" w:hAnsi="宋体" w:eastAsia="宋体" w:cs="宋体"/>
          <w:color w:val="auto"/>
          <w:spacing w:val="8"/>
          <w:sz w:val="20"/>
          <w:szCs w:val="20"/>
        </w:rPr>
        <w:t>合同实质性内容相背离的协议。</w:t>
      </w:r>
    </w:p>
    <w:p w14:paraId="2FFFC60F">
      <w:pPr>
        <w:spacing w:before="113" w:line="228" w:lineRule="auto"/>
        <w:ind w:left="423"/>
        <w:outlineLvl w:val="9"/>
        <w:rPr>
          <w:rFonts w:ascii="宋体" w:hAnsi="宋体" w:eastAsia="宋体" w:cs="宋体"/>
          <w:color w:val="auto"/>
          <w:sz w:val="20"/>
          <w:szCs w:val="20"/>
        </w:rPr>
      </w:pPr>
      <w:r>
        <w:rPr>
          <w:rFonts w:ascii="宋体" w:hAnsi="宋体" w:eastAsia="宋体" w:cs="宋体"/>
          <w:b/>
          <w:bCs/>
          <w:color w:val="auto"/>
          <w:spacing w:val="6"/>
          <w:sz w:val="20"/>
          <w:szCs w:val="20"/>
        </w:rPr>
        <w:t>八、词语含义</w:t>
      </w:r>
    </w:p>
    <w:p w14:paraId="461A0DBB">
      <w:pPr>
        <w:spacing w:before="112" w:line="228" w:lineRule="auto"/>
        <w:ind w:left="420"/>
        <w:outlineLvl w:val="9"/>
        <w:rPr>
          <w:rFonts w:ascii="宋体" w:hAnsi="宋体" w:eastAsia="宋体" w:cs="宋体"/>
          <w:color w:val="auto"/>
          <w:sz w:val="20"/>
          <w:szCs w:val="20"/>
        </w:rPr>
      </w:pPr>
      <w:r>
        <w:rPr>
          <w:rFonts w:ascii="宋体" w:hAnsi="宋体" w:eastAsia="宋体" w:cs="宋体"/>
          <w:color w:val="auto"/>
          <w:spacing w:val="9"/>
          <w:sz w:val="20"/>
          <w:szCs w:val="20"/>
        </w:rPr>
        <w:t>本协议书中词语含义与第二部分通用合同条款</w:t>
      </w:r>
      <w:r>
        <w:rPr>
          <w:rFonts w:hint="eastAsia" w:ascii="宋体" w:hAnsi="宋体" w:eastAsia="宋体" w:cs="宋体"/>
          <w:color w:val="auto"/>
          <w:spacing w:val="9"/>
          <w:sz w:val="20"/>
          <w:szCs w:val="20"/>
          <w:lang w:val="en-US" w:eastAsia="zh-CN"/>
        </w:rPr>
        <w:t>及第三部分专用合同条款</w:t>
      </w:r>
      <w:r>
        <w:rPr>
          <w:rFonts w:ascii="宋体" w:hAnsi="宋体" w:eastAsia="宋体" w:cs="宋体"/>
          <w:color w:val="auto"/>
          <w:spacing w:val="9"/>
          <w:sz w:val="20"/>
          <w:szCs w:val="20"/>
        </w:rPr>
        <w:t>中赋予的含义相同。</w:t>
      </w:r>
    </w:p>
    <w:p w14:paraId="3BE19DEF">
      <w:pPr>
        <w:spacing w:before="113" w:line="231" w:lineRule="auto"/>
        <w:ind w:left="425"/>
        <w:outlineLvl w:val="9"/>
        <w:rPr>
          <w:rFonts w:ascii="宋体" w:hAnsi="宋体" w:eastAsia="宋体" w:cs="宋体"/>
          <w:color w:val="auto"/>
          <w:sz w:val="20"/>
          <w:szCs w:val="20"/>
        </w:rPr>
      </w:pPr>
      <w:r>
        <w:rPr>
          <w:rFonts w:ascii="宋体" w:hAnsi="宋体" w:eastAsia="宋体" w:cs="宋体"/>
          <w:b/>
          <w:bCs/>
          <w:color w:val="auto"/>
          <w:spacing w:val="6"/>
          <w:sz w:val="20"/>
          <w:szCs w:val="20"/>
        </w:rPr>
        <w:t>九、签订时间</w:t>
      </w:r>
    </w:p>
    <w:p w14:paraId="496F0071">
      <w:pPr>
        <w:spacing w:before="110" w:line="228" w:lineRule="auto"/>
        <w:ind w:left="420"/>
        <w:outlineLvl w:val="9"/>
        <w:rPr>
          <w:rFonts w:ascii="宋体" w:hAnsi="宋体" w:eastAsia="宋体" w:cs="宋体"/>
          <w:color w:val="auto"/>
          <w:sz w:val="20"/>
          <w:szCs w:val="20"/>
        </w:rPr>
      </w:pPr>
      <w:r>
        <w:rPr>
          <w:rFonts w:ascii="宋体" w:hAnsi="宋体" w:eastAsia="宋体" w:cs="宋体"/>
          <w:color w:val="auto"/>
          <w:spacing w:val="2"/>
          <w:sz w:val="20"/>
          <w:szCs w:val="20"/>
        </w:rPr>
        <w:t>本合同于</w:t>
      </w:r>
      <w:r>
        <w:rPr>
          <w:rFonts w:hint="eastAsia" w:ascii="宋体" w:hAnsi="宋体" w:eastAsia="宋体" w:cs="宋体"/>
          <w:color w:val="auto"/>
          <w:spacing w:val="2"/>
          <w:sz w:val="20"/>
          <w:szCs w:val="20"/>
          <w:u w:val="single"/>
          <w:lang w:val="en-US" w:eastAsia="zh-CN"/>
        </w:rPr>
        <w:t xml:space="preserve"> </w:t>
      </w:r>
      <w:r>
        <w:rPr>
          <w:rFonts w:hint="eastAsia" w:ascii="宋体" w:hAnsi="宋体" w:cs="宋体"/>
          <w:color w:val="auto"/>
          <w:spacing w:val="2"/>
          <w:sz w:val="20"/>
          <w:szCs w:val="20"/>
          <w:u w:val="single"/>
          <w:lang w:val="en-US" w:eastAsia="zh-CN"/>
        </w:rPr>
        <w:t xml:space="preserve">   </w:t>
      </w:r>
      <w:r>
        <w:rPr>
          <w:rFonts w:hint="eastAsia" w:ascii="宋体" w:hAnsi="宋体" w:eastAsia="宋体" w:cs="宋体"/>
          <w:color w:val="auto"/>
          <w:spacing w:val="2"/>
          <w:sz w:val="20"/>
          <w:szCs w:val="20"/>
          <w:u w:val="single"/>
          <w:lang w:val="en-US" w:eastAsia="zh-CN"/>
        </w:rPr>
        <w:t xml:space="preserve"> </w:t>
      </w:r>
      <w:r>
        <w:rPr>
          <w:rFonts w:ascii="宋体" w:hAnsi="宋体" w:eastAsia="宋体" w:cs="宋体"/>
          <w:color w:val="auto"/>
          <w:spacing w:val="2"/>
          <w:sz w:val="20"/>
          <w:szCs w:val="20"/>
        </w:rPr>
        <w:t>年</w:t>
      </w:r>
      <w:r>
        <w:rPr>
          <w:rFonts w:hint="eastAsia" w:ascii="宋体" w:hAnsi="宋体" w:eastAsia="宋体" w:cs="宋体"/>
          <w:color w:val="auto"/>
          <w:spacing w:val="2"/>
          <w:sz w:val="20"/>
          <w:szCs w:val="20"/>
          <w:u w:val="single"/>
          <w:lang w:val="en-US" w:eastAsia="zh-CN"/>
        </w:rPr>
        <w:t xml:space="preserve"> </w:t>
      </w:r>
      <w:r>
        <w:rPr>
          <w:rFonts w:hint="eastAsia" w:ascii="宋体" w:hAnsi="宋体" w:cs="宋体"/>
          <w:color w:val="auto"/>
          <w:spacing w:val="2"/>
          <w:sz w:val="20"/>
          <w:szCs w:val="20"/>
          <w:u w:val="single"/>
          <w:lang w:val="en-US" w:eastAsia="zh-CN"/>
        </w:rPr>
        <w:t xml:space="preserve">   </w:t>
      </w:r>
      <w:r>
        <w:rPr>
          <w:rFonts w:hint="eastAsia" w:ascii="宋体" w:hAnsi="宋体" w:eastAsia="宋体" w:cs="宋体"/>
          <w:color w:val="auto"/>
          <w:spacing w:val="2"/>
          <w:sz w:val="20"/>
          <w:szCs w:val="20"/>
          <w:u w:val="single"/>
          <w:lang w:val="en-US" w:eastAsia="zh-CN"/>
        </w:rPr>
        <w:t xml:space="preserve"> </w:t>
      </w:r>
      <w:r>
        <w:rPr>
          <w:rFonts w:ascii="宋体" w:hAnsi="宋体" w:eastAsia="宋体" w:cs="宋体"/>
          <w:color w:val="auto"/>
          <w:spacing w:val="2"/>
          <w:sz w:val="20"/>
          <w:szCs w:val="20"/>
        </w:rPr>
        <w:t>月</w:t>
      </w:r>
      <w:r>
        <w:rPr>
          <w:rFonts w:hint="eastAsia" w:ascii="宋体" w:hAnsi="宋体" w:eastAsia="宋体" w:cs="宋体"/>
          <w:color w:val="auto"/>
          <w:spacing w:val="2"/>
          <w:sz w:val="20"/>
          <w:szCs w:val="20"/>
          <w:u w:val="single"/>
          <w:lang w:val="en-US" w:eastAsia="zh-CN"/>
        </w:rPr>
        <w:t xml:space="preserve"> </w:t>
      </w:r>
      <w:r>
        <w:rPr>
          <w:rFonts w:hint="eastAsia" w:ascii="宋体" w:hAnsi="宋体" w:cs="宋体"/>
          <w:color w:val="auto"/>
          <w:spacing w:val="2"/>
          <w:sz w:val="20"/>
          <w:szCs w:val="20"/>
          <w:u w:val="single"/>
          <w:lang w:val="en-US" w:eastAsia="zh-CN"/>
        </w:rPr>
        <w:t xml:space="preserve">   </w:t>
      </w:r>
      <w:r>
        <w:rPr>
          <w:rFonts w:hint="eastAsia" w:ascii="宋体" w:hAnsi="宋体" w:eastAsia="宋体" w:cs="宋体"/>
          <w:color w:val="auto"/>
          <w:spacing w:val="2"/>
          <w:sz w:val="20"/>
          <w:szCs w:val="20"/>
          <w:u w:val="single"/>
          <w:lang w:val="en-US" w:eastAsia="zh-CN"/>
        </w:rPr>
        <w:t xml:space="preserve"> </w:t>
      </w:r>
      <w:r>
        <w:rPr>
          <w:rFonts w:ascii="宋体" w:hAnsi="宋体" w:eastAsia="宋体" w:cs="宋体"/>
          <w:color w:val="auto"/>
          <w:spacing w:val="2"/>
          <w:sz w:val="20"/>
          <w:szCs w:val="20"/>
        </w:rPr>
        <w:t>日签订。</w:t>
      </w:r>
    </w:p>
    <w:p w14:paraId="32A35A56">
      <w:pPr>
        <w:spacing w:before="113" w:line="230" w:lineRule="auto"/>
        <w:ind w:left="420"/>
        <w:outlineLvl w:val="9"/>
        <w:rPr>
          <w:rFonts w:ascii="宋体" w:hAnsi="宋体" w:eastAsia="宋体" w:cs="宋体"/>
          <w:color w:val="auto"/>
          <w:sz w:val="20"/>
          <w:szCs w:val="20"/>
        </w:rPr>
      </w:pPr>
      <w:r>
        <w:rPr>
          <w:rFonts w:ascii="宋体" w:hAnsi="宋体" w:eastAsia="宋体" w:cs="宋体"/>
          <w:b/>
          <w:bCs/>
          <w:color w:val="auto"/>
          <w:spacing w:val="6"/>
          <w:sz w:val="20"/>
          <w:szCs w:val="20"/>
        </w:rPr>
        <w:t>十、签订地点</w:t>
      </w:r>
    </w:p>
    <w:p w14:paraId="7D3D4E80">
      <w:pPr>
        <w:spacing w:before="111" w:line="228" w:lineRule="auto"/>
        <w:ind w:left="420"/>
        <w:outlineLvl w:val="9"/>
        <w:rPr>
          <w:rFonts w:ascii="宋体" w:hAnsi="宋体" w:eastAsia="宋体" w:cs="宋体"/>
          <w:color w:val="auto"/>
          <w:sz w:val="20"/>
          <w:szCs w:val="20"/>
        </w:rPr>
      </w:pPr>
      <w:r>
        <w:rPr>
          <w:rFonts w:ascii="宋体" w:hAnsi="宋体" w:eastAsia="宋体" w:cs="宋体"/>
          <w:color w:val="auto"/>
          <w:spacing w:val="7"/>
          <w:sz w:val="20"/>
          <w:szCs w:val="20"/>
        </w:rPr>
        <w:t>本合同在</w:t>
      </w:r>
      <w:r>
        <w:rPr>
          <w:rFonts w:hint="eastAsia" w:ascii="宋体" w:hAnsi="宋体" w:cs="宋体"/>
          <w:color w:val="auto"/>
          <w:spacing w:val="7"/>
          <w:sz w:val="20"/>
          <w:szCs w:val="20"/>
          <w:u w:val="single"/>
          <w:lang w:val="en-US" w:eastAsia="zh-CN"/>
        </w:rPr>
        <w:t xml:space="preserve">  </w:t>
      </w:r>
      <w:r>
        <w:rPr>
          <w:rFonts w:ascii="宋体" w:hAnsi="宋体" w:eastAsia="宋体" w:cs="宋体"/>
          <w:color w:val="auto"/>
          <w:spacing w:val="7"/>
          <w:sz w:val="20"/>
          <w:szCs w:val="20"/>
          <w:u w:val="single" w:color="auto"/>
        </w:rPr>
        <w:t>广西梧州市岑溪市</w:t>
      </w:r>
      <w:r>
        <w:rPr>
          <w:rFonts w:hint="eastAsia" w:ascii="宋体" w:hAnsi="宋体" w:cs="宋体"/>
          <w:color w:val="auto"/>
          <w:spacing w:val="7"/>
          <w:sz w:val="20"/>
          <w:szCs w:val="20"/>
          <w:u w:val="single" w:color="auto"/>
          <w:lang w:val="en-US" w:eastAsia="zh-CN"/>
        </w:rPr>
        <w:t xml:space="preserve">  </w:t>
      </w:r>
      <w:r>
        <w:rPr>
          <w:rFonts w:ascii="宋体" w:hAnsi="宋体" w:eastAsia="宋体" w:cs="宋体"/>
          <w:color w:val="auto"/>
          <w:spacing w:val="7"/>
          <w:sz w:val="20"/>
          <w:szCs w:val="20"/>
        </w:rPr>
        <w:t>签订。</w:t>
      </w:r>
    </w:p>
    <w:p w14:paraId="2BF0749B">
      <w:pPr>
        <w:spacing w:before="113" w:line="229" w:lineRule="auto"/>
        <w:ind w:left="420"/>
        <w:outlineLvl w:val="9"/>
        <w:rPr>
          <w:rFonts w:ascii="宋体" w:hAnsi="宋体" w:eastAsia="宋体" w:cs="宋体"/>
          <w:color w:val="auto"/>
          <w:sz w:val="20"/>
          <w:szCs w:val="20"/>
        </w:rPr>
      </w:pPr>
      <w:r>
        <w:rPr>
          <w:rFonts w:ascii="宋体" w:hAnsi="宋体" w:eastAsia="宋体" w:cs="宋体"/>
          <w:b/>
          <w:bCs/>
          <w:color w:val="auto"/>
          <w:spacing w:val="7"/>
          <w:sz w:val="20"/>
          <w:szCs w:val="20"/>
        </w:rPr>
        <w:t>十一、补充协议</w:t>
      </w:r>
    </w:p>
    <w:p w14:paraId="311B83BB">
      <w:pPr>
        <w:spacing w:before="112" w:line="228" w:lineRule="auto"/>
        <w:ind w:left="420"/>
        <w:outlineLvl w:val="9"/>
        <w:rPr>
          <w:rFonts w:ascii="宋体" w:hAnsi="宋体" w:eastAsia="宋体" w:cs="宋体"/>
          <w:color w:val="auto"/>
          <w:sz w:val="20"/>
          <w:szCs w:val="20"/>
        </w:rPr>
      </w:pPr>
      <w:r>
        <w:rPr>
          <w:rFonts w:ascii="宋体" w:hAnsi="宋体" w:eastAsia="宋体" w:cs="宋体"/>
          <w:color w:val="auto"/>
          <w:spacing w:val="9"/>
          <w:sz w:val="20"/>
          <w:szCs w:val="20"/>
        </w:rPr>
        <w:t>合同未尽事宜，合同当事人另行签订补充协议，补充协议是合同的组成部分。</w:t>
      </w:r>
    </w:p>
    <w:p w14:paraId="4F40ADA0">
      <w:pPr>
        <w:spacing w:before="113" w:line="229" w:lineRule="auto"/>
        <w:ind w:left="420"/>
        <w:outlineLvl w:val="9"/>
        <w:rPr>
          <w:rFonts w:ascii="宋体" w:hAnsi="宋体" w:eastAsia="宋体" w:cs="宋体"/>
          <w:color w:val="auto"/>
          <w:sz w:val="20"/>
          <w:szCs w:val="20"/>
        </w:rPr>
      </w:pPr>
      <w:r>
        <w:rPr>
          <w:rFonts w:ascii="宋体" w:hAnsi="宋体" w:eastAsia="宋体" w:cs="宋体"/>
          <w:b/>
          <w:bCs/>
          <w:color w:val="auto"/>
          <w:spacing w:val="7"/>
          <w:sz w:val="20"/>
          <w:szCs w:val="20"/>
        </w:rPr>
        <w:t>十二、合同生效</w:t>
      </w:r>
    </w:p>
    <w:p w14:paraId="69F474DE">
      <w:pPr>
        <w:spacing w:before="118" w:line="228" w:lineRule="auto"/>
        <w:ind w:left="424"/>
        <w:outlineLvl w:val="9"/>
        <w:rPr>
          <w:rFonts w:ascii="宋体" w:hAnsi="宋体" w:eastAsia="宋体" w:cs="宋体"/>
          <w:color w:val="auto"/>
          <w:spacing w:val="8"/>
          <w:sz w:val="20"/>
          <w:szCs w:val="20"/>
        </w:rPr>
      </w:pPr>
      <w:r>
        <w:rPr>
          <w:rFonts w:ascii="宋体" w:hAnsi="宋体" w:eastAsia="宋体" w:cs="宋体"/>
          <w:color w:val="auto"/>
          <w:spacing w:val="8"/>
          <w:sz w:val="20"/>
          <w:szCs w:val="20"/>
        </w:rPr>
        <w:t>本合同自</w:t>
      </w:r>
      <w:r>
        <w:rPr>
          <w:rFonts w:ascii="宋体" w:hAnsi="宋体" w:eastAsia="宋体" w:cs="宋体"/>
          <w:color w:val="auto"/>
          <w:spacing w:val="8"/>
          <w:sz w:val="20"/>
          <w:szCs w:val="20"/>
          <w:u w:val="single" w:color="auto"/>
        </w:rPr>
        <w:t>双方法定代表人或其委托代理人签字或盖章并加盖公章</w:t>
      </w:r>
      <w:r>
        <w:rPr>
          <w:rFonts w:ascii="宋体" w:hAnsi="宋体" w:eastAsia="宋体" w:cs="宋体"/>
          <w:color w:val="auto"/>
          <w:spacing w:val="8"/>
          <w:sz w:val="20"/>
          <w:szCs w:val="20"/>
        </w:rPr>
        <w:t>生效。</w:t>
      </w:r>
    </w:p>
    <w:p w14:paraId="024B9B88">
      <w:pPr>
        <w:spacing w:before="118" w:line="228" w:lineRule="auto"/>
        <w:ind w:left="424"/>
        <w:outlineLvl w:val="9"/>
        <w:rPr>
          <w:rFonts w:ascii="宋体" w:hAnsi="宋体" w:eastAsia="宋体" w:cs="宋体"/>
          <w:color w:val="auto"/>
          <w:sz w:val="20"/>
          <w:szCs w:val="20"/>
        </w:rPr>
      </w:pPr>
      <w:r>
        <w:rPr>
          <w:rFonts w:ascii="宋体" w:hAnsi="宋体" w:eastAsia="宋体" w:cs="宋体"/>
          <w:b/>
          <w:bCs/>
          <w:color w:val="auto"/>
          <w:spacing w:val="7"/>
          <w:sz w:val="20"/>
          <w:szCs w:val="20"/>
        </w:rPr>
        <w:t>十三、特别约定</w:t>
      </w:r>
    </w:p>
    <w:p w14:paraId="1A80E641">
      <w:pPr>
        <w:keepNext w:val="0"/>
        <w:keepLines w:val="0"/>
        <w:pageBreakBefore w:val="0"/>
        <w:widowControl w:val="0"/>
        <w:kinsoku/>
        <w:wordWrap/>
        <w:overflowPunct/>
        <w:topLinePunct w:val="0"/>
        <w:autoSpaceDE w:val="0"/>
        <w:autoSpaceDN w:val="0"/>
        <w:bidi w:val="0"/>
        <w:adjustRightInd/>
        <w:snapToGrid/>
        <w:spacing w:before="112" w:line="360" w:lineRule="auto"/>
        <w:ind w:left="-21" w:leftChars="-10" w:firstLine="468" w:firstLineChars="211"/>
        <w:textAlignment w:val="auto"/>
        <w:outlineLvl w:val="9"/>
        <w:rPr>
          <w:rFonts w:ascii="宋体" w:hAnsi="宋体" w:eastAsia="宋体" w:cs="宋体"/>
          <w:color w:val="auto"/>
          <w:sz w:val="20"/>
          <w:szCs w:val="20"/>
        </w:rPr>
      </w:pPr>
      <w:r>
        <w:rPr>
          <w:rFonts w:ascii="宋体" w:hAnsi="宋体" w:eastAsia="宋体" w:cs="宋体"/>
          <w:color w:val="auto"/>
          <w:spacing w:val="11"/>
          <w:sz w:val="20"/>
          <w:szCs w:val="20"/>
        </w:rPr>
        <w:t>发包人和承包人双方约定，合同签章页所写的地址作为往来信函、送达仲裁或诉讼等文书的确认地址。文书邮寄至双方约定的上述送达地址，因载明的地址有误或未及时告知变更后的地址，导</w:t>
      </w:r>
      <w:r>
        <w:rPr>
          <w:rFonts w:ascii="宋体" w:hAnsi="宋体" w:eastAsia="宋体" w:cs="宋体"/>
          <w:color w:val="auto"/>
          <w:spacing w:val="6"/>
          <w:sz w:val="20"/>
          <w:szCs w:val="20"/>
        </w:rPr>
        <w:t>致相关通知或文书未能实际接收的、邮寄送达的，相关通知或文书自交付邮寄之日</w:t>
      </w:r>
      <w:r>
        <w:rPr>
          <w:rFonts w:ascii="Times New Roman" w:hAnsi="Times New Roman" w:eastAsia="Times New Roman" w:cs="Times New Roman"/>
          <w:color w:val="auto"/>
          <w:spacing w:val="6"/>
          <w:sz w:val="20"/>
          <w:szCs w:val="20"/>
        </w:rPr>
        <w:t>5</w:t>
      </w:r>
      <w:r>
        <w:rPr>
          <w:rFonts w:ascii="宋体" w:hAnsi="宋体" w:eastAsia="宋体" w:cs="宋体"/>
          <w:color w:val="auto"/>
          <w:spacing w:val="6"/>
          <w:sz w:val="20"/>
          <w:szCs w:val="20"/>
        </w:rPr>
        <w:t>日即视为送达，</w:t>
      </w:r>
      <w:r>
        <w:rPr>
          <w:rFonts w:ascii="宋体" w:hAnsi="宋体" w:eastAsia="宋体" w:cs="宋体"/>
          <w:color w:val="auto"/>
          <w:spacing w:val="8"/>
          <w:sz w:val="20"/>
          <w:szCs w:val="20"/>
        </w:rPr>
        <w:t>一方拒收该邮件的，直接视为已送达。</w:t>
      </w:r>
    </w:p>
    <w:p w14:paraId="5F34369C">
      <w:pPr>
        <w:spacing w:before="32" w:line="360" w:lineRule="auto"/>
        <w:ind w:left="424"/>
        <w:outlineLvl w:val="9"/>
        <w:rPr>
          <w:rFonts w:ascii="宋体" w:hAnsi="宋体" w:eastAsia="宋体" w:cs="宋体"/>
          <w:color w:val="auto"/>
          <w:sz w:val="20"/>
          <w:szCs w:val="20"/>
        </w:rPr>
      </w:pPr>
      <w:r>
        <w:rPr>
          <w:rFonts w:ascii="宋体" w:hAnsi="宋体" w:eastAsia="宋体" w:cs="宋体"/>
          <w:b/>
          <w:bCs/>
          <w:color w:val="auto"/>
          <w:spacing w:val="6"/>
          <w:sz w:val="20"/>
          <w:szCs w:val="20"/>
        </w:rPr>
        <w:t>十四、合同份数</w:t>
      </w:r>
    </w:p>
    <w:p w14:paraId="63F1A1A6">
      <w:pPr>
        <w:spacing w:before="112" w:line="228" w:lineRule="auto"/>
        <w:ind w:left="422"/>
        <w:outlineLvl w:val="9"/>
        <w:rPr>
          <w:rFonts w:ascii="宋体" w:hAnsi="宋体" w:eastAsia="宋体" w:cs="宋体"/>
          <w:color w:val="auto"/>
          <w:sz w:val="20"/>
          <w:szCs w:val="20"/>
        </w:rPr>
      </w:pPr>
      <w:r>
        <w:rPr>
          <w:rFonts w:ascii="宋体" w:hAnsi="宋体" w:eastAsia="宋体" w:cs="宋体"/>
          <w:color w:val="auto"/>
          <w:spacing w:val="9"/>
          <w:sz w:val="20"/>
          <w:szCs w:val="20"/>
        </w:rPr>
        <w:t>本合同一式</w:t>
      </w:r>
      <w:r>
        <w:rPr>
          <w:rFonts w:ascii="宋体" w:hAnsi="宋体" w:eastAsia="宋体" w:cs="宋体"/>
          <w:color w:val="auto"/>
          <w:spacing w:val="9"/>
          <w:sz w:val="20"/>
          <w:szCs w:val="20"/>
          <w:u w:val="single" w:color="auto"/>
        </w:rPr>
        <w:t>壹拾贰</w:t>
      </w:r>
      <w:r>
        <w:rPr>
          <w:rFonts w:ascii="宋体" w:hAnsi="宋体" w:eastAsia="宋体" w:cs="宋体"/>
          <w:color w:val="auto"/>
          <w:spacing w:val="9"/>
          <w:sz w:val="20"/>
          <w:szCs w:val="20"/>
        </w:rPr>
        <w:t>份，均具有同等法律效力，发包人执</w:t>
      </w:r>
      <w:r>
        <w:rPr>
          <w:rFonts w:ascii="宋体" w:hAnsi="宋体" w:eastAsia="宋体" w:cs="宋体"/>
          <w:color w:val="auto"/>
          <w:spacing w:val="9"/>
          <w:sz w:val="20"/>
          <w:szCs w:val="20"/>
          <w:u w:val="single" w:color="auto"/>
        </w:rPr>
        <w:t>玖</w:t>
      </w:r>
      <w:r>
        <w:rPr>
          <w:rFonts w:ascii="宋体" w:hAnsi="宋体" w:eastAsia="宋体" w:cs="宋体"/>
          <w:color w:val="auto"/>
          <w:spacing w:val="9"/>
          <w:sz w:val="20"/>
          <w:szCs w:val="20"/>
        </w:rPr>
        <w:t>份，承包人执</w:t>
      </w:r>
      <w:r>
        <w:rPr>
          <w:rFonts w:ascii="宋体" w:hAnsi="宋体" w:eastAsia="宋体" w:cs="宋体"/>
          <w:color w:val="auto"/>
          <w:spacing w:val="9"/>
          <w:sz w:val="20"/>
          <w:szCs w:val="20"/>
          <w:u w:val="single" w:color="auto"/>
        </w:rPr>
        <w:t>叁</w:t>
      </w:r>
      <w:r>
        <w:rPr>
          <w:rFonts w:ascii="宋体" w:hAnsi="宋体" w:eastAsia="宋体" w:cs="宋体"/>
          <w:color w:val="auto"/>
          <w:spacing w:val="9"/>
          <w:sz w:val="20"/>
          <w:szCs w:val="20"/>
        </w:rPr>
        <w:t>份。</w:t>
      </w:r>
    </w:p>
    <w:p w14:paraId="73EDB6DE">
      <w:pPr>
        <w:spacing w:line="405" w:lineRule="auto"/>
        <w:outlineLvl w:val="9"/>
        <w:rPr>
          <w:rFonts w:ascii="Arial"/>
          <w:color w:val="auto"/>
          <w:sz w:val="21"/>
        </w:rPr>
      </w:pPr>
    </w:p>
    <w:p w14:paraId="05DB0A44">
      <w:pPr>
        <w:spacing w:before="65" w:line="228" w:lineRule="auto"/>
        <w:ind w:left="5"/>
        <w:outlineLvl w:val="9"/>
        <w:rPr>
          <w:rFonts w:ascii="宋体" w:hAnsi="宋体" w:eastAsia="宋体" w:cs="宋体"/>
          <w:color w:val="auto"/>
          <w:sz w:val="20"/>
          <w:szCs w:val="20"/>
        </w:rPr>
      </w:pPr>
      <w:r>
        <w:rPr>
          <w:rFonts w:ascii="宋体" w:hAnsi="宋体" w:eastAsia="宋体" w:cs="宋体"/>
          <w:color w:val="auto"/>
          <w:spacing w:val="7"/>
          <w:sz w:val="20"/>
          <w:szCs w:val="20"/>
        </w:rPr>
        <w:t>发包人</w:t>
      </w:r>
      <w:r>
        <w:rPr>
          <w:rFonts w:ascii="宋体" w:hAnsi="宋体" w:eastAsia="宋体" w:cs="宋体"/>
          <w:color w:val="auto"/>
          <w:spacing w:val="-11"/>
          <w:sz w:val="20"/>
          <w:szCs w:val="20"/>
        </w:rPr>
        <w:t>：</w:t>
      </w:r>
      <w:r>
        <w:rPr>
          <w:rFonts w:ascii="宋体" w:hAnsi="宋体" w:eastAsia="宋体" w:cs="宋体"/>
          <w:color w:val="auto"/>
          <w:spacing w:val="14"/>
          <w:sz w:val="20"/>
          <w:szCs w:val="20"/>
        </w:rPr>
        <w:t xml:space="preserve">  </w:t>
      </w:r>
      <w:r>
        <w:rPr>
          <w:rFonts w:ascii="宋体" w:hAnsi="宋体" w:eastAsia="宋体" w:cs="宋体"/>
          <w:color w:val="auto"/>
          <w:spacing w:val="-11"/>
          <w:sz w:val="20"/>
          <w:szCs w:val="20"/>
        </w:rPr>
        <w:t>（</w:t>
      </w:r>
      <w:r>
        <w:rPr>
          <w:rFonts w:ascii="宋体" w:hAnsi="宋体" w:eastAsia="宋体" w:cs="宋体"/>
          <w:color w:val="auto"/>
          <w:spacing w:val="7"/>
          <w:sz w:val="20"/>
          <w:szCs w:val="20"/>
        </w:rPr>
        <w:t>公章）                              承包人</w:t>
      </w:r>
      <w:r>
        <w:rPr>
          <w:rFonts w:ascii="宋体" w:hAnsi="宋体" w:eastAsia="宋体" w:cs="宋体"/>
          <w:color w:val="auto"/>
          <w:spacing w:val="-11"/>
          <w:sz w:val="20"/>
          <w:szCs w:val="20"/>
        </w:rPr>
        <w:t>：</w:t>
      </w:r>
      <w:r>
        <w:rPr>
          <w:rFonts w:ascii="宋体" w:hAnsi="宋体" w:eastAsia="宋体" w:cs="宋体"/>
          <w:color w:val="auto"/>
          <w:spacing w:val="13"/>
          <w:sz w:val="20"/>
          <w:szCs w:val="20"/>
        </w:rPr>
        <w:t xml:space="preserve">  </w:t>
      </w:r>
      <w:r>
        <w:rPr>
          <w:rFonts w:ascii="宋体" w:hAnsi="宋体" w:eastAsia="宋体" w:cs="宋体"/>
          <w:color w:val="auto"/>
          <w:spacing w:val="-11"/>
          <w:sz w:val="20"/>
          <w:szCs w:val="20"/>
        </w:rPr>
        <w:t>（</w:t>
      </w:r>
      <w:r>
        <w:rPr>
          <w:rFonts w:ascii="宋体" w:hAnsi="宋体" w:eastAsia="宋体" w:cs="宋体"/>
          <w:color w:val="auto"/>
          <w:spacing w:val="7"/>
          <w:sz w:val="20"/>
          <w:szCs w:val="20"/>
        </w:rPr>
        <w:t>公章）</w:t>
      </w:r>
    </w:p>
    <w:p w14:paraId="1160446C">
      <w:pPr>
        <w:spacing w:line="406" w:lineRule="auto"/>
        <w:outlineLvl w:val="9"/>
        <w:rPr>
          <w:rFonts w:ascii="Arial"/>
          <w:color w:val="auto"/>
          <w:sz w:val="21"/>
        </w:rPr>
      </w:pPr>
    </w:p>
    <w:p w14:paraId="20418BCE">
      <w:pPr>
        <w:spacing w:line="406" w:lineRule="auto"/>
        <w:outlineLvl w:val="9"/>
        <w:rPr>
          <w:rFonts w:ascii="Arial"/>
          <w:color w:val="auto"/>
          <w:sz w:val="21"/>
        </w:rPr>
      </w:pPr>
    </w:p>
    <w:p w14:paraId="4F9F4D35">
      <w:pPr>
        <w:spacing w:line="406" w:lineRule="auto"/>
        <w:outlineLvl w:val="9"/>
        <w:rPr>
          <w:rFonts w:ascii="Arial"/>
          <w:color w:val="auto"/>
          <w:sz w:val="21"/>
        </w:rPr>
      </w:pPr>
    </w:p>
    <w:p w14:paraId="60A623A9">
      <w:pPr>
        <w:spacing w:before="66" w:line="228" w:lineRule="auto"/>
        <w:ind w:left="2"/>
        <w:outlineLvl w:val="9"/>
        <w:rPr>
          <w:rFonts w:ascii="宋体" w:hAnsi="宋体" w:eastAsia="宋体" w:cs="宋体"/>
          <w:color w:val="auto"/>
          <w:sz w:val="20"/>
          <w:szCs w:val="20"/>
        </w:rPr>
      </w:pPr>
      <w:r>
        <w:rPr>
          <w:rFonts w:ascii="宋体" w:hAnsi="宋体" w:eastAsia="宋体" w:cs="宋体"/>
          <w:color w:val="auto"/>
          <w:spacing w:val="7"/>
          <w:sz w:val="20"/>
          <w:szCs w:val="20"/>
        </w:rPr>
        <w:t>法定代表人或其委托代理人：                    法定代表人或其委托代理人：</w:t>
      </w:r>
    </w:p>
    <w:p w14:paraId="3E62D0FF">
      <w:pPr>
        <w:spacing w:before="113" w:line="228" w:lineRule="auto"/>
        <w:ind w:left="11"/>
        <w:outlineLvl w:val="9"/>
        <w:rPr>
          <w:rFonts w:ascii="宋体" w:hAnsi="宋体" w:eastAsia="宋体" w:cs="宋体"/>
          <w:color w:val="auto"/>
          <w:sz w:val="20"/>
          <w:szCs w:val="20"/>
        </w:rPr>
      </w:pPr>
      <w:r>
        <w:rPr>
          <w:rFonts w:ascii="宋体" w:hAnsi="宋体" w:eastAsia="宋体" w:cs="宋体"/>
          <w:color w:val="auto"/>
          <w:spacing w:val="10"/>
          <w:sz w:val="20"/>
          <w:szCs w:val="20"/>
        </w:rPr>
        <w:t>（签字</w:t>
      </w:r>
      <w:r>
        <w:rPr>
          <w:rFonts w:ascii="宋体" w:hAnsi="宋体" w:eastAsia="宋体" w:cs="宋体"/>
          <w:color w:val="auto"/>
          <w:spacing w:val="-14"/>
          <w:sz w:val="20"/>
          <w:szCs w:val="20"/>
        </w:rPr>
        <w:t>）</w:t>
      </w:r>
      <w:r>
        <w:rPr>
          <w:rFonts w:ascii="宋体" w:hAnsi="宋体" w:eastAsia="宋体" w:cs="宋体"/>
          <w:color w:val="auto"/>
          <w:sz w:val="20"/>
          <w:szCs w:val="20"/>
        </w:rPr>
        <w:t xml:space="preserve">                                       </w:t>
      </w:r>
      <w:r>
        <w:rPr>
          <w:rFonts w:ascii="宋体" w:hAnsi="宋体" w:eastAsia="宋体" w:cs="宋体"/>
          <w:color w:val="auto"/>
          <w:spacing w:val="-14"/>
          <w:sz w:val="20"/>
          <w:szCs w:val="20"/>
        </w:rPr>
        <w:t>（</w:t>
      </w:r>
      <w:r>
        <w:rPr>
          <w:rFonts w:ascii="宋体" w:hAnsi="宋体" w:eastAsia="宋体" w:cs="宋体"/>
          <w:color w:val="auto"/>
          <w:spacing w:val="10"/>
          <w:sz w:val="20"/>
          <w:szCs w:val="20"/>
        </w:rPr>
        <w:t>签字）</w:t>
      </w:r>
    </w:p>
    <w:p w14:paraId="2F6941F4">
      <w:pPr>
        <w:spacing w:line="404" w:lineRule="auto"/>
        <w:outlineLvl w:val="9"/>
        <w:rPr>
          <w:rFonts w:ascii="Arial"/>
          <w:color w:val="auto"/>
          <w:sz w:val="21"/>
        </w:rPr>
      </w:pPr>
    </w:p>
    <w:p w14:paraId="4AF145A2">
      <w:pPr>
        <w:spacing w:before="65" w:line="228" w:lineRule="auto"/>
        <w:ind w:left="6"/>
        <w:outlineLvl w:val="9"/>
        <w:rPr>
          <w:rFonts w:ascii="宋体" w:hAnsi="宋体" w:eastAsia="宋体" w:cs="宋体"/>
          <w:color w:val="auto"/>
          <w:sz w:val="20"/>
          <w:szCs w:val="20"/>
        </w:rPr>
      </w:pPr>
      <w:r>
        <w:rPr>
          <w:rFonts w:ascii="宋体" w:hAnsi="宋体" w:eastAsia="宋体" w:cs="宋体"/>
          <w:color w:val="auto"/>
          <w:spacing w:val="5"/>
          <w:sz w:val="20"/>
          <w:szCs w:val="20"/>
        </w:rPr>
        <w:t>统一社会信用代码：</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 xml:space="preserve">               </w:t>
      </w:r>
      <w:r>
        <w:rPr>
          <w:rFonts w:ascii="宋体" w:hAnsi="宋体" w:eastAsia="宋体" w:cs="宋体"/>
          <w:color w:val="auto"/>
          <w:spacing w:val="4"/>
          <w:sz w:val="20"/>
          <w:szCs w:val="20"/>
        </w:rPr>
        <w:t xml:space="preserve">   统一社会信用代码：</w:t>
      </w:r>
      <w:r>
        <w:rPr>
          <w:rFonts w:ascii="宋体" w:hAnsi="宋体" w:eastAsia="宋体" w:cs="宋体"/>
          <w:color w:val="auto"/>
          <w:spacing w:val="4"/>
          <w:sz w:val="20"/>
          <w:szCs w:val="20"/>
          <w:u w:val="single" w:color="auto"/>
        </w:rPr>
        <w:t xml:space="preserve">                   </w:t>
      </w:r>
    </w:p>
    <w:p w14:paraId="50A5529F">
      <w:pPr>
        <w:spacing w:before="114" w:line="238" w:lineRule="auto"/>
        <w:ind w:left="1"/>
        <w:outlineLvl w:val="9"/>
        <w:rPr>
          <w:rFonts w:ascii="宋体" w:hAnsi="宋体" w:eastAsia="宋体" w:cs="宋体"/>
          <w:color w:val="auto"/>
          <w:sz w:val="20"/>
          <w:szCs w:val="20"/>
        </w:rPr>
      </w:pPr>
      <w:r>
        <w:rPr>
          <w:rFonts w:ascii="宋体" w:hAnsi="宋体" w:eastAsia="宋体" w:cs="宋体"/>
          <w:color w:val="auto"/>
          <w:spacing w:val="-5"/>
          <w:sz w:val="20"/>
          <w:szCs w:val="20"/>
        </w:rPr>
        <w:t>地</w:t>
      </w:r>
      <w:r>
        <w:rPr>
          <w:rFonts w:ascii="宋体" w:hAnsi="宋体" w:eastAsia="宋体" w:cs="宋体"/>
          <w:color w:val="auto"/>
          <w:spacing w:val="9"/>
          <w:sz w:val="20"/>
          <w:szCs w:val="20"/>
        </w:rPr>
        <w:t xml:space="preserve">  </w:t>
      </w:r>
      <w:r>
        <w:rPr>
          <w:rFonts w:ascii="宋体" w:hAnsi="宋体" w:eastAsia="宋体" w:cs="宋体"/>
          <w:color w:val="auto"/>
          <w:spacing w:val="-5"/>
          <w:sz w:val="20"/>
          <w:szCs w:val="20"/>
        </w:rPr>
        <w:t>址</w:t>
      </w:r>
      <w:r>
        <w:rPr>
          <w:rFonts w:ascii="宋体" w:hAnsi="宋体" w:eastAsia="宋体" w:cs="宋体"/>
          <w:color w:val="auto"/>
          <w:spacing w:val="-73"/>
          <w:sz w:val="20"/>
          <w:szCs w:val="20"/>
        </w:rPr>
        <w:t xml:space="preserve"> </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5"/>
          <w:sz w:val="20"/>
          <w:szCs w:val="20"/>
        </w:rPr>
        <w:t xml:space="preserve">                  </w:t>
      </w:r>
      <w:r>
        <w:rPr>
          <w:rFonts w:ascii="宋体" w:hAnsi="宋体" w:eastAsia="宋体" w:cs="宋体"/>
          <w:color w:val="auto"/>
          <w:spacing w:val="-5"/>
          <w:sz w:val="20"/>
          <w:szCs w:val="20"/>
        </w:rPr>
        <w:t>地</w:t>
      </w:r>
      <w:r>
        <w:rPr>
          <w:rFonts w:ascii="宋体" w:hAnsi="宋体" w:eastAsia="宋体" w:cs="宋体"/>
          <w:color w:val="auto"/>
          <w:spacing w:val="16"/>
          <w:sz w:val="20"/>
          <w:szCs w:val="20"/>
        </w:rPr>
        <w:t xml:space="preserve">  </w:t>
      </w:r>
      <w:r>
        <w:rPr>
          <w:rFonts w:ascii="宋体" w:hAnsi="宋体" w:eastAsia="宋体" w:cs="宋体"/>
          <w:color w:val="auto"/>
          <w:spacing w:val="-5"/>
          <w:sz w:val="20"/>
          <w:szCs w:val="20"/>
        </w:rPr>
        <w:t>址</w:t>
      </w:r>
      <w:r>
        <w:rPr>
          <w:rFonts w:ascii="宋体" w:hAnsi="宋体" w:eastAsia="宋体" w:cs="宋体"/>
          <w:color w:val="auto"/>
          <w:spacing w:val="-73"/>
          <w:sz w:val="20"/>
          <w:szCs w:val="20"/>
        </w:rPr>
        <w:t xml:space="preserve"> </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p>
    <w:p w14:paraId="60951827">
      <w:pPr>
        <w:spacing w:before="102" w:line="228" w:lineRule="auto"/>
        <w:ind w:left="17"/>
        <w:outlineLvl w:val="9"/>
        <w:rPr>
          <w:rFonts w:ascii="宋体" w:hAnsi="宋体" w:eastAsia="宋体" w:cs="宋体"/>
          <w:color w:val="auto"/>
          <w:sz w:val="20"/>
          <w:szCs w:val="20"/>
        </w:rPr>
      </w:pPr>
      <w:r>
        <w:rPr>
          <w:rFonts w:ascii="宋体" w:hAnsi="宋体" w:eastAsia="宋体" w:cs="宋体"/>
          <w:color w:val="auto"/>
          <w:spacing w:val="5"/>
          <w:sz w:val="20"/>
          <w:szCs w:val="20"/>
        </w:rPr>
        <w:t>邮政编码：</w:t>
      </w:r>
      <w:r>
        <w:rPr>
          <w:rFonts w:ascii="宋体" w:hAnsi="宋体" w:eastAsia="宋体" w:cs="宋体"/>
          <w:color w:val="auto"/>
          <w:spacing w:val="5"/>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5"/>
          <w:sz w:val="20"/>
          <w:szCs w:val="20"/>
        </w:rPr>
        <w:t>邮政编码：</w:t>
      </w:r>
      <w:r>
        <w:rPr>
          <w:rFonts w:ascii="宋体" w:hAnsi="宋体" w:eastAsia="宋体" w:cs="宋体"/>
          <w:color w:val="auto"/>
          <w:sz w:val="20"/>
          <w:szCs w:val="20"/>
          <w:u w:val="single" w:color="auto"/>
        </w:rPr>
        <w:t xml:space="preserve">                            </w:t>
      </w:r>
    </w:p>
    <w:p w14:paraId="57485B17">
      <w:pPr>
        <w:spacing w:before="113" w:line="228" w:lineRule="auto"/>
        <w:ind w:left="2"/>
        <w:outlineLvl w:val="9"/>
        <w:rPr>
          <w:rFonts w:ascii="宋体" w:hAnsi="宋体" w:eastAsia="宋体" w:cs="宋体"/>
          <w:color w:val="auto"/>
          <w:sz w:val="20"/>
          <w:szCs w:val="20"/>
        </w:rPr>
      </w:pPr>
      <w:r>
        <w:rPr>
          <w:rFonts w:ascii="宋体" w:hAnsi="宋体" w:eastAsia="宋体" w:cs="宋体"/>
          <w:color w:val="auto"/>
          <w:spacing w:val="4"/>
          <w:sz w:val="20"/>
          <w:szCs w:val="20"/>
        </w:rPr>
        <w:t>法定代表人：</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法定代表人：</w:t>
      </w:r>
      <w:r>
        <w:rPr>
          <w:rFonts w:ascii="宋体" w:hAnsi="宋体" w:eastAsia="宋体" w:cs="宋体"/>
          <w:color w:val="auto"/>
          <w:spacing w:val="4"/>
          <w:sz w:val="20"/>
          <w:szCs w:val="20"/>
          <w:u w:val="single" w:color="auto"/>
        </w:rPr>
        <w:t xml:space="preserve">                         </w:t>
      </w:r>
    </w:p>
    <w:p w14:paraId="5314A85B">
      <w:pPr>
        <w:spacing w:before="113" w:line="228" w:lineRule="auto"/>
        <w:outlineLvl w:val="9"/>
        <w:rPr>
          <w:rFonts w:ascii="宋体" w:hAnsi="宋体" w:eastAsia="宋体" w:cs="宋体"/>
          <w:color w:val="auto"/>
          <w:sz w:val="20"/>
          <w:szCs w:val="20"/>
        </w:rPr>
      </w:pPr>
      <w:r>
        <w:rPr>
          <w:rFonts w:ascii="宋体" w:hAnsi="宋体" w:eastAsia="宋体" w:cs="宋体"/>
          <w:color w:val="auto"/>
          <w:spacing w:val="5"/>
          <w:sz w:val="20"/>
          <w:szCs w:val="20"/>
        </w:rPr>
        <w:t>委托代理人：</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委托代理人：</w:t>
      </w:r>
      <w:r>
        <w:rPr>
          <w:rFonts w:ascii="宋体" w:hAnsi="宋体" w:eastAsia="宋体" w:cs="宋体"/>
          <w:color w:val="auto"/>
          <w:spacing w:val="4"/>
          <w:sz w:val="20"/>
          <w:szCs w:val="20"/>
          <w:u w:val="single" w:color="auto"/>
        </w:rPr>
        <w:t xml:space="preserve">                          </w:t>
      </w:r>
    </w:p>
    <w:p w14:paraId="585509C6">
      <w:pPr>
        <w:spacing w:before="112" w:line="231" w:lineRule="auto"/>
        <w:ind w:left="26"/>
        <w:outlineLvl w:val="9"/>
        <w:rPr>
          <w:rFonts w:ascii="宋体" w:hAnsi="宋体" w:eastAsia="宋体" w:cs="宋体"/>
          <w:color w:val="auto"/>
          <w:sz w:val="20"/>
          <w:szCs w:val="20"/>
        </w:rPr>
      </w:pPr>
      <w:r>
        <w:rPr>
          <w:rFonts w:ascii="宋体" w:hAnsi="宋体" w:eastAsia="宋体" w:cs="宋体"/>
          <w:color w:val="auto"/>
          <w:spacing w:val="-13"/>
          <w:sz w:val="20"/>
          <w:szCs w:val="20"/>
        </w:rPr>
        <w:t>电</w:t>
      </w:r>
      <w:r>
        <w:rPr>
          <w:rFonts w:ascii="宋体" w:hAnsi="宋体" w:eastAsia="宋体" w:cs="宋体"/>
          <w:color w:val="auto"/>
          <w:spacing w:val="9"/>
          <w:sz w:val="20"/>
          <w:szCs w:val="20"/>
        </w:rPr>
        <w:t xml:space="preserve">  </w:t>
      </w:r>
      <w:r>
        <w:rPr>
          <w:rFonts w:ascii="宋体" w:hAnsi="宋体" w:eastAsia="宋体" w:cs="宋体"/>
          <w:color w:val="auto"/>
          <w:spacing w:val="-13"/>
          <w:sz w:val="20"/>
          <w:szCs w:val="20"/>
        </w:rPr>
        <w:t>话</w:t>
      </w:r>
      <w:r>
        <w:rPr>
          <w:rFonts w:ascii="宋体" w:hAnsi="宋体" w:eastAsia="宋体" w:cs="宋体"/>
          <w:color w:val="auto"/>
          <w:spacing w:val="-73"/>
          <w:sz w:val="20"/>
          <w:szCs w:val="20"/>
        </w:rPr>
        <w:t xml:space="preserve"> </w:t>
      </w:r>
      <w:r>
        <w:rPr>
          <w:rFonts w:ascii="宋体" w:hAnsi="宋体" w:eastAsia="宋体" w:cs="宋体"/>
          <w:color w:val="auto"/>
          <w:spacing w:val="-13"/>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1"/>
          <w:sz w:val="20"/>
          <w:szCs w:val="20"/>
        </w:rPr>
        <w:t xml:space="preserve">                   </w:t>
      </w:r>
      <w:r>
        <w:rPr>
          <w:rFonts w:ascii="宋体" w:hAnsi="宋体" w:eastAsia="宋体" w:cs="宋体"/>
          <w:color w:val="auto"/>
          <w:spacing w:val="-13"/>
          <w:sz w:val="20"/>
          <w:szCs w:val="20"/>
        </w:rPr>
        <w:t>电</w:t>
      </w:r>
      <w:r>
        <w:rPr>
          <w:rFonts w:ascii="宋体" w:hAnsi="宋体" w:eastAsia="宋体" w:cs="宋体"/>
          <w:color w:val="auto"/>
          <w:spacing w:val="14"/>
          <w:sz w:val="20"/>
          <w:szCs w:val="20"/>
        </w:rPr>
        <w:t xml:space="preserve">  </w:t>
      </w:r>
      <w:r>
        <w:rPr>
          <w:rFonts w:ascii="宋体" w:hAnsi="宋体" w:eastAsia="宋体" w:cs="宋体"/>
          <w:color w:val="auto"/>
          <w:spacing w:val="-13"/>
          <w:sz w:val="20"/>
          <w:szCs w:val="20"/>
        </w:rPr>
        <w:t>话</w:t>
      </w:r>
      <w:r>
        <w:rPr>
          <w:rFonts w:ascii="宋体" w:hAnsi="宋体" w:eastAsia="宋体" w:cs="宋体"/>
          <w:color w:val="auto"/>
          <w:spacing w:val="-75"/>
          <w:sz w:val="20"/>
          <w:szCs w:val="20"/>
        </w:rPr>
        <w:t xml:space="preserve"> </w:t>
      </w:r>
      <w:r>
        <w:rPr>
          <w:rFonts w:ascii="宋体" w:hAnsi="宋体" w:eastAsia="宋体" w:cs="宋体"/>
          <w:color w:val="auto"/>
          <w:spacing w:val="-13"/>
          <w:sz w:val="20"/>
          <w:szCs w:val="20"/>
        </w:rPr>
        <w:t>：</w:t>
      </w:r>
      <w:r>
        <w:rPr>
          <w:rFonts w:ascii="宋体" w:hAnsi="宋体" w:eastAsia="宋体" w:cs="宋体"/>
          <w:color w:val="auto"/>
          <w:sz w:val="20"/>
          <w:szCs w:val="20"/>
          <w:u w:val="single" w:color="auto"/>
        </w:rPr>
        <w:t xml:space="preserve">                              </w:t>
      </w:r>
    </w:p>
    <w:p w14:paraId="17CF3B74">
      <w:pPr>
        <w:spacing w:before="110" w:line="228" w:lineRule="auto"/>
        <w:outlineLvl w:val="9"/>
        <w:rPr>
          <w:rFonts w:ascii="宋体" w:hAnsi="宋体" w:eastAsia="宋体" w:cs="宋体"/>
          <w:color w:val="auto"/>
          <w:sz w:val="20"/>
          <w:szCs w:val="20"/>
        </w:rPr>
      </w:pPr>
      <w:r>
        <w:rPr>
          <w:rFonts w:ascii="宋体" w:hAnsi="宋体" w:eastAsia="宋体" w:cs="宋体"/>
          <w:color w:val="auto"/>
          <w:spacing w:val="-5"/>
          <w:sz w:val="20"/>
          <w:szCs w:val="20"/>
        </w:rPr>
        <w:t>传</w:t>
      </w:r>
      <w:r>
        <w:rPr>
          <w:rFonts w:ascii="宋体" w:hAnsi="宋体" w:eastAsia="宋体" w:cs="宋体"/>
          <w:color w:val="auto"/>
          <w:spacing w:val="10"/>
          <w:sz w:val="20"/>
          <w:szCs w:val="20"/>
        </w:rPr>
        <w:t xml:space="preserve">  </w:t>
      </w:r>
      <w:r>
        <w:rPr>
          <w:rFonts w:ascii="宋体" w:hAnsi="宋体" w:eastAsia="宋体" w:cs="宋体"/>
          <w:color w:val="auto"/>
          <w:spacing w:val="-5"/>
          <w:sz w:val="20"/>
          <w:szCs w:val="20"/>
        </w:rPr>
        <w:t>真</w:t>
      </w:r>
      <w:r>
        <w:rPr>
          <w:rFonts w:ascii="宋体" w:hAnsi="宋体" w:eastAsia="宋体" w:cs="宋体"/>
          <w:color w:val="auto"/>
          <w:spacing w:val="-73"/>
          <w:sz w:val="20"/>
          <w:szCs w:val="20"/>
        </w:rPr>
        <w:t xml:space="preserve"> </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5"/>
          <w:sz w:val="20"/>
          <w:szCs w:val="20"/>
        </w:rPr>
        <w:t xml:space="preserve">                  </w:t>
      </w:r>
      <w:r>
        <w:rPr>
          <w:rFonts w:ascii="宋体" w:hAnsi="宋体" w:eastAsia="宋体" w:cs="宋体"/>
          <w:color w:val="auto"/>
          <w:spacing w:val="-5"/>
          <w:sz w:val="20"/>
          <w:szCs w:val="20"/>
        </w:rPr>
        <w:t>传</w:t>
      </w:r>
      <w:r>
        <w:rPr>
          <w:rFonts w:ascii="宋体" w:hAnsi="宋体" w:eastAsia="宋体" w:cs="宋体"/>
          <w:color w:val="auto"/>
          <w:spacing w:val="16"/>
          <w:sz w:val="20"/>
          <w:szCs w:val="20"/>
        </w:rPr>
        <w:t xml:space="preserve">  </w:t>
      </w:r>
      <w:r>
        <w:rPr>
          <w:rFonts w:ascii="宋体" w:hAnsi="宋体" w:eastAsia="宋体" w:cs="宋体"/>
          <w:color w:val="auto"/>
          <w:spacing w:val="-5"/>
          <w:sz w:val="20"/>
          <w:szCs w:val="20"/>
        </w:rPr>
        <w:t>真</w:t>
      </w:r>
      <w:r>
        <w:rPr>
          <w:rFonts w:ascii="宋体" w:hAnsi="宋体" w:eastAsia="宋体" w:cs="宋体"/>
          <w:color w:val="auto"/>
          <w:spacing w:val="-73"/>
          <w:sz w:val="20"/>
          <w:szCs w:val="20"/>
        </w:rPr>
        <w:t xml:space="preserve"> </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p>
    <w:p w14:paraId="0656B83A">
      <w:pPr>
        <w:spacing w:before="114" w:line="228" w:lineRule="auto"/>
        <w:ind w:left="26"/>
        <w:outlineLvl w:val="9"/>
        <w:rPr>
          <w:rFonts w:ascii="宋体" w:hAnsi="宋体" w:eastAsia="宋体" w:cs="宋体"/>
          <w:color w:val="auto"/>
          <w:sz w:val="20"/>
          <w:szCs w:val="20"/>
        </w:rPr>
      </w:pPr>
      <w:r>
        <w:rPr>
          <w:rFonts w:ascii="宋体" w:hAnsi="宋体" w:eastAsia="宋体" w:cs="宋体"/>
          <w:color w:val="auto"/>
          <w:spacing w:val="2"/>
          <w:sz w:val="20"/>
          <w:szCs w:val="20"/>
        </w:rPr>
        <w:t>电子信箱：</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1"/>
          <w:sz w:val="20"/>
          <w:szCs w:val="20"/>
        </w:rPr>
        <w:t xml:space="preserve">                   </w:t>
      </w:r>
      <w:r>
        <w:rPr>
          <w:rFonts w:ascii="宋体" w:hAnsi="宋体" w:eastAsia="宋体" w:cs="宋体"/>
          <w:color w:val="auto"/>
          <w:spacing w:val="2"/>
          <w:sz w:val="20"/>
          <w:szCs w:val="20"/>
        </w:rPr>
        <w:t>电子信箱：</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p>
    <w:p w14:paraId="259217AB">
      <w:pPr>
        <w:spacing w:before="113" w:line="229" w:lineRule="auto"/>
        <w:ind w:left="2"/>
        <w:outlineLvl w:val="9"/>
        <w:rPr>
          <w:rFonts w:ascii="宋体" w:hAnsi="宋体" w:eastAsia="宋体" w:cs="宋体"/>
          <w:color w:val="auto"/>
          <w:sz w:val="20"/>
          <w:szCs w:val="20"/>
        </w:rPr>
      </w:pPr>
      <w:r>
        <w:rPr>
          <w:rFonts w:ascii="宋体" w:hAnsi="宋体" w:eastAsia="宋体" w:cs="宋体"/>
          <w:color w:val="auto"/>
          <w:spacing w:val="4"/>
          <w:sz w:val="20"/>
          <w:szCs w:val="20"/>
        </w:rPr>
        <w:t>开户银行：</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开户银行：</w:t>
      </w:r>
      <w:r>
        <w:rPr>
          <w:rFonts w:ascii="宋体" w:hAnsi="宋体" w:eastAsia="宋体" w:cs="宋体"/>
          <w:color w:val="auto"/>
          <w:spacing w:val="4"/>
          <w:sz w:val="20"/>
          <w:szCs w:val="20"/>
          <w:u w:val="single" w:color="auto"/>
        </w:rPr>
        <w:t xml:space="preserve">                          </w:t>
      </w:r>
    </w:p>
    <w:p w14:paraId="2BA76C67">
      <w:pPr>
        <w:spacing w:before="111" w:line="230" w:lineRule="auto"/>
        <w:ind w:left="5"/>
        <w:outlineLvl w:val="9"/>
        <w:rPr>
          <w:rFonts w:ascii="宋体" w:hAnsi="宋体" w:eastAsia="宋体" w:cs="宋体"/>
          <w:color w:val="auto"/>
          <w:sz w:val="20"/>
          <w:szCs w:val="20"/>
          <w:u w:val="single" w:color="auto"/>
        </w:rPr>
      </w:pPr>
      <w:r>
        <w:rPr>
          <w:rFonts w:ascii="宋体" w:hAnsi="宋体" w:eastAsia="宋体" w:cs="宋体"/>
          <w:color w:val="auto"/>
          <w:spacing w:val="-8"/>
          <w:sz w:val="20"/>
          <w:szCs w:val="20"/>
        </w:rPr>
        <w:t>账</w:t>
      </w:r>
      <w:r>
        <w:rPr>
          <w:rFonts w:ascii="宋体" w:hAnsi="宋体" w:eastAsia="宋体" w:cs="宋体"/>
          <w:color w:val="auto"/>
          <w:spacing w:val="13"/>
          <w:sz w:val="20"/>
          <w:szCs w:val="20"/>
        </w:rPr>
        <w:t xml:space="preserve">  </w:t>
      </w:r>
      <w:r>
        <w:rPr>
          <w:rFonts w:ascii="宋体" w:hAnsi="宋体" w:eastAsia="宋体" w:cs="宋体"/>
          <w:color w:val="auto"/>
          <w:spacing w:val="-8"/>
          <w:sz w:val="20"/>
          <w:szCs w:val="20"/>
        </w:rPr>
        <w:t>号</w:t>
      </w:r>
      <w:r>
        <w:rPr>
          <w:rFonts w:ascii="宋体" w:hAnsi="宋体" w:eastAsia="宋体" w:cs="宋体"/>
          <w:color w:val="auto"/>
          <w:spacing w:val="-74"/>
          <w:sz w:val="20"/>
          <w:szCs w:val="20"/>
        </w:rPr>
        <w:t xml:space="preserve"> </w:t>
      </w:r>
      <w:r>
        <w:rPr>
          <w:rFonts w:ascii="宋体" w:hAnsi="宋体" w:eastAsia="宋体" w:cs="宋体"/>
          <w:color w:val="auto"/>
          <w:spacing w:val="-8"/>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8"/>
          <w:sz w:val="20"/>
          <w:szCs w:val="20"/>
        </w:rPr>
        <w:t>账</w:t>
      </w:r>
      <w:r>
        <w:rPr>
          <w:rFonts w:ascii="宋体" w:hAnsi="宋体" w:eastAsia="宋体" w:cs="宋体"/>
          <w:color w:val="auto"/>
          <w:spacing w:val="15"/>
          <w:sz w:val="20"/>
          <w:szCs w:val="20"/>
        </w:rPr>
        <w:t xml:space="preserve">  </w:t>
      </w:r>
      <w:r>
        <w:rPr>
          <w:rFonts w:ascii="宋体" w:hAnsi="宋体" w:eastAsia="宋体" w:cs="宋体"/>
          <w:color w:val="auto"/>
          <w:spacing w:val="-8"/>
          <w:sz w:val="20"/>
          <w:szCs w:val="20"/>
        </w:rPr>
        <w:t>号</w:t>
      </w:r>
      <w:r>
        <w:rPr>
          <w:rFonts w:ascii="宋体" w:hAnsi="宋体" w:eastAsia="宋体" w:cs="宋体"/>
          <w:color w:val="auto"/>
          <w:spacing w:val="-73"/>
          <w:sz w:val="20"/>
          <w:szCs w:val="20"/>
        </w:rPr>
        <w:t xml:space="preserve"> </w:t>
      </w:r>
      <w:r>
        <w:rPr>
          <w:rFonts w:ascii="宋体" w:hAnsi="宋体" w:eastAsia="宋体" w:cs="宋体"/>
          <w:color w:val="auto"/>
          <w:spacing w:val="-8"/>
          <w:sz w:val="20"/>
          <w:szCs w:val="20"/>
        </w:rPr>
        <w:t>：</w:t>
      </w:r>
      <w:r>
        <w:rPr>
          <w:rFonts w:ascii="宋体" w:hAnsi="宋体" w:eastAsia="宋体" w:cs="宋体"/>
          <w:color w:val="auto"/>
          <w:sz w:val="20"/>
          <w:szCs w:val="20"/>
          <w:u w:val="single" w:color="auto"/>
        </w:rPr>
        <w:t xml:space="preserve">                             </w:t>
      </w:r>
    </w:p>
    <w:p w14:paraId="7BE1890C">
      <w:pPr>
        <w:spacing w:before="113" w:line="229" w:lineRule="auto"/>
        <w:ind w:left="2"/>
        <w:outlineLvl w:val="9"/>
        <w:rPr>
          <w:rFonts w:ascii="宋体" w:hAnsi="宋体" w:eastAsia="宋体" w:cs="宋体"/>
          <w:color w:val="auto"/>
          <w:sz w:val="20"/>
          <w:szCs w:val="20"/>
          <w:u w:val="single" w:color="auto"/>
        </w:rPr>
      </w:pPr>
    </w:p>
    <w:p w14:paraId="76052DCA">
      <w:pPr>
        <w:spacing w:before="113" w:line="229" w:lineRule="auto"/>
        <w:ind w:left="2"/>
        <w:outlineLvl w:val="9"/>
        <w:rPr>
          <w:rFonts w:hint="eastAsia" w:ascii="华文仿宋" w:hAnsi="华文仿宋" w:eastAsia="华文仿宋" w:cs="Times New Roman"/>
          <w:color w:val="auto"/>
          <w:kern w:val="0"/>
          <w:sz w:val="24"/>
          <w:szCs w:val="24"/>
        </w:rPr>
        <w:sectPr>
          <w:footerReference r:id="rId3" w:type="default"/>
          <w:pgSz w:w="11910" w:h="16840"/>
          <w:pgMar w:top="1134" w:right="1134" w:bottom="1134" w:left="1134" w:header="0" w:footer="1136" w:gutter="0"/>
          <w:pgNumType w:fmt="decimal"/>
          <w:cols w:space="720" w:num="1"/>
        </w:sectPr>
      </w:pPr>
      <w:r>
        <w:rPr>
          <w:rFonts w:hint="eastAsia" w:ascii="华文仿宋" w:hAnsi="华文仿宋" w:eastAsia="华文仿宋" w:cs="Times New Roman"/>
          <w:color w:val="auto"/>
          <w:kern w:val="0"/>
          <w:sz w:val="24"/>
          <w:szCs w:val="24"/>
        </w:rPr>
        <w:tab/>
      </w:r>
      <w:r>
        <w:rPr>
          <w:rFonts w:hint="eastAsia" w:ascii="华文仿宋" w:hAnsi="华文仿宋" w:eastAsia="华文仿宋" w:cs="Times New Roman"/>
          <w:color w:val="auto"/>
          <w:kern w:val="0"/>
          <w:sz w:val="24"/>
          <w:szCs w:val="24"/>
        </w:rPr>
        <w:t>年</w:t>
      </w:r>
      <w:r>
        <w:rPr>
          <w:rFonts w:hint="eastAsia" w:ascii="华文仿宋" w:hAnsi="华文仿宋" w:eastAsia="华文仿宋" w:cs="Times New Roman"/>
          <w:color w:val="auto"/>
          <w:kern w:val="0"/>
          <w:sz w:val="24"/>
          <w:szCs w:val="24"/>
        </w:rPr>
        <w:tab/>
      </w:r>
      <w:r>
        <w:rPr>
          <w:rFonts w:hint="eastAsia" w:ascii="华文仿宋" w:hAnsi="华文仿宋" w:eastAsia="华文仿宋" w:cs="Times New Roman"/>
          <w:color w:val="auto"/>
          <w:kern w:val="0"/>
          <w:sz w:val="24"/>
          <w:szCs w:val="24"/>
        </w:rPr>
        <w:t>月</w:t>
      </w:r>
      <w:r>
        <w:rPr>
          <w:rFonts w:hint="eastAsia" w:ascii="华文仿宋" w:hAnsi="华文仿宋" w:eastAsia="华文仿宋" w:cs="Times New Roman"/>
          <w:color w:val="auto"/>
          <w:kern w:val="0"/>
          <w:sz w:val="24"/>
          <w:szCs w:val="24"/>
        </w:rPr>
        <w:tab/>
      </w:r>
      <w:r>
        <w:rPr>
          <w:rFonts w:hint="eastAsia" w:ascii="华文仿宋" w:hAnsi="华文仿宋" w:eastAsia="华文仿宋" w:cs="Times New Roman"/>
          <w:color w:val="auto"/>
          <w:kern w:val="0"/>
          <w:sz w:val="24"/>
          <w:szCs w:val="24"/>
        </w:rPr>
        <w:t>日</w:t>
      </w:r>
      <w:r>
        <w:rPr>
          <w:rFonts w:hint="eastAsia" w:ascii="华文仿宋" w:hAnsi="华文仿宋" w:eastAsia="华文仿宋" w:cs="Times New Roman"/>
          <w:color w:val="auto"/>
          <w:kern w:val="0"/>
          <w:sz w:val="24"/>
          <w:szCs w:val="24"/>
        </w:rPr>
        <w:tab/>
      </w:r>
      <w:r>
        <w:rPr>
          <w:rFonts w:hint="eastAsia" w:ascii="华文仿宋" w:hAnsi="华文仿宋" w:eastAsia="华文仿宋" w:cs="Times New Roman"/>
          <w:color w:val="auto"/>
          <w:kern w:val="0"/>
          <w:sz w:val="24"/>
          <w:szCs w:val="24"/>
        </w:rPr>
        <w:tab/>
      </w:r>
      <w:r>
        <w:rPr>
          <w:rFonts w:hint="eastAsia" w:ascii="华文仿宋" w:hAnsi="华文仿宋" w:eastAsia="华文仿宋" w:cs="Times New Roman"/>
          <w:color w:val="auto"/>
          <w:kern w:val="0"/>
          <w:sz w:val="24"/>
          <w:szCs w:val="24"/>
          <w:lang w:val="en-US" w:eastAsia="zh-CN"/>
        </w:rPr>
        <w:t xml:space="preserve">                              </w:t>
      </w:r>
      <w:r>
        <w:rPr>
          <w:rFonts w:hint="eastAsia" w:ascii="华文仿宋" w:hAnsi="华文仿宋" w:eastAsia="华文仿宋" w:cs="Times New Roman"/>
          <w:color w:val="auto"/>
          <w:kern w:val="0"/>
          <w:sz w:val="24"/>
          <w:szCs w:val="24"/>
        </w:rPr>
        <w:t>年</w:t>
      </w:r>
      <w:r>
        <w:rPr>
          <w:rFonts w:hint="eastAsia" w:ascii="华文仿宋" w:hAnsi="华文仿宋" w:eastAsia="华文仿宋" w:cs="Times New Roman"/>
          <w:color w:val="auto"/>
          <w:kern w:val="0"/>
          <w:sz w:val="24"/>
          <w:szCs w:val="24"/>
        </w:rPr>
        <w:tab/>
      </w:r>
      <w:r>
        <w:rPr>
          <w:rFonts w:hint="eastAsia" w:ascii="华文仿宋" w:hAnsi="华文仿宋" w:eastAsia="华文仿宋" w:cs="Times New Roman"/>
          <w:color w:val="auto"/>
          <w:kern w:val="0"/>
          <w:sz w:val="24"/>
          <w:szCs w:val="24"/>
        </w:rPr>
        <w:t>月</w:t>
      </w:r>
      <w:r>
        <w:rPr>
          <w:rFonts w:hint="eastAsia" w:ascii="华文仿宋" w:hAnsi="华文仿宋" w:eastAsia="华文仿宋" w:cs="Times New Roman"/>
          <w:color w:val="auto"/>
          <w:kern w:val="0"/>
          <w:sz w:val="24"/>
          <w:szCs w:val="24"/>
        </w:rPr>
        <w:tab/>
      </w:r>
      <w:r>
        <w:rPr>
          <w:rFonts w:hint="eastAsia" w:ascii="华文仿宋" w:hAnsi="华文仿宋" w:eastAsia="华文仿宋" w:cs="Times New Roman"/>
          <w:color w:val="auto"/>
          <w:kern w:val="0"/>
          <w:sz w:val="24"/>
          <w:szCs w:val="24"/>
        </w:rPr>
        <w:t>日</w:t>
      </w:r>
    </w:p>
    <w:p w14:paraId="71B6BEA7">
      <w:pPr>
        <w:pageBreakBefore w:val="0"/>
        <w:widowControl w:val="0"/>
        <w:kinsoku/>
        <w:wordWrap/>
        <w:overflowPunct/>
        <w:topLinePunct w:val="0"/>
        <w:bidi w:val="0"/>
        <w:snapToGrid/>
        <w:spacing w:line="360" w:lineRule="exact"/>
        <w:jc w:val="center"/>
        <w:textAlignment w:val="auto"/>
        <w:outlineLvl w:val="9"/>
        <w:rPr>
          <w:rFonts w:hint="eastAsia" w:ascii="宋体" w:hAnsi="宋体" w:eastAsia="宋体" w:cs="宋体"/>
          <w:b/>
          <w:bCs/>
          <w:color w:val="auto"/>
          <w:sz w:val="20"/>
          <w:szCs w:val="20"/>
          <w:highlight w:val="none"/>
        </w:rPr>
      </w:pPr>
      <w:bookmarkStart w:id="2" w:name="_Toc25940"/>
      <w:bookmarkStart w:id="3" w:name="_Toc26741"/>
      <w:bookmarkStart w:id="4" w:name="_Toc18139"/>
      <w:bookmarkStart w:id="5" w:name="_Toc4294"/>
      <w:bookmarkStart w:id="6" w:name="_Toc4509"/>
      <w:r>
        <w:rPr>
          <w:rFonts w:hint="eastAsia" w:ascii="宋体" w:hAnsi="宋体" w:eastAsia="宋体" w:cs="宋体"/>
          <w:b/>
          <w:bCs/>
          <w:color w:val="auto"/>
          <w:sz w:val="20"/>
          <w:szCs w:val="20"/>
          <w:highlight w:val="none"/>
          <w:lang w:val="zh-CN"/>
        </w:rPr>
        <w:t>第二部分通用合同条款</w:t>
      </w:r>
      <w:bookmarkEnd w:id="2"/>
      <w:bookmarkEnd w:id="3"/>
      <w:bookmarkEnd w:id="4"/>
      <w:bookmarkEnd w:id="5"/>
      <w:bookmarkEnd w:id="6"/>
    </w:p>
    <w:p w14:paraId="26BAAE7F">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7" w:name="_Toc351203495"/>
      <w:r>
        <w:rPr>
          <w:rFonts w:hint="eastAsia" w:ascii="宋体" w:hAnsi="宋体" w:eastAsia="宋体" w:cs="宋体"/>
          <w:b/>
          <w:bCs w:val="0"/>
          <w:color w:val="auto"/>
          <w:sz w:val="20"/>
          <w:szCs w:val="20"/>
          <w:highlight w:val="none"/>
        </w:rPr>
        <w:t>1.</w:t>
      </w:r>
      <w:bookmarkStart w:id="8" w:name="_Toc303538975"/>
      <w:bookmarkEnd w:id="8"/>
      <w:bookmarkStart w:id="9" w:name="_Toc303538973"/>
      <w:bookmarkEnd w:id="9"/>
      <w:bookmarkStart w:id="10" w:name="_Toc303538972"/>
      <w:bookmarkEnd w:id="10"/>
      <w:bookmarkStart w:id="11" w:name="_Toc303538976"/>
      <w:bookmarkEnd w:id="11"/>
      <w:bookmarkStart w:id="12" w:name="_Toc303538974"/>
      <w:bookmarkEnd w:id="12"/>
      <w:bookmarkStart w:id="13" w:name="_Toc296503027"/>
      <w:bookmarkStart w:id="14" w:name="_Toc296346528"/>
      <w:r>
        <w:rPr>
          <w:rFonts w:hint="eastAsia" w:ascii="宋体" w:hAnsi="宋体" w:eastAsia="宋体" w:cs="宋体"/>
          <w:b/>
          <w:bCs w:val="0"/>
          <w:color w:val="auto"/>
          <w:sz w:val="20"/>
          <w:szCs w:val="20"/>
          <w:highlight w:val="none"/>
        </w:rPr>
        <w:t>一般约定</w:t>
      </w:r>
      <w:bookmarkEnd w:id="7"/>
      <w:bookmarkEnd w:id="13"/>
      <w:bookmarkEnd w:id="14"/>
    </w:p>
    <w:p w14:paraId="10E1468D">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5" w:name="_Toc296503028"/>
      <w:bookmarkStart w:id="16" w:name="_Toc296346529"/>
      <w:bookmarkStart w:id="17" w:name="_Toc337558728"/>
      <w:bookmarkStart w:id="18" w:name="_Toc351203496"/>
      <w:r>
        <w:rPr>
          <w:rFonts w:hint="eastAsia" w:ascii="宋体" w:hAnsi="宋体" w:eastAsia="宋体" w:cs="宋体"/>
          <w:b/>
          <w:bCs/>
          <w:color w:val="auto"/>
          <w:sz w:val="20"/>
          <w:szCs w:val="20"/>
          <w:highlight w:val="none"/>
        </w:rPr>
        <w:t>1.1词语定义</w:t>
      </w:r>
      <w:bookmarkEnd w:id="15"/>
      <w:bookmarkEnd w:id="16"/>
      <w:bookmarkEnd w:id="17"/>
      <w:r>
        <w:rPr>
          <w:rFonts w:hint="eastAsia" w:ascii="宋体" w:hAnsi="宋体" w:eastAsia="宋体" w:cs="宋体"/>
          <w:b/>
          <w:bCs/>
          <w:color w:val="auto"/>
          <w:sz w:val="20"/>
          <w:szCs w:val="20"/>
          <w:highlight w:val="none"/>
        </w:rPr>
        <w:t>与解释</w:t>
      </w:r>
      <w:bookmarkEnd w:id="18"/>
    </w:p>
    <w:p w14:paraId="0FFDD77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合同协议书、通用合同条款、专用合同条款中的下列词语具有本款所赋予的含义：</w:t>
      </w:r>
    </w:p>
    <w:p w14:paraId="2834F420">
      <w:pPr>
        <w:pageBreakBefore w:val="0"/>
        <w:widowControl w:val="0"/>
        <w:kinsoku/>
        <w:wordWrap/>
        <w:overflowPunct/>
        <w:topLinePunct w:val="0"/>
        <w:autoSpaceDE w:val="0"/>
        <w:autoSpaceDN w:val="0"/>
        <w:bidi w:val="0"/>
        <w:adjustRightInd w:val="0"/>
        <w:snapToGrid/>
        <w:spacing w:line="360" w:lineRule="exact"/>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1.1.1合同</w:t>
      </w:r>
    </w:p>
    <w:p w14:paraId="14E5091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1.1.1.1合同：是指根据法律规定和合同当事人约定具有约束力的文件，构成合同的文件包括合同协议书、中标通知书（如果有）、投标函及其附录（如果有）、专用合同条款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0"/>
          <w:szCs w:val="20"/>
          <w:highlight w:val="none"/>
        </w:rPr>
        <w:t>及其附件</w:t>
      </w:r>
      <w:r>
        <w:rPr>
          <w:rFonts w:hint="eastAsia" w:ascii="宋体" w:hAnsi="宋体" w:eastAsia="宋体" w:cs="宋体"/>
          <w:color w:val="auto"/>
          <w:kern w:val="0"/>
          <w:sz w:val="20"/>
          <w:szCs w:val="20"/>
          <w:highlight w:val="none"/>
        </w:rPr>
        <w:t>、通用合同条款、技术标准和要求、图纸、已标价工程量清单或预算书以及其他合同文件。</w:t>
      </w:r>
    </w:p>
    <w:p w14:paraId="10E80F1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1.1.1.2合同协议书：是指构成合同的由发包人和承包人共同签署的称为“合同协议书”的书面文件。</w:t>
      </w:r>
    </w:p>
    <w:p w14:paraId="7BF4E52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1.1.1.3中标通知书：是指构成合同的由发包人通知承包人中标的书面文件。</w:t>
      </w:r>
    </w:p>
    <w:p w14:paraId="52C4765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1.1.1.4投标函：是指构成合同的由承包人填写并签署的用于投标的称为“投标函”的文件。</w:t>
      </w:r>
    </w:p>
    <w:p w14:paraId="5E5EBD9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1.1.1.5投标函附录：是指构成合同的附在投标函后的称为“投标函附录”的文件。</w:t>
      </w:r>
    </w:p>
    <w:p w14:paraId="5F5DCFF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1.1.1.6技术标准和要求：是指构成合同的施工应当遵守的或指导施工的国家、行业或地方的技术标准和要求，以及合同约定的技术标准和要求。</w:t>
      </w:r>
    </w:p>
    <w:p w14:paraId="13235F7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1.1.1.7图纸：是指构成合同的图纸，包括由发包人按照合同约定提供或经发包人批准的设计文件、施工图、鸟瞰图及模型等，以及在合同履行过程中形成的图纸文件。图纸应当按照法律规定审查合格。</w:t>
      </w:r>
    </w:p>
    <w:p w14:paraId="186768A1">
      <w:pPr>
        <w:pageBreakBefore w:val="0"/>
        <w:widowControl w:val="0"/>
        <w:kinsoku/>
        <w:wordWrap/>
        <w:overflowPunct/>
        <w:topLinePunct w:val="0"/>
        <w:autoSpaceDE w:val="0"/>
        <w:autoSpaceDN w:val="0"/>
        <w:bidi w:val="0"/>
        <w:adjustRightInd w:val="0"/>
        <w:snapToGrid/>
        <w:spacing w:line="360" w:lineRule="exact"/>
        <w:ind w:firstLine="390" w:firstLineChars="195"/>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1.1.1.8已标价工程量清单：是指构成合同的由承包人按照规定的格式和要求填写并标明价格的工程量清单，包括说明和表格。</w:t>
      </w:r>
    </w:p>
    <w:p w14:paraId="50D0AB07">
      <w:pPr>
        <w:pageBreakBefore w:val="0"/>
        <w:widowControl w:val="0"/>
        <w:kinsoku/>
        <w:wordWrap/>
        <w:overflowPunct/>
        <w:topLinePunct w:val="0"/>
        <w:autoSpaceDE w:val="0"/>
        <w:autoSpaceDN w:val="0"/>
        <w:bidi w:val="0"/>
        <w:adjustRightInd w:val="0"/>
        <w:snapToGrid/>
        <w:spacing w:line="360" w:lineRule="exact"/>
        <w:ind w:firstLine="390" w:firstLineChars="195"/>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1.1.1.9预算书：是指构成合同的由承包人按照发包人规定的格式和要求编制的工程预算文件。</w:t>
      </w:r>
    </w:p>
    <w:p w14:paraId="5258000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1.1.1.10其他合同文件：是指经合同当事人约定的与工程施工有关的具有合同约束力的文件或书面协议。合同当事人可以在专用合同条款中进行约定。</w:t>
      </w:r>
    </w:p>
    <w:p w14:paraId="0A4B6FF4">
      <w:pPr>
        <w:pageBreakBefore w:val="0"/>
        <w:widowControl w:val="0"/>
        <w:kinsoku/>
        <w:wordWrap/>
        <w:overflowPunct/>
        <w:topLinePunct w:val="0"/>
        <w:autoSpaceDE w:val="0"/>
        <w:autoSpaceDN w:val="0"/>
        <w:bidi w:val="0"/>
        <w:adjustRightInd w:val="0"/>
        <w:snapToGrid/>
        <w:spacing w:line="360" w:lineRule="exact"/>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1.1.2合同当事人及其他相关方</w:t>
      </w:r>
    </w:p>
    <w:p w14:paraId="62CF55C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1.1.2.1合同当事人：是指发包人和（或）承包人。</w:t>
      </w:r>
    </w:p>
    <w:p w14:paraId="2B09A89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1.1.2.2发包人：是指与承包人签订合同协议书的当事人及取得该当事人资格的合法继承人。</w:t>
      </w:r>
    </w:p>
    <w:p w14:paraId="6210F86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1.1.2.3承包人：是指与发包人签订合同协议书的，具有相应工程施工承包资质的当事人及取得该当事人资格的合法继承人。</w:t>
      </w:r>
    </w:p>
    <w:p w14:paraId="5C79F82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1.1.2.4监理人：是指在专用合同条款中指明的，受发包人委托按照法律规定进行工程监督管理的法人或其他组织。</w:t>
      </w:r>
    </w:p>
    <w:p w14:paraId="72DD2D2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1.1.2.5设计人：是指在专用合同条款中指明的，受发包人委托负责工程设计并具备相应工程设计资质的法人或其他组织。</w:t>
      </w:r>
    </w:p>
    <w:p w14:paraId="58B79760">
      <w:pPr>
        <w:pageBreakBefore w:val="0"/>
        <w:widowControl w:val="0"/>
        <w:kinsoku/>
        <w:wordWrap/>
        <w:overflowPunct/>
        <w:topLinePunct w:val="0"/>
        <w:bidi w:val="0"/>
        <w:snapToGrid/>
        <w:spacing w:line="360" w:lineRule="exact"/>
        <w:ind w:firstLine="390" w:firstLineChars="195"/>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1.1.2.6分包人：</w:t>
      </w:r>
      <w:bookmarkStart w:id="19" w:name="#go5"/>
      <w:bookmarkEnd w:id="19"/>
      <w:r>
        <w:rPr>
          <w:rFonts w:hint="eastAsia" w:ascii="宋体" w:hAnsi="宋体" w:eastAsia="宋体" w:cs="宋体"/>
          <w:color w:val="auto"/>
          <w:kern w:val="0"/>
          <w:sz w:val="20"/>
          <w:szCs w:val="20"/>
          <w:highlight w:val="none"/>
        </w:rPr>
        <w:t>是指按照法律规定和合同约定，分包部分工程或工作，并与承包人签订分包合同的具有相应资质的法人。</w:t>
      </w:r>
    </w:p>
    <w:p w14:paraId="7EA2798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1.1.2.7发包人代表：是指由发包人任命并派驻施工现场在发包人授权范围内行使发包人权利的人。</w:t>
      </w:r>
    </w:p>
    <w:p w14:paraId="0E6FB90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1.1.2.8项目经理：是指由承包人任命并派驻施工现场，在承包人授权范围内负责合同履行，且按照法律规定具有相应资格的项目负责人。</w:t>
      </w:r>
    </w:p>
    <w:p w14:paraId="49DC0FC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1.1.2.9总监理工程师：是指由监理人任命并派驻施工现场进行工程监理的总负责人。</w:t>
      </w:r>
    </w:p>
    <w:p w14:paraId="3F1BD76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1.1.3工程和设备</w:t>
      </w:r>
    </w:p>
    <w:p w14:paraId="2A4A7B1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1.1.3.1工程：是指与合同协议书中工程承包范围对应的永久工程和（或）临时工程。</w:t>
      </w:r>
    </w:p>
    <w:p w14:paraId="5228D04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1.1.3.2永久工程：是指按合同约定建造并移交给发包人的工程，包括工程设备。</w:t>
      </w:r>
    </w:p>
    <w:p w14:paraId="2047B35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1.1.3.3临时工程：是指为完成合同约定的永久工程所修建的各类临时性工程，不包括施工设备。</w:t>
      </w:r>
    </w:p>
    <w:p w14:paraId="1F234CD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1.1.3.4单位工程：是指在合同协议书中指明的，具备独立施工条件并能形成独立使用功能的永久工程。</w:t>
      </w:r>
    </w:p>
    <w:p w14:paraId="1D93687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1.1.3.5工程设备：是指构成永久工程的</w:t>
      </w:r>
      <w:r>
        <w:rPr>
          <w:rFonts w:hint="eastAsia" w:ascii="宋体" w:hAnsi="宋体" w:eastAsia="宋体" w:cs="宋体"/>
          <w:color w:val="auto"/>
          <w:kern w:val="0"/>
          <w:sz w:val="20"/>
          <w:szCs w:val="20"/>
          <w:highlight w:val="none"/>
          <w:lang w:eastAsia="zh-CN"/>
        </w:rPr>
        <w:t>市政公用</w:t>
      </w:r>
      <w:r>
        <w:rPr>
          <w:rFonts w:hint="eastAsia" w:ascii="宋体" w:hAnsi="宋体" w:eastAsia="宋体" w:cs="宋体"/>
          <w:color w:val="auto"/>
          <w:kern w:val="0"/>
          <w:sz w:val="20"/>
          <w:szCs w:val="20"/>
          <w:highlight w:val="none"/>
        </w:rPr>
        <w:t>设备、金属结构设备、仪器及其他类似的设备和装置。</w:t>
      </w:r>
    </w:p>
    <w:p w14:paraId="583E13C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1.1.3.6施工设备：是指为完成合同约定的各项工作所需的设备、器具和其他物品，但不包括工程设备、临时工程和材料。</w:t>
      </w:r>
    </w:p>
    <w:p w14:paraId="27A4A3D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1.1.3.7施工现场：是指用于工程施工的场所，以及在专用合同条款中指明作为施工场所组成部分的其他场所，包括永久占地和临时占地。</w:t>
      </w:r>
    </w:p>
    <w:p w14:paraId="613D02C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1.1.3.8临时设施：是指为完成合同约定的各项工作所服务的临时性生产和生活设施。</w:t>
      </w:r>
    </w:p>
    <w:p w14:paraId="786BABF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1.1.3.9永久占地：是指专用合同条款中指明为实施工程需永久占用的土地。</w:t>
      </w:r>
    </w:p>
    <w:p w14:paraId="1CAC781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1.1.3.10临时占地：是指专用合同条款中指明为实施工程需要临时占用的土地。</w:t>
      </w:r>
    </w:p>
    <w:p w14:paraId="1645CE1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1.1.4日期和期限</w:t>
      </w:r>
    </w:p>
    <w:p w14:paraId="1CB3720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64BBE34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1.1.4.2竣工日期：包括计划竣工日期和实际竣工日期。计划竣工日期是指合同协议书约定的竣工日期；实际竣工日期按照第13.2.3项〔竣工日期〕的约定确定。</w:t>
      </w:r>
    </w:p>
    <w:p w14:paraId="3321E9B2">
      <w:pPr>
        <w:pageBreakBefore w:val="0"/>
        <w:widowControl w:val="0"/>
        <w:kinsoku/>
        <w:wordWrap/>
        <w:overflowPunct/>
        <w:topLinePunct w:val="0"/>
        <w:bidi w:val="0"/>
        <w:snapToGrid/>
        <w:spacing w:line="360" w:lineRule="exact"/>
        <w:ind w:firstLine="405" w:firstLineChars="203"/>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1.1.4.3工期：是指在合同协议书约定的承包人完成工程所需的期限，包括按照合同约定所作的期限变更。</w:t>
      </w:r>
    </w:p>
    <w:p w14:paraId="15D4D50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1.1.4.4缺陷责任期：是指承包人按照合同约定承担缺陷修复义务，且发包人预留质量保证金</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已缴纳履约保证金的除外</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的期限，自工程实际竣工日期起计算。</w:t>
      </w:r>
    </w:p>
    <w:p w14:paraId="74EC036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1.1.4.5保修期：是指承包人按照合同约定对工程承担保修责任的期限，从工程竣工验收合格之日起计算。</w:t>
      </w:r>
    </w:p>
    <w:p w14:paraId="691AC8E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1.1.4.6基准日期：招标发包的工程以投标截止日前28天的日期为基准日期，直接发包的工程以合同签订日前28天的日期为基准日期。</w:t>
      </w:r>
    </w:p>
    <w:p w14:paraId="5F5763D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1.1.4.7天：除特别指明外，均指日历天。合同中按天计算时间的，开始当天不计入，从次日开始计算，期限最后一天的截止时间为当天24:00时。</w:t>
      </w:r>
    </w:p>
    <w:p w14:paraId="747FE40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1.1.5合同价格和费用</w:t>
      </w:r>
    </w:p>
    <w:p w14:paraId="1EC670E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1.1.5.1签约合同价：是指</w:t>
      </w:r>
      <w:r>
        <w:rPr>
          <w:rFonts w:hint="eastAsia" w:ascii="宋体" w:hAnsi="宋体" w:eastAsia="宋体" w:cs="宋体"/>
          <w:color w:val="auto"/>
          <w:sz w:val="20"/>
          <w:szCs w:val="20"/>
          <w:highlight w:val="none"/>
        </w:rPr>
        <w:t>发包人和承包人在合同协议书中确定的总金额，包括安全文明施工费、暂估价及暂列金额等。</w:t>
      </w:r>
    </w:p>
    <w:p w14:paraId="6F3BB4A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1.1.5.2合同价格：是指发包人用于支付承包人按照合同约定完成承包范围内全部工作的金额，包括合同履行过程中按合同约定发生的价格变化。</w:t>
      </w:r>
    </w:p>
    <w:p w14:paraId="114D266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1.1.5.3费用：是指为履行合同所发生的或将要发生的所有必需的开支，包括管理费和应分摊的其他费用，但不包括利润。</w:t>
      </w:r>
    </w:p>
    <w:p w14:paraId="39B227E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1.1.5.4暂估价：是指发包人在工程量清单或预算书中提供的用于支付必然发生但暂时不能确定价格的材料、工程设备的单价、专业工程以及服务工作的金额。</w:t>
      </w:r>
    </w:p>
    <w:p w14:paraId="5CD2E73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6B1F3B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1.1.5.6计日工：是指合同履行过程中，承包人完成发包人提出的零星工作或需要采用计日工计价的变更工作时，按合同中约定的单价计价的一种方式。</w:t>
      </w:r>
    </w:p>
    <w:p w14:paraId="0CE5D6B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1.1.5.7质量保证金</w:t>
      </w:r>
      <w:bookmarkStart w:id="20" w:name="#go2"/>
      <w:bookmarkEnd w:id="20"/>
      <w:r>
        <w:rPr>
          <w:rFonts w:hint="eastAsia" w:ascii="宋体" w:hAnsi="宋体" w:eastAsia="宋体" w:cs="宋体"/>
          <w:color w:val="auto"/>
          <w:kern w:val="0"/>
          <w:sz w:val="20"/>
          <w:szCs w:val="20"/>
          <w:highlight w:val="none"/>
        </w:rPr>
        <w:t>：是指按照第15.3款〔质量保证金〕约定承包人用于保证其在缺陷责任期内履行缺陷修补义务的担保</w:t>
      </w:r>
      <w:r>
        <w:rPr>
          <w:rFonts w:hint="eastAsia" w:ascii="宋体" w:hAnsi="宋体" w:eastAsia="宋体" w:cs="宋体"/>
          <w:color w:val="auto"/>
          <w:sz w:val="20"/>
          <w:szCs w:val="20"/>
          <w:highlight w:val="none"/>
        </w:rPr>
        <w:t>。</w:t>
      </w:r>
    </w:p>
    <w:p w14:paraId="6F68A6C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1.1.5.8总价项目：是指在现行国家、行业以及地方的计量规则中无工程量计算规则，在已标价工程量清单或预算书中以总价或以费率形式计算的项目。</w:t>
      </w:r>
    </w:p>
    <w:p w14:paraId="255475F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1.1.6其他</w:t>
      </w:r>
    </w:p>
    <w:p w14:paraId="34AA556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1.1.6.1书面形式：是指合同文件、信函、电报、传真等可以有形地表现所载内容的形式。</w:t>
      </w:r>
    </w:p>
    <w:p w14:paraId="37241006">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val="0"/>
          <w:color w:val="auto"/>
          <w:sz w:val="20"/>
          <w:szCs w:val="20"/>
          <w:highlight w:val="none"/>
        </w:rPr>
      </w:pPr>
      <w:bookmarkStart w:id="21" w:name="_Toc296346530"/>
      <w:bookmarkStart w:id="22" w:name="_Toc337558729"/>
      <w:bookmarkStart w:id="23" w:name="_Toc296503029"/>
      <w:bookmarkStart w:id="24" w:name="_Toc351203497"/>
      <w:r>
        <w:rPr>
          <w:rFonts w:hint="eastAsia" w:ascii="宋体" w:hAnsi="宋体" w:eastAsia="宋体" w:cs="宋体"/>
          <w:b/>
          <w:bCs/>
          <w:color w:val="auto"/>
          <w:sz w:val="20"/>
          <w:szCs w:val="20"/>
          <w:highlight w:val="none"/>
        </w:rPr>
        <w:t>1.2语言文字</w:t>
      </w:r>
      <w:bookmarkEnd w:id="21"/>
      <w:bookmarkEnd w:id="22"/>
      <w:bookmarkEnd w:id="23"/>
      <w:bookmarkEnd w:id="24"/>
    </w:p>
    <w:p w14:paraId="5C587E7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合同以中国的汉语简体文字编写、解释和说明。合同当事人在专用合同条款中约定使用两种以上语言时，汉语为优先解释和说明合同的语言。</w:t>
      </w:r>
    </w:p>
    <w:p w14:paraId="5AB687A0">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5" w:name="_Toc296503030"/>
      <w:bookmarkStart w:id="26" w:name="_Toc337558730"/>
      <w:bookmarkStart w:id="27" w:name="_Toc351203498"/>
      <w:bookmarkStart w:id="28" w:name="_Toc296346531"/>
      <w:r>
        <w:rPr>
          <w:rFonts w:hint="eastAsia" w:ascii="宋体" w:hAnsi="宋体" w:eastAsia="宋体" w:cs="宋体"/>
          <w:b/>
          <w:bCs/>
          <w:color w:val="auto"/>
          <w:sz w:val="20"/>
          <w:szCs w:val="20"/>
          <w:highlight w:val="none"/>
        </w:rPr>
        <w:t>1.3法律</w:t>
      </w:r>
      <w:bookmarkEnd w:id="25"/>
      <w:bookmarkEnd w:id="26"/>
      <w:bookmarkEnd w:id="27"/>
      <w:bookmarkEnd w:id="28"/>
    </w:p>
    <w:p w14:paraId="1072109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合同所称法律是指中华人民共和国法律、行政法规、部门规章，以及工程所在地的地方性法规、自治条例、单行条例和地方政府规章等。</w:t>
      </w:r>
    </w:p>
    <w:p w14:paraId="3112279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合同当事人可以在专用合同条款中约定合同适用的其他规范性文件。</w:t>
      </w:r>
    </w:p>
    <w:p w14:paraId="03864C63">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9" w:name="_Toc351203499"/>
      <w:r>
        <w:rPr>
          <w:rFonts w:hint="eastAsia" w:ascii="宋体" w:hAnsi="宋体" w:eastAsia="宋体" w:cs="宋体"/>
          <w:b/>
          <w:bCs/>
          <w:color w:val="auto"/>
          <w:sz w:val="20"/>
          <w:szCs w:val="20"/>
          <w:highlight w:val="none"/>
        </w:rPr>
        <w:t>1.4标准和规范</w:t>
      </w:r>
      <w:bookmarkEnd w:id="29"/>
    </w:p>
    <w:p w14:paraId="284CC2C3">
      <w:pPr>
        <w:pageBreakBefore w:val="0"/>
        <w:widowControl w:val="0"/>
        <w:kinsoku/>
        <w:wordWrap/>
        <w:overflowPunct/>
        <w:topLinePunct w:val="0"/>
        <w:autoSpaceDE w:val="0"/>
        <w:autoSpaceDN w:val="0"/>
        <w:bidi w:val="0"/>
        <w:adjustRightInd w:val="0"/>
        <w:snapToGrid/>
        <w:spacing w:line="360" w:lineRule="exact"/>
        <w:ind w:firstLine="64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1.4.1适用于工程的国家标准、行业标准、工程所在地的地方性标准，以及相应的规范、规程等，合同当事人有特别要求的，应在专用合同条款中约定。</w:t>
      </w:r>
    </w:p>
    <w:p w14:paraId="1945961B">
      <w:pPr>
        <w:pageBreakBefore w:val="0"/>
        <w:widowControl w:val="0"/>
        <w:kinsoku/>
        <w:wordWrap/>
        <w:overflowPunct/>
        <w:topLinePunct w:val="0"/>
        <w:autoSpaceDE w:val="0"/>
        <w:autoSpaceDN w:val="0"/>
        <w:bidi w:val="0"/>
        <w:adjustRightInd w:val="0"/>
        <w:snapToGrid/>
        <w:spacing w:line="360" w:lineRule="exact"/>
        <w:ind w:firstLine="64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1.4.2发包人要求使用国外标准、规范的，发包人负责提供原文版本和中文译本，并在专用合同条款中约定提供标准规范的名称、份数和时间。</w:t>
      </w:r>
    </w:p>
    <w:p w14:paraId="0B89BD4F">
      <w:pPr>
        <w:pageBreakBefore w:val="0"/>
        <w:widowControl w:val="0"/>
        <w:kinsoku/>
        <w:wordWrap/>
        <w:overflowPunct/>
        <w:topLinePunct w:val="0"/>
        <w:autoSpaceDE w:val="0"/>
        <w:autoSpaceDN w:val="0"/>
        <w:bidi w:val="0"/>
        <w:adjustRightInd w:val="0"/>
        <w:snapToGrid/>
        <w:spacing w:line="360" w:lineRule="exact"/>
        <w:ind w:firstLine="64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730B37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0" w:name="_Toc351203500"/>
      <w:r>
        <w:rPr>
          <w:rFonts w:hint="eastAsia" w:ascii="宋体" w:hAnsi="宋体" w:eastAsia="宋体" w:cs="宋体"/>
          <w:b/>
          <w:bCs/>
          <w:color w:val="auto"/>
          <w:sz w:val="20"/>
          <w:szCs w:val="20"/>
          <w:highlight w:val="none"/>
        </w:rPr>
        <w:t>1</w:t>
      </w:r>
      <w:bookmarkStart w:id="31" w:name="_Toc337558731"/>
      <w:bookmarkStart w:id="32" w:name="_Toc296503031"/>
      <w:bookmarkStart w:id="33" w:name="_Toc296346532"/>
      <w:r>
        <w:rPr>
          <w:rFonts w:hint="eastAsia" w:ascii="宋体" w:hAnsi="宋体" w:eastAsia="宋体" w:cs="宋体"/>
          <w:b/>
          <w:bCs/>
          <w:color w:val="auto"/>
          <w:sz w:val="20"/>
          <w:szCs w:val="20"/>
          <w:highlight w:val="none"/>
        </w:rPr>
        <w:t>.5合同文件的优先顺序</w:t>
      </w:r>
      <w:bookmarkEnd w:id="30"/>
    </w:p>
    <w:bookmarkEnd w:id="31"/>
    <w:bookmarkEnd w:id="32"/>
    <w:bookmarkEnd w:id="33"/>
    <w:p w14:paraId="1B618D1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组成合同的各项文件应互相解释，互为说明。除专用合同条款另有约定外，解释合同文件的优先顺序如下：</w:t>
      </w:r>
    </w:p>
    <w:p w14:paraId="7D34345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（1）合同协议书；</w:t>
      </w:r>
    </w:p>
    <w:p w14:paraId="17ABCA5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（2）中标通知书（如果有）；</w:t>
      </w:r>
    </w:p>
    <w:p w14:paraId="3D4CC2E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（3）投标函及其附录（如果有）；</w:t>
      </w:r>
    </w:p>
    <w:p w14:paraId="6C16D62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（4）专用合同条款</w:t>
      </w:r>
      <w:r>
        <w:rPr>
          <w:rFonts w:hint="eastAsia" w:ascii="宋体" w:hAnsi="宋体" w:eastAsia="宋体" w:cs="宋体"/>
          <w:color w:val="auto"/>
          <w:sz w:val="20"/>
          <w:szCs w:val="20"/>
          <w:highlight w:val="none"/>
        </w:rPr>
        <w:t>及其附件</w:t>
      </w:r>
      <w:r>
        <w:rPr>
          <w:rFonts w:hint="eastAsia" w:ascii="宋体" w:hAnsi="宋体" w:eastAsia="宋体" w:cs="宋体"/>
          <w:color w:val="auto"/>
          <w:kern w:val="0"/>
          <w:sz w:val="20"/>
          <w:szCs w:val="20"/>
          <w:highlight w:val="none"/>
        </w:rPr>
        <w:t>；</w:t>
      </w:r>
    </w:p>
    <w:p w14:paraId="789AF65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（5）通用合同条款；</w:t>
      </w:r>
    </w:p>
    <w:p w14:paraId="336806A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（6）技术标准和要求；</w:t>
      </w:r>
    </w:p>
    <w:p w14:paraId="405B143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（7）图纸；</w:t>
      </w:r>
    </w:p>
    <w:p w14:paraId="241B18A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（8）已标价工程量清单或预算书；</w:t>
      </w:r>
    </w:p>
    <w:p w14:paraId="3F3C08E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（9）其他合同文件。</w:t>
      </w:r>
    </w:p>
    <w:p w14:paraId="0B3526C1">
      <w:pPr>
        <w:pageBreakBefore w:val="0"/>
        <w:widowControl w:val="0"/>
        <w:kinsoku/>
        <w:wordWrap/>
        <w:overflowPunct/>
        <w:topLinePunct w:val="0"/>
        <w:bidi w:val="0"/>
        <w:snapToGrid/>
        <w:spacing w:line="360" w:lineRule="exact"/>
        <w:ind w:firstLine="426" w:firstLineChars="213"/>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上述各项合同文件包括合同当事人就该项合同文件所作出的补充和修改，属于同一类内容的文件，应以最新签署的为准。</w:t>
      </w:r>
    </w:p>
    <w:p w14:paraId="1D29083A">
      <w:pPr>
        <w:pageBreakBefore w:val="0"/>
        <w:widowControl w:val="0"/>
        <w:kinsoku/>
        <w:wordWrap/>
        <w:overflowPunct/>
        <w:topLinePunct w:val="0"/>
        <w:bidi w:val="0"/>
        <w:snapToGrid/>
        <w:spacing w:line="360" w:lineRule="exact"/>
        <w:ind w:firstLine="426" w:firstLineChars="213"/>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在合同订立及履行过程中形成的与合同有关的文件均构成合同文件组成部分，并根据其性质确定优先解释顺序。</w:t>
      </w:r>
    </w:p>
    <w:p w14:paraId="49B4C0A2">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4" w:name="_Toc351203501"/>
      <w:r>
        <w:rPr>
          <w:rFonts w:hint="eastAsia" w:ascii="宋体" w:hAnsi="宋体" w:eastAsia="宋体" w:cs="宋体"/>
          <w:b/>
          <w:bCs/>
          <w:color w:val="auto"/>
          <w:sz w:val="20"/>
          <w:szCs w:val="20"/>
          <w:highlight w:val="none"/>
        </w:rPr>
        <w:t>1</w:t>
      </w:r>
      <w:bookmarkStart w:id="35" w:name="_Toc296503032"/>
      <w:bookmarkStart w:id="36" w:name="_Toc337558732"/>
      <w:bookmarkStart w:id="37" w:name="_Toc296346533"/>
      <w:r>
        <w:rPr>
          <w:rFonts w:hint="eastAsia" w:ascii="宋体" w:hAnsi="宋体" w:eastAsia="宋体" w:cs="宋体"/>
          <w:b/>
          <w:bCs/>
          <w:color w:val="auto"/>
          <w:sz w:val="20"/>
          <w:szCs w:val="20"/>
          <w:highlight w:val="none"/>
        </w:rPr>
        <w:t>.6图纸和承包人文件</w:t>
      </w:r>
      <w:bookmarkEnd w:id="34"/>
    </w:p>
    <w:bookmarkEnd w:id="35"/>
    <w:bookmarkEnd w:id="36"/>
    <w:bookmarkEnd w:id="37"/>
    <w:p w14:paraId="5F6E0C0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1.6.1图纸的提供和交底</w:t>
      </w:r>
    </w:p>
    <w:p w14:paraId="2AD4ADD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2F439D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因发包人未按合同约定提供图纸导致承包人费用增加和（或）工期延误的，按照第7.5.1项〔因发包人原因导致工期延误〕约定办理。</w:t>
      </w:r>
    </w:p>
    <w:p w14:paraId="4124BFC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1.6.2图纸的错误</w:t>
      </w:r>
    </w:p>
    <w:p w14:paraId="2355407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C74311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1.6.3图纸的修改和补充</w:t>
      </w:r>
    </w:p>
    <w:p w14:paraId="4098512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67F7D3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1.6.4承包人文件</w:t>
      </w:r>
    </w:p>
    <w:p w14:paraId="27DE7E6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承包人应按照专用合同条款的约定提供应当由其编制的与工程施工有关的文件，并按照专用合同条款约定的期限、数量和形式提交监理人，并由监理人报送发包人。</w:t>
      </w:r>
    </w:p>
    <w:p w14:paraId="210A6E4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586150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1.6.5图纸和承包人文件的保管</w:t>
      </w:r>
    </w:p>
    <w:p w14:paraId="62F692C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除专用合同条款另有约定外，承包人应在施工现场另外保存一套完整的图纸和承包人文件，供发包人、监理人及有关人员进行工程检查时使用。</w:t>
      </w:r>
    </w:p>
    <w:p w14:paraId="78E95C5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8" w:name="_Toc351203502"/>
      <w:r>
        <w:rPr>
          <w:rFonts w:hint="eastAsia" w:ascii="宋体" w:hAnsi="宋体" w:eastAsia="宋体" w:cs="宋体"/>
          <w:b/>
          <w:bCs/>
          <w:color w:val="auto"/>
          <w:sz w:val="20"/>
          <w:szCs w:val="20"/>
          <w:highlight w:val="none"/>
        </w:rPr>
        <w:t>1</w:t>
      </w:r>
      <w:bookmarkStart w:id="39" w:name="_Toc296503033"/>
      <w:bookmarkStart w:id="40" w:name="_Toc337558733"/>
      <w:bookmarkStart w:id="41" w:name="_Toc296346534"/>
      <w:r>
        <w:rPr>
          <w:rFonts w:hint="eastAsia" w:ascii="宋体" w:hAnsi="宋体" w:eastAsia="宋体" w:cs="宋体"/>
          <w:b/>
          <w:bCs/>
          <w:color w:val="auto"/>
          <w:sz w:val="20"/>
          <w:szCs w:val="20"/>
          <w:highlight w:val="none"/>
        </w:rPr>
        <w:t>.7联络</w:t>
      </w:r>
      <w:bookmarkEnd w:id="38"/>
    </w:p>
    <w:bookmarkEnd w:id="39"/>
    <w:bookmarkEnd w:id="40"/>
    <w:bookmarkEnd w:id="41"/>
    <w:p w14:paraId="1D073DB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1.7.1与合同有关的通知、批准、证明、证书、指示、指令、要求、请求、同意、意见、确定和决定等，均应采用书面形式，并应在合同约定的期限内送达接收人和送达地点。</w:t>
      </w:r>
    </w:p>
    <w:p w14:paraId="1D9A8C1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1.7.2发包人和承包人应在专用合同条款中约定各自的送达接收人和送达地点。任何一方合同当事人指定的接收人或送达地点发生变动的，应提前3天以书面形式通知对方。</w:t>
      </w:r>
    </w:p>
    <w:p w14:paraId="3255685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1.7.3发包人和承包人应当及时签收另一方送达至送达地点和指定接收人的来往信函。拒不签收的，由此增加的费用和（或）延误的工期由拒绝接收一方承担。</w:t>
      </w:r>
    </w:p>
    <w:p w14:paraId="089C10B3">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2" w:name="_Toc351203503"/>
      <w:r>
        <w:rPr>
          <w:rFonts w:hint="eastAsia" w:ascii="宋体" w:hAnsi="宋体" w:eastAsia="宋体" w:cs="宋体"/>
          <w:b/>
          <w:bCs/>
          <w:color w:val="auto"/>
          <w:sz w:val="20"/>
          <w:szCs w:val="20"/>
          <w:highlight w:val="none"/>
        </w:rPr>
        <w:t>1</w:t>
      </w:r>
      <w:bookmarkStart w:id="43" w:name="_Toc337558734"/>
      <w:bookmarkStart w:id="44" w:name="_Toc296503035"/>
      <w:bookmarkStart w:id="45" w:name="_Toc296346536"/>
      <w:r>
        <w:rPr>
          <w:rFonts w:hint="eastAsia" w:ascii="宋体" w:hAnsi="宋体" w:eastAsia="宋体" w:cs="宋体"/>
          <w:b/>
          <w:bCs/>
          <w:color w:val="auto"/>
          <w:sz w:val="20"/>
          <w:szCs w:val="20"/>
          <w:highlight w:val="none"/>
        </w:rPr>
        <w:t>.8严禁贿赂</w:t>
      </w:r>
      <w:bookmarkEnd w:id="42"/>
    </w:p>
    <w:bookmarkEnd w:id="43"/>
    <w:bookmarkEnd w:id="44"/>
    <w:bookmarkEnd w:id="45"/>
    <w:p w14:paraId="49D5816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合同当事人不得以贿赂或变相贿赂的方式，谋取非法利益或损害对方权益。因一方合同当事人的贿赂造成对方损失的，应赔偿损失，并承担相应的法律责任。</w:t>
      </w:r>
    </w:p>
    <w:p w14:paraId="3D4CE82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40EB6B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6" w:name="_Toc351203504"/>
      <w:r>
        <w:rPr>
          <w:rFonts w:hint="eastAsia" w:ascii="宋体" w:hAnsi="宋体" w:eastAsia="宋体" w:cs="宋体"/>
          <w:b/>
          <w:bCs/>
          <w:color w:val="auto"/>
          <w:sz w:val="20"/>
          <w:szCs w:val="20"/>
          <w:highlight w:val="none"/>
        </w:rPr>
        <w:t>1</w:t>
      </w:r>
      <w:bookmarkStart w:id="47" w:name="_Toc296346537"/>
      <w:bookmarkStart w:id="48" w:name="_Toc337558735"/>
      <w:bookmarkStart w:id="49" w:name="_Toc296503036"/>
      <w:r>
        <w:rPr>
          <w:rFonts w:hint="eastAsia" w:ascii="宋体" w:hAnsi="宋体" w:eastAsia="宋体" w:cs="宋体"/>
          <w:b/>
          <w:bCs/>
          <w:color w:val="auto"/>
          <w:sz w:val="20"/>
          <w:szCs w:val="20"/>
          <w:highlight w:val="none"/>
        </w:rPr>
        <w:t>.9化石、文物</w:t>
      </w:r>
      <w:bookmarkEnd w:id="46"/>
    </w:p>
    <w:bookmarkEnd w:id="47"/>
    <w:bookmarkEnd w:id="48"/>
    <w:bookmarkEnd w:id="49"/>
    <w:p w14:paraId="759CA66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910F80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发包人、监理人和承包人应按有关政府行政管理部门要求采取妥善的保护措施，由此增加的费用和（或）延误的工期由发包人承担。</w:t>
      </w:r>
    </w:p>
    <w:p w14:paraId="1AD96F0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承包人发现文物后不及时报告或隐瞒不报，致使文物丢失或损坏的，应赔偿损失，并承担相应的法律责任。</w:t>
      </w:r>
    </w:p>
    <w:p w14:paraId="7F30804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50" w:name="_Toc351203505"/>
      <w:r>
        <w:rPr>
          <w:rFonts w:hint="eastAsia" w:ascii="宋体" w:hAnsi="宋体" w:eastAsia="宋体" w:cs="宋体"/>
          <w:b/>
          <w:bCs/>
          <w:color w:val="auto"/>
          <w:sz w:val="20"/>
          <w:szCs w:val="20"/>
          <w:highlight w:val="none"/>
        </w:rPr>
        <w:t>1</w:t>
      </w:r>
      <w:bookmarkStart w:id="51" w:name="_Toc337558736"/>
      <w:r>
        <w:rPr>
          <w:rFonts w:hint="eastAsia" w:ascii="宋体" w:hAnsi="宋体" w:eastAsia="宋体" w:cs="宋体"/>
          <w:b/>
          <w:bCs/>
          <w:color w:val="auto"/>
          <w:sz w:val="20"/>
          <w:szCs w:val="20"/>
          <w:highlight w:val="none"/>
        </w:rPr>
        <w:t>.10交通运输</w:t>
      </w:r>
      <w:bookmarkEnd w:id="50"/>
    </w:p>
    <w:bookmarkEnd w:id="51"/>
    <w:p w14:paraId="1C51C4F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1.10.1出入现场的权利</w:t>
      </w:r>
    </w:p>
    <w:p w14:paraId="28599CC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C9C5B5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7F979C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1.10.2场外交通</w:t>
      </w:r>
    </w:p>
    <w:p w14:paraId="1695440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CD4A38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1.10.3场内交通</w:t>
      </w:r>
    </w:p>
    <w:p w14:paraId="527B4CD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6EACE8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ECC834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场外交通和场内交通的边界由合同当事人在专用合同条款中约定。</w:t>
      </w:r>
    </w:p>
    <w:p w14:paraId="0489C66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1.10.4超大件和超重件的运输</w:t>
      </w:r>
    </w:p>
    <w:p w14:paraId="7D81C04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E44F10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1.10.5道路和桥梁的损坏责任</w:t>
      </w:r>
    </w:p>
    <w:p w14:paraId="73BED89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因承包人运输造成施工场地内外公共道路和桥梁损坏的，由承包人承担修复损坏的全部费用和可能引起的赔偿。</w:t>
      </w:r>
    </w:p>
    <w:p w14:paraId="339A40C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1.10.6水路和航空运输</w:t>
      </w:r>
    </w:p>
    <w:p w14:paraId="6E34473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本款前述各项的内容适用于水路运输和航空运输，其中“道路”一词的涵义包括河道、航线、船闸、机场、码头、堤防以及水路或航空运输中其他相似结构物；“车辆”一词的涵义包括船舶和飞机等。</w:t>
      </w:r>
    </w:p>
    <w:p w14:paraId="0F4A95A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lang w:eastAsia="zh-CN"/>
        </w:rPr>
      </w:pPr>
      <w:bookmarkStart w:id="52" w:name="_Toc351203506"/>
      <w:r>
        <w:rPr>
          <w:rFonts w:hint="eastAsia" w:ascii="宋体" w:hAnsi="宋体" w:eastAsia="宋体" w:cs="宋体"/>
          <w:b/>
          <w:bCs/>
          <w:color w:val="auto"/>
          <w:sz w:val="20"/>
          <w:szCs w:val="20"/>
          <w:highlight w:val="none"/>
        </w:rPr>
        <w:t>1</w:t>
      </w:r>
      <w:bookmarkStart w:id="53" w:name="_Toc337558737"/>
      <w:bookmarkStart w:id="54" w:name="_Toc296503037"/>
      <w:bookmarkStart w:id="55" w:name="_Toc296346538"/>
      <w:r>
        <w:rPr>
          <w:rFonts w:hint="eastAsia" w:ascii="宋体" w:hAnsi="宋体" w:eastAsia="宋体" w:cs="宋体"/>
          <w:b/>
          <w:bCs/>
          <w:color w:val="auto"/>
          <w:sz w:val="20"/>
          <w:szCs w:val="20"/>
          <w:highlight w:val="none"/>
        </w:rPr>
        <w:t>.11知识产权</w:t>
      </w:r>
      <w:bookmarkEnd w:id="52"/>
      <w:bookmarkEnd w:id="53"/>
    </w:p>
    <w:bookmarkEnd w:id="54"/>
    <w:bookmarkEnd w:id="55"/>
    <w:p w14:paraId="22B544B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30FE36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2B0290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0FAF8BC">
      <w:pPr>
        <w:pageBreakBefore w:val="0"/>
        <w:widowControl w:val="0"/>
        <w:kinsoku/>
        <w:wordWrap/>
        <w:overflowPunct/>
        <w:topLinePunct w:val="0"/>
        <w:bidi w:val="0"/>
        <w:snapToGrid/>
        <w:spacing w:line="360" w:lineRule="exac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1.11.4除专用合同条款另有约定外，承包人在合同签订前和签订时已确定采用的专利、专有技术、技术秘密的使用费已包含在签约合同价中。</w:t>
      </w:r>
    </w:p>
    <w:p w14:paraId="36BFD29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56" w:name="_Toc351203507"/>
      <w:r>
        <w:rPr>
          <w:rFonts w:hint="eastAsia" w:ascii="宋体" w:hAnsi="宋体" w:eastAsia="宋体" w:cs="宋体"/>
          <w:b/>
          <w:bCs/>
          <w:color w:val="auto"/>
          <w:sz w:val="20"/>
          <w:szCs w:val="20"/>
          <w:highlight w:val="none"/>
        </w:rPr>
        <w:t>1</w:t>
      </w:r>
      <w:bookmarkStart w:id="57" w:name="_Toc337558738"/>
      <w:r>
        <w:rPr>
          <w:rFonts w:hint="eastAsia" w:ascii="宋体" w:hAnsi="宋体" w:eastAsia="宋体" w:cs="宋体"/>
          <w:b/>
          <w:bCs/>
          <w:color w:val="auto"/>
          <w:sz w:val="20"/>
          <w:szCs w:val="20"/>
          <w:highlight w:val="none"/>
        </w:rPr>
        <w:t>.12保密</w:t>
      </w:r>
      <w:bookmarkEnd w:id="56"/>
    </w:p>
    <w:bookmarkEnd w:id="57"/>
    <w:p w14:paraId="62EB271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除法律规定或合同另有约定外，未经发包人同意，承包人不得将发包人提供的图纸、文件以及声明需要保密的资料信息等商业秘密泄露给第三方。</w:t>
      </w:r>
    </w:p>
    <w:p w14:paraId="3E01123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除法律规定或合同另有约定外，未经承包人同意，发包人不得将承包人提供的技术秘密及声明需要保密的资料信息等商业秘密泄露给第三方。</w:t>
      </w:r>
    </w:p>
    <w:p w14:paraId="4BAC7C8D">
      <w:pPr>
        <w:pageBreakBefore w:val="0"/>
        <w:widowControl w:val="0"/>
        <w:kinsoku/>
        <w:wordWrap/>
        <w:overflowPunct/>
        <w:topLinePunct w:val="0"/>
        <w:bidi w:val="0"/>
        <w:snapToGrid/>
        <w:spacing w:before="120" w:after="120" w:line="360" w:lineRule="exact"/>
        <w:ind w:firstLine="400" w:firstLineChars="200"/>
        <w:textAlignment w:val="auto"/>
        <w:outlineLvl w:val="9"/>
        <w:rPr>
          <w:rFonts w:hint="eastAsia" w:ascii="宋体" w:hAnsi="宋体" w:eastAsia="宋体" w:cs="宋体"/>
          <w:b w:val="0"/>
          <w:bCs w:val="0"/>
          <w:color w:val="auto"/>
          <w:sz w:val="20"/>
          <w:szCs w:val="20"/>
          <w:highlight w:val="none"/>
        </w:rPr>
      </w:pPr>
      <w:bookmarkStart w:id="58" w:name="_Toc351203508"/>
      <w:r>
        <w:rPr>
          <w:rFonts w:hint="eastAsia" w:ascii="宋体" w:hAnsi="宋体" w:eastAsia="宋体" w:cs="宋体"/>
          <w:b w:val="0"/>
          <w:bCs w:val="0"/>
          <w:color w:val="auto"/>
          <w:sz w:val="20"/>
          <w:szCs w:val="20"/>
          <w:highlight w:val="none"/>
        </w:rPr>
        <w:t>1.13工程量清单错误的修正</w:t>
      </w:r>
      <w:bookmarkEnd w:id="58"/>
    </w:p>
    <w:p w14:paraId="5E55BB8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除专用合同条款另有约定外，发包人提供的工程量清单，应被认为是准确的和完整的。出现下列情形之一时，发包人应予以修正，并相应调整合同价格：</w:t>
      </w:r>
    </w:p>
    <w:p w14:paraId="0846664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（1）工程量清单存在缺项、漏项的；</w:t>
      </w:r>
    </w:p>
    <w:p w14:paraId="4AD424D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（2）工程量清单偏差超出专用合同条款约定的工程量偏差范围的；</w:t>
      </w:r>
    </w:p>
    <w:p w14:paraId="7E2AE3D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（3）未按照国家现行计量规范强制性规定计量的。</w:t>
      </w:r>
    </w:p>
    <w:p w14:paraId="144ACDE4">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59" w:name="_Toc351203509"/>
      <w:r>
        <w:rPr>
          <w:rFonts w:hint="eastAsia" w:ascii="宋体" w:hAnsi="宋体" w:eastAsia="宋体" w:cs="宋体"/>
          <w:b/>
          <w:bCs w:val="0"/>
          <w:color w:val="auto"/>
          <w:sz w:val="20"/>
          <w:szCs w:val="20"/>
          <w:highlight w:val="none"/>
        </w:rPr>
        <w:t>2</w:t>
      </w:r>
      <w:bookmarkStart w:id="60" w:name="_Toc337558739"/>
      <w:bookmarkStart w:id="61" w:name="_Toc296503038"/>
      <w:bookmarkStart w:id="62" w:name="_Toc296346539"/>
      <w:r>
        <w:rPr>
          <w:rFonts w:hint="eastAsia" w:ascii="宋体" w:hAnsi="宋体" w:eastAsia="宋体" w:cs="宋体"/>
          <w:b/>
          <w:bCs w:val="0"/>
          <w:color w:val="auto"/>
          <w:sz w:val="20"/>
          <w:szCs w:val="20"/>
          <w:highlight w:val="none"/>
        </w:rPr>
        <w:t>.发包人</w:t>
      </w:r>
      <w:bookmarkEnd w:id="59"/>
    </w:p>
    <w:bookmarkEnd w:id="60"/>
    <w:bookmarkEnd w:id="61"/>
    <w:bookmarkEnd w:id="62"/>
    <w:p w14:paraId="12BEE7A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63" w:name="_Toc351203510"/>
      <w:r>
        <w:rPr>
          <w:rFonts w:hint="eastAsia" w:ascii="宋体" w:hAnsi="宋体" w:eastAsia="宋体" w:cs="宋体"/>
          <w:b/>
          <w:bCs/>
          <w:color w:val="auto"/>
          <w:sz w:val="20"/>
          <w:szCs w:val="20"/>
          <w:highlight w:val="none"/>
        </w:rPr>
        <w:t>2</w:t>
      </w:r>
      <w:bookmarkStart w:id="64" w:name="_Toc337558740"/>
      <w:bookmarkStart w:id="65" w:name="_Toc296503039"/>
      <w:bookmarkStart w:id="66" w:name="_Toc296346540"/>
      <w:r>
        <w:rPr>
          <w:rFonts w:hint="eastAsia" w:ascii="宋体" w:hAnsi="宋体" w:eastAsia="宋体" w:cs="宋体"/>
          <w:b/>
          <w:bCs/>
          <w:color w:val="auto"/>
          <w:sz w:val="20"/>
          <w:szCs w:val="20"/>
          <w:highlight w:val="none"/>
        </w:rPr>
        <w:t>.1许可或批准</w:t>
      </w:r>
      <w:bookmarkEnd w:id="63"/>
    </w:p>
    <w:p w14:paraId="067EDBE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E9ED91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因发包人原因未能及时办理完毕前述许可、批准或备案，由发包人承担由此增加的费用和（或）延误的工期，并支付承包人合理的利润。</w:t>
      </w:r>
    </w:p>
    <w:p w14:paraId="28F561A0">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67" w:name="_Toc351203511"/>
      <w:r>
        <w:rPr>
          <w:rFonts w:hint="eastAsia" w:ascii="宋体" w:hAnsi="宋体" w:eastAsia="宋体" w:cs="宋体"/>
          <w:b/>
          <w:bCs/>
          <w:color w:val="auto"/>
          <w:sz w:val="20"/>
          <w:szCs w:val="20"/>
          <w:highlight w:val="none"/>
        </w:rPr>
        <w:t>2.2发包人代表</w:t>
      </w:r>
      <w:bookmarkEnd w:id="67"/>
    </w:p>
    <w:p w14:paraId="1B032FF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A34B27B">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发包人代表不能按照合同约定履行其职责及义务，并导致合同无法继续正常履行的，承包人可以要求发包人撤换发包人代表。</w:t>
      </w:r>
    </w:p>
    <w:p w14:paraId="671E966D">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不属于法定必须监理的工程，监理人的职权可以由发包人代表或发包人指定的其他人员行使。</w:t>
      </w:r>
    </w:p>
    <w:p w14:paraId="2696429E">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68" w:name="_Toc351203512"/>
      <w:r>
        <w:rPr>
          <w:rFonts w:hint="eastAsia" w:ascii="宋体" w:hAnsi="宋体" w:eastAsia="宋体" w:cs="宋体"/>
          <w:b/>
          <w:bCs/>
          <w:color w:val="auto"/>
          <w:sz w:val="20"/>
          <w:szCs w:val="20"/>
          <w:highlight w:val="none"/>
        </w:rPr>
        <w:t>2.3发包人人员</w:t>
      </w:r>
      <w:bookmarkEnd w:id="68"/>
    </w:p>
    <w:p w14:paraId="3652365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发包人应要求在施工现场的发包人人员遵守法律及有关安全、质量、环境保护、文明施工等规定，并保障承包人免于承受因发包人人员未遵守上述要求给承包人造成的损失和责任。</w:t>
      </w:r>
    </w:p>
    <w:p w14:paraId="2D79B841">
      <w:pPr>
        <w:pageBreakBefore w:val="0"/>
        <w:widowControl w:val="0"/>
        <w:kinsoku/>
        <w:wordWrap/>
        <w:overflowPunct/>
        <w:topLinePunct w:val="0"/>
        <w:bidi w:val="0"/>
        <w:snapToGrid/>
        <w:spacing w:line="360" w:lineRule="exact"/>
        <w:ind w:firstLine="64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发包人人员包括发包人代表及其他由发包人派驻施工现场的人员。</w:t>
      </w:r>
      <w:bookmarkEnd w:id="64"/>
      <w:bookmarkEnd w:id="65"/>
      <w:bookmarkEnd w:id="66"/>
    </w:p>
    <w:p w14:paraId="296815BA">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lang w:eastAsia="zh-CN"/>
        </w:rPr>
      </w:pPr>
      <w:bookmarkStart w:id="69" w:name="_Toc351203513"/>
      <w:r>
        <w:rPr>
          <w:rFonts w:hint="eastAsia" w:ascii="宋体" w:hAnsi="宋体" w:eastAsia="宋体" w:cs="宋体"/>
          <w:b/>
          <w:bCs/>
          <w:color w:val="auto"/>
          <w:sz w:val="20"/>
          <w:szCs w:val="20"/>
          <w:highlight w:val="none"/>
        </w:rPr>
        <w:t>2</w:t>
      </w:r>
      <w:bookmarkStart w:id="70" w:name="_Toc296503040"/>
      <w:bookmarkStart w:id="71" w:name="_Toc296346541"/>
      <w:bookmarkStart w:id="72" w:name="_Toc337558741"/>
      <w:r>
        <w:rPr>
          <w:rFonts w:hint="eastAsia" w:ascii="宋体" w:hAnsi="宋体" w:eastAsia="宋体" w:cs="宋体"/>
          <w:b/>
          <w:bCs/>
          <w:color w:val="auto"/>
          <w:sz w:val="20"/>
          <w:szCs w:val="20"/>
          <w:highlight w:val="none"/>
        </w:rPr>
        <w:t>.4施工现场、施工条件和基础资料的提供</w:t>
      </w:r>
      <w:bookmarkEnd w:id="69"/>
      <w:bookmarkEnd w:id="70"/>
      <w:bookmarkEnd w:id="71"/>
      <w:bookmarkEnd w:id="72"/>
    </w:p>
    <w:p w14:paraId="6324131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2.4.1提供施工现场</w:t>
      </w:r>
    </w:p>
    <w:p w14:paraId="2454B1B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除专用合同条款另有约定外，发包人应最迟于开工日期7天前向承包人移交施工现场。</w:t>
      </w:r>
    </w:p>
    <w:p w14:paraId="4530003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2.4.2提供施工条件</w:t>
      </w:r>
    </w:p>
    <w:p w14:paraId="7F9FBD5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除专用合同条款另有约定外，发包人应负责提供施工所需要的条件，包括：</w:t>
      </w:r>
    </w:p>
    <w:p w14:paraId="7994B11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（1）将施工用水、</w:t>
      </w:r>
      <w:r>
        <w:rPr>
          <w:rFonts w:hint="eastAsia" w:ascii="宋体" w:hAnsi="宋体" w:eastAsia="宋体" w:cs="宋体"/>
          <w:color w:val="auto"/>
          <w:kern w:val="0"/>
          <w:sz w:val="20"/>
          <w:szCs w:val="20"/>
          <w:highlight w:val="none"/>
          <w:lang w:eastAsia="zh-CN"/>
        </w:rPr>
        <w:t>市政公用</w:t>
      </w:r>
      <w:r>
        <w:rPr>
          <w:rFonts w:hint="eastAsia" w:ascii="宋体" w:hAnsi="宋体" w:eastAsia="宋体" w:cs="宋体"/>
          <w:color w:val="auto"/>
          <w:kern w:val="0"/>
          <w:sz w:val="20"/>
          <w:szCs w:val="20"/>
          <w:highlight w:val="none"/>
        </w:rPr>
        <w:t>、通讯线路等施工所必需的条件接至施工现场内；</w:t>
      </w:r>
    </w:p>
    <w:p w14:paraId="3D0EC5A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（2）保证向承包人提供正常施工所需要的进入施工现场的交通条件；</w:t>
      </w:r>
    </w:p>
    <w:p w14:paraId="102BB35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（3）协调处理施工现场周围地下管线和邻近建筑物、构筑物、古树名木的保护工作，并承担相关费用；</w:t>
      </w:r>
    </w:p>
    <w:p w14:paraId="2E2CFC1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（4）按照专用合同条款约定应提供的其他设施和条件。</w:t>
      </w:r>
    </w:p>
    <w:p w14:paraId="57DC2C3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2.4.3提供基础资料</w:t>
      </w:r>
    </w:p>
    <w:p w14:paraId="76D0654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3940DF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按照法律规定确需在开工后方能提供的基础资料，发包人应尽其努力及时地在相应工程施工前的合理期限内提供，合理期限应以不影响承包人的正常施工为限。</w:t>
      </w:r>
    </w:p>
    <w:p w14:paraId="1D5AA99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2.4.4逾期提供的责任</w:t>
      </w:r>
    </w:p>
    <w:p w14:paraId="0202907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因发包人原因未能按合同约定及时向承包人提供施工现场、施工条件、基础资料的，由发包人承担由此增加的费用和（或）延误的工期。</w:t>
      </w:r>
    </w:p>
    <w:p w14:paraId="795A3F2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73" w:name="_Toc351203514"/>
      <w:r>
        <w:rPr>
          <w:rFonts w:hint="eastAsia" w:ascii="宋体" w:hAnsi="宋体" w:eastAsia="宋体" w:cs="宋体"/>
          <w:b/>
          <w:bCs/>
          <w:color w:val="auto"/>
          <w:sz w:val="20"/>
          <w:szCs w:val="20"/>
          <w:highlight w:val="none"/>
        </w:rPr>
        <w:t>2</w:t>
      </w:r>
      <w:bookmarkStart w:id="74" w:name="_Toc296503042"/>
      <w:bookmarkStart w:id="75" w:name="_Toc337558745"/>
      <w:bookmarkStart w:id="76" w:name="_Toc296346543"/>
      <w:r>
        <w:rPr>
          <w:rFonts w:hint="eastAsia" w:ascii="宋体" w:hAnsi="宋体" w:eastAsia="宋体" w:cs="宋体"/>
          <w:b/>
          <w:bCs/>
          <w:color w:val="auto"/>
          <w:sz w:val="20"/>
          <w:szCs w:val="20"/>
          <w:highlight w:val="none"/>
        </w:rPr>
        <w:t>.5资</w:t>
      </w:r>
      <w:bookmarkEnd w:id="74"/>
      <w:bookmarkEnd w:id="75"/>
      <w:bookmarkEnd w:id="76"/>
      <w:r>
        <w:rPr>
          <w:rFonts w:hint="eastAsia" w:ascii="宋体" w:hAnsi="宋体" w:eastAsia="宋体" w:cs="宋体"/>
          <w:b/>
          <w:bCs/>
          <w:color w:val="auto"/>
          <w:sz w:val="20"/>
          <w:szCs w:val="20"/>
          <w:highlight w:val="none"/>
        </w:rPr>
        <w:t>金来源证明及支付担保</w:t>
      </w:r>
      <w:bookmarkEnd w:id="73"/>
    </w:p>
    <w:p w14:paraId="2495546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除专用合同条款另有约定外，发包人应在收到承包人要求提供资金来源证明的书面通知后28天内，向承包人提供能够按照合同约定支付合同价款的相应资金来源证明。</w:t>
      </w:r>
    </w:p>
    <w:p w14:paraId="55624A9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6E892359">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77" w:name="_Toc351203515"/>
      <w:r>
        <w:rPr>
          <w:rFonts w:hint="eastAsia" w:ascii="宋体" w:hAnsi="宋体" w:eastAsia="宋体" w:cs="宋体"/>
          <w:b/>
          <w:bCs/>
          <w:color w:val="auto"/>
          <w:sz w:val="20"/>
          <w:szCs w:val="20"/>
          <w:highlight w:val="none"/>
        </w:rPr>
        <w:t>2.6支付合同价款</w:t>
      </w:r>
      <w:bookmarkEnd w:id="77"/>
    </w:p>
    <w:p w14:paraId="2B709E6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发包人应按合同约定向承包人及时支付合同价款。</w:t>
      </w:r>
    </w:p>
    <w:p w14:paraId="147CC5F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78" w:name="_Toc351203516"/>
      <w:r>
        <w:rPr>
          <w:rFonts w:hint="eastAsia" w:ascii="宋体" w:hAnsi="宋体" w:eastAsia="宋体" w:cs="宋体"/>
          <w:b/>
          <w:bCs/>
          <w:color w:val="auto"/>
          <w:sz w:val="20"/>
          <w:szCs w:val="20"/>
          <w:highlight w:val="none"/>
        </w:rPr>
        <w:t>2.7组织竣工验收</w:t>
      </w:r>
      <w:bookmarkEnd w:id="78"/>
    </w:p>
    <w:p w14:paraId="211511A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发包人应按合同约定及时组织竣工验收。</w:t>
      </w:r>
    </w:p>
    <w:p w14:paraId="458A8FF9">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79" w:name="_Toc351203517"/>
      <w:r>
        <w:rPr>
          <w:rFonts w:hint="eastAsia" w:ascii="宋体" w:hAnsi="宋体" w:eastAsia="宋体" w:cs="宋体"/>
          <w:b/>
          <w:bCs/>
          <w:color w:val="auto"/>
          <w:sz w:val="20"/>
          <w:szCs w:val="20"/>
          <w:highlight w:val="none"/>
        </w:rPr>
        <w:t>2.8现场统一管理协议</w:t>
      </w:r>
      <w:bookmarkEnd w:id="79"/>
    </w:p>
    <w:p w14:paraId="525A92A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发包人应与承包人、由发包人直接发包的专业工程的承包人签订施工现场统一管理协议，明确各方的权利义务。施工现场统一管理协议作为专用合同条款的附件。</w:t>
      </w:r>
    </w:p>
    <w:p w14:paraId="26CB0FC1">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80" w:name="_Toc351203518"/>
      <w:r>
        <w:rPr>
          <w:rFonts w:hint="eastAsia" w:ascii="宋体" w:hAnsi="宋体" w:eastAsia="宋体" w:cs="宋体"/>
          <w:b/>
          <w:bCs w:val="0"/>
          <w:color w:val="auto"/>
          <w:sz w:val="20"/>
          <w:szCs w:val="20"/>
          <w:highlight w:val="none"/>
        </w:rPr>
        <w:t>3</w:t>
      </w:r>
      <w:bookmarkStart w:id="81" w:name="_Toc296503045"/>
      <w:bookmarkStart w:id="82" w:name="_Toc296346546"/>
      <w:bookmarkStart w:id="83" w:name="_Toc337558746"/>
      <w:r>
        <w:rPr>
          <w:rFonts w:hint="eastAsia" w:ascii="宋体" w:hAnsi="宋体" w:eastAsia="宋体" w:cs="宋体"/>
          <w:b/>
          <w:bCs w:val="0"/>
          <w:color w:val="auto"/>
          <w:sz w:val="20"/>
          <w:szCs w:val="20"/>
          <w:highlight w:val="none"/>
        </w:rPr>
        <w:t>.承包人</w:t>
      </w:r>
      <w:bookmarkEnd w:id="80"/>
    </w:p>
    <w:bookmarkEnd w:id="81"/>
    <w:bookmarkEnd w:id="82"/>
    <w:bookmarkEnd w:id="83"/>
    <w:p w14:paraId="092BBD7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84" w:name="_Toc351203519"/>
      <w:r>
        <w:rPr>
          <w:rFonts w:hint="eastAsia" w:ascii="宋体" w:hAnsi="宋体" w:eastAsia="宋体" w:cs="宋体"/>
          <w:b/>
          <w:bCs/>
          <w:color w:val="auto"/>
          <w:sz w:val="20"/>
          <w:szCs w:val="20"/>
          <w:highlight w:val="none"/>
        </w:rPr>
        <w:t>3</w:t>
      </w:r>
      <w:bookmarkStart w:id="85" w:name="_Toc296346547"/>
      <w:bookmarkStart w:id="86" w:name="_Toc337558747"/>
      <w:bookmarkStart w:id="87" w:name="_Toc296503046"/>
      <w:r>
        <w:rPr>
          <w:rFonts w:hint="eastAsia" w:ascii="宋体" w:hAnsi="宋体" w:eastAsia="宋体" w:cs="宋体"/>
          <w:b/>
          <w:bCs/>
          <w:color w:val="auto"/>
          <w:sz w:val="20"/>
          <w:szCs w:val="20"/>
          <w:highlight w:val="none"/>
        </w:rPr>
        <w:t>.1承包人的一般义务</w:t>
      </w:r>
      <w:bookmarkEnd w:id="84"/>
    </w:p>
    <w:bookmarkEnd w:id="85"/>
    <w:bookmarkEnd w:id="86"/>
    <w:bookmarkEnd w:id="87"/>
    <w:p w14:paraId="4B67D27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承包人在履行合同过程中应遵守法律和工程建设标准规范，并履行以下义务：</w:t>
      </w:r>
    </w:p>
    <w:p w14:paraId="1CE95305">
      <w:pPr>
        <w:pageBreakBefore w:val="0"/>
        <w:widowControl w:val="0"/>
        <w:numPr>
          <w:ilvl w:val="0"/>
          <w:numId w:val="1"/>
        </w:numPr>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办理法律规定应由承包人办理的许可和批准，并将办理结果书面报送发包人留存；</w:t>
      </w:r>
    </w:p>
    <w:p w14:paraId="645BCE7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（2）按法律规定和合同约定完成工程，并在保修期内承担保修义务；</w:t>
      </w:r>
    </w:p>
    <w:p w14:paraId="0A44F8F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（3）按法律规定和合同约定采取施工安全和环境保护措施，办理工伤保险，确保工程及人员、材料、设备和设施的安全；</w:t>
      </w:r>
    </w:p>
    <w:p w14:paraId="5237B6E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（4）按合同约定的工作内容和施工进度要求，编制施工组织设计和施工措施计划，并对所有施工作业和施工方法的完备性和安全可靠性负责；</w:t>
      </w:r>
    </w:p>
    <w:p w14:paraId="0EB695C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FFC015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（6）按照第6.3款〔环境保护〕约定负责施工场地及其周边环境与生态的保护工作；</w:t>
      </w:r>
    </w:p>
    <w:p w14:paraId="2890C64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（7）按第6.1款〔安全文明施工〕约定采取施工安全措施，确保工程及其人员、材料、设备和设施的安全，防止因工程施工造成的人身伤害和财产损失；</w:t>
      </w:r>
    </w:p>
    <w:p w14:paraId="05EE248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（8）将发包人按合同约定支付的各项价款专用于合同工程，且应及时支付其雇用人员工资，并及时向分包人支付合同价款；</w:t>
      </w:r>
    </w:p>
    <w:p w14:paraId="30E71D6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（9）按照法律规定和合同约定编制竣工资料，完成竣工资料立卷及归档，并按专用合同条款约定的竣工资料的套数、内容、时间等要求移交发包人；</w:t>
      </w:r>
    </w:p>
    <w:p w14:paraId="26D5C20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（10）应履行的其他义务。</w:t>
      </w:r>
    </w:p>
    <w:p w14:paraId="57A5592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88" w:name="_Toc351203520"/>
      <w:r>
        <w:rPr>
          <w:rFonts w:hint="eastAsia" w:ascii="宋体" w:hAnsi="宋体" w:eastAsia="宋体" w:cs="宋体"/>
          <w:b/>
          <w:bCs/>
          <w:color w:val="auto"/>
          <w:sz w:val="20"/>
          <w:szCs w:val="20"/>
          <w:highlight w:val="none"/>
        </w:rPr>
        <w:t>3</w:t>
      </w:r>
      <w:bookmarkStart w:id="89" w:name="_Toc296503047"/>
      <w:bookmarkStart w:id="90" w:name="_Toc296346548"/>
      <w:bookmarkStart w:id="91" w:name="_Toc337558748"/>
      <w:r>
        <w:rPr>
          <w:rFonts w:hint="eastAsia" w:ascii="宋体" w:hAnsi="宋体" w:eastAsia="宋体" w:cs="宋体"/>
          <w:b/>
          <w:bCs/>
          <w:color w:val="auto"/>
          <w:sz w:val="20"/>
          <w:szCs w:val="20"/>
          <w:highlight w:val="none"/>
        </w:rPr>
        <w:t>.2</w:t>
      </w:r>
      <w:bookmarkEnd w:id="88"/>
      <w:r>
        <w:rPr>
          <w:rFonts w:hint="eastAsia" w:ascii="宋体" w:hAnsi="宋体" w:eastAsia="宋体" w:cs="宋体"/>
          <w:b/>
          <w:bCs/>
          <w:color w:val="auto"/>
          <w:sz w:val="20"/>
          <w:szCs w:val="20"/>
          <w:highlight w:val="none"/>
        </w:rPr>
        <w:t>项目经理</w:t>
      </w:r>
    </w:p>
    <w:bookmarkEnd w:id="89"/>
    <w:bookmarkEnd w:id="90"/>
    <w:bookmarkEnd w:id="91"/>
    <w:p w14:paraId="2B3DDDF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2C0C7B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D6CE28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承包人违反上述约定的，应按照专用合同条款的约定，承担违约责任。</w:t>
      </w:r>
    </w:p>
    <w:p w14:paraId="0A2C070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56C4ED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665086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18DCFE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51641CBA">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92" w:name="_Toc351203521"/>
      <w:r>
        <w:rPr>
          <w:rFonts w:hint="eastAsia" w:ascii="宋体" w:hAnsi="宋体" w:eastAsia="宋体" w:cs="宋体"/>
          <w:b/>
          <w:bCs/>
          <w:color w:val="auto"/>
          <w:sz w:val="20"/>
          <w:szCs w:val="20"/>
          <w:highlight w:val="none"/>
        </w:rPr>
        <w:t>3</w:t>
      </w:r>
      <w:bookmarkStart w:id="93" w:name="_Toc296503048"/>
      <w:bookmarkStart w:id="94" w:name="_Toc296346549"/>
      <w:bookmarkStart w:id="95" w:name="_Toc337558749"/>
      <w:r>
        <w:rPr>
          <w:rFonts w:hint="eastAsia" w:ascii="宋体" w:hAnsi="宋体" w:eastAsia="宋体" w:cs="宋体"/>
          <w:b/>
          <w:bCs/>
          <w:color w:val="auto"/>
          <w:sz w:val="20"/>
          <w:szCs w:val="20"/>
          <w:highlight w:val="none"/>
        </w:rPr>
        <w:t>.3</w:t>
      </w:r>
      <w:bookmarkEnd w:id="93"/>
      <w:bookmarkEnd w:id="94"/>
      <w:r>
        <w:rPr>
          <w:rFonts w:hint="eastAsia" w:ascii="宋体" w:hAnsi="宋体" w:eastAsia="宋体" w:cs="宋体"/>
          <w:b/>
          <w:bCs/>
          <w:color w:val="auto"/>
          <w:sz w:val="20"/>
          <w:szCs w:val="20"/>
          <w:highlight w:val="none"/>
        </w:rPr>
        <w:t>承包人人员</w:t>
      </w:r>
      <w:bookmarkEnd w:id="92"/>
    </w:p>
    <w:bookmarkEnd w:id="95"/>
    <w:p w14:paraId="2CF2EB7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F283F8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21032F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特殊工种作业人员均应持有相应的资格证明，监理人可以随时检查。</w:t>
      </w:r>
    </w:p>
    <w:p w14:paraId="10306DF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A231FB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6F514C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3.3.5承包人擅自更换主要施工管理人员，或前述人员未经监理人或发包人同意擅自离开施工现场的，应按照专用合同条款约定承担违约责任。</w:t>
      </w:r>
    </w:p>
    <w:p w14:paraId="04AE8C8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96" w:name="_Toc351203522"/>
      <w:r>
        <w:rPr>
          <w:rFonts w:hint="eastAsia" w:ascii="宋体" w:hAnsi="宋体" w:eastAsia="宋体" w:cs="宋体"/>
          <w:b/>
          <w:bCs/>
          <w:color w:val="auto"/>
          <w:sz w:val="20"/>
          <w:szCs w:val="20"/>
          <w:highlight w:val="none"/>
        </w:rPr>
        <w:t>3</w:t>
      </w:r>
      <w:bookmarkStart w:id="97" w:name="_Toc337558750"/>
      <w:bookmarkStart w:id="98" w:name="_Toc296346551"/>
      <w:bookmarkStart w:id="99" w:name="_Toc296503050"/>
      <w:r>
        <w:rPr>
          <w:rFonts w:hint="eastAsia" w:ascii="宋体" w:hAnsi="宋体" w:eastAsia="宋体" w:cs="宋体"/>
          <w:b/>
          <w:bCs/>
          <w:color w:val="auto"/>
          <w:sz w:val="20"/>
          <w:szCs w:val="20"/>
          <w:highlight w:val="none"/>
        </w:rPr>
        <w:t>.4承包人现场查勘</w:t>
      </w:r>
      <w:bookmarkEnd w:id="96"/>
    </w:p>
    <w:bookmarkEnd w:id="97"/>
    <w:bookmarkEnd w:id="98"/>
    <w:bookmarkEnd w:id="99"/>
    <w:p w14:paraId="3DB5D12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承包人应对基于发包人按照第2.4.3项〔提供基础资料〕提交的基础资料所做出的解释和推断负责，但因基础资料存在错误、遗漏导致承包人解释或推断失实的，由发包人承担责任。</w:t>
      </w:r>
    </w:p>
    <w:p w14:paraId="00E6F1E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938DC76">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00" w:name="_Toc351203523"/>
      <w:r>
        <w:rPr>
          <w:rFonts w:hint="eastAsia" w:ascii="宋体" w:hAnsi="宋体" w:eastAsia="宋体" w:cs="宋体"/>
          <w:b/>
          <w:bCs/>
          <w:color w:val="auto"/>
          <w:sz w:val="20"/>
          <w:szCs w:val="20"/>
          <w:highlight w:val="none"/>
        </w:rPr>
        <w:t>3</w:t>
      </w:r>
      <w:bookmarkStart w:id="101" w:name="_Toc296346552"/>
      <w:bookmarkStart w:id="102" w:name="_Toc296503051"/>
      <w:bookmarkStart w:id="103" w:name="_Toc337558751"/>
      <w:r>
        <w:rPr>
          <w:rFonts w:hint="eastAsia" w:ascii="宋体" w:hAnsi="宋体" w:eastAsia="宋体" w:cs="宋体"/>
          <w:b/>
          <w:bCs/>
          <w:color w:val="auto"/>
          <w:sz w:val="20"/>
          <w:szCs w:val="20"/>
          <w:highlight w:val="none"/>
        </w:rPr>
        <w:t>.5分包</w:t>
      </w:r>
      <w:bookmarkEnd w:id="100"/>
    </w:p>
    <w:bookmarkEnd w:id="101"/>
    <w:bookmarkEnd w:id="102"/>
    <w:bookmarkEnd w:id="103"/>
    <w:p w14:paraId="431640C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3.5.1分包的一般约定</w:t>
      </w:r>
    </w:p>
    <w:p w14:paraId="6983E9D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239C4D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承包人不得以劳务分包的名义转包或违法分包工程。</w:t>
      </w:r>
    </w:p>
    <w:p w14:paraId="12D4956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3.5.2分包的确定</w:t>
      </w:r>
    </w:p>
    <w:p w14:paraId="03CDF61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2ECF46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3.5.3分包管理</w:t>
      </w:r>
    </w:p>
    <w:p w14:paraId="4928B2B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承包人应向监理人提交分包人的主要施工管理人员表，并对分包人的施工人员进行实名制管理，包括但不限于进出场管理、登记造册以及各种证照的办理。</w:t>
      </w:r>
    </w:p>
    <w:p w14:paraId="1477275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3.5.4分包合同价款</w:t>
      </w:r>
    </w:p>
    <w:p w14:paraId="4F85009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（1）除本项第（2）目约定的情况或专用合同条款另有约定外，分包合同价款由承包人与分包人结算，未经承包人同意，发包人不得向分包人支付分包工程价款；</w:t>
      </w:r>
    </w:p>
    <w:p w14:paraId="681F0E4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（2）生效法律文书要求发包人向分包人支付分包合同价款的，发包人有权从应付承包人工程款中扣除该部分款项。</w:t>
      </w:r>
    </w:p>
    <w:p w14:paraId="6D35707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3.5.5分包合同权益的转让</w:t>
      </w:r>
    </w:p>
    <w:p w14:paraId="0642B9D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04" w:name="_Toc351203524"/>
    </w:p>
    <w:p w14:paraId="3D7F8736">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r>
        <w:rPr>
          <w:rFonts w:hint="eastAsia" w:ascii="宋体" w:hAnsi="宋体" w:eastAsia="宋体" w:cs="宋体"/>
          <w:b/>
          <w:bCs/>
          <w:color w:val="auto"/>
          <w:sz w:val="20"/>
          <w:szCs w:val="20"/>
          <w:highlight w:val="none"/>
        </w:rPr>
        <w:t>3.6工程照管与成品、半成品保护</w:t>
      </w:r>
      <w:bookmarkEnd w:id="104"/>
    </w:p>
    <w:p w14:paraId="1881E55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（1）除专用合同条款另有约定外，自发包人向承包人移交施工现场之日起，承包人应负责照管工程及工程相关的材料、工程设备，直到颁发工程接收证书之日止。</w:t>
      </w:r>
    </w:p>
    <w:p w14:paraId="535629E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（2）在承包人负责照管期间，因承包人原因造成工程、材料、工程设备损坏的，由承包人负责修复或更换，并承担由此增加的费用和（或）延误的工期。</w:t>
      </w:r>
    </w:p>
    <w:p w14:paraId="3282758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2AA09DD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05" w:name="_Toc351203525"/>
      <w:r>
        <w:rPr>
          <w:rFonts w:hint="eastAsia" w:ascii="宋体" w:hAnsi="宋体" w:eastAsia="宋体" w:cs="宋体"/>
          <w:b/>
          <w:bCs/>
          <w:color w:val="auto"/>
          <w:sz w:val="20"/>
          <w:szCs w:val="20"/>
          <w:highlight w:val="none"/>
        </w:rPr>
        <w:t>3</w:t>
      </w:r>
      <w:bookmarkStart w:id="106" w:name="_Toc337558752"/>
      <w:bookmarkStart w:id="107" w:name="_Toc296346553"/>
      <w:bookmarkStart w:id="108" w:name="_Toc296503052"/>
      <w:r>
        <w:rPr>
          <w:rFonts w:hint="eastAsia" w:ascii="宋体" w:hAnsi="宋体" w:eastAsia="宋体" w:cs="宋体"/>
          <w:b/>
          <w:bCs/>
          <w:color w:val="auto"/>
          <w:sz w:val="20"/>
          <w:szCs w:val="20"/>
          <w:highlight w:val="none"/>
        </w:rPr>
        <w:t>.7履约担保</w:t>
      </w:r>
      <w:bookmarkEnd w:id="105"/>
    </w:p>
    <w:bookmarkEnd w:id="106"/>
    <w:bookmarkEnd w:id="107"/>
    <w:bookmarkEnd w:id="108"/>
    <w:p w14:paraId="562A543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ADA636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因承包人原因导致工期延长的，继续提供履约担保所增加的费用由承包人承担；非因承包人原因导致工期延长的，继续提供履约担保所增加的费用由发包人承担。</w:t>
      </w:r>
    </w:p>
    <w:p w14:paraId="766DB03F">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09" w:name="_Toc351203526"/>
      <w:r>
        <w:rPr>
          <w:rFonts w:hint="eastAsia" w:ascii="宋体" w:hAnsi="宋体" w:eastAsia="宋体" w:cs="宋体"/>
          <w:b/>
          <w:bCs/>
          <w:color w:val="auto"/>
          <w:sz w:val="20"/>
          <w:szCs w:val="20"/>
          <w:highlight w:val="none"/>
        </w:rPr>
        <w:t>3.8联合体</w:t>
      </w:r>
      <w:bookmarkEnd w:id="109"/>
    </w:p>
    <w:p w14:paraId="10560F7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3.8.1联合体各方应共同与发包人签订合同协议书。联合体各方应为履行合同向发包人承担连带责任。</w:t>
      </w:r>
    </w:p>
    <w:p w14:paraId="55D64FD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3.8.2联合体协议经发包人确认后作为合同附件。在履行合同过程中，未经发包人同意，不得修改联合体协议。</w:t>
      </w:r>
    </w:p>
    <w:p w14:paraId="33B99DB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3.8.3联合体牵头人负责与发包人和监理人联系，并接受指示，负责组织联合体各成员全面履行合同。</w:t>
      </w:r>
    </w:p>
    <w:p w14:paraId="54E7A83D">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110" w:name="_Toc351203527"/>
      <w:r>
        <w:rPr>
          <w:rFonts w:hint="eastAsia" w:ascii="宋体" w:hAnsi="宋体" w:eastAsia="宋体" w:cs="宋体"/>
          <w:b/>
          <w:bCs w:val="0"/>
          <w:color w:val="auto"/>
          <w:sz w:val="20"/>
          <w:szCs w:val="20"/>
          <w:highlight w:val="none"/>
        </w:rPr>
        <w:t>4</w:t>
      </w:r>
      <w:bookmarkStart w:id="111" w:name="_Toc296503053"/>
      <w:bookmarkStart w:id="112" w:name="_Toc296346554"/>
      <w:bookmarkStart w:id="113" w:name="_Toc337558753"/>
      <w:r>
        <w:rPr>
          <w:rFonts w:hint="eastAsia" w:ascii="宋体" w:hAnsi="宋体" w:eastAsia="宋体" w:cs="宋体"/>
          <w:b/>
          <w:bCs w:val="0"/>
          <w:color w:val="auto"/>
          <w:sz w:val="20"/>
          <w:szCs w:val="20"/>
          <w:highlight w:val="none"/>
        </w:rPr>
        <w:t>.监</w:t>
      </w:r>
      <w:bookmarkEnd w:id="111"/>
      <w:bookmarkEnd w:id="112"/>
      <w:r>
        <w:rPr>
          <w:rFonts w:hint="eastAsia" w:ascii="宋体" w:hAnsi="宋体" w:eastAsia="宋体" w:cs="宋体"/>
          <w:b/>
          <w:bCs w:val="0"/>
          <w:color w:val="auto"/>
          <w:sz w:val="20"/>
          <w:szCs w:val="20"/>
          <w:highlight w:val="none"/>
        </w:rPr>
        <w:t>理人</w:t>
      </w:r>
      <w:bookmarkEnd w:id="110"/>
    </w:p>
    <w:bookmarkEnd w:id="113"/>
    <w:p w14:paraId="2ACD46D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14" w:name="_Toc351203528"/>
      <w:r>
        <w:rPr>
          <w:rFonts w:hint="eastAsia" w:ascii="宋体" w:hAnsi="宋体" w:eastAsia="宋体" w:cs="宋体"/>
          <w:b/>
          <w:bCs/>
          <w:color w:val="auto"/>
          <w:sz w:val="20"/>
          <w:szCs w:val="20"/>
          <w:highlight w:val="none"/>
        </w:rPr>
        <w:t>4</w:t>
      </w:r>
      <w:bookmarkStart w:id="115" w:name="_Toc296503054"/>
      <w:bookmarkStart w:id="116" w:name="_Toc296346555"/>
      <w:bookmarkStart w:id="117" w:name="_Toc337558754"/>
      <w:r>
        <w:rPr>
          <w:rFonts w:hint="eastAsia" w:ascii="宋体" w:hAnsi="宋体" w:eastAsia="宋体" w:cs="宋体"/>
          <w:b/>
          <w:bCs/>
          <w:color w:val="auto"/>
          <w:sz w:val="20"/>
          <w:szCs w:val="20"/>
          <w:highlight w:val="none"/>
        </w:rPr>
        <w:t>.1监理人的一般规定</w:t>
      </w:r>
      <w:bookmarkEnd w:id="114"/>
    </w:p>
    <w:bookmarkEnd w:id="115"/>
    <w:bookmarkEnd w:id="116"/>
    <w:bookmarkEnd w:id="117"/>
    <w:p w14:paraId="153D4B4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D6CD89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除专用合同条款另有约定外，监理人在施工现场的办公场所、生活场所由承包人提供，所发生的费用由发包人承担。</w:t>
      </w:r>
    </w:p>
    <w:p w14:paraId="53A32D48">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18" w:name="_Toc351203529"/>
      <w:r>
        <w:rPr>
          <w:rFonts w:hint="eastAsia" w:ascii="宋体" w:hAnsi="宋体" w:eastAsia="宋体" w:cs="宋体"/>
          <w:b/>
          <w:bCs/>
          <w:color w:val="auto"/>
          <w:sz w:val="20"/>
          <w:szCs w:val="20"/>
          <w:highlight w:val="none"/>
        </w:rPr>
        <w:t>4</w:t>
      </w:r>
      <w:bookmarkStart w:id="119" w:name="_Toc337558755"/>
      <w:r>
        <w:rPr>
          <w:rFonts w:hint="eastAsia" w:ascii="宋体" w:hAnsi="宋体" w:eastAsia="宋体" w:cs="宋体"/>
          <w:b/>
          <w:bCs/>
          <w:color w:val="auto"/>
          <w:sz w:val="20"/>
          <w:szCs w:val="20"/>
          <w:highlight w:val="none"/>
        </w:rPr>
        <w:t>.2监理人员</w:t>
      </w:r>
      <w:bookmarkEnd w:id="118"/>
    </w:p>
    <w:bookmarkEnd w:id="119"/>
    <w:p w14:paraId="3169B7D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C7484C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120" w:name="_Toc351203530"/>
      <w:r>
        <w:rPr>
          <w:rFonts w:hint="eastAsia" w:ascii="宋体" w:hAnsi="宋体" w:eastAsia="宋体" w:cs="宋体"/>
          <w:b/>
          <w:bCs/>
          <w:color w:val="auto"/>
          <w:sz w:val="20"/>
          <w:szCs w:val="20"/>
          <w:highlight w:val="none"/>
        </w:rPr>
        <w:t>4</w:t>
      </w:r>
      <w:bookmarkStart w:id="121" w:name="_Toc296503055"/>
      <w:bookmarkStart w:id="122" w:name="_Toc296346556"/>
      <w:bookmarkStart w:id="123" w:name="_Toc337558756"/>
      <w:r>
        <w:rPr>
          <w:rFonts w:hint="eastAsia" w:ascii="宋体" w:hAnsi="宋体" w:eastAsia="宋体" w:cs="宋体"/>
          <w:b/>
          <w:bCs/>
          <w:color w:val="auto"/>
          <w:sz w:val="20"/>
          <w:szCs w:val="20"/>
          <w:highlight w:val="none"/>
        </w:rPr>
        <w:t>.3</w:t>
      </w:r>
      <w:bookmarkEnd w:id="121"/>
      <w:bookmarkEnd w:id="122"/>
      <w:r>
        <w:rPr>
          <w:rFonts w:hint="eastAsia" w:ascii="宋体" w:hAnsi="宋体" w:eastAsia="宋体" w:cs="宋体"/>
          <w:b/>
          <w:bCs/>
          <w:color w:val="auto"/>
          <w:sz w:val="20"/>
          <w:szCs w:val="20"/>
          <w:highlight w:val="none"/>
        </w:rPr>
        <w:t>监理人的指</w:t>
      </w:r>
      <w:bookmarkEnd w:id="123"/>
      <w:r>
        <w:rPr>
          <w:rFonts w:hint="eastAsia" w:ascii="宋体" w:hAnsi="宋体" w:eastAsia="宋体" w:cs="宋体"/>
          <w:b/>
          <w:bCs/>
          <w:color w:val="auto"/>
          <w:sz w:val="20"/>
          <w:szCs w:val="20"/>
          <w:highlight w:val="none"/>
        </w:rPr>
        <w:t>示</w:t>
      </w:r>
      <w:bookmarkEnd w:id="120"/>
    </w:p>
    <w:p w14:paraId="210A435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451EE3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D164DF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承包人对监理人发出的指示有疑问的，应向监理人提出书面异议，监理人应在48小时内对该指示予以确认、更改或撤销，监理人逾期未回复的，承包人有权拒绝执行上述指示。</w:t>
      </w:r>
    </w:p>
    <w:p w14:paraId="462AD5D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1BF405A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val="0"/>
          <w:color w:val="auto"/>
          <w:sz w:val="20"/>
          <w:szCs w:val="20"/>
          <w:highlight w:val="none"/>
        </w:rPr>
      </w:pPr>
      <w:bookmarkStart w:id="124" w:name="_Toc351203531"/>
      <w:r>
        <w:rPr>
          <w:rFonts w:hint="eastAsia" w:ascii="宋体" w:hAnsi="宋体" w:eastAsia="宋体" w:cs="宋体"/>
          <w:b/>
          <w:bCs w:val="0"/>
          <w:color w:val="auto"/>
          <w:sz w:val="20"/>
          <w:szCs w:val="20"/>
          <w:highlight w:val="none"/>
        </w:rPr>
        <w:t>4</w:t>
      </w:r>
      <w:bookmarkStart w:id="125" w:name="_Toc296503057"/>
      <w:bookmarkStart w:id="126" w:name="_Toc337558757"/>
      <w:bookmarkStart w:id="127" w:name="_Toc296346558"/>
      <w:r>
        <w:rPr>
          <w:rFonts w:hint="eastAsia" w:ascii="宋体" w:hAnsi="宋体" w:eastAsia="宋体" w:cs="宋体"/>
          <w:b/>
          <w:bCs w:val="0"/>
          <w:color w:val="auto"/>
          <w:sz w:val="20"/>
          <w:szCs w:val="20"/>
          <w:highlight w:val="none"/>
        </w:rPr>
        <w:t>.4商定或确定</w:t>
      </w:r>
      <w:bookmarkEnd w:id="124"/>
    </w:p>
    <w:bookmarkEnd w:id="125"/>
    <w:bookmarkEnd w:id="126"/>
    <w:bookmarkEnd w:id="127"/>
    <w:p w14:paraId="2E370C4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合同当事人进行商定或确定时，总监理工程师应当会同合同当事人尽量通过协商达成一致，不能达成一致的，由总监理工程师按照合同约定审慎做出公正的确定。</w:t>
      </w:r>
    </w:p>
    <w:p w14:paraId="3DF8794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2D96FC8">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128" w:name="_Toc351203532"/>
      <w:r>
        <w:rPr>
          <w:rFonts w:hint="eastAsia" w:ascii="宋体" w:hAnsi="宋体" w:eastAsia="宋体" w:cs="宋体"/>
          <w:b/>
          <w:bCs w:val="0"/>
          <w:color w:val="auto"/>
          <w:sz w:val="20"/>
          <w:szCs w:val="20"/>
          <w:highlight w:val="none"/>
        </w:rPr>
        <w:t>5</w:t>
      </w:r>
      <w:bookmarkStart w:id="129" w:name="_Toc337558758"/>
      <w:r>
        <w:rPr>
          <w:rFonts w:hint="eastAsia" w:ascii="宋体" w:hAnsi="宋体" w:eastAsia="宋体" w:cs="宋体"/>
          <w:b/>
          <w:bCs w:val="0"/>
          <w:color w:val="auto"/>
          <w:sz w:val="20"/>
          <w:szCs w:val="20"/>
          <w:highlight w:val="none"/>
        </w:rPr>
        <w:t>.工程质量</w:t>
      </w:r>
      <w:bookmarkEnd w:id="128"/>
    </w:p>
    <w:bookmarkEnd w:id="129"/>
    <w:p w14:paraId="067BFF45">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130" w:name="_Toc351203533"/>
      <w:r>
        <w:rPr>
          <w:rFonts w:hint="eastAsia" w:ascii="宋体" w:hAnsi="宋体" w:eastAsia="宋体" w:cs="宋体"/>
          <w:b/>
          <w:bCs/>
          <w:color w:val="auto"/>
          <w:sz w:val="20"/>
          <w:szCs w:val="20"/>
          <w:highlight w:val="none"/>
        </w:rPr>
        <w:t>5</w:t>
      </w:r>
      <w:bookmarkStart w:id="131" w:name="_Toc337558759"/>
      <w:r>
        <w:rPr>
          <w:rFonts w:hint="eastAsia" w:ascii="宋体" w:hAnsi="宋体" w:eastAsia="宋体" w:cs="宋体"/>
          <w:b/>
          <w:bCs/>
          <w:color w:val="auto"/>
          <w:sz w:val="20"/>
          <w:szCs w:val="20"/>
          <w:highlight w:val="none"/>
        </w:rPr>
        <w:t>.1质量要求</w:t>
      </w:r>
      <w:bookmarkEnd w:id="130"/>
    </w:p>
    <w:bookmarkEnd w:id="131"/>
    <w:p w14:paraId="1A042FF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5.1.1工程质量标准必须符合现行国家有关工程施工质量验收规范和标准的要求。有关工程质量的特殊标准或要求由合同当事人在专用合同条款中约定。</w:t>
      </w:r>
    </w:p>
    <w:p w14:paraId="5DD4025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5.1.2因发包人原因造成工程质量未达到合同约定标准的，由发包人承担由此增加的费用和（或）延误的工期，并支付承包人合理的利润。</w:t>
      </w:r>
    </w:p>
    <w:p w14:paraId="7BFF667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5.1.3因承包人原因造成工程质量未达到合同约定标准的，发包人有权要求承包人返工直至工程质量达到合同约定的标准为止，并由承包人承担由此增加的费用和（或）延误的工期。</w:t>
      </w:r>
    </w:p>
    <w:p w14:paraId="3496F6B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32" w:name="_Toc351203534"/>
      <w:r>
        <w:rPr>
          <w:rFonts w:hint="eastAsia" w:ascii="宋体" w:hAnsi="宋体" w:eastAsia="宋体" w:cs="宋体"/>
          <w:b/>
          <w:bCs/>
          <w:color w:val="auto"/>
          <w:sz w:val="20"/>
          <w:szCs w:val="20"/>
          <w:highlight w:val="none"/>
        </w:rPr>
        <w:t>5</w:t>
      </w:r>
      <w:bookmarkStart w:id="133" w:name="_Toc337558760"/>
      <w:r>
        <w:rPr>
          <w:rFonts w:hint="eastAsia" w:ascii="宋体" w:hAnsi="宋体" w:eastAsia="宋体" w:cs="宋体"/>
          <w:b/>
          <w:bCs/>
          <w:color w:val="auto"/>
          <w:sz w:val="20"/>
          <w:szCs w:val="20"/>
          <w:highlight w:val="none"/>
        </w:rPr>
        <w:t>.2质量保证措施</w:t>
      </w:r>
      <w:bookmarkEnd w:id="132"/>
    </w:p>
    <w:bookmarkEnd w:id="133"/>
    <w:p w14:paraId="52BA17B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bookmarkStart w:id="134" w:name="_Toc8691"/>
      <w:bookmarkStart w:id="135" w:name="_Toc21842"/>
      <w:bookmarkStart w:id="136" w:name="_Toc9178"/>
      <w:bookmarkStart w:id="137" w:name="_Toc26332"/>
      <w:r>
        <w:rPr>
          <w:rFonts w:hint="eastAsia" w:ascii="宋体" w:hAnsi="宋体" w:eastAsia="宋体" w:cs="宋体"/>
          <w:color w:val="auto"/>
          <w:kern w:val="0"/>
          <w:sz w:val="20"/>
          <w:szCs w:val="20"/>
          <w:highlight w:val="none"/>
        </w:rPr>
        <w:t>5.2.1发包人的质量管理</w:t>
      </w:r>
      <w:bookmarkEnd w:id="134"/>
      <w:bookmarkEnd w:id="135"/>
      <w:bookmarkEnd w:id="136"/>
      <w:bookmarkEnd w:id="137"/>
    </w:p>
    <w:p w14:paraId="11F208B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发包人应按照法律规定及合同约定完成与工程质量有关的各项工作。</w:t>
      </w:r>
    </w:p>
    <w:p w14:paraId="33611B4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5.2.2承包人的质量管理</w:t>
      </w:r>
    </w:p>
    <w:p w14:paraId="7A9838F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67F68D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承包人应对施工人员进行质量教育和技术培训，定期考核施工人员的劳动技能，严格执行施工规范和操作规程。</w:t>
      </w:r>
    </w:p>
    <w:p w14:paraId="1D87A5A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BCA076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bookmarkStart w:id="138" w:name="_Toc21916"/>
      <w:bookmarkStart w:id="139" w:name="_Toc15458"/>
      <w:bookmarkStart w:id="140" w:name="_Toc11528"/>
      <w:bookmarkStart w:id="141" w:name="_Toc6871"/>
      <w:r>
        <w:rPr>
          <w:rFonts w:hint="eastAsia" w:ascii="宋体" w:hAnsi="宋体" w:eastAsia="宋体" w:cs="宋体"/>
          <w:color w:val="auto"/>
          <w:kern w:val="0"/>
          <w:sz w:val="20"/>
          <w:szCs w:val="20"/>
          <w:highlight w:val="none"/>
        </w:rPr>
        <w:t>5.2.3监理人的质量检查和检验</w:t>
      </w:r>
      <w:bookmarkEnd w:id="138"/>
      <w:bookmarkEnd w:id="139"/>
      <w:bookmarkEnd w:id="140"/>
      <w:bookmarkEnd w:id="141"/>
    </w:p>
    <w:p w14:paraId="03FD98A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BF393B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8E54352">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42" w:name="_Toc351203535"/>
      <w:r>
        <w:rPr>
          <w:rFonts w:hint="eastAsia" w:ascii="宋体" w:hAnsi="宋体" w:eastAsia="宋体" w:cs="宋体"/>
          <w:b/>
          <w:bCs/>
          <w:color w:val="auto"/>
          <w:sz w:val="20"/>
          <w:szCs w:val="20"/>
          <w:highlight w:val="none"/>
        </w:rPr>
        <w:t>5</w:t>
      </w:r>
      <w:bookmarkStart w:id="143" w:name="_Toc337558761"/>
      <w:r>
        <w:rPr>
          <w:rFonts w:hint="eastAsia" w:ascii="宋体" w:hAnsi="宋体" w:eastAsia="宋体" w:cs="宋体"/>
          <w:b/>
          <w:bCs/>
          <w:color w:val="auto"/>
          <w:sz w:val="20"/>
          <w:szCs w:val="20"/>
          <w:highlight w:val="none"/>
        </w:rPr>
        <w:t>.3隐蔽工程检查</w:t>
      </w:r>
      <w:bookmarkEnd w:id="142"/>
    </w:p>
    <w:bookmarkEnd w:id="143"/>
    <w:p w14:paraId="71A8604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5.3.1承包人自检</w:t>
      </w:r>
    </w:p>
    <w:p w14:paraId="191DDEC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承包人应当对工程隐蔽部位进行自检，并经自检确认是否具备覆盖条件。</w:t>
      </w:r>
    </w:p>
    <w:p w14:paraId="796EA82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5.3.2检查程序</w:t>
      </w:r>
    </w:p>
    <w:p w14:paraId="6DAC7C0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C9FF5D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2D095B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DEC0EE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5.3.3重新检查</w:t>
      </w:r>
    </w:p>
    <w:p w14:paraId="7B09354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D11CD2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5.3.4承包人私自覆盖</w:t>
      </w:r>
    </w:p>
    <w:p w14:paraId="175EEA8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F9E3AC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144" w:name="_Toc351203536"/>
      <w:r>
        <w:rPr>
          <w:rFonts w:hint="eastAsia" w:ascii="宋体" w:hAnsi="宋体" w:eastAsia="宋体" w:cs="宋体"/>
          <w:b/>
          <w:bCs/>
          <w:color w:val="auto"/>
          <w:sz w:val="20"/>
          <w:szCs w:val="20"/>
          <w:highlight w:val="none"/>
        </w:rPr>
        <w:t>5</w:t>
      </w:r>
      <w:bookmarkStart w:id="145" w:name="_Toc337558762"/>
      <w:r>
        <w:rPr>
          <w:rFonts w:hint="eastAsia" w:ascii="宋体" w:hAnsi="宋体" w:eastAsia="宋体" w:cs="宋体"/>
          <w:b/>
          <w:bCs/>
          <w:color w:val="auto"/>
          <w:sz w:val="20"/>
          <w:szCs w:val="20"/>
          <w:highlight w:val="none"/>
        </w:rPr>
        <w:t>.4不合格工程的处理</w:t>
      </w:r>
      <w:bookmarkEnd w:id="144"/>
    </w:p>
    <w:bookmarkEnd w:id="145"/>
    <w:p w14:paraId="681D13C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3D2FBB8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5.4.2因发包人原因造成工程不合格的，由此增加的费用和（或）延误的工期由发包人承担，并支付承包人合理的利润。</w:t>
      </w:r>
    </w:p>
    <w:p w14:paraId="495A701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46" w:name="_Toc351203537"/>
      <w:r>
        <w:rPr>
          <w:rFonts w:hint="eastAsia" w:ascii="宋体" w:hAnsi="宋体" w:eastAsia="宋体" w:cs="宋体"/>
          <w:b/>
          <w:bCs/>
          <w:color w:val="auto"/>
          <w:sz w:val="20"/>
          <w:szCs w:val="20"/>
          <w:highlight w:val="none"/>
        </w:rPr>
        <w:t>5.5质量争议检测</w:t>
      </w:r>
      <w:bookmarkEnd w:id="146"/>
    </w:p>
    <w:p w14:paraId="34F2672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合同当事人对工程质量有争议的，由双方协商确定的工程质量检测机构鉴定，由此产生的费用及因此造成的损失，由责任方承担。</w:t>
      </w:r>
    </w:p>
    <w:p w14:paraId="2A9317E2">
      <w:pPr>
        <w:pageBreakBefore w:val="0"/>
        <w:widowControl w:val="0"/>
        <w:kinsoku/>
        <w:wordWrap/>
        <w:overflowPunct/>
        <w:topLinePunct w:val="0"/>
        <w:autoSpaceDE w:val="0"/>
        <w:autoSpaceDN w:val="0"/>
        <w:bidi w:val="0"/>
        <w:adjustRightInd w:val="0"/>
        <w:snapToGrid/>
        <w:spacing w:line="360" w:lineRule="exact"/>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合同当事人均有责任的，由双方根据其责任分别承担。合同当事人无法达成一致的，按照第4.4款〔商定或确定〕执行。</w:t>
      </w:r>
    </w:p>
    <w:p w14:paraId="0EDF1836">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val="0"/>
          <w:color w:val="auto"/>
          <w:sz w:val="20"/>
          <w:szCs w:val="20"/>
          <w:highlight w:val="none"/>
        </w:rPr>
      </w:pPr>
      <w:bookmarkStart w:id="147" w:name="_Toc351203538"/>
      <w:r>
        <w:rPr>
          <w:rFonts w:hint="eastAsia" w:ascii="宋体" w:hAnsi="宋体" w:eastAsia="宋体" w:cs="宋体"/>
          <w:b/>
          <w:bCs w:val="0"/>
          <w:color w:val="auto"/>
          <w:sz w:val="20"/>
          <w:szCs w:val="20"/>
          <w:highlight w:val="none"/>
        </w:rPr>
        <w:t>6</w:t>
      </w:r>
      <w:bookmarkStart w:id="148" w:name="_Toc337558763"/>
      <w:r>
        <w:rPr>
          <w:rFonts w:hint="eastAsia" w:ascii="宋体" w:hAnsi="宋体" w:eastAsia="宋体" w:cs="宋体"/>
          <w:b/>
          <w:bCs w:val="0"/>
          <w:color w:val="auto"/>
          <w:sz w:val="20"/>
          <w:szCs w:val="20"/>
          <w:highlight w:val="none"/>
        </w:rPr>
        <w:t>.安全文明施工与环境保护</w:t>
      </w:r>
      <w:bookmarkEnd w:id="147"/>
    </w:p>
    <w:bookmarkEnd w:id="148"/>
    <w:p w14:paraId="07A89395">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49" w:name="_Toc351203539"/>
      <w:r>
        <w:rPr>
          <w:rFonts w:hint="eastAsia" w:ascii="宋体" w:hAnsi="宋体" w:eastAsia="宋体" w:cs="宋体"/>
          <w:b/>
          <w:bCs/>
          <w:color w:val="auto"/>
          <w:sz w:val="20"/>
          <w:szCs w:val="20"/>
          <w:highlight w:val="none"/>
        </w:rPr>
        <w:t>6</w:t>
      </w:r>
      <w:bookmarkStart w:id="150" w:name="_Toc337558764"/>
      <w:r>
        <w:rPr>
          <w:rFonts w:hint="eastAsia" w:ascii="宋体" w:hAnsi="宋体" w:eastAsia="宋体" w:cs="宋体"/>
          <w:b/>
          <w:bCs/>
          <w:color w:val="auto"/>
          <w:sz w:val="20"/>
          <w:szCs w:val="20"/>
          <w:highlight w:val="none"/>
        </w:rPr>
        <w:t>.1安全文明施工</w:t>
      </w:r>
      <w:bookmarkEnd w:id="149"/>
    </w:p>
    <w:bookmarkEnd w:id="150"/>
    <w:p w14:paraId="6B780EA1">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6.1.1安全生产要求</w:t>
      </w:r>
    </w:p>
    <w:p w14:paraId="1AFAC53B">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46BE505">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0"/>
          <w:szCs w:val="20"/>
          <w:highlight w:val="none"/>
        </w:rPr>
        <w:t>政府有关行政管理部门</w:t>
      </w:r>
      <w:r>
        <w:rPr>
          <w:rFonts w:hint="eastAsia" w:ascii="宋体" w:hAnsi="宋体" w:eastAsia="宋体" w:cs="宋体"/>
          <w:color w:val="auto"/>
          <w:sz w:val="20"/>
          <w:szCs w:val="20"/>
          <w:highlight w:val="none"/>
        </w:rPr>
        <w:t>采取应急措施。</w:t>
      </w:r>
    </w:p>
    <w:p w14:paraId="347B4362">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因安全生产需要暂停施工的，按照第7.8款〔暂停施工〕的约定执行。</w:t>
      </w:r>
    </w:p>
    <w:p w14:paraId="6CF92E86">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6.1.2安全生产保证措施</w:t>
      </w:r>
    </w:p>
    <w:p w14:paraId="285F5CB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承包人应当按照有关</w:t>
      </w:r>
      <w:r>
        <w:rPr>
          <w:rFonts w:hint="eastAsia" w:ascii="宋体" w:hAnsi="宋体" w:eastAsia="宋体" w:cs="宋体"/>
          <w:color w:val="auto"/>
          <w:kern w:val="0"/>
          <w:sz w:val="20"/>
          <w:szCs w:val="20"/>
          <w:highlight w:val="none"/>
        </w:rPr>
        <w:t>规定编制安全技术措施或者专项施工方案，</w:t>
      </w:r>
      <w:r>
        <w:rPr>
          <w:rFonts w:hint="eastAsia" w:ascii="宋体" w:hAnsi="宋体" w:eastAsia="宋体" w:cs="宋体"/>
          <w:color w:val="auto"/>
          <w:sz w:val="20"/>
          <w:szCs w:val="20"/>
          <w:highlight w:val="none"/>
        </w:rPr>
        <w:t>建立安全生产责任制度、治安保卫制度及安全生产教育培训制度，并</w:t>
      </w:r>
      <w:r>
        <w:rPr>
          <w:rFonts w:hint="eastAsia" w:ascii="宋体" w:hAnsi="宋体" w:eastAsia="宋体" w:cs="宋体"/>
          <w:color w:val="auto"/>
          <w:kern w:val="0"/>
          <w:sz w:val="20"/>
          <w:szCs w:val="20"/>
          <w:highlight w:val="none"/>
        </w:rPr>
        <w:t>按安全生产法律规定及合同约定履行安全职责，如实</w:t>
      </w:r>
      <w:r>
        <w:rPr>
          <w:rFonts w:hint="eastAsia" w:ascii="宋体" w:hAnsi="宋体" w:eastAsia="宋体" w:cs="宋体"/>
          <w:color w:val="auto"/>
          <w:sz w:val="20"/>
          <w:szCs w:val="20"/>
          <w:highlight w:val="none"/>
        </w:rPr>
        <w:t>编制工程安全生产的有关记录，</w:t>
      </w:r>
      <w:r>
        <w:rPr>
          <w:rFonts w:hint="eastAsia" w:ascii="宋体" w:hAnsi="宋体" w:eastAsia="宋体" w:cs="宋体"/>
          <w:color w:val="auto"/>
          <w:kern w:val="0"/>
          <w:sz w:val="20"/>
          <w:szCs w:val="20"/>
          <w:highlight w:val="none"/>
        </w:rPr>
        <w:t>接受发包人、监理人及政府安全监督部门的检查与监督。</w:t>
      </w:r>
    </w:p>
    <w:p w14:paraId="07FBF819">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6.1.3特别安全生产事项</w:t>
      </w:r>
    </w:p>
    <w:p w14:paraId="3CF24227">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844739E">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承包人在动力设备、输电线路、地下管道、密封防震车间、易燃易爆地段以及临街交通要道附近施工时，施工开始前应向发包人和监理人提出安全防护措施，经发包人认可后实施。</w:t>
      </w:r>
    </w:p>
    <w:p w14:paraId="18B6C169">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5970818">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需单独编制危险性较大分部分项专项工程施工方案的，及要求进行专家论证的超过一定规模的危险性较大的分部分项工程，承包人应及时编制和组织论证。</w:t>
      </w:r>
    </w:p>
    <w:p w14:paraId="6E9E0180">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6.1.4治安保卫</w:t>
      </w:r>
    </w:p>
    <w:p w14:paraId="69106887">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除专用合同条款另有约定外，发包人应与当地公安部门协商，在现场建立治安管理机构或联防组织，统一管理施工场地的治安保卫事项，履行合同工程的治安保卫职责。</w:t>
      </w:r>
    </w:p>
    <w:p w14:paraId="0FC41140">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发包人和承包人除应协助现场治安管理机构或联防组织维护施工场地的社会治安外，还应做好包括生活区在内的各自管辖区的治安保卫工作。</w:t>
      </w:r>
    </w:p>
    <w:p w14:paraId="09E70052">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A6024D2">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6.1.5文明施工</w:t>
      </w:r>
    </w:p>
    <w:p w14:paraId="02262AB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5D385C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024EE97">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6.1.6安全文明施工费</w:t>
      </w:r>
    </w:p>
    <w:p w14:paraId="01F1ADA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安全文明施工费由发包人承担，发包人不得以任何形式扣减该部分费用。因基准日期后合同所适用的法律或政府有关规定发生变化，增加的安全文明施工费由发包人承担。</w:t>
      </w:r>
    </w:p>
    <w:p w14:paraId="28DF18F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00CF81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除专用合同条款另有约定外，发包人应在开工后28天内预付安全文明施工费总额的</w:t>
      </w:r>
      <w:r>
        <w:rPr>
          <w:rFonts w:hint="eastAsia" w:ascii="宋体" w:hAnsi="宋体" w:eastAsia="宋体" w:cs="宋体"/>
          <w:color w:val="auto"/>
          <w:kern w:val="0"/>
          <w:sz w:val="20"/>
          <w:szCs w:val="20"/>
          <w:highlight w:val="none"/>
          <w:lang w:eastAsia="zh-CN"/>
        </w:rPr>
        <w:t>30</w:t>
      </w:r>
      <w:r>
        <w:rPr>
          <w:rFonts w:hint="eastAsia" w:ascii="宋体" w:hAnsi="宋体" w:eastAsia="宋体" w:cs="宋体"/>
          <w:color w:val="auto"/>
          <w:kern w:val="0"/>
          <w:sz w:val="20"/>
          <w:szCs w:val="20"/>
          <w:highlight w:val="none"/>
        </w:rPr>
        <w:t>%，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5FAD2D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8E287A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6.1.7紧急情况处理</w:t>
      </w:r>
    </w:p>
    <w:p w14:paraId="215B818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EA696B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6.1.8事故处理</w:t>
      </w:r>
    </w:p>
    <w:p w14:paraId="0455F81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7D5124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6.1.9安全生产责任</w:t>
      </w:r>
    </w:p>
    <w:p w14:paraId="51F8C31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6.1.9.1发包人的安全责任</w:t>
      </w:r>
    </w:p>
    <w:p w14:paraId="62FAA9E3">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发包人应负责赔偿以下各种情况造成的损失：</w:t>
      </w:r>
    </w:p>
    <w:p w14:paraId="65A9C283">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（1）工程或工程的任何部分对土地的占用所造成的第三者财产损失；</w:t>
      </w:r>
    </w:p>
    <w:p w14:paraId="166EC295">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（2）由于发包人原因在施工场地及其毗邻地带造成的第三者人身伤亡和财产损失；</w:t>
      </w:r>
    </w:p>
    <w:p w14:paraId="7C922555">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（3）由于发包人原因对承包人、监理人造成的人员人身伤亡和财产损失；</w:t>
      </w:r>
    </w:p>
    <w:p w14:paraId="2D40DC31">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（4）由于发包人原因造成的发包人自身人员的人身伤害以及财产损失。</w:t>
      </w:r>
    </w:p>
    <w:p w14:paraId="3E9931C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6.1.9.2承包人的安全责任</w:t>
      </w:r>
    </w:p>
    <w:p w14:paraId="11C0C014">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由于承包人原因在施工场地内及其毗邻地带造成的发包人、监理人以及第三者人员伤亡和财产损失，由承包人负责赔偿。</w:t>
      </w:r>
    </w:p>
    <w:p w14:paraId="21FA603C">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51" w:name="_Toc351203540"/>
      <w:r>
        <w:rPr>
          <w:rFonts w:hint="eastAsia" w:ascii="宋体" w:hAnsi="宋体" w:eastAsia="宋体" w:cs="宋体"/>
          <w:b/>
          <w:bCs/>
          <w:color w:val="auto"/>
          <w:sz w:val="20"/>
          <w:szCs w:val="20"/>
          <w:highlight w:val="none"/>
        </w:rPr>
        <w:t>6</w:t>
      </w:r>
      <w:bookmarkStart w:id="152" w:name="_Toc337558765"/>
      <w:r>
        <w:rPr>
          <w:rFonts w:hint="eastAsia" w:ascii="宋体" w:hAnsi="宋体" w:eastAsia="宋体" w:cs="宋体"/>
          <w:b/>
          <w:bCs/>
          <w:color w:val="auto"/>
          <w:sz w:val="20"/>
          <w:szCs w:val="20"/>
          <w:highlight w:val="none"/>
        </w:rPr>
        <w:t>.2职业健康</w:t>
      </w:r>
      <w:bookmarkEnd w:id="151"/>
    </w:p>
    <w:bookmarkEnd w:id="152"/>
    <w:p w14:paraId="6C90C4B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6.2.1劳动保护</w:t>
      </w:r>
    </w:p>
    <w:p w14:paraId="7446362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DF8ED5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ADDB0A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E75DFE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6.2.2生活条件</w:t>
      </w:r>
    </w:p>
    <w:p w14:paraId="07E7250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742F521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153" w:name="_Toc351203541"/>
      <w:r>
        <w:rPr>
          <w:rFonts w:hint="eastAsia" w:ascii="宋体" w:hAnsi="宋体" w:eastAsia="宋体" w:cs="宋体"/>
          <w:b/>
          <w:bCs/>
          <w:color w:val="auto"/>
          <w:sz w:val="20"/>
          <w:szCs w:val="20"/>
          <w:highlight w:val="none"/>
        </w:rPr>
        <w:t>6</w:t>
      </w:r>
      <w:bookmarkStart w:id="154" w:name="_Toc337558766"/>
      <w:r>
        <w:rPr>
          <w:rFonts w:hint="eastAsia" w:ascii="宋体" w:hAnsi="宋体" w:eastAsia="宋体" w:cs="宋体"/>
          <w:b/>
          <w:bCs/>
          <w:color w:val="auto"/>
          <w:sz w:val="20"/>
          <w:szCs w:val="20"/>
          <w:highlight w:val="none"/>
        </w:rPr>
        <w:t>.3环境保护</w:t>
      </w:r>
      <w:bookmarkEnd w:id="153"/>
    </w:p>
    <w:bookmarkEnd w:id="154"/>
    <w:p w14:paraId="5BAC689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296D7F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承包人应当承担因其原因引起的环境污染侵权损害赔偿责任，因上述环境污染引起纠纷而导致暂停施工的，由此增加的费用和（或）延误的工期由承包人承担。</w:t>
      </w:r>
    </w:p>
    <w:p w14:paraId="73F127F4">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155" w:name="_Toc351203542"/>
      <w:r>
        <w:rPr>
          <w:rFonts w:hint="eastAsia" w:ascii="宋体" w:hAnsi="宋体" w:eastAsia="宋体" w:cs="宋体"/>
          <w:b/>
          <w:bCs w:val="0"/>
          <w:color w:val="auto"/>
          <w:sz w:val="20"/>
          <w:szCs w:val="20"/>
          <w:highlight w:val="none"/>
        </w:rPr>
        <w:t>7</w:t>
      </w:r>
      <w:bookmarkStart w:id="156" w:name="_Toc337558767"/>
      <w:r>
        <w:rPr>
          <w:rFonts w:hint="eastAsia" w:ascii="宋体" w:hAnsi="宋体" w:eastAsia="宋体" w:cs="宋体"/>
          <w:b/>
          <w:bCs w:val="0"/>
          <w:color w:val="auto"/>
          <w:sz w:val="20"/>
          <w:szCs w:val="20"/>
          <w:highlight w:val="none"/>
        </w:rPr>
        <w:t>.工期和进度</w:t>
      </w:r>
      <w:bookmarkEnd w:id="155"/>
    </w:p>
    <w:bookmarkEnd w:id="156"/>
    <w:p w14:paraId="3A1CA2F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57" w:name="_Toc351203543"/>
      <w:r>
        <w:rPr>
          <w:rFonts w:hint="eastAsia" w:ascii="宋体" w:hAnsi="宋体" w:eastAsia="宋体" w:cs="宋体"/>
          <w:b/>
          <w:bCs/>
          <w:color w:val="auto"/>
          <w:sz w:val="20"/>
          <w:szCs w:val="20"/>
          <w:highlight w:val="none"/>
        </w:rPr>
        <w:t>7</w:t>
      </w:r>
      <w:bookmarkStart w:id="158" w:name="_Toc337558768"/>
      <w:bookmarkStart w:id="159" w:name="_Toc296346567"/>
      <w:bookmarkStart w:id="160" w:name="_Toc296503066"/>
      <w:r>
        <w:rPr>
          <w:rFonts w:hint="eastAsia" w:ascii="宋体" w:hAnsi="宋体" w:eastAsia="宋体" w:cs="宋体"/>
          <w:b/>
          <w:bCs/>
          <w:color w:val="auto"/>
          <w:sz w:val="20"/>
          <w:szCs w:val="20"/>
          <w:highlight w:val="none"/>
        </w:rPr>
        <w:t>.1施工组织设计</w:t>
      </w:r>
      <w:bookmarkEnd w:id="157"/>
    </w:p>
    <w:bookmarkEnd w:id="158"/>
    <w:p w14:paraId="2321A66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7.1.1</w:t>
      </w:r>
      <w:r>
        <w:rPr>
          <w:rFonts w:hint="eastAsia" w:ascii="宋体" w:hAnsi="宋体" w:eastAsia="宋体" w:cs="宋体"/>
          <w:color w:val="auto"/>
          <w:kern w:val="0"/>
          <w:sz w:val="20"/>
          <w:szCs w:val="20"/>
          <w:highlight w:val="none"/>
        </w:rPr>
        <w:t>施工组织设计的内容</w:t>
      </w:r>
    </w:p>
    <w:p w14:paraId="0435AAF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施工组织设计应包含以下内容：</w:t>
      </w:r>
    </w:p>
    <w:p w14:paraId="53400AE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（1）施工方案；</w:t>
      </w:r>
    </w:p>
    <w:p w14:paraId="332A2B9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（2）施工现场平面布置图；</w:t>
      </w:r>
    </w:p>
    <w:p w14:paraId="1D62BE7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（3）施工进度计划和保证措施；</w:t>
      </w:r>
    </w:p>
    <w:p w14:paraId="5143A3B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（4）劳动力及材料供应计划；</w:t>
      </w:r>
    </w:p>
    <w:p w14:paraId="354FB74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（5）施工机械设备的选用；</w:t>
      </w:r>
    </w:p>
    <w:p w14:paraId="7AAD3B6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（6）质量保证体系及措施；</w:t>
      </w:r>
    </w:p>
    <w:p w14:paraId="3D90284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（7）安全生产、文明施工措施；</w:t>
      </w:r>
    </w:p>
    <w:p w14:paraId="6A0B2C4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（8）环境保护、成本控制措施；</w:t>
      </w:r>
    </w:p>
    <w:p w14:paraId="6E68CBC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（9）合同当事人约定的其他内容。</w:t>
      </w:r>
    </w:p>
    <w:p w14:paraId="6ED1300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7.1.2</w:t>
      </w:r>
      <w:r>
        <w:rPr>
          <w:rFonts w:hint="eastAsia" w:ascii="宋体" w:hAnsi="宋体" w:eastAsia="宋体" w:cs="宋体"/>
          <w:color w:val="auto"/>
          <w:kern w:val="0"/>
          <w:sz w:val="20"/>
          <w:szCs w:val="20"/>
          <w:highlight w:val="none"/>
        </w:rPr>
        <w:t>施工组织设计的提交和修改</w:t>
      </w:r>
    </w:p>
    <w:p w14:paraId="7DEB675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D46333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施工进度计划的编制和修改按照第7.2款〔施工进度计划〕执行。</w:t>
      </w:r>
    </w:p>
    <w:p w14:paraId="5AC57F5C">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61" w:name="_Toc351203544"/>
      <w:r>
        <w:rPr>
          <w:rFonts w:hint="eastAsia" w:ascii="宋体" w:hAnsi="宋体" w:eastAsia="宋体" w:cs="宋体"/>
          <w:b/>
          <w:bCs/>
          <w:color w:val="auto"/>
          <w:sz w:val="20"/>
          <w:szCs w:val="20"/>
          <w:highlight w:val="none"/>
        </w:rPr>
        <w:t>7</w:t>
      </w:r>
      <w:bookmarkStart w:id="162" w:name="_Toc337558769"/>
      <w:r>
        <w:rPr>
          <w:rFonts w:hint="eastAsia" w:ascii="宋体" w:hAnsi="宋体" w:eastAsia="宋体" w:cs="宋体"/>
          <w:b/>
          <w:bCs/>
          <w:color w:val="auto"/>
          <w:sz w:val="20"/>
          <w:szCs w:val="20"/>
          <w:highlight w:val="none"/>
        </w:rPr>
        <w:t>.2施工进度计划</w:t>
      </w:r>
      <w:bookmarkEnd w:id="161"/>
    </w:p>
    <w:bookmarkEnd w:id="162"/>
    <w:p w14:paraId="08FCCC7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7.2.1施工进度计划的编制</w:t>
      </w:r>
    </w:p>
    <w:p w14:paraId="68D1E11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0068E7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7.2.2施工进度计划的修订</w:t>
      </w:r>
    </w:p>
    <w:p w14:paraId="29DE8C1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0BF081A">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63" w:name="_Toc351203545"/>
      <w:r>
        <w:rPr>
          <w:rFonts w:hint="eastAsia" w:ascii="宋体" w:hAnsi="宋体" w:eastAsia="宋体" w:cs="宋体"/>
          <w:b/>
          <w:bCs/>
          <w:color w:val="auto"/>
          <w:sz w:val="20"/>
          <w:szCs w:val="20"/>
          <w:highlight w:val="none"/>
        </w:rPr>
        <w:t>7</w:t>
      </w:r>
      <w:bookmarkStart w:id="164" w:name="_Toc337558770"/>
      <w:r>
        <w:rPr>
          <w:rFonts w:hint="eastAsia" w:ascii="宋体" w:hAnsi="宋体" w:eastAsia="宋体" w:cs="宋体"/>
          <w:b/>
          <w:bCs/>
          <w:color w:val="auto"/>
          <w:sz w:val="20"/>
          <w:szCs w:val="20"/>
          <w:highlight w:val="none"/>
        </w:rPr>
        <w:t>.3开工</w:t>
      </w:r>
      <w:bookmarkEnd w:id="163"/>
    </w:p>
    <w:p w14:paraId="0892C506">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7.3.1开工准备</w:t>
      </w:r>
    </w:p>
    <w:p w14:paraId="7992396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222C4A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除专用合同条款另有约定外，合同当事人应按约定完成开工准备工作。</w:t>
      </w:r>
    </w:p>
    <w:p w14:paraId="4C5C919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7.3.2开工通知</w:t>
      </w:r>
    </w:p>
    <w:bookmarkEnd w:id="164"/>
    <w:p w14:paraId="67F5D1D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发包人应按照法律规定获得工程施工所需的许可。经发包人同意后，监理人发出的开工通知应符合法律规定。</w:t>
      </w:r>
    </w:p>
    <w:p w14:paraId="49552A5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03483A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165" w:name="_Toc351203546"/>
      <w:r>
        <w:rPr>
          <w:rFonts w:hint="eastAsia" w:ascii="宋体" w:hAnsi="宋体" w:eastAsia="宋体" w:cs="宋体"/>
          <w:b/>
          <w:bCs/>
          <w:color w:val="auto"/>
          <w:sz w:val="20"/>
          <w:szCs w:val="20"/>
          <w:highlight w:val="none"/>
        </w:rPr>
        <w:t>7.4测量放线</w:t>
      </w:r>
      <w:bookmarkEnd w:id="165"/>
    </w:p>
    <w:p w14:paraId="4F644C6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F7CB68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6D9A14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72C7BFB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施工过程中对施工现场内水准点等测量标志物的保护工作由承包人负责。</w:t>
      </w:r>
      <w:bookmarkStart w:id="166" w:name="_Toc351203547"/>
    </w:p>
    <w:p w14:paraId="0598DF5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r>
        <w:rPr>
          <w:rFonts w:hint="eastAsia" w:ascii="宋体" w:hAnsi="宋体" w:eastAsia="宋体" w:cs="宋体"/>
          <w:b/>
          <w:bCs/>
          <w:color w:val="auto"/>
          <w:sz w:val="20"/>
          <w:szCs w:val="20"/>
          <w:highlight w:val="none"/>
        </w:rPr>
        <w:t>7</w:t>
      </w:r>
      <w:bookmarkEnd w:id="159"/>
      <w:bookmarkEnd w:id="160"/>
      <w:bookmarkStart w:id="167" w:name="_Toc296346574"/>
      <w:bookmarkStart w:id="168" w:name="_Toc337558772"/>
      <w:bookmarkStart w:id="169" w:name="_Toc296503073"/>
      <w:r>
        <w:rPr>
          <w:rFonts w:hint="eastAsia" w:ascii="宋体" w:hAnsi="宋体" w:eastAsia="宋体" w:cs="宋体"/>
          <w:b/>
          <w:bCs/>
          <w:color w:val="auto"/>
          <w:sz w:val="20"/>
          <w:szCs w:val="20"/>
          <w:highlight w:val="none"/>
        </w:rPr>
        <w:t>.5工期延误</w:t>
      </w:r>
      <w:bookmarkEnd w:id="166"/>
    </w:p>
    <w:bookmarkEnd w:id="167"/>
    <w:bookmarkEnd w:id="168"/>
    <w:bookmarkEnd w:id="169"/>
    <w:p w14:paraId="5D7E51E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7.5.1因发包人原因导致工期延误</w:t>
      </w:r>
    </w:p>
    <w:p w14:paraId="1D2873E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在合同履行过程中，因下列情况导致工期延误和（或）费用增加的，由发包人承担由此延误的工期和（或）增加的费用，且发包人应支付承包人合理的利润：</w:t>
      </w:r>
    </w:p>
    <w:p w14:paraId="0EF10D8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（1）发包人未能按合同约定提供图纸或所提供图纸不符合合同约定的；</w:t>
      </w:r>
    </w:p>
    <w:p w14:paraId="0AD9E33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（2）发包人未能按合同约定提供施工现场、施工条件、基础资料、许可、批准等开工条件的；</w:t>
      </w:r>
    </w:p>
    <w:p w14:paraId="0CF2EA2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（3）发包人提供的测量基准点、基准线和水准点及其书面资料存在错误或疏漏的；</w:t>
      </w:r>
    </w:p>
    <w:p w14:paraId="5B4AF9A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（4）发包人未能在计划开工日期之日起7天内同意下达开工通知的；</w:t>
      </w:r>
    </w:p>
    <w:p w14:paraId="6BF5646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（5）发包人未能按合同约定日期支付工程预付款、进度款或竣工结算款的；</w:t>
      </w:r>
    </w:p>
    <w:p w14:paraId="7CB58AA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（6）监理人未按合同约定发出指示、批准等文件的；</w:t>
      </w:r>
    </w:p>
    <w:p w14:paraId="6838A62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（7）专用合同条款中约定的其他情形。</w:t>
      </w:r>
    </w:p>
    <w:p w14:paraId="72B3C9B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5D4241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7.5.2因承包人原因导致工期延误</w:t>
      </w:r>
    </w:p>
    <w:p w14:paraId="56C73D1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bookmarkStart w:id="170" w:name="_Toc296346577"/>
      <w:bookmarkStart w:id="171" w:name="_Toc296503076"/>
      <w:r>
        <w:rPr>
          <w:rFonts w:hint="eastAsia" w:ascii="宋体" w:hAnsi="宋体" w:eastAsia="宋体" w:cs="宋体"/>
          <w:color w:val="auto"/>
          <w:kern w:val="0"/>
          <w:sz w:val="20"/>
          <w:szCs w:val="20"/>
          <w:highlight w:val="none"/>
        </w:rPr>
        <w:t>因</w:t>
      </w:r>
      <w:bookmarkEnd w:id="170"/>
      <w:bookmarkEnd w:id="171"/>
      <w:r>
        <w:rPr>
          <w:rFonts w:hint="eastAsia" w:ascii="宋体" w:hAnsi="宋体" w:eastAsia="宋体" w:cs="宋体"/>
          <w:color w:val="auto"/>
          <w:kern w:val="0"/>
          <w:sz w:val="20"/>
          <w:szCs w:val="20"/>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EBF842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172" w:name="_Toc351203548"/>
      <w:r>
        <w:rPr>
          <w:rFonts w:hint="eastAsia" w:ascii="宋体" w:hAnsi="宋体" w:eastAsia="宋体" w:cs="宋体"/>
          <w:b/>
          <w:bCs/>
          <w:color w:val="auto"/>
          <w:sz w:val="20"/>
          <w:szCs w:val="20"/>
          <w:highlight w:val="none"/>
        </w:rPr>
        <w:t>7</w:t>
      </w:r>
      <w:bookmarkStart w:id="173" w:name="_Toc296503074"/>
      <w:bookmarkStart w:id="174" w:name="_Toc296346575"/>
      <w:bookmarkStart w:id="175" w:name="_Toc337558773"/>
      <w:bookmarkStart w:id="176" w:name="_Toc296346578"/>
      <w:bookmarkStart w:id="177" w:name="_Toc296503077"/>
      <w:r>
        <w:rPr>
          <w:rFonts w:hint="eastAsia" w:ascii="宋体" w:hAnsi="宋体" w:eastAsia="宋体" w:cs="宋体"/>
          <w:b/>
          <w:bCs/>
          <w:color w:val="auto"/>
          <w:sz w:val="20"/>
          <w:szCs w:val="20"/>
          <w:highlight w:val="none"/>
        </w:rPr>
        <w:t>.6不利物质条件</w:t>
      </w:r>
      <w:bookmarkEnd w:id="172"/>
    </w:p>
    <w:bookmarkEnd w:id="173"/>
    <w:bookmarkEnd w:id="174"/>
    <w:bookmarkEnd w:id="175"/>
    <w:p w14:paraId="76BC9A8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B96C71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881FB18">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78" w:name="_Toc351203549"/>
      <w:r>
        <w:rPr>
          <w:rFonts w:hint="eastAsia" w:ascii="宋体" w:hAnsi="宋体" w:eastAsia="宋体" w:cs="宋体"/>
          <w:b/>
          <w:bCs/>
          <w:color w:val="auto"/>
          <w:sz w:val="20"/>
          <w:szCs w:val="20"/>
          <w:highlight w:val="none"/>
        </w:rPr>
        <w:t>7</w:t>
      </w:r>
      <w:bookmarkStart w:id="179" w:name="_Toc337558774"/>
      <w:bookmarkStart w:id="180" w:name="_Toc296346576"/>
      <w:bookmarkStart w:id="181" w:name="_Toc296503075"/>
      <w:r>
        <w:rPr>
          <w:rFonts w:hint="eastAsia" w:ascii="宋体" w:hAnsi="宋体" w:eastAsia="宋体" w:cs="宋体"/>
          <w:b/>
          <w:bCs/>
          <w:color w:val="auto"/>
          <w:sz w:val="20"/>
          <w:szCs w:val="20"/>
          <w:highlight w:val="none"/>
        </w:rPr>
        <w:t>.7异常恶劣的气候条件</w:t>
      </w:r>
      <w:bookmarkEnd w:id="178"/>
    </w:p>
    <w:bookmarkEnd w:id="179"/>
    <w:bookmarkEnd w:id="180"/>
    <w:bookmarkEnd w:id="181"/>
    <w:p w14:paraId="7071725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9BFB84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82" w:name="_Toc351203550"/>
    </w:p>
    <w:p w14:paraId="6BE338F3">
      <w:pPr>
        <w:pageBreakBefore w:val="0"/>
        <w:widowControl w:val="0"/>
        <w:kinsoku/>
        <w:wordWrap/>
        <w:overflowPunct/>
        <w:topLinePunct w:val="0"/>
        <w:autoSpaceDE w:val="0"/>
        <w:autoSpaceDN w:val="0"/>
        <w:bidi w:val="0"/>
        <w:adjustRightInd w:val="0"/>
        <w:snapToGrid/>
        <w:spacing w:line="360" w:lineRule="exact"/>
        <w:ind w:firstLine="402" w:firstLineChars="200"/>
        <w:jc w:val="left"/>
        <w:textAlignment w:val="auto"/>
        <w:outlineLvl w:val="9"/>
        <w:rPr>
          <w:rFonts w:hint="eastAsia" w:ascii="宋体" w:hAnsi="宋体" w:eastAsia="宋体" w:cs="宋体"/>
          <w:b/>
          <w:bCs w:val="0"/>
          <w:color w:val="auto"/>
          <w:sz w:val="20"/>
          <w:szCs w:val="20"/>
          <w:highlight w:val="none"/>
        </w:rPr>
      </w:pPr>
      <w:bookmarkStart w:id="183" w:name="_Toc24942"/>
      <w:bookmarkStart w:id="184" w:name="_Toc28006"/>
      <w:bookmarkStart w:id="185" w:name="_Toc11652"/>
      <w:bookmarkStart w:id="186" w:name="_Toc20868"/>
      <w:r>
        <w:rPr>
          <w:rFonts w:hint="eastAsia" w:ascii="宋体" w:hAnsi="宋体" w:eastAsia="宋体" w:cs="宋体"/>
          <w:b/>
          <w:bCs w:val="0"/>
          <w:color w:val="auto"/>
          <w:sz w:val="20"/>
          <w:szCs w:val="20"/>
          <w:highlight w:val="none"/>
        </w:rPr>
        <w:t>7</w:t>
      </w:r>
      <w:bookmarkStart w:id="187" w:name="_Toc337558775"/>
      <w:r>
        <w:rPr>
          <w:rFonts w:hint="eastAsia" w:ascii="宋体" w:hAnsi="宋体" w:eastAsia="宋体" w:cs="宋体"/>
          <w:b/>
          <w:bCs w:val="0"/>
          <w:color w:val="auto"/>
          <w:sz w:val="20"/>
          <w:szCs w:val="20"/>
          <w:highlight w:val="none"/>
        </w:rPr>
        <w:t>.8暂停施工</w:t>
      </w:r>
      <w:bookmarkEnd w:id="182"/>
      <w:bookmarkEnd w:id="183"/>
      <w:bookmarkEnd w:id="184"/>
      <w:bookmarkEnd w:id="185"/>
      <w:bookmarkEnd w:id="186"/>
    </w:p>
    <w:bookmarkEnd w:id="176"/>
    <w:bookmarkEnd w:id="177"/>
    <w:bookmarkEnd w:id="187"/>
    <w:p w14:paraId="79C065A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7.8.1发包人原因引起的暂停施工</w:t>
      </w:r>
    </w:p>
    <w:p w14:paraId="1795094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因发包人原因引起暂停施工的，监理人经发包人同意后，应及时下达暂停施工指示。情况紧急且监理人未及时下达暂停施工指示的，按照第7.8.4项〔紧急情况下的暂停施工〕执行。</w:t>
      </w:r>
    </w:p>
    <w:p w14:paraId="318FF29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因发包人原因引起的暂停施工，发包人应承担由此增加的费用和（或）延误的工期，并支付承包人合理的利润。</w:t>
      </w:r>
    </w:p>
    <w:p w14:paraId="6D92069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7.8.2承包人原因引起的暂停施工</w:t>
      </w:r>
    </w:p>
    <w:p w14:paraId="07D156F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30E77F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7.8.3指示暂停施工</w:t>
      </w:r>
    </w:p>
    <w:p w14:paraId="5E8BD31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监理人认为有必要时，并经发包人批准后，可向承包人作出暂停施工的指示，承包人应按监理人指示暂停施工。</w:t>
      </w:r>
    </w:p>
    <w:p w14:paraId="072877F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7.8.4紧急情况下的暂停施工</w:t>
      </w:r>
    </w:p>
    <w:p w14:paraId="1C65B9C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70863F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7.8.5暂停施工后的复工</w:t>
      </w:r>
    </w:p>
    <w:p w14:paraId="3E963FB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3A46C7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承包人无故拖延和拒绝复工的，承包人承担由此增加的费用和（或）延误的工期；因发包人原因无法按时复工的，按照第7.5.1项〔因发包人原因导致工期延误〕约定办理。</w:t>
      </w:r>
    </w:p>
    <w:p w14:paraId="5750833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7.8.6暂停施工持续56天以上</w:t>
      </w:r>
    </w:p>
    <w:p w14:paraId="6FD77425">
      <w:pPr>
        <w:pageBreakBefore w:val="0"/>
        <w:widowControl w:val="0"/>
        <w:kinsoku/>
        <w:wordWrap/>
        <w:overflowPunct/>
        <w:topLinePunct w:val="0"/>
        <w:bidi w:val="0"/>
        <w:snapToGrid/>
        <w:spacing w:line="360" w:lineRule="exact"/>
        <w:ind w:firstLine="390" w:firstLineChars="195"/>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3190BE2">
      <w:pPr>
        <w:pageBreakBefore w:val="0"/>
        <w:widowControl w:val="0"/>
        <w:kinsoku/>
        <w:wordWrap/>
        <w:overflowPunct/>
        <w:topLinePunct w:val="0"/>
        <w:bidi w:val="0"/>
        <w:snapToGrid/>
        <w:spacing w:line="360" w:lineRule="exact"/>
        <w:ind w:firstLine="390" w:firstLineChars="195"/>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5F8B421">
      <w:pPr>
        <w:pageBreakBefore w:val="0"/>
        <w:widowControl w:val="0"/>
        <w:kinsoku/>
        <w:wordWrap/>
        <w:overflowPunct/>
        <w:topLinePunct w:val="0"/>
        <w:bidi w:val="0"/>
        <w:snapToGrid/>
        <w:spacing w:line="360" w:lineRule="exact"/>
        <w:ind w:left="16" w:firstLine="390" w:firstLineChars="195"/>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7.8.7暂停施工期间的工程照管</w:t>
      </w:r>
    </w:p>
    <w:p w14:paraId="51ED71D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暂停施工期间，承包人应负责妥善照管工程并提供安全保障，由此增加的费用由责任方承担。</w:t>
      </w:r>
    </w:p>
    <w:p w14:paraId="41E1AA2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7.8.8暂停施工的措施</w:t>
      </w:r>
    </w:p>
    <w:p w14:paraId="0F53EB9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暂停施工期间，发包人和承包人均应采取必要的措施确保工程质量及安全，防止因暂停施工扩大损失。</w:t>
      </w:r>
    </w:p>
    <w:p w14:paraId="01F910DE">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88" w:name="_Toc351203551"/>
      <w:r>
        <w:rPr>
          <w:rFonts w:hint="eastAsia" w:ascii="宋体" w:hAnsi="宋体" w:eastAsia="宋体" w:cs="宋体"/>
          <w:b/>
          <w:bCs/>
          <w:color w:val="auto"/>
          <w:sz w:val="20"/>
          <w:szCs w:val="20"/>
          <w:highlight w:val="none"/>
        </w:rPr>
        <w:t>7.9提前竣工</w:t>
      </w:r>
      <w:bookmarkEnd w:id="188"/>
    </w:p>
    <w:p w14:paraId="08B67AA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5FDF01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7.9.2发包人要求承包人提前竣工，或承包人提出提前竣工的建议能够给发包人带来效益的，合同当事人可以在专用合同条款中约定提前竣工的奖励。</w:t>
      </w:r>
    </w:p>
    <w:p w14:paraId="15CA78B4">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189" w:name="_Toc351203552"/>
      <w:r>
        <w:rPr>
          <w:rFonts w:hint="eastAsia" w:ascii="宋体" w:hAnsi="宋体" w:eastAsia="宋体" w:cs="宋体"/>
          <w:b/>
          <w:bCs w:val="0"/>
          <w:color w:val="auto"/>
          <w:sz w:val="20"/>
          <w:szCs w:val="20"/>
          <w:highlight w:val="none"/>
        </w:rPr>
        <w:t>8</w:t>
      </w:r>
      <w:bookmarkStart w:id="190" w:name="_Toc337558776"/>
      <w:bookmarkStart w:id="191" w:name="_Toc296346559"/>
      <w:bookmarkStart w:id="192" w:name="_Toc296503058"/>
      <w:r>
        <w:rPr>
          <w:rFonts w:hint="eastAsia" w:ascii="宋体" w:hAnsi="宋体" w:eastAsia="宋体" w:cs="宋体"/>
          <w:b/>
          <w:bCs w:val="0"/>
          <w:color w:val="auto"/>
          <w:sz w:val="20"/>
          <w:szCs w:val="20"/>
          <w:highlight w:val="none"/>
        </w:rPr>
        <w:t>.材料与设备</w:t>
      </w:r>
      <w:bookmarkEnd w:id="189"/>
    </w:p>
    <w:bookmarkEnd w:id="190"/>
    <w:bookmarkEnd w:id="191"/>
    <w:bookmarkEnd w:id="192"/>
    <w:p w14:paraId="76BFBF1D">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93" w:name="_Toc351203553"/>
      <w:r>
        <w:rPr>
          <w:rFonts w:hint="eastAsia" w:ascii="宋体" w:hAnsi="宋体" w:eastAsia="宋体" w:cs="宋体"/>
          <w:b/>
          <w:bCs/>
          <w:color w:val="auto"/>
          <w:sz w:val="20"/>
          <w:szCs w:val="20"/>
          <w:highlight w:val="none"/>
        </w:rPr>
        <w:t>8</w:t>
      </w:r>
      <w:bookmarkStart w:id="194" w:name="_Toc296503059"/>
      <w:bookmarkStart w:id="195" w:name="_Toc337558777"/>
      <w:bookmarkStart w:id="196" w:name="_Toc296346560"/>
      <w:bookmarkStart w:id="197" w:name="_Toc468936960"/>
      <w:r>
        <w:rPr>
          <w:rFonts w:hint="eastAsia" w:ascii="宋体" w:hAnsi="宋体" w:eastAsia="宋体" w:cs="宋体"/>
          <w:b/>
          <w:bCs/>
          <w:color w:val="auto"/>
          <w:sz w:val="20"/>
          <w:szCs w:val="20"/>
          <w:highlight w:val="none"/>
        </w:rPr>
        <w:t>.1发包人供应材料与工程设备</w:t>
      </w:r>
      <w:bookmarkEnd w:id="193"/>
    </w:p>
    <w:bookmarkEnd w:id="194"/>
    <w:bookmarkEnd w:id="195"/>
    <w:bookmarkEnd w:id="196"/>
    <w:p w14:paraId="0FCCC5D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发包人自行供应材料、工程设备的，应在签订合同时在专用合同条款的附件《发包人供应材料设备一览表》中明确材料、工程设备的品种、规格、型号、数量、单价、质量等级和送达地点。</w:t>
      </w:r>
    </w:p>
    <w:p w14:paraId="215AC5C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DA20349">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198" w:name="_Toc351203554"/>
      <w:r>
        <w:rPr>
          <w:rFonts w:hint="eastAsia" w:ascii="宋体" w:hAnsi="宋体" w:eastAsia="宋体" w:cs="宋体"/>
          <w:b/>
          <w:bCs/>
          <w:color w:val="auto"/>
          <w:sz w:val="20"/>
          <w:szCs w:val="20"/>
          <w:highlight w:val="none"/>
        </w:rPr>
        <w:t>8</w:t>
      </w:r>
      <w:bookmarkStart w:id="199" w:name="_Toc296503060"/>
      <w:bookmarkStart w:id="200" w:name="_Toc296346561"/>
      <w:bookmarkStart w:id="201" w:name="_Toc337558778"/>
      <w:r>
        <w:rPr>
          <w:rFonts w:hint="eastAsia" w:ascii="宋体" w:hAnsi="宋体" w:eastAsia="宋体" w:cs="宋体"/>
          <w:b/>
          <w:bCs/>
          <w:color w:val="auto"/>
          <w:sz w:val="20"/>
          <w:szCs w:val="20"/>
          <w:highlight w:val="none"/>
        </w:rPr>
        <w:t>.2承包人采购材料与工程设备</w:t>
      </w:r>
      <w:bookmarkEnd w:id="198"/>
    </w:p>
    <w:bookmarkEnd w:id="199"/>
    <w:bookmarkEnd w:id="200"/>
    <w:bookmarkEnd w:id="201"/>
    <w:p w14:paraId="27F64EE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3354BFD">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02" w:name="_Toc351203555"/>
      <w:r>
        <w:rPr>
          <w:rFonts w:hint="eastAsia" w:ascii="宋体" w:hAnsi="宋体" w:eastAsia="宋体" w:cs="宋体"/>
          <w:b/>
          <w:bCs/>
          <w:color w:val="auto"/>
          <w:sz w:val="20"/>
          <w:szCs w:val="20"/>
          <w:highlight w:val="none"/>
        </w:rPr>
        <w:t>8</w:t>
      </w:r>
      <w:bookmarkStart w:id="203" w:name="_Toc337558779"/>
      <w:bookmarkStart w:id="204" w:name="_Toc296503061"/>
      <w:bookmarkStart w:id="205" w:name="_Toc296346562"/>
      <w:r>
        <w:rPr>
          <w:rFonts w:hint="eastAsia" w:ascii="宋体" w:hAnsi="宋体" w:eastAsia="宋体" w:cs="宋体"/>
          <w:b/>
          <w:bCs/>
          <w:color w:val="auto"/>
          <w:sz w:val="20"/>
          <w:szCs w:val="20"/>
          <w:highlight w:val="none"/>
        </w:rPr>
        <w:t>.3材料与工程设备的接收与拒收</w:t>
      </w:r>
      <w:bookmarkEnd w:id="202"/>
    </w:p>
    <w:bookmarkEnd w:id="203"/>
    <w:bookmarkEnd w:id="204"/>
    <w:bookmarkEnd w:id="205"/>
    <w:p w14:paraId="1D53C4C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168F113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发包人提供的材料和工程设备的规格、数量或质量不符合合同约定的，或因发包人原因导致交货日期延误或交货地点变更等情况的，按照第16.1款〔发包人违约〕约定办理。</w:t>
      </w:r>
    </w:p>
    <w:p w14:paraId="3A1C022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8.3.2承包人采购的材料和工程设备，应保证产品质量合格，承包人应在材料和工程设备到货前24小时通知监理人检验。承</w:t>
      </w:r>
      <w:bookmarkStart w:id="206" w:name="_Toc250655469"/>
      <w:r>
        <w:rPr>
          <w:rFonts w:hint="eastAsia" w:ascii="宋体" w:hAnsi="宋体" w:eastAsia="宋体" w:cs="宋体"/>
          <w:color w:val="auto"/>
          <w:kern w:val="0"/>
          <w:sz w:val="20"/>
          <w:szCs w:val="20"/>
          <w:highlight w:val="none"/>
        </w:rPr>
        <w:t>包人进行永久设备、材料的制造和生产的，应符合相关质量标准，并向监理人提交材料的样本以及有关资料，并应在使用该材料或工程设备之前获得监理人同意。</w:t>
      </w:r>
    </w:p>
    <w:bookmarkEnd w:id="206"/>
    <w:p w14:paraId="71ED3C66">
      <w:pPr>
        <w:pageBreakBefore w:val="0"/>
        <w:widowControl w:val="0"/>
        <w:kinsoku/>
        <w:wordWrap/>
        <w:overflowPunct/>
        <w:topLinePunct w:val="0"/>
        <w:autoSpaceDE w:val="0"/>
        <w:autoSpaceDN w:val="0"/>
        <w:bidi w:val="0"/>
        <w:adjustRightInd w:val="0"/>
        <w:snapToGrid/>
        <w:spacing w:line="360" w:lineRule="exact"/>
        <w:ind w:firstLine="300" w:firstLineChars="15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636A8B2">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07" w:name="_Toc351203556"/>
      <w:r>
        <w:rPr>
          <w:rFonts w:hint="eastAsia" w:ascii="宋体" w:hAnsi="宋体" w:eastAsia="宋体" w:cs="宋体"/>
          <w:b/>
          <w:bCs/>
          <w:color w:val="auto"/>
          <w:sz w:val="20"/>
          <w:szCs w:val="20"/>
          <w:highlight w:val="none"/>
        </w:rPr>
        <w:t>8</w:t>
      </w:r>
      <w:bookmarkStart w:id="208" w:name="_Toc296346563"/>
      <w:bookmarkStart w:id="209" w:name="_Toc296503062"/>
      <w:bookmarkStart w:id="210" w:name="_Toc337558780"/>
      <w:r>
        <w:rPr>
          <w:rFonts w:hint="eastAsia" w:ascii="宋体" w:hAnsi="宋体" w:eastAsia="宋体" w:cs="宋体"/>
          <w:b/>
          <w:bCs/>
          <w:color w:val="auto"/>
          <w:sz w:val="20"/>
          <w:szCs w:val="20"/>
          <w:highlight w:val="none"/>
        </w:rPr>
        <w:t>.4材料与工程设备的保管与使用</w:t>
      </w:r>
      <w:bookmarkEnd w:id="207"/>
    </w:p>
    <w:bookmarkEnd w:id="208"/>
    <w:bookmarkEnd w:id="209"/>
    <w:bookmarkEnd w:id="210"/>
    <w:p w14:paraId="23F434A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8.4.1发包人供应</w:t>
      </w:r>
      <w:r>
        <w:rPr>
          <w:rFonts w:hint="eastAsia" w:ascii="宋体" w:hAnsi="宋体" w:eastAsia="宋体" w:cs="宋体"/>
          <w:color w:val="auto"/>
          <w:sz w:val="20"/>
          <w:szCs w:val="20"/>
          <w:highlight w:val="none"/>
        </w:rPr>
        <w:t>材料与</w:t>
      </w:r>
      <w:r>
        <w:rPr>
          <w:rFonts w:hint="eastAsia" w:ascii="宋体" w:hAnsi="宋体" w:eastAsia="宋体" w:cs="宋体"/>
          <w:color w:val="auto"/>
          <w:kern w:val="0"/>
          <w:sz w:val="20"/>
          <w:szCs w:val="20"/>
          <w:highlight w:val="none"/>
        </w:rPr>
        <w:t>工程</w:t>
      </w:r>
      <w:r>
        <w:rPr>
          <w:rFonts w:hint="eastAsia" w:ascii="宋体" w:hAnsi="宋体" w:eastAsia="宋体" w:cs="宋体"/>
          <w:color w:val="auto"/>
          <w:sz w:val="20"/>
          <w:szCs w:val="20"/>
          <w:highlight w:val="none"/>
        </w:rPr>
        <w:t>设备的保管与使用</w:t>
      </w:r>
    </w:p>
    <w:p w14:paraId="2E701F4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E69874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发包人供应的材料和工程设备使用前，由承包人负责检验，检验费用由发包人承担，不合格的不得使用。</w:t>
      </w:r>
    </w:p>
    <w:p w14:paraId="3FA71BC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8.4.2承包人采购</w:t>
      </w:r>
      <w:r>
        <w:rPr>
          <w:rFonts w:hint="eastAsia" w:ascii="宋体" w:hAnsi="宋体" w:eastAsia="宋体" w:cs="宋体"/>
          <w:color w:val="auto"/>
          <w:sz w:val="20"/>
          <w:szCs w:val="20"/>
          <w:highlight w:val="none"/>
        </w:rPr>
        <w:t>材料与</w:t>
      </w:r>
      <w:r>
        <w:rPr>
          <w:rFonts w:hint="eastAsia" w:ascii="宋体" w:hAnsi="宋体" w:eastAsia="宋体" w:cs="宋体"/>
          <w:color w:val="auto"/>
          <w:kern w:val="0"/>
          <w:sz w:val="20"/>
          <w:szCs w:val="20"/>
          <w:highlight w:val="none"/>
        </w:rPr>
        <w:t>工程</w:t>
      </w:r>
      <w:r>
        <w:rPr>
          <w:rFonts w:hint="eastAsia" w:ascii="宋体" w:hAnsi="宋体" w:eastAsia="宋体" w:cs="宋体"/>
          <w:color w:val="auto"/>
          <w:sz w:val="20"/>
          <w:szCs w:val="20"/>
          <w:highlight w:val="none"/>
        </w:rPr>
        <w:t>设备的保管与使用</w:t>
      </w:r>
    </w:p>
    <w:p w14:paraId="5B760A2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D234C7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发包人或监理人发现承包人使用不符合设计或有关标准要求的材料和工程设备时，有权要求承包人进行修复、拆除或重新采购，由此增加的费用和（或）延误的工期，由承包人承担。</w:t>
      </w:r>
    </w:p>
    <w:p w14:paraId="278B31E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211" w:name="_Toc351203557"/>
      <w:r>
        <w:rPr>
          <w:rFonts w:hint="eastAsia" w:ascii="宋体" w:hAnsi="宋体" w:eastAsia="宋体" w:cs="宋体"/>
          <w:b/>
          <w:bCs/>
          <w:color w:val="auto"/>
          <w:sz w:val="20"/>
          <w:szCs w:val="20"/>
          <w:highlight w:val="none"/>
        </w:rPr>
        <w:t>8.5禁止使用不合格的材料和工程设备</w:t>
      </w:r>
      <w:bookmarkEnd w:id="211"/>
    </w:p>
    <w:p w14:paraId="4C7B13F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8.5.1监理人有权拒绝承包人提供的不合格材料或工程设备，并要求承包人立即进行更换。监理人应在更换后再次进行检查和检验，由此增加的费用和（或）延误的工期由承包人承担。</w:t>
      </w:r>
    </w:p>
    <w:p w14:paraId="5A78437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8.5.2监理人发现承包人使用了不合格的材料和工程设备，承包人应按照监理人的指示立即改正，并禁止在工程中继续使用不合格的材料和工程设备。</w:t>
      </w:r>
    </w:p>
    <w:p w14:paraId="0056D55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8.5.3发包人提供的材料或工程设备不符合合同要求的，承包人有权拒绝，并可要求发包人更换，由此增加的费用和（或）延误的工期由发包人承担，并支付承包人合理的利润。</w:t>
      </w:r>
    </w:p>
    <w:p w14:paraId="7DAE5BFA">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12" w:name="_Toc351203558"/>
      <w:r>
        <w:rPr>
          <w:rFonts w:hint="eastAsia" w:ascii="宋体" w:hAnsi="宋体" w:eastAsia="宋体" w:cs="宋体"/>
          <w:b/>
          <w:bCs/>
          <w:color w:val="auto"/>
          <w:sz w:val="20"/>
          <w:szCs w:val="20"/>
          <w:highlight w:val="none"/>
        </w:rPr>
        <w:t>8.6样品</w:t>
      </w:r>
      <w:bookmarkEnd w:id="212"/>
    </w:p>
    <w:p w14:paraId="1D5BAB0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8.6.1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样品的报送与封存</w:t>
      </w:r>
    </w:p>
    <w:p w14:paraId="4F20522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需要承包人报送样品的材料或工程设备，样品的种类、名称、规格、数量等要求均应在专用合同条款中约定。样品的报送程序如下：</w:t>
      </w:r>
    </w:p>
    <w:p w14:paraId="7FDA1D4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6D601D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3ECBE1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（3）经发包人和监理人审批确认的样品应按约定的方法封样，封存的样品作为检验工程相关部分的标准之一。承包人在施工过程中不得使用与样品不符的材料或工程设备。</w:t>
      </w:r>
    </w:p>
    <w:p w14:paraId="003EC51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7DF5790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8.6.2样品的保管</w:t>
      </w:r>
    </w:p>
    <w:p w14:paraId="60193F9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经批准的样品应由监理人负责封存于现场，承包人应在现场为保存样品提供适当和固定的场所并保持适当和良好的存储环境条件。</w:t>
      </w:r>
    </w:p>
    <w:p w14:paraId="023C2EC6">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13" w:name="_Toc351203559"/>
      <w:r>
        <w:rPr>
          <w:rFonts w:hint="eastAsia" w:ascii="宋体" w:hAnsi="宋体" w:eastAsia="宋体" w:cs="宋体"/>
          <w:b/>
          <w:bCs/>
          <w:color w:val="auto"/>
          <w:sz w:val="20"/>
          <w:szCs w:val="20"/>
          <w:highlight w:val="none"/>
        </w:rPr>
        <w:t>8.7材料与工程设备的替代</w:t>
      </w:r>
      <w:bookmarkEnd w:id="213"/>
    </w:p>
    <w:p w14:paraId="351DAE4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8.7.1出现下列情况需要使用替代材料和工程设备的，承包人应按照第8.7.2项约定的程序执行：</w:t>
      </w:r>
    </w:p>
    <w:p w14:paraId="75D9535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（1）基准日期后生效的法律规定禁止使用的；</w:t>
      </w:r>
    </w:p>
    <w:p w14:paraId="4455C0F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（2）发包人要求使用替代品的；</w:t>
      </w:r>
    </w:p>
    <w:p w14:paraId="3782722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（3）因其他原因必须使用替代品的。</w:t>
      </w:r>
    </w:p>
    <w:p w14:paraId="2BE74CB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8.7.2承包人应在使用替代材料和工程设备28天前书面通知监理人，并附下列文件：</w:t>
      </w:r>
    </w:p>
    <w:p w14:paraId="7E77FF1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（1）被替代的材料和工程设备的名称、数量、规格、型号、品牌、性能、价格及其他相关资料；</w:t>
      </w:r>
    </w:p>
    <w:p w14:paraId="53D3B73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（2）替代品的名称、数量、规格、型号、品牌、性能、价格及其他相关资料；</w:t>
      </w:r>
    </w:p>
    <w:p w14:paraId="0B7AA2C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（3）替代品与被替代产品之间的差异以及使用替代品可能对工程产生的影响；</w:t>
      </w:r>
    </w:p>
    <w:p w14:paraId="6167DC7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（4）替代品与被替代产品的价格差异；</w:t>
      </w:r>
    </w:p>
    <w:p w14:paraId="617249A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（5）使用替代品的理由和原因说明；</w:t>
      </w:r>
    </w:p>
    <w:p w14:paraId="0725120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（6）监理人要求的其他文件。</w:t>
      </w:r>
    </w:p>
    <w:p w14:paraId="0F5B785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监理人应在收到通知后14天内向承包人发出经发包人签认的书面指示；监理人逾期发出书面指示的，视为发包人和监理人同意使用替代品。</w:t>
      </w:r>
    </w:p>
    <w:p w14:paraId="2369C8C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E7B1976">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14" w:name="_Toc351203560"/>
      <w:r>
        <w:rPr>
          <w:rFonts w:hint="eastAsia" w:ascii="宋体" w:hAnsi="宋体" w:eastAsia="宋体" w:cs="宋体"/>
          <w:b/>
          <w:bCs/>
          <w:color w:val="auto"/>
          <w:sz w:val="20"/>
          <w:szCs w:val="20"/>
          <w:highlight w:val="none"/>
        </w:rPr>
        <w:t>8.8施工设备和临时设施</w:t>
      </w:r>
      <w:bookmarkEnd w:id="214"/>
    </w:p>
    <w:p w14:paraId="3949D32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8.8.1承包人提供的施工设备和临时设施</w:t>
      </w:r>
    </w:p>
    <w:p w14:paraId="0235436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7EC5B0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除专用合同条款另有约定外，承包人应自行承担修建临时设施的费用，需要临时占地的，应由发包人办理申请手续并承担相应费用。</w:t>
      </w:r>
    </w:p>
    <w:p w14:paraId="0A4C78A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8.8.2发包人提供的施工设备和临时设施</w:t>
      </w:r>
    </w:p>
    <w:p w14:paraId="1141E97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发包人提供的施工设备或临时设施在专用合同条款中约定。</w:t>
      </w:r>
    </w:p>
    <w:p w14:paraId="11A9377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8.8.3要求承包人增加或更换施工设备</w:t>
      </w:r>
    </w:p>
    <w:p w14:paraId="3ADD6F7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B1A4252">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15" w:name="_Toc351203561"/>
      <w:r>
        <w:rPr>
          <w:rFonts w:hint="eastAsia" w:ascii="宋体" w:hAnsi="宋体" w:eastAsia="宋体" w:cs="宋体"/>
          <w:b/>
          <w:bCs/>
          <w:color w:val="auto"/>
          <w:sz w:val="20"/>
          <w:szCs w:val="20"/>
          <w:highlight w:val="none"/>
        </w:rPr>
        <w:t>8</w:t>
      </w:r>
      <w:bookmarkStart w:id="216" w:name="_Toc337558781"/>
      <w:bookmarkStart w:id="217" w:name="_Toc296346564"/>
      <w:bookmarkStart w:id="218" w:name="_Toc296503063"/>
      <w:r>
        <w:rPr>
          <w:rFonts w:hint="eastAsia" w:ascii="宋体" w:hAnsi="宋体" w:eastAsia="宋体" w:cs="宋体"/>
          <w:b/>
          <w:bCs/>
          <w:color w:val="auto"/>
          <w:sz w:val="20"/>
          <w:szCs w:val="20"/>
          <w:highlight w:val="none"/>
        </w:rPr>
        <w:t>.9材料与设备专用</w:t>
      </w:r>
      <w:bookmarkEnd w:id="215"/>
      <w:r>
        <w:rPr>
          <w:rFonts w:hint="eastAsia" w:ascii="宋体" w:hAnsi="宋体" w:eastAsia="宋体" w:cs="宋体"/>
          <w:b/>
          <w:bCs/>
          <w:color w:val="auto"/>
          <w:sz w:val="20"/>
          <w:szCs w:val="20"/>
          <w:highlight w:val="none"/>
        </w:rPr>
        <w:t>要求</w:t>
      </w:r>
    </w:p>
    <w:bookmarkEnd w:id="216"/>
    <w:bookmarkEnd w:id="217"/>
    <w:bookmarkEnd w:id="218"/>
    <w:p w14:paraId="54F78D5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97"/>
      <w:r>
        <w:rPr>
          <w:rFonts w:hint="eastAsia" w:ascii="宋体" w:hAnsi="宋体" w:eastAsia="宋体" w:cs="宋体"/>
          <w:color w:val="auto"/>
          <w:kern w:val="0"/>
          <w:sz w:val="20"/>
          <w:szCs w:val="20"/>
          <w:highlight w:val="none"/>
        </w:rPr>
        <w:t>经发包人批准，承包人可以根据施工进度计划撤走闲置的施工设备和其他物品。</w:t>
      </w:r>
    </w:p>
    <w:p w14:paraId="3394AAE1">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219" w:name="_Toc351203562"/>
      <w:r>
        <w:rPr>
          <w:rFonts w:hint="eastAsia" w:ascii="宋体" w:hAnsi="宋体" w:eastAsia="宋体" w:cs="宋体"/>
          <w:b/>
          <w:bCs w:val="0"/>
          <w:color w:val="auto"/>
          <w:sz w:val="20"/>
          <w:szCs w:val="20"/>
          <w:highlight w:val="none"/>
        </w:rPr>
        <w:t>9</w:t>
      </w:r>
      <w:bookmarkStart w:id="220" w:name="_Toc337558782"/>
      <w:bookmarkStart w:id="221" w:name="_Toc296346584"/>
      <w:bookmarkStart w:id="222" w:name="_Toc296503083"/>
      <w:r>
        <w:rPr>
          <w:rFonts w:hint="eastAsia" w:ascii="宋体" w:hAnsi="宋体" w:eastAsia="宋体" w:cs="宋体"/>
          <w:b/>
          <w:bCs w:val="0"/>
          <w:color w:val="auto"/>
          <w:sz w:val="20"/>
          <w:szCs w:val="20"/>
          <w:highlight w:val="none"/>
        </w:rPr>
        <w:t>.试验与检验</w:t>
      </w:r>
      <w:bookmarkEnd w:id="219"/>
    </w:p>
    <w:bookmarkEnd w:id="220"/>
    <w:p w14:paraId="6856C819">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223" w:name="_Toc351203563"/>
      <w:r>
        <w:rPr>
          <w:rFonts w:hint="eastAsia" w:ascii="宋体" w:hAnsi="宋体" w:eastAsia="宋体" w:cs="宋体"/>
          <w:b/>
          <w:bCs/>
          <w:color w:val="auto"/>
          <w:sz w:val="20"/>
          <w:szCs w:val="20"/>
          <w:highlight w:val="none"/>
        </w:rPr>
        <w:t>9</w:t>
      </w:r>
      <w:bookmarkStart w:id="224" w:name="_Toc337558783"/>
      <w:r>
        <w:rPr>
          <w:rFonts w:hint="eastAsia" w:ascii="宋体" w:hAnsi="宋体" w:eastAsia="宋体" w:cs="宋体"/>
          <w:b/>
          <w:bCs/>
          <w:color w:val="auto"/>
          <w:sz w:val="20"/>
          <w:szCs w:val="20"/>
          <w:highlight w:val="none"/>
        </w:rPr>
        <w:t>.1试验设备与试验人员</w:t>
      </w:r>
      <w:bookmarkEnd w:id="223"/>
    </w:p>
    <w:bookmarkEnd w:id="224"/>
    <w:p w14:paraId="006835A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7ED6A0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9.1.2承包人应按专用合同条款的约定提供试验设备、取样装置、试验场所和试验条件，并向监理人提交相应进场计划表。</w:t>
      </w:r>
    </w:p>
    <w:p w14:paraId="0E08703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承包人配置的试验设备要符合相应试验规程的要求并经过具有资质的检测单位检测，且在正式使用该试验设备前，需要经过监理人与承包人共同校定。</w:t>
      </w:r>
    </w:p>
    <w:p w14:paraId="0923925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9.1.3承包人应向监理人提交试验人员的名单及其岗位、资格等证明资料，试验人员必须能够熟练进行相应的检测试验，承包人对试验人员的试验程序和试验结果的正确性负责。</w:t>
      </w:r>
    </w:p>
    <w:p w14:paraId="57F9E18A">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225" w:name="_Toc351203564"/>
      <w:r>
        <w:rPr>
          <w:rFonts w:hint="eastAsia" w:ascii="宋体" w:hAnsi="宋体" w:eastAsia="宋体" w:cs="宋体"/>
          <w:b/>
          <w:bCs/>
          <w:color w:val="auto"/>
          <w:sz w:val="20"/>
          <w:szCs w:val="20"/>
          <w:highlight w:val="none"/>
        </w:rPr>
        <w:t>9</w:t>
      </w:r>
      <w:bookmarkStart w:id="226" w:name="_Toc337558784"/>
      <w:r>
        <w:rPr>
          <w:rFonts w:hint="eastAsia" w:ascii="宋体" w:hAnsi="宋体" w:eastAsia="宋体" w:cs="宋体"/>
          <w:b/>
          <w:bCs/>
          <w:color w:val="auto"/>
          <w:sz w:val="20"/>
          <w:szCs w:val="20"/>
          <w:highlight w:val="none"/>
        </w:rPr>
        <w:t>.2取样</w:t>
      </w:r>
      <w:bookmarkEnd w:id="225"/>
    </w:p>
    <w:bookmarkEnd w:id="226"/>
    <w:p w14:paraId="2080C29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试验属于自检性质的，承包人可以单独取样。试验属于监理人抽检性质的，可由监理人取样，也可由承包人的试验人员在监理人的监督下取样。</w:t>
      </w:r>
    </w:p>
    <w:p w14:paraId="134298B8">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27" w:name="_Toc351203565"/>
      <w:r>
        <w:rPr>
          <w:rFonts w:hint="eastAsia" w:ascii="宋体" w:hAnsi="宋体" w:eastAsia="宋体" w:cs="宋体"/>
          <w:b/>
          <w:bCs/>
          <w:color w:val="auto"/>
          <w:sz w:val="20"/>
          <w:szCs w:val="20"/>
          <w:highlight w:val="none"/>
        </w:rPr>
        <w:t>9</w:t>
      </w:r>
      <w:bookmarkStart w:id="228" w:name="_Toc337558785"/>
      <w:r>
        <w:rPr>
          <w:rFonts w:hint="eastAsia" w:ascii="宋体" w:hAnsi="宋体" w:eastAsia="宋体" w:cs="宋体"/>
          <w:b/>
          <w:bCs/>
          <w:color w:val="auto"/>
          <w:sz w:val="20"/>
          <w:szCs w:val="20"/>
          <w:highlight w:val="none"/>
        </w:rPr>
        <w:t>.3材料、工程设备和工程的试验和检验</w:t>
      </w:r>
      <w:bookmarkEnd w:id="227"/>
    </w:p>
    <w:bookmarkEnd w:id="228"/>
    <w:p w14:paraId="5FE2A54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F547E8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AC26F4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C0B6540">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229" w:name="_Toc351203566"/>
      <w:r>
        <w:rPr>
          <w:rFonts w:hint="eastAsia" w:ascii="宋体" w:hAnsi="宋体" w:eastAsia="宋体" w:cs="宋体"/>
          <w:b/>
          <w:bCs/>
          <w:color w:val="auto"/>
          <w:sz w:val="20"/>
          <w:szCs w:val="20"/>
          <w:highlight w:val="none"/>
        </w:rPr>
        <w:t>9</w:t>
      </w:r>
      <w:bookmarkStart w:id="230" w:name="_Toc337558786"/>
      <w:r>
        <w:rPr>
          <w:rFonts w:hint="eastAsia" w:ascii="宋体" w:hAnsi="宋体" w:eastAsia="宋体" w:cs="宋体"/>
          <w:b/>
          <w:bCs/>
          <w:color w:val="auto"/>
          <w:sz w:val="20"/>
          <w:szCs w:val="20"/>
          <w:highlight w:val="none"/>
        </w:rPr>
        <w:t>.4现场工艺试验</w:t>
      </w:r>
      <w:bookmarkEnd w:id="229"/>
    </w:p>
    <w:bookmarkEnd w:id="230"/>
    <w:p w14:paraId="1A5A179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承包人应按合同约定或监理人指示进行现场工艺试验。对大型的现场工艺试验，监理人认为必要时，承包人应根据监理人提出的工艺试验要求，编制工艺试验措施计划，报送监理人审查。</w:t>
      </w:r>
    </w:p>
    <w:p w14:paraId="68FB8BA9">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val="0"/>
          <w:color w:val="auto"/>
          <w:sz w:val="20"/>
          <w:szCs w:val="20"/>
          <w:highlight w:val="none"/>
        </w:rPr>
      </w:pPr>
      <w:bookmarkStart w:id="231" w:name="_Toc351203567"/>
      <w:r>
        <w:rPr>
          <w:rFonts w:hint="eastAsia" w:ascii="宋体" w:hAnsi="宋体" w:eastAsia="宋体" w:cs="宋体"/>
          <w:b/>
          <w:bCs w:val="0"/>
          <w:color w:val="auto"/>
          <w:sz w:val="20"/>
          <w:szCs w:val="20"/>
          <w:highlight w:val="none"/>
        </w:rPr>
        <w:t>1</w:t>
      </w:r>
      <w:bookmarkStart w:id="232" w:name="_Toc337558787"/>
      <w:r>
        <w:rPr>
          <w:rFonts w:hint="eastAsia" w:ascii="宋体" w:hAnsi="宋体" w:eastAsia="宋体" w:cs="宋体"/>
          <w:b/>
          <w:bCs w:val="0"/>
          <w:color w:val="auto"/>
          <w:sz w:val="20"/>
          <w:szCs w:val="20"/>
          <w:highlight w:val="none"/>
        </w:rPr>
        <w:t>0.变更</w:t>
      </w:r>
      <w:bookmarkEnd w:id="221"/>
      <w:bookmarkEnd w:id="222"/>
      <w:bookmarkEnd w:id="231"/>
    </w:p>
    <w:bookmarkEnd w:id="232"/>
    <w:p w14:paraId="510C9319">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33" w:name="_Toc351203568"/>
      <w:r>
        <w:rPr>
          <w:rFonts w:hint="eastAsia" w:ascii="宋体" w:hAnsi="宋体" w:eastAsia="宋体" w:cs="宋体"/>
          <w:b/>
          <w:bCs/>
          <w:color w:val="auto"/>
          <w:sz w:val="20"/>
          <w:szCs w:val="20"/>
          <w:highlight w:val="none"/>
        </w:rPr>
        <w:t>1</w:t>
      </w:r>
      <w:bookmarkStart w:id="234" w:name="_Toc337558788"/>
      <w:bookmarkStart w:id="235" w:name="_Toc296503084"/>
      <w:bookmarkStart w:id="236" w:name="_Toc296346585"/>
      <w:r>
        <w:rPr>
          <w:rFonts w:hint="eastAsia" w:ascii="宋体" w:hAnsi="宋体" w:eastAsia="宋体" w:cs="宋体"/>
          <w:b/>
          <w:bCs/>
          <w:color w:val="auto"/>
          <w:sz w:val="20"/>
          <w:szCs w:val="20"/>
          <w:highlight w:val="none"/>
        </w:rPr>
        <w:t>0.1变更的范围</w:t>
      </w:r>
      <w:bookmarkEnd w:id="233"/>
    </w:p>
    <w:bookmarkEnd w:id="234"/>
    <w:bookmarkEnd w:id="235"/>
    <w:bookmarkEnd w:id="236"/>
    <w:p w14:paraId="256F706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除专用合同条款另有约定外，合同履行过程中发生以下情形的，应按照本条约定进行变更：</w:t>
      </w:r>
    </w:p>
    <w:p w14:paraId="7B66DD5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（1）增加或减少合同中任何工作，或追加额外的工作；</w:t>
      </w:r>
    </w:p>
    <w:p w14:paraId="637374A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（2）取消合同中任何工作，但转由他人实施的工作除外；</w:t>
      </w:r>
    </w:p>
    <w:p w14:paraId="0F1987D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（3）改变合同中任何工作的质量标准或其他特性；</w:t>
      </w:r>
    </w:p>
    <w:p w14:paraId="57BE3C1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（4）改变工程的基线、标高、位置和尺寸；</w:t>
      </w:r>
    </w:p>
    <w:p w14:paraId="0481D61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（5）改变工程的时间安排或实施顺序。</w:t>
      </w:r>
    </w:p>
    <w:p w14:paraId="62594A33">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237" w:name="_Toc351203569"/>
      <w:r>
        <w:rPr>
          <w:rFonts w:hint="eastAsia" w:ascii="宋体" w:hAnsi="宋体" w:eastAsia="宋体" w:cs="宋体"/>
          <w:b/>
          <w:bCs/>
          <w:color w:val="auto"/>
          <w:sz w:val="20"/>
          <w:szCs w:val="20"/>
          <w:highlight w:val="none"/>
        </w:rPr>
        <w:t>1</w:t>
      </w:r>
      <w:bookmarkStart w:id="238" w:name="_Toc337558789"/>
      <w:bookmarkStart w:id="239" w:name="_Toc296346586"/>
      <w:bookmarkStart w:id="240" w:name="_Toc296503085"/>
      <w:r>
        <w:rPr>
          <w:rFonts w:hint="eastAsia" w:ascii="宋体" w:hAnsi="宋体" w:eastAsia="宋体" w:cs="宋体"/>
          <w:b/>
          <w:bCs/>
          <w:color w:val="auto"/>
          <w:sz w:val="20"/>
          <w:szCs w:val="20"/>
          <w:highlight w:val="none"/>
        </w:rPr>
        <w:t>0.2变更权</w:t>
      </w:r>
      <w:bookmarkEnd w:id="237"/>
    </w:p>
    <w:bookmarkEnd w:id="238"/>
    <w:bookmarkEnd w:id="239"/>
    <w:bookmarkEnd w:id="240"/>
    <w:p w14:paraId="20F46E7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08D599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涉及设计变更的，应由设计人提供变更后的图纸和说明。如变更超过原设计标准或批准的建设规模时，发包人应及时办理规划、设计变更等审批手续。</w:t>
      </w:r>
    </w:p>
    <w:p w14:paraId="2DC99D4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41" w:name="_Toc351203570"/>
      <w:r>
        <w:rPr>
          <w:rFonts w:hint="eastAsia" w:ascii="宋体" w:hAnsi="宋体" w:eastAsia="宋体" w:cs="宋体"/>
          <w:b/>
          <w:bCs/>
          <w:color w:val="auto"/>
          <w:sz w:val="20"/>
          <w:szCs w:val="20"/>
          <w:highlight w:val="none"/>
        </w:rPr>
        <w:t>1</w:t>
      </w:r>
      <w:bookmarkStart w:id="242" w:name="_Toc296346587"/>
      <w:bookmarkStart w:id="243" w:name="_Toc296503086"/>
      <w:bookmarkStart w:id="244" w:name="_Toc337558790"/>
      <w:r>
        <w:rPr>
          <w:rFonts w:hint="eastAsia" w:ascii="宋体" w:hAnsi="宋体" w:eastAsia="宋体" w:cs="宋体"/>
          <w:b/>
          <w:bCs/>
          <w:color w:val="auto"/>
          <w:sz w:val="20"/>
          <w:szCs w:val="20"/>
          <w:highlight w:val="none"/>
        </w:rPr>
        <w:t>0.3变更程序</w:t>
      </w:r>
      <w:bookmarkEnd w:id="241"/>
    </w:p>
    <w:bookmarkEnd w:id="242"/>
    <w:bookmarkEnd w:id="243"/>
    <w:bookmarkEnd w:id="244"/>
    <w:p w14:paraId="54CA839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10</w:t>
      </w:r>
      <w:r>
        <w:rPr>
          <w:rFonts w:hint="eastAsia" w:ascii="宋体" w:hAnsi="宋体" w:eastAsia="宋体" w:cs="宋体"/>
          <w:color w:val="auto"/>
          <w:kern w:val="0"/>
          <w:sz w:val="20"/>
          <w:szCs w:val="20"/>
          <w:highlight w:val="none"/>
        </w:rPr>
        <w:t>.3.1发包人提出变更</w:t>
      </w:r>
    </w:p>
    <w:p w14:paraId="52D920A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发包人提出变更的，应通过监理人向承包人发出变更指示，变更指示应说明计划变更的工程范围和变更的内容。</w:t>
      </w:r>
    </w:p>
    <w:p w14:paraId="020EDD6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10</w:t>
      </w:r>
      <w:r>
        <w:rPr>
          <w:rFonts w:hint="eastAsia" w:ascii="宋体" w:hAnsi="宋体" w:eastAsia="宋体" w:cs="宋体"/>
          <w:color w:val="auto"/>
          <w:kern w:val="0"/>
          <w:sz w:val="20"/>
          <w:szCs w:val="20"/>
          <w:highlight w:val="none"/>
        </w:rPr>
        <w:t>.3.2监理人提出变更建议</w:t>
      </w:r>
    </w:p>
    <w:p w14:paraId="63233A1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E65127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10.3.3变更执行</w:t>
      </w:r>
    </w:p>
    <w:p w14:paraId="51B3EF6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139C8F5">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245" w:name="_Toc351203571"/>
      <w:r>
        <w:rPr>
          <w:rFonts w:hint="eastAsia" w:ascii="宋体" w:hAnsi="宋体" w:eastAsia="宋体" w:cs="宋体"/>
          <w:b/>
          <w:bCs/>
          <w:color w:val="auto"/>
          <w:sz w:val="20"/>
          <w:szCs w:val="20"/>
          <w:highlight w:val="none"/>
        </w:rPr>
        <w:t>1</w:t>
      </w:r>
      <w:bookmarkStart w:id="246" w:name="_Toc337558791"/>
      <w:bookmarkStart w:id="247" w:name="_Toc296503087"/>
      <w:bookmarkStart w:id="248" w:name="_Toc296346588"/>
      <w:r>
        <w:rPr>
          <w:rFonts w:hint="eastAsia" w:ascii="宋体" w:hAnsi="宋体" w:eastAsia="宋体" w:cs="宋体"/>
          <w:b/>
          <w:bCs/>
          <w:color w:val="auto"/>
          <w:sz w:val="20"/>
          <w:szCs w:val="20"/>
          <w:highlight w:val="none"/>
        </w:rPr>
        <w:t>0.4变更估价</w:t>
      </w:r>
      <w:bookmarkEnd w:id="245"/>
    </w:p>
    <w:bookmarkEnd w:id="246"/>
    <w:bookmarkEnd w:id="247"/>
    <w:bookmarkEnd w:id="248"/>
    <w:p w14:paraId="0A56EB1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10.4.1变更估价原则</w:t>
      </w:r>
    </w:p>
    <w:p w14:paraId="27D2BCF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除专用合同条款另有约定外，变更估价按照本款约定处理：</w:t>
      </w:r>
    </w:p>
    <w:p w14:paraId="36891ED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（1）已标价工程量清单或预算书有相同项目的，按照相同项目单价认定；</w:t>
      </w:r>
    </w:p>
    <w:p w14:paraId="7CDF014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（2）已标价工程量清单或预算书中无相同项目，但有类似项目的，参照类似项目的单价认定；</w:t>
      </w:r>
    </w:p>
    <w:p w14:paraId="4F48756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AB91EC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10.4.2变更估价程序</w:t>
      </w:r>
    </w:p>
    <w:p w14:paraId="6FBB19C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CD1E61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因变更引起的价格调整应计入最近一期的进度款中支付。</w:t>
      </w:r>
    </w:p>
    <w:p w14:paraId="75BF126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49" w:name="_Toc351203572"/>
      <w:r>
        <w:rPr>
          <w:rFonts w:hint="eastAsia" w:ascii="宋体" w:hAnsi="宋体" w:eastAsia="宋体" w:cs="宋体"/>
          <w:b/>
          <w:bCs/>
          <w:color w:val="auto"/>
          <w:sz w:val="20"/>
          <w:szCs w:val="20"/>
          <w:highlight w:val="none"/>
        </w:rPr>
        <w:t>1</w:t>
      </w:r>
      <w:bookmarkStart w:id="250" w:name="_Toc296346595"/>
      <w:bookmarkStart w:id="251" w:name="_Toc337558792"/>
      <w:bookmarkStart w:id="252" w:name="_Toc296503094"/>
      <w:r>
        <w:rPr>
          <w:rFonts w:hint="eastAsia" w:ascii="宋体" w:hAnsi="宋体" w:eastAsia="宋体" w:cs="宋体"/>
          <w:b/>
          <w:bCs/>
          <w:color w:val="auto"/>
          <w:sz w:val="20"/>
          <w:szCs w:val="20"/>
          <w:highlight w:val="none"/>
        </w:rPr>
        <w:t>0.5承包人的合理化建议</w:t>
      </w:r>
      <w:bookmarkEnd w:id="249"/>
    </w:p>
    <w:bookmarkEnd w:id="250"/>
    <w:bookmarkEnd w:id="251"/>
    <w:bookmarkEnd w:id="252"/>
    <w:p w14:paraId="3C597BA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承包人提出合理化建议的，应向监理人提交合理化建议说明，说明建议的内容和理由，以及实施该建议对合同价格和工期的影响。</w:t>
      </w:r>
    </w:p>
    <w:p w14:paraId="6C7428C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F9BDA2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合理化建议降低了合同价格或者提高了工程经济效益的，发包人可对承包人给予奖励，奖励的方法和金额在专用合同条款中约定。</w:t>
      </w:r>
    </w:p>
    <w:p w14:paraId="3459161A">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lang w:eastAsia="zh-CN"/>
        </w:rPr>
      </w:pPr>
      <w:bookmarkStart w:id="253" w:name="_Toc351203573"/>
      <w:r>
        <w:rPr>
          <w:rFonts w:hint="eastAsia" w:ascii="宋体" w:hAnsi="宋体" w:eastAsia="宋体" w:cs="宋体"/>
          <w:b/>
          <w:bCs/>
          <w:color w:val="auto"/>
          <w:sz w:val="20"/>
          <w:szCs w:val="20"/>
          <w:highlight w:val="none"/>
        </w:rPr>
        <w:t>1</w:t>
      </w:r>
      <w:bookmarkStart w:id="254" w:name="_Toc337558793"/>
      <w:r>
        <w:rPr>
          <w:rFonts w:hint="eastAsia" w:ascii="宋体" w:hAnsi="宋体" w:eastAsia="宋体" w:cs="宋体"/>
          <w:b/>
          <w:bCs/>
          <w:color w:val="auto"/>
          <w:sz w:val="20"/>
          <w:szCs w:val="20"/>
          <w:highlight w:val="none"/>
        </w:rPr>
        <w:t>0.6变更引起的工期调整</w:t>
      </w:r>
      <w:bookmarkEnd w:id="253"/>
      <w:bookmarkEnd w:id="254"/>
    </w:p>
    <w:p w14:paraId="76DBB77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因变更引起工期变化的，合同当事人均可要求调整合同工期，由合同当事人按照第4.4款〔商定或确定〕并参考工程所在地的工期定额标准确定增减工期天数。</w:t>
      </w:r>
    </w:p>
    <w:p w14:paraId="04D7AF5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rPr>
      </w:pPr>
      <w:bookmarkStart w:id="255" w:name="_Toc351203574"/>
      <w:r>
        <w:rPr>
          <w:rFonts w:hint="eastAsia" w:ascii="宋体" w:hAnsi="宋体" w:eastAsia="宋体" w:cs="宋体"/>
          <w:b/>
          <w:bCs/>
          <w:color w:val="auto"/>
          <w:sz w:val="20"/>
          <w:szCs w:val="20"/>
          <w:highlight w:val="none"/>
        </w:rPr>
        <w:t>10.7暂估价</w:t>
      </w:r>
      <w:bookmarkEnd w:id="255"/>
    </w:p>
    <w:p w14:paraId="1CA818E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暂估价专业分包工程、服务、材料和工程设备的明细由合同当事人在专用合同条款中约定。</w:t>
      </w:r>
    </w:p>
    <w:p w14:paraId="0419672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10.7.1</w:t>
      </w:r>
      <w:r>
        <w:rPr>
          <w:rFonts w:hint="eastAsia" w:ascii="宋体" w:hAnsi="宋体" w:eastAsia="宋体" w:cs="宋体"/>
          <w:color w:val="auto"/>
          <w:kern w:val="0"/>
          <w:sz w:val="20"/>
          <w:szCs w:val="20"/>
          <w:highlight w:val="none"/>
        </w:rPr>
        <w:t>依法必须招标的暂估价项目</w:t>
      </w:r>
    </w:p>
    <w:p w14:paraId="5E92BBD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对于依法必须招标的暂估价项目，采取以下第1种方式确定。合同当事人也可以在专用合同条款中选择其他招标方式。</w:t>
      </w:r>
    </w:p>
    <w:p w14:paraId="6984C9D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第1种方式：对于依法必须招标的暂估价项目，由承包人招标，对该暂估价项目的确认和批准按照以下约定执行：</w:t>
      </w:r>
    </w:p>
    <w:p w14:paraId="21C59F9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4CCEF6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4768A66D">
      <w:pPr>
        <w:pageBreakBefore w:val="0"/>
        <w:widowControl w:val="0"/>
        <w:kinsoku/>
        <w:wordWrap/>
        <w:overflowPunct/>
        <w:topLinePunct w:val="0"/>
        <w:bidi w:val="0"/>
        <w:snapToGrid/>
        <w:spacing w:line="360" w:lineRule="exact"/>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8F7EDD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CF8517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10.7.2</w:t>
      </w:r>
      <w:r>
        <w:rPr>
          <w:rFonts w:hint="eastAsia" w:ascii="宋体" w:hAnsi="宋体" w:eastAsia="宋体" w:cs="宋体"/>
          <w:color w:val="auto"/>
          <w:kern w:val="0"/>
          <w:sz w:val="20"/>
          <w:szCs w:val="20"/>
          <w:highlight w:val="none"/>
        </w:rPr>
        <w:t>不属于依法必须招标的暂估价项目</w:t>
      </w:r>
    </w:p>
    <w:p w14:paraId="2E2182C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除专用合同条款另有约定外，对于不属于依法必须招标的暂估价项目，采取以下第1种方式确定：</w:t>
      </w:r>
    </w:p>
    <w:p w14:paraId="7F46C98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第1种方式：对于不属于依法必须招标的暂估价项目，按本项约定确认和批准：</w:t>
      </w:r>
    </w:p>
    <w:p w14:paraId="63A74D4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A58C1C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（2）发包人认为承包人确定的供应商、分包人无法满足工程质量或合同要求的，发包人可以要求承包人重新确定暂估价项目的供应商、分包人;</w:t>
      </w:r>
    </w:p>
    <w:p w14:paraId="282DF1F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（3）承包人应当在签订暂估价合同后7天内，将暂估价合同副本报送发包人留存。</w:t>
      </w:r>
    </w:p>
    <w:p w14:paraId="639BE19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第2种方式：承包人按照第10.7.1项〔依法必须招标的暂估价项目〕约定的第1种方式确定暂估价项目。</w:t>
      </w:r>
    </w:p>
    <w:p w14:paraId="3B4CA04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第3种方式：</w:t>
      </w:r>
      <w:r>
        <w:rPr>
          <w:rFonts w:hint="eastAsia" w:ascii="宋体" w:hAnsi="宋体" w:eastAsia="宋体" w:cs="宋体"/>
          <w:color w:val="auto"/>
          <w:kern w:val="0"/>
          <w:sz w:val="20"/>
          <w:szCs w:val="20"/>
          <w:highlight w:val="none"/>
        </w:rPr>
        <w:t>承包人直接实施的暂估价项目</w:t>
      </w:r>
    </w:p>
    <w:p w14:paraId="5F9899D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承包人具备实施暂估价项目的资格和条件的，经发包人和承包人协商一致后，可由承包人自行实施暂估价项目，合同当事人可以在专用合同条款约定具体事项。</w:t>
      </w:r>
    </w:p>
    <w:p w14:paraId="5465759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679423F">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56" w:name="_Toc351203575"/>
      <w:r>
        <w:rPr>
          <w:rFonts w:hint="eastAsia" w:ascii="宋体" w:hAnsi="宋体" w:eastAsia="宋体" w:cs="宋体"/>
          <w:b/>
          <w:bCs/>
          <w:color w:val="auto"/>
          <w:sz w:val="20"/>
          <w:szCs w:val="20"/>
          <w:highlight w:val="none"/>
        </w:rPr>
        <w:t>1</w:t>
      </w:r>
      <w:bookmarkStart w:id="257" w:name="_Toc337558794"/>
      <w:bookmarkStart w:id="258" w:name="_Toc322522561"/>
      <w:bookmarkStart w:id="259" w:name="_Toc296346591"/>
      <w:bookmarkStart w:id="260" w:name="_Toc296503090"/>
      <w:r>
        <w:rPr>
          <w:rFonts w:hint="eastAsia" w:ascii="宋体" w:hAnsi="宋体" w:eastAsia="宋体" w:cs="宋体"/>
          <w:b/>
          <w:bCs/>
          <w:color w:val="auto"/>
          <w:sz w:val="20"/>
          <w:szCs w:val="20"/>
          <w:highlight w:val="none"/>
        </w:rPr>
        <w:t>0.8暂列金额</w:t>
      </w:r>
      <w:bookmarkEnd w:id="256"/>
    </w:p>
    <w:bookmarkEnd w:id="257"/>
    <w:p w14:paraId="0CBDCBA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暂列金额应按照发包人的要求使用，发包人的要求应通过监理人发出。合同当事人可以在专用合同条款中协商确定有关事项。</w:t>
      </w:r>
    </w:p>
    <w:bookmarkEnd w:id="258"/>
    <w:bookmarkEnd w:id="259"/>
    <w:bookmarkEnd w:id="260"/>
    <w:p w14:paraId="7A62A473">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bCs w:val="0"/>
          <w:color w:val="auto"/>
          <w:sz w:val="20"/>
          <w:szCs w:val="20"/>
          <w:highlight w:val="none"/>
          <w:lang w:eastAsia="zh-CN"/>
        </w:rPr>
      </w:pPr>
      <w:bookmarkStart w:id="261" w:name="_Toc351203576"/>
      <w:r>
        <w:rPr>
          <w:rFonts w:hint="eastAsia" w:ascii="宋体" w:hAnsi="宋体" w:eastAsia="宋体" w:cs="宋体"/>
          <w:b/>
          <w:bCs/>
          <w:color w:val="auto"/>
          <w:sz w:val="20"/>
          <w:szCs w:val="20"/>
          <w:highlight w:val="none"/>
        </w:rPr>
        <w:t>1</w:t>
      </w:r>
      <w:bookmarkStart w:id="262" w:name="_Toc296503091"/>
      <w:bookmarkStart w:id="263" w:name="_Toc337558796"/>
      <w:bookmarkStart w:id="264" w:name="_Toc296346592"/>
      <w:r>
        <w:rPr>
          <w:rFonts w:hint="eastAsia" w:ascii="宋体" w:hAnsi="宋体" w:eastAsia="宋体" w:cs="宋体"/>
          <w:b/>
          <w:bCs/>
          <w:color w:val="auto"/>
          <w:sz w:val="20"/>
          <w:szCs w:val="20"/>
          <w:highlight w:val="none"/>
        </w:rPr>
        <w:t>0.9计日工</w:t>
      </w:r>
      <w:bookmarkEnd w:id="261"/>
      <w:bookmarkEnd w:id="262"/>
      <w:bookmarkEnd w:id="263"/>
      <w:bookmarkEnd w:id="264"/>
    </w:p>
    <w:p w14:paraId="5EA8EF6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53A860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采用计日工计价的任何一项工作，承包人应在该项工作实施过程中，每天提交以下报表和有关凭证报送监理人审查：</w:t>
      </w:r>
    </w:p>
    <w:p w14:paraId="2FED6D2C">
      <w:pPr>
        <w:pageBreakBefore w:val="0"/>
        <w:widowControl w:val="0"/>
        <w:kinsoku/>
        <w:wordWrap/>
        <w:overflowPunct/>
        <w:topLinePunct w:val="0"/>
        <w:bidi w:val="0"/>
        <w:snapToGrid/>
        <w:spacing w:line="360" w:lineRule="exact"/>
        <w:ind w:firstLine="300" w:firstLineChars="15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（1）工作名称、内容和数量；</w:t>
      </w:r>
    </w:p>
    <w:p w14:paraId="5B06A950">
      <w:pPr>
        <w:pageBreakBefore w:val="0"/>
        <w:widowControl w:val="0"/>
        <w:kinsoku/>
        <w:wordWrap/>
        <w:overflowPunct/>
        <w:topLinePunct w:val="0"/>
        <w:bidi w:val="0"/>
        <w:snapToGrid/>
        <w:spacing w:line="360" w:lineRule="exact"/>
        <w:ind w:firstLine="300" w:firstLineChars="15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（2）投入该工作的所有人员的姓名、专业、工种、级别和耗用工时；</w:t>
      </w:r>
    </w:p>
    <w:p w14:paraId="71DEDC28">
      <w:pPr>
        <w:pageBreakBefore w:val="0"/>
        <w:widowControl w:val="0"/>
        <w:kinsoku/>
        <w:wordWrap/>
        <w:overflowPunct/>
        <w:topLinePunct w:val="0"/>
        <w:bidi w:val="0"/>
        <w:snapToGrid/>
        <w:spacing w:line="360" w:lineRule="exact"/>
        <w:ind w:firstLine="300" w:firstLineChars="15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（3）投入该工作的材料类别和数量；</w:t>
      </w:r>
    </w:p>
    <w:p w14:paraId="6DFFFF9D">
      <w:pPr>
        <w:pageBreakBefore w:val="0"/>
        <w:widowControl w:val="0"/>
        <w:kinsoku/>
        <w:wordWrap/>
        <w:overflowPunct/>
        <w:topLinePunct w:val="0"/>
        <w:bidi w:val="0"/>
        <w:snapToGrid/>
        <w:spacing w:line="360" w:lineRule="exact"/>
        <w:ind w:firstLine="300" w:firstLineChars="15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（4）投入该工作的施工设备型号、台数和耗用台时；</w:t>
      </w:r>
    </w:p>
    <w:p w14:paraId="128BF824">
      <w:pPr>
        <w:pageBreakBefore w:val="0"/>
        <w:widowControl w:val="0"/>
        <w:kinsoku/>
        <w:wordWrap/>
        <w:overflowPunct/>
        <w:topLinePunct w:val="0"/>
        <w:bidi w:val="0"/>
        <w:snapToGrid/>
        <w:spacing w:line="360" w:lineRule="exact"/>
        <w:ind w:firstLine="300" w:firstLineChars="15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（5）其他有关资料和凭证。</w:t>
      </w:r>
    </w:p>
    <w:p w14:paraId="219ECF76">
      <w:pPr>
        <w:pageBreakBefore w:val="0"/>
        <w:widowControl w:val="0"/>
        <w:kinsoku/>
        <w:wordWrap/>
        <w:overflowPunct/>
        <w:topLinePunct w:val="0"/>
        <w:bidi w:val="0"/>
        <w:snapToGrid/>
        <w:spacing w:line="360" w:lineRule="exact"/>
        <w:ind w:firstLine="300" w:firstLineChars="15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计日工由承包人汇总后，列入最近一期进度付款申请单，由监理人审查并经发包人批准后列入进度付款。</w:t>
      </w:r>
    </w:p>
    <w:p w14:paraId="302E3636">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265" w:name="_Toc351203577"/>
      <w:r>
        <w:rPr>
          <w:rFonts w:hint="eastAsia" w:ascii="宋体" w:hAnsi="宋体" w:eastAsia="宋体" w:cs="宋体"/>
          <w:b/>
          <w:bCs w:val="0"/>
          <w:color w:val="auto"/>
          <w:sz w:val="20"/>
          <w:szCs w:val="20"/>
          <w:highlight w:val="none"/>
        </w:rPr>
        <w:t>11.价格调整</w:t>
      </w:r>
      <w:bookmarkEnd w:id="265"/>
    </w:p>
    <w:p w14:paraId="7EF65150">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66" w:name="_Toc351203578"/>
      <w:bookmarkStart w:id="267" w:name="_Toc296503092"/>
      <w:bookmarkStart w:id="268" w:name="_Toc296346593"/>
      <w:bookmarkStart w:id="269" w:name="_Toc337558797"/>
      <w:r>
        <w:rPr>
          <w:rFonts w:hint="eastAsia" w:ascii="宋体" w:hAnsi="宋体" w:eastAsia="宋体" w:cs="宋体"/>
          <w:b/>
          <w:bCs/>
          <w:color w:val="auto"/>
          <w:sz w:val="20"/>
          <w:szCs w:val="20"/>
          <w:highlight w:val="none"/>
        </w:rPr>
        <w:t>11.1市场价格波动引起的调整</w:t>
      </w:r>
      <w:bookmarkEnd w:id="266"/>
    </w:p>
    <w:bookmarkEnd w:id="267"/>
    <w:bookmarkEnd w:id="268"/>
    <w:bookmarkEnd w:id="269"/>
    <w:p w14:paraId="3E02F8A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除专用合同条款另有约定外，市场价格波动超过合同当事人约定的范围，合同价格应当调整。合同当事人可以在专用合同条款中约定选择以下一种方式对合同价格进行调整：</w:t>
      </w:r>
    </w:p>
    <w:p w14:paraId="2EB9CB4F">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第1种方式：采用价格指数进行价格调整。</w:t>
      </w:r>
    </w:p>
    <w:p w14:paraId="365D5061">
      <w:pPr>
        <w:keepNext w:val="0"/>
        <w:keepLines w:val="0"/>
        <w:pageBreakBefore w:val="0"/>
        <w:widowControl w:val="0"/>
        <w:tabs>
          <w:tab w:val="left" w:pos="0"/>
          <w:tab w:val="left" w:pos="360"/>
          <w:tab w:val="left" w:pos="540"/>
        </w:tabs>
        <w:kinsoku/>
        <w:wordWrap/>
        <w:overflowPunct/>
        <w:topLinePunct w:val="0"/>
        <w:autoSpaceDE/>
        <w:autoSpaceDN/>
        <w:bidi w:val="0"/>
        <w:adjustRightInd/>
        <w:snapToGrid/>
        <w:spacing w:line="720" w:lineRule="auto"/>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（1）价格调整公式</w:t>
      </w:r>
    </w:p>
    <w:p w14:paraId="310D20D1">
      <w:pPr>
        <w:keepNext w:val="0"/>
        <w:keepLines w:val="0"/>
        <w:pageBreakBefore w:val="0"/>
        <w:widowControl w:val="0"/>
        <w:tabs>
          <w:tab w:val="left" w:pos="0"/>
          <w:tab w:val="left" w:pos="360"/>
          <w:tab w:val="left" w:pos="540"/>
        </w:tabs>
        <w:kinsoku/>
        <w:wordWrap/>
        <w:overflowPunct/>
        <w:topLinePunct w:val="0"/>
        <w:autoSpaceDE/>
        <w:autoSpaceDN/>
        <w:bidi w:val="0"/>
        <w:adjustRightInd/>
        <w:snapToGrid/>
        <w:spacing w:line="720" w:lineRule="auto"/>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因人工、材料和设备等价格波动影响合同价格时，根据专用合同条款中约定的数据，按以下公式计算差额并调整合同价格：</w:t>
      </w:r>
    </w:p>
    <w:p w14:paraId="269B304D">
      <w:pPr>
        <w:keepNext w:val="0"/>
        <w:keepLines w:val="0"/>
        <w:pageBreakBefore w:val="0"/>
        <w:widowControl w:val="0"/>
        <w:tabs>
          <w:tab w:val="left" w:pos="0"/>
          <w:tab w:val="left" w:pos="360"/>
          <w:tab w:val="left" w:pos="540"/>
        </w:tabs>
        <w:kinsoku/>
        <w:wordWrap/>
        <w:overflowPunct/>
        <w:topLinePunct w:val="0"/>
        <w:autoSpaceDE/>
        <w:autoSpaceDN/>
        <w:bidi w:val="0"/>
        <w:adjustRightInd/>
        <w:snapToGrid/>
        <w:spacing w:line="720" w:lineRule="auto"/>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position w:val="-30"/>
          <w:sz w:val="20"/>
          <w:szCs w:val="20"/>
          <w:highlight w:val="none"/>
        </w:rPr>
        <w:object>
          <v:shape id="_x0000_i1025" o:spt="75" type="#_x0000_t75" style="height:53.55pt;width:359.85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p>
    <w:p w14:paraId="75A01E4D">
      <w:pPr>
        <w:pageBreakBefore w:val="0"/>
        <w:widowControl w:val="0"/>
        <w:tabs>
          <w:tab w:val="left" w:pos="0"/>
          <w:tab w:val="left" w:pos="360"/>
          <w:tab w:val="left" w:pos="540"/>
        </w:tabs>
        <w:kinsoku/>
        <w:wordWrap/>
        <w:overflowPunct/>
        <w:topLinePunct w:val="0"/>
        <w:bidi w:val="0"/>
        <w:snapToGrid/>
        <w:spacing w:line="360" w:lineRule="exact"/>
        <w:ind w:firstLine="64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公式中：ΔP——需调整的价格差额；</w:t>
      </w:r>
    </w:p>
    <w:p w14:paraId="1C354DC1">
      <w:pPr>
        <w:pageBreakBefore w:val="0"/>
        <w:widowControl w:val="0"/>
        <w:tabs>
          <w:tab w:val="left" w:pos="0"/>
          <w:tab w:val="left" w:pos="360"/>
          <w:tab w:val="left" w:pos="540"/>
        </w:tabs>
        <w:kinsoku/>
        <w:wordWrap/>
        <w:overflowPunct/>
        <w:topLinePunct w:val="0"/>
        <w:bidi w:val="0"/>
        <w:snapToGrid/>
        <w:spacing w:line="360" w:lineRule="exact"/>
        <w:ind w:firstLine="1200" w:firstLineChars="6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position w:val="-6"/>
          <w:sz w:val="20"/>
          <w:szCs w:val="20"/>
          <w:highlight w:val="none"/>
        </w:rPr>
        <w:object>
          <v:shape id="_x0000_i1026" o:spt="75" type="#_x0000_t75" style="height:17.95pt;width:17.95pt;" o:ole="t" filled="f" stroked="f" coordsize="21600,21600">
            <v:path/>
            <v:fill on="f" focussize="0,0"/>
            <v:stroke on="f"/>
            <v:imagedata r:id="rId14" o:title=""/>
            <o:lock v:ext="edit" grouping="f" rotation="f" text="f" aspectratio="t"/>
            <w10:wrap type="none"/>
            <w10:anchorlock/>
          </v:shape>
          <o:OLEObject Type="Embed" ProgID="Equation.KSEE3" ShapeID="_x0000_i1026" DrawAspect="Content" ObjectID="_1468075726" r:id="rId13">
            <o:LockedField>false</o:LockedField>
          </o:OLEObject>
        </w:object>
      </w:r>
      <w:r>
        <w:rPr>
          <w:rFonts w:hint="eastAsia" w:ascii="宋体" w:hAnsi="宋体" w:eastAsia="宋体" w:cs="宋体"/>
          <w:color w:val="auto"/>
          <w:sz w:val="20"/>
          <w:szCs w:val="20"/>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8C8F118">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A——定值权重（即不调部分的权重）；</w:t>
      </w:r>
    </w:p>
    <w:p w14:paraId="0BEDE507">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position w:val="-10"/>
          <w:sz w:val="20"/>
          <w:szCs w:val="20"/>
          <w:highlight w:val="none"/>
        </w:rPr>
        <w:object>
          <v:shape id="_x0000_i1027" o:spt="75" type="#_x0000_t75" style="height:21.05pt;width:101pt;" o:ole="t" filled="f" stroked="f" coordsize="21600,21600">
            <v:path/>
            <v:fill on="f" focussize="0,0"/>
            <v:stroke on="f"/>
            <v:imagedata r:id="rId16" o:title=""/>
            <o:lock v:ext="edit" grouping="f" rotation="f" text="f" aspectratio="t"/>
            <w10:wrap type="none"/>
            <w10:anchorlock/>
          </v:shape>
          <o:OLEObject Type="Embed" ProgID="Equation.KSEE3" ShapeID="_x0000_i1027" DrawAspect="Content" ObjectID="_1468075727" r:id="rId15">
            <o:LockedField>false</o:LockedField>
          </o:OLEObject>
        </w:object>
      </w:r>
      <w:r>
        <w:rPr>
          <w:rFonts w:hint="eastAsia" w:ascii="宋体" w:hAnsi="宋体" w:eastAsia="宋体" w:cs="宋体"/>
          <w:color w:val="auto"/>
          <w:sz w:val="20"/>
          <w:szCs w:val="20"/>
          <w:highlight w:val="none"/>
        </w:rPr>
        <w:t>——各可调因子的变值权重（即可调部分的权重），为各可调因子在签约合同价中所占的比例；</w:t>
      </w:r>
    </w:p>
    <w:p w14:paraId="05E5204D">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position w:val="-10"/>
          <w:sz w:val="20"/>
          <w:szCs w:val="20"/>
          <w:highlight w:val="none"/>
        </w:rPr>
        <w:object>
          <v:shape id="_x0000_i1028" o:spt="75" type="#_x0000_t75" style="height:20.6pt;width:102.05pt;" o:ole="t" filled="f" stroked="f" coordsize="21600,21600">
            <v:path/>
            <v:fill on="f" focussize="0,0"/>
            <v:stroke on="f"/>
            <v:imagedata r:id="rId18" o:title=""/>
            <o:lock v:ext="edit" grouping="f" rotation="f" text="f" aspectratio="t"/>
            <w10:wrap type="none"/>
            <w10:anchorlock/>
          </v:shape>
          <o:OLEObject Type="Embed" ProgID="Equation.KSEE3" ShapeID="_x0000_i1028" DrawAspect="Content" ObjectID="_1468075728" r:id="rId17">
            <o:LockedField>false</o:LockedField>
          </o:OLEObject>
        </w:object>
      </w:r>
      <w:r>
        <w:rPr>
          <w:rFonts w:hint="eastAsia" w:ascii="宋体" w:hAnsi="宋体" w:eastAsia="宋体" w:cs="宋体"/>
          <w:color w:val="auto"/>
          <w:sz w:val="20"/>
          <w:szCs w:val="20"/>
          <w:highlight w:val="none"/>
        </w:rPr>
        <w:t>——各可调因子的现行价格指数，指约定的付款证书相关周期最后一天的前42天的各可调因子的价格指数；</w:t>
      </w:r>
    </w:p>
    <w:p w14:paraId="2B7799E7">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position w:val="-10"/>
          <w:sz w:val="20"/>
          <w:szCs w:val="20"/>
          <w:highlight w:val="none"/>
        </w:rPr>
        <w:object>
          <v:shape id="_x0000_i1029" o:spt="75" type="#_x0000_t75" style="height:20.2pt;width:108pt;" o:ole="t" filled="f" stroked="f" coordsize="21600,21600">
            <v:path/>
            <v:fill on="f" focussize="0,0"/>
            <v:stroke on="f"/>
            <v:imagedata r:id="rId20" o:title=""/>
            <o:lock v:ext="edit" grouping="f" rotation="f" text="f" aspectratio="t"/>
            <w10:wrap type="none"/>
            <w10:anchorlock/>
          </v:shape>
          <o:OLEObject Type="Embed" ProgID="Equation.KSEE3" ShapeID="_x0000_i1029" DrawAspect="Content" ObjectID="_1468075729" r:id="rId19">
            <o:LockedField>false</o:LockedField>
          </o:OLEObject>
        </w:object>
      </w:r>
      <w:r>
        <w:rPr>
          <w:rFonts w:hint="eastAsia" w:ascii="宋体" w:hAnsi="宋体" w:eastAsia="宋体" w:cs="宋体"/>
          <w:color w:val="auto"/>
          <w:sz w:val="20"/>
          <w:szCs w:val="20"/>
          <w:highlight w:val="none"/>
        </w:rPr>
        <w:t>——各可调因子的基本价格指数，指基准日期的各可调因子的价格指数。</w:t>
      </w:r>
    </w:p>
    <w:p w14:paraId="52936FB2">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FEF68FE">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（2）暂时确定调整差额</w:t>
      </w:r>
    </w:p>
    <w:p w14:paraId="7E379A3A">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在计算调整差额时无现行价格指数的，合同当事人同意暂用前次价格指数计算。实际价格指数有调整的，合同当事人进行相应调整。</w:t>
      </w:r>
    </w:p>
    <w:p w14:paraId="167B5C6F">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（3）权重的调整</w:t>
      </w:r>
    </w:p>
    <w:p w14:paraId="20467B2F">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因变更导致合同约定的权重不合理时，按照第4.4款〔商定或确定〕执行。</w:t>
      </w:r>
    </w:p>
    <w:p w14:paraId="4EF8367D">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（4）因承包人原因工期延误后的价格调整</w:t>
      </w:r>
    </w:p>
    <w:p w14:paraId="26D1E97B">
      <w:pPr>
        <w:pageBreakBefore w:val="0"/>
        <w:widowControl w:val="0"/>
        <w:tabs>
          <w:tab w:val="left" w:pos="0"/>
          <w:tab w:val="left" w:pos="360"/>
          <w:tab w:val="left" w:pos="540"/>
        </w:tabs>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3229D5D">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第2种方式：采用造价信息进行价格调整。</w:t>
      </w:r>
    </w:p>
    <w:p w14:paraId="51BEE0EA">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3EBECB7">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82B3269">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（2）材料、工程设备价格变化的价款调整按照发包人提供的基准价格，按以下风险范围规定执行:</w:t>
      </w:r>
    </w:p>
    <w:p w14:paraId="7FEC22A2">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C604C30">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C0DC816">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③承包人在已标价工程量清单或预算书中载明材料单价等于基准价格的：除专用合同条款另有约定外，合同履行期间材料单价涨跌幅以基准价格为基础超过±5%时，其超过部分据实调整。</w:t>
      </w:r>
    </w:p>
    <w:p w14:paraId="6EB7D77D">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11F5BF7">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bookmarkStart w:id="270" w:name="OLE_LINK3"/>
      <w:r>
        <w:rPr>
          <w:rFonts w:hint="eastAsia" w:ascii="宋体" w:hAnsi="宋体" w:eastAsia="宋体" w:cs="宋体"/>
          <w:color w:val="auto"/>
          <w:sz w:val="20"/>
          <w:szCs w:val="20"/>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92CD080">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（3）施工机械台班单价或施工机械使用费发生变化超过省级或行业建设主管部门或其授权的工程造价管理机构规定的范围时，按规定调整合同价格。</w:t>
      </w:r>
    </w:p>
    <w:p w14:paraId="1643277C">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第3种方式：专用合同条款约定的其他方式。</w:t>
      </w:r>
    </w:p>
    <w:p w14:paraId="3A76F26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271" w:name="_Toc351203579"/>
      <w:bookmarkStart w:id="272" w:name="_Toc296503093"/>
      <w:bookmarkStart w:id="273" w:name="_Toc296346594"/>
      <w:bookmarkStart w:id="274" w:name="_Toc337558798"/>
      <w:r>
        <w:rPr>
          <w:rFonts w:hint="eastAsia" w:ascii="宋体" w:hAnsi="宋体" w:eastAsia="宋体" w:cs="宋体"/>
          <w:b/>
          <w:bCs/>
          <w:color w:val="auto"/>
          <w:sz w:val="20"/>
          <w:szCs w:val="20"/>
          <w:highlight w:val="none"/>
        </w:rPr>
        <w:t>11.2法律变化引起的调整</w:t>
      </w:r>
      <w:bookmarkEnd w:id="271"/>
    </w:p>
    <w:bookmarkEnd w:id="272"/>
    <w:bookmarkEnd w:id="273"/>
    <w:bookmarkEnd w:id="274"/>
    <w:p w14:paraId="3E659DD0">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EEC7F72">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因法律变化引起的合同价格和工期调整，合同当事人无法达成一致的，由总监理工程师按第4.4款〔商定或确定〕的约定处理。</w:t>
      </w:r>
    </w:p>
    <w:p w14:paraId="41E46E60">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因承包人原因造成工期延误，在工期延误期间出现法律变化的，由此增加的费用和（或）延误的工期由承包人承担。</w:t>
      </w:r>
    </w:p>
    <w:p w14:paraId="0F477409">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275" w:name="_Toc351203580"/>
      <w:bookmarkStart w:id="276" w:name="_Toc337558799"/>
      <w:bookmarkStart w:id="277" w:name="_Toc296503096"/>
      <w:bookmarkStart w:id="278" w:name="_Toc296346597"/>
      <w:r>
        <w:rPr>
          <w:rFonts w:hint="eastAsia" w:ascii="宋体" w:hAnsi="宋体" w:eastAsia="宋体" w:cs="宋体"/>
          <w:b/>
          <w:bCs w:val="0"/>
          <w:color w:val="auto"/>
          <w:sz w:val="20"/>
          <w:szCs w:val="20"/>
          <w:highlight w:val="none"/>
        </w:rPr>
        <w:t>12.合同价格、计量与支付</w:t>
      </w:r>
      <w:bookmarkEnd w:id="275"/>
    </w:p>
    <w:bookmarkEnd w:id="276"/>
    <w:p w14:paraId="7039AED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79" w:name="_Toc351203581"/>
      <w:bookmarkStart w:id="280" w:name="_Toc337558800"/>
      <w:r>
        <w:rPr>
          <w:rFonts w:hint="eastAsia" w:ascii="宋体" w:hAnsi="宋体" w:eastAsia="宋体" w:cs="宋体"/>
          <w:b/>
          <w:bCs/>
          <w:color w:val="auto"/>
          <w:sz w:val="20"/>
          <w:szCs w:val="20"/>
          <w:highlight w:val="none"/>
        </w:rPr>
        <w:t>12.1合同价</w:t>
      </w:r>
      <w:bookmarkEnd w:id="277"/>
      <w:bookmarkEnd w:id="278"/>
      <w:r>
        <w:rPr>
          <w:rFonts w:hint="eastAsia" w:ascii="宋体" w:hAnsi="宋体" w:eastAsia="宋体" w:cs="宋体"/>
          <w:b/>
          <w:bCs/>
          <w:color w:val="auto"/>
          <w:sz w:val="20"/>
          <w:szCs w:val="20"/>
          <w:highlight w:val="none"/>
        </w:rPr>
        <w:t>格形式</w:t>
      </w:r>
      <w:bookmarkEnd w:id="279"/>
    </w:p>
    <w:bookmarkEnd w:id="280"/>
    <w:p w14:paraId="03D3DE9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发包人和承包人应在合同协议书中选择下列一种合同价格形式：</w:t>
      </w:r>
    </w:p>
    <w:p w14:paraId="0A0ACEE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单价合同</w:t>
      </w:r>
    </w:p>
    <w:p w14:paraId="1860196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0"/>
          <w:szCs w:val="20"/>
          <w:highlight w:val="none"/>
        </w:rPr>
        <w:t>在约定的范围内合同单价不作调整</w:t>
      </w:r>
      <w:r>
        <w:rPr>
          <w:rFonts w:hint="eastAsia" w:ascii="宋体" w:hAnsi="宋体" w:eastAsia="宋体" w:cs="宋体"/>
          <w:color w:val="auto"/>
          <w:kern w:val="0"/>
          <w:sz w:val="20"/>
          <w:szCs w:val="20"/>
          <w:highlight w:val="none"/>
        </w:rPr>
        <w:t>。合同当事人应在专用合同条款中约定综合单价包含的风险范围和风险费用的计算方法</w:t>
      </w:r>
      <w:r>
        <w:rPr>
          <w:rFonts w:hint="eastAsia" w:ascii="宋体" w:hAnsi="宋体" w:eastAsia="宋体" w:cs="宋体"/>
          <w:color w:val="auto"/>
          <w:sz w:val="20"/>
          <w:szCs w:val="20"/>
          <w:highlight w:val="none"/>
        </w:rPr>
        <w:t>，</w:t>
      </w:r>
      <w:r>
        <w:rPr>
          <w:rFonts w:hint="eastAsia" w:ascii="宋体" w:hAnsi="宋体" w:eastAsia="宋体" w:cs="宋体"/>
          <w:color w:val="auto"/>
          <w:kern w:val="0"/>
          <w:sz w:val="20"/>
          <w:szCs w:val="20"/>
          <w:highlight w:val="none"/>
        </w:rPr>
        <w:t>并约定风险范围以外的合同价格的调整方法，其中因市场价格波动引起的调整按第11.1款〔市场价格波动引起的调整〕约定执行。</w:t>
      </w:r>
    </w:p>
    <w:p w14:paraId="4B547EA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r>
        <w:rPr>
          <w:rFonts w:hint="eastAsia" w:ascii="宋体" w:hAnsi="宋体" w:eastAsia="宋体" w:cs="宋体"/>
          <w:b w:val="0"/>
          <w:bCs w:val="0"/>
          <w:color w:val="auto"/>
          <w:kern w:val="0"/>
          <w:sz w:val="20"/>
          <w:szCs w:val="20"/>
          <w:highlight w:val="none"/>
          <w:lang w:val="en-US" w:eastAsia="zh-CN"/>
        </w:rPr>
        <w:t>.</w:t>
      </w:r>
      <w:r>
        <w:rPr>
          <w:rFonts w:hint="eastAsia" w:ascii="宋体" w:hAnsi="宋体" w:eastAsia="宋体" w:cs="宋体"/>
          <w:b w:val="0"/>
          <w:bCs w:val="0"/>
          <w:color w:val="auto"/>
          <w:kern w:val="0"/>
          <w:sz w:val="20"/>
          <w:szCs w:val="20"/>
          <w:highlight w:val="none"/>
        </w:rPr>
        <w:t>总价合同</w:t>
      </w:r>
    </w:p>
    <w:p w14:paraId="2767A37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0"/>
          <w:szCs w:val="20"/>
          <w:highlight w:val="none"/>
        </w:rPr>
        <w:t>在约定的范围内合同总价不作调整</w:t>
      </w:r>
      <w:r>
        <w:rPr>
          <w:rFonts w:hint="eastAsia" w:ascii="宋体" w:hAnsi="宋体" w:eastAsia="宋体" w:cs="宋体"/>
          <w:color w:val="auto"/>
          <w:kern w:val="0"/>
          <w:sz w:val="20"/>
          <w:szCs w:val="20"/>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5D32C6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其它价格形式</w:t>
      </w:r>
    </w:p>
    <w:p w14:paraId="6F87035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合同当事人可在专用合同条款中约定其他合同价格形式。</w:t>
      </w:r>
    </w:p>
    <w:p w14:paraId="012A8E19">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81" w:name="_Toc296503097"/>
      <w:bookmarkStart w:id="282" w:name="_Toc296346598"/>
      <w:bookmarkStart w:id="283" w:name="_Toc351203582"/>
      <w:bookmarkStart w:id="284" w:name="_Toc337558801"/>
      <w:r>
        <w:rPr>
          <w:rFonts w:hint="eastAsia" w:ascii="宋体" w:hAnsi="宋体" w:eastAsia="宋体" w:cs="宋体"/>
          <w:b/>
          <w:bCs/>
          <w:color w:val="auto"/>
          <w:sz w:val="20"/>
          <w:szCs w:val="20"/>
          <w:highlight w:val="none"/>
        </w:rPr>
        <w:t>12.2预</w:t>
      </w:r>
      <w:bookmarkEnd w:id="281"/>
      <w:bookmarkEnd w:id="282"/>
      <w:bookmarkStart w:id="285" w:name="_Toc296346601"/>
      <w:bookmarkStart w:id="286" w:name="_Toc296503100"/>
      <w:r>
        <w:rPr>
          <w:rFonts w:hint="eastAsia" w:ascii="宋体" w:hAnsi="宋体" w:eastAsia="宋体" w:cs="宋体"/>
          <w:b/>
          <w:bCs/>
          <w:color w:val="auto"/>
          <w:sz w:val="20"/>
          <w:szCs w:val="20"/>
          <w:highlight w:val="none"/>
        </w:rPr>
        <w:t>付款</w:t>
      </w:r>
      <w:bookmarkEnd w:id="283"/>
    </w:p>
    <w:bookmarkEnd w:id="284"/>
    <w:bookmarkEnd w:id="285"/>
    <w:bookmarkEnd w:id="286"/>
    <w:p w14:paraId="0C676B0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12.2.</w:t>
      </w:r>
      <w:r>
        <w:rPr>
          <w:rFonts w:hint="eastAsia" w:ascii="宋体" w:hAnsi="宋体" w:eastAsia="宋体" w:cs="宋体"/>
          <w:color w:val="auto"/>
          <w:kern w:val="0"/>
          <w:sz w:val="20"/>
          <w:szCs w:val="20"/>
          <w:highlight w:val="none"/>
        </w:rPr>
        <w:t>1预付款的支付</w:t>
      </w:r>
    </w:p>
    <w:p w14:paraId="3034DE7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预付款的支付按照专用合同条款约定执行，但至迟应在开工通知载明的开工日期7天前支付。预付款应当用于材料、工程设备、施工设备的采购及修建临时工程、组织施工队伍进场等。</w:t>
      </w:r>
    </w:p>
    <w:bookmarkEnd w:id="270"/>
    <w:p w14:paraId="510B5F2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12.2.2预付款担保</w:t>
      </w:r>
    </w:p>
    <w:p w14:paraId="57FB1A0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6D5066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发包人在工程款中逐期扣回预付款后，预付款担保额度应相应减少，但剩余的预付款担保金额不得低于未被扣回的预付款金额。</w:t>
      </w:r>
    </w:p>
    <w:p w14:paraId="1D6D56AA">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287" w:name="_Toc351203583"/>
      <w:bookmarkStart w:id="288" w:name="_Toc337558802"/>
      <w:r>
        <w:rPr>
          <w:rFonts w:hint="eastAsia" w:ascii="宋体" w:hAnsi="宋体" w:eastAsia="宋体" w:cs="宋体"/>
          <w:b/>
          <w:bCs/>
          <w:color w:val="auto"/>
          <w:sz w:val="20"/>
          <w:szCs w:val="20"/>
          <w:highlight w:val="none"/>
        </w:rPr>
        <w:t>12.3计量</w:t>
      </w:r>
      <w:bookmarkEnd w:id="287"/>
    </w:p>
    <w:bookmarkEnd w:id="288"/>
    <w:p w14:paraId="7A64195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12.3.1计量原则</w:t>
      </w:r>
    </w:p>
    <w:p w14:paraId="4050037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工程量计量按照合同约定的工程量计算规则、图纸及变更指示等进行计量。工程量计算规则应以相关的国家标准、行业标准等为依据，由合同当事人在专用合同条款中约定。</w:t>
      </w:r>
    </w:p>
    <w:p w14:paraId="34AE9C1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12.3.2计量周期</w:t>
      </w:r>
    </w:p>
    <w:p w14:paraId="46624E6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除专用合同条款另有约定外，工程量的计量按月进行。</w:t>
      </w:r>
    </w:p>
    <w:p w14:paraId="09F0D6A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12.3.3单价合同的计量</w:t>
      </w:r>
    </w:p>
    <w:p w14:paraId="0E857B9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除专用合同条款另有约定外，单价合同的计量按照本项约定执行：</w:t>
      </w:r>
    </w:p>
    <w:p w14:paraId="2CDA096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（1）承包人应于每月25日向监理人报送上月20日至当月19日已完成的工程量报告，并附具进度付款申请单、已完成工程量报表和有关资料。</w:t>
      </w:r>
    </w:p>
    <w:p w14:paraId="41669AC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A92FBF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（3）监理人未在收到承包人提交的工程量报表后的7天内完成审核的，承包人报送的工程量报告中的工程量视为承包人实际完成的工程量，据此计算工程价款。</w:t>
      </w:r>
    </w:p>
    <w:p w14:paraId="7640BB6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12.3.4总价合同的计量</w:t>
      </w:r>
    </w:p>
    <w:p w14:paraId="02DECE7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除专用合同条款另有约定外，按月计量支付的总价合同，按照本项约定执行：</w:t>
      </w:r>
    </w:p>
    <w:p w14:paraId="5FB40BF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（1）承包人应于每月25日向监理人报送上月20日至当月19日已完成的工程量报告，并附具进度付款申请单、已完成工程量报表和有关资料。</w:t>
      </w:r>
    </w:p>
    <w:p w14:paraId="4C480BC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B14733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（3）监理人未在收到承包人提交的工程量报表后的7天内完成复核的，承包人提交的工程量报告中的工程量视为承包人实际完成的工程量。</w:t>
      </w:r>
    </w:p>
    <w:p w14:paraId="7ABB8C7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12.3.5总价合同采用支付分解表计量支付的，可以按照第12.3.4项〔总价合同的计量〕约定进行计量，但合同价款按照支付分解表进行支付。</w:t>
      </w:r>
    </w:p>
    <w:p w14:paraId="1DAC29A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12.3.6其他价格形式合同的计量</w:t>
      </w:r>
    </w:p>
    <w:p w14:paraId="70C3323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合同当事人可在专用合同条款中约定其他价格形式合同的计量方式和程序。</w:t>
      </w:r>
    </w:p>
    <w:p w14:paraId="1C028BBF">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289" w:name="_Toc296503101"/>
      <w:bookmarkStart w:id="290" w:name="_Toc296346602"/>
      <w:bookmarkStart w:id="291" w:name="_Toc351203584"/>
      <w:bookmarkStart w:id="292" w:name="_Toc337558803"/>
      <w:r>
        <w:rPr>
          <w:rFonts w:hint="eastAsia" w:ascii="宋体" w:hAnsi="宋体" w:eastAsia="宋体" w:cs="宋体"/>
          <w:b/>
          <w:bCs/>
          <w:color w:val="auto"/>
          <w:sz w:val="20"/>
          <w:szCs w:val="20"/>
          <w:highlight w:val="none"/>
        </w:rPr>
        <w:t>12.4工程进度款支</w:t>
      </w:r>
      <w:bookmarkEnd w:id="289"/>
      <w:bookmarkEnd w:id="290"/>
      <w:r>
        <w:rPr>
          <w:rFonts w:hint="eastAsia" w:ascii="宋体" w:hAnsi="宋体" w:eastAsia="宋体" w:cs="宋体"/>
          <w:b/>
          <w:bCs/>
          <w:color w:val="auto"/>
          <w:sz w:val="20"/>
          <w:szCs w:val="20"/>
          <w:highlight w:val="none"/>
        </w:rPr>
        <w:t>付</w:t>
      </w:r>
      <w:bookmarkEnd w:id="291"/>
    </w:p>
    <w:bookmarkEnd w:id="292"/>
    <w:p w14:paraId="37BE5C2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bookmarkStart w:id="293" w:name="_Toc23254"/>
      <w:bookmarkStart w:id="294" w:name="_Toc1259"/>
      <w:bookmarkStart w:id="295" w:name="_Toc10241"/>
      <w:bookmarkStart w:id="296" w:name="_Toc20774"/>
      <w:r>
        <w:rPr>
          <w:rFonts w:hint="eastAsia" w:ascii="宋体" w:hAnsi="宋体" w:eastAsia="宋体" w:cs="宋体"/>
          <w:color w:val="auto"/>
          <w:sz w:val="20"/>
          <w:szCs w:val="20"/>
          <w:highlight w:val="none"/>
        </w:rPr>
        <w:t>12.4</w:t>
      </w:r>
      <w:r>
        <w:rPr>
          <w:rFonts w:hint="eastAsia" w:ascii="宋体" w:hAnsi="宋体" w:eastAsia="宋体" w:cs="宋体"/>
          <w:color w:val="auto"/>
          <w:kern w:val="0"/>
          <w:sz w:val="20"/>
          <w:szCs w:val="20"/>
          <w:highlight w:val="none"/>
        </w:rPr>
        <w:t>.1付款周期</w:t>
      </w:r>
      <w:bookmarkEnd w:id="293"/>
      <w:bookmarkEnd w:id="294"/>
      <w:bookmarkEnd w:id="295"/>
      <w:bookmarkEnd w:id="296"/>
    </w:p>
    <w:p w14:paraId="3C7A195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除专用合同条款另有约定外，付款周期应按照第12.3.2项〔计量周期〕的约定与计量周期保持一致。</w:t>
      </w:r>
    </w:p>
    <w:p w14:paraId="6CFCEB1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12.4</w:t>
      </w:r>
      <w:r>
        <w:rPr>
          <w:rFonts w:hint="eastAsia" w:ascii="宋体" w:hAnsi="宋体" w:eastAsia="宋体" w:cs="宋体"/>
          <w:color w:val="auto"/>
          <w:kern w:val="0"/>
          <w:sz w:val="20"/>
          <w:szCs w:val="20"/>
          <w:highlight w:val="none"/>
        </w:rPr>
        <w:t>.2进度付款申请单的编制</w:t>
      </w:r>
    </w:p>
    <w:p w14:paraId="199BAB1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除专用合同条款另有约定外，进度付款申请单应包括下列内容：</w:t>
      </w:r>
    </w:p>
    <w:p w14:paraId="4E58DC3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（1）截至本次付款周期已完成工作对应的金额；</w:t>
      </w:r>
    </w:p>
    <w:p w14:paraId="4C8108D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（2）根据第10条〔变更〕应增加和扣减的变更金额；</w:t>
      </w:r>
    </w:p>
    <w:p w14:paraId="20133A6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（3）根据第12.2款〔预付款〕约定应支付的预付款和扣减的返还预付款；</w:t>
      </w:r>
    </w:p>
    <w:p w14:paraId="51BFB6D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（4）根据第15.3款〔质量保证金〕约定应扣减的质量保证金；</w:t>
      </w:r>
    </w:p>
    <w:p w14:paraId="48318FC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（5）根据第19条〔索赔〕应增加和扣减的索赔金额；</w:t>
      </w:r>
    </w:p>
    <w:p w14:paraId="6AB7742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（6）对已签发的进度款支付证书中出现错误的修正，应在本次进度付款中支付或扣除的金额；</w:t>
      </w:r>
    </w:p>
    <w:p w14:paraId="752ADA8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（7）根据合同约定应增加和扣减的其他金额。</w:t>
      </w:r>
    </w:p>
    <w:p w14:paraId="6360878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bookmarkStart w:id="297" w:name="_Toc11601"/>
      <w:bookmarkStart w:id="298" w:name="_Toc28855"/>
      <w:bookmarkStart w:id="299" w:name="_Toc7643"/>
      <w:bookmarkStart w:id="300" w:name="_Toc19652"/>
      <w:r>
        <w:rPr>
          <w:rFonts w:hint="eastAsia" w:ascii="宋体" w:hAnsi="宋体" w:eastAsia="宋体" w:cs="宋体"/>
          <w:color w:val="auto"/>
          <w:kern w:val="0"/>
          <w:sz w:val="20"/>
          <w:szCs w:val="20"/>
          <w:highlight w:val="none"/>
        </w:rPr>
        <w:t>12.4.3进度付款申请单的提交</w:t>
      </w:r>
      <w:bookmarkEnd w:id="297"/>
      <w:bookmarkEnd w:id="298"/>
      <w:bookmarkEnd w:id="299"/>
      <w:bookmarkEnd w:id="300"/>
    </w:p>
    <w:p w14:paraId="1045B6E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（1）单价合同进度付款申请单的提交</w:t>
      </w:r>
    </w:p>
    <w:p w14:paraId="5BE4D34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333264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（2）总价合同进度付款申请单的提交</w:t>
      </w:r>
    </w:p>
    <w:p w14:paraId="6B7DBC4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总价合同按月计量支付的，承包人按照第12.3.4项〔总价合同的计量〕约定的时间按月向监理人提交进度付款申请单，并附上已完成工程量报表和有关资料。</w:t>
      </w:r>
    </w:p>
    <w:p w14:paraId="06847EB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总价合同按支付分解表支付的，承包人应按照第12.4.6项〔支付分解表〕及第12.4.2项〔进度付款申请单的编制〕的约定向监理人提交进度付款申请单。</w:t>
      </w:r>
    </w:p>
    <w:p w14:paraId="4F098EC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（3）其他价格形式合同的进度付款申请单的提交</w:t>
      </w:r>
    </w:p>
    <w:p w14:paraId="6F844E2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合同当事人可在专用合同条款中约定其他价格形式合同的进度付款申请单的编制和提交程序。</w:t>
      </w:r>
    </w:p>
    <w:p w14:paraId="741E493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12.4</w:t>
      </w:r>
      <w:r>
        <w:rPr>
          <w:rFonts w:hint="eastAsia" w:ascii="宋体" w:hAnsi="宋体" w:eastAsia="宋体" w:cs="宋体"/>
          <w:color w:val="auto"/>
          <w:kern w:val="0"/>
          <w:sz w:val="20"/>
          <w:szCs w:val="20"/>
          <w:highlight w:val="none"/>
        </w:rPr>
        <w:t>.4进度款审核和支付</w:t>
      </w:r>
    </w:p>
    <w:p w14:paraId="42FD6B2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1F9985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8EACDE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E758DC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（3）发包人签发进度款支付证书或临时进度款支付证书，不表明发包人已同意、批准或接受了承包人完成的相应部分的工作。</w:t>
      </w:r>
    </w:p>
    <w:p w14:paraId="47AC970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12.4.5进度付款的修正</w:t>
      </w:r>
    </w:p>
    <w:p w14:paraId="21581D1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在对已签发的进度款支付证书进行阶段汇总和复核中发现错误、遗漏或重复的，发包人和承包人均有权提出修正申请。经发包人和承包人同意的修正，应在下期进度付款中支付或扣除。</w:t>
      </w:r>
    </w:p>
    <w:p w14:paraId="43D8961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12.4.6支付分解表</w:t>
      </w:r>
    </w:p>
    <w:p w14:paraId="332F80A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支付分解表的编制要求</w:t>
      </w:r>
    </w:p>
    <w:p w14:paraId="0217EF4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（1）支付分解表中所列的每期付款金额，应为第12.4.2项〔进度付款申请单的编制〕第（1）目的估算金额；</w:t>
      </w:r>
    </w:p>
    <w:p w14:paraId="62982A6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（2）实际进度与施工进度计划不一致的，合同当事人可按照第4.4款〔商定或确定〕修改支付分解表；</w:t>
      </w:r>
    </w:p>
    <w:p w14:paraId="512AE33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（3）不采用支付分解表的，承包人应向发包人和监理人提交按季度编制的支付估算分解表，用于支付参考。</w:t>
      </w:r>
    </w:p>
    <w:p w14:paraId="7E64D55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总价合同支付分解表的编制与审批</w:t>
      </w:r>
    </w:p>
    <w:p w14:paraId="679D9D4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B11EED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（2）监理人应在收到支付分解表后7天内完成审核并报送发包人。发包人应在收到经监理人审核的支付分解表后7天内完成审批，经发包人批准的支付分解表为有约束力的支付分解表。</w:t>
      </w:r>
    </w:p>
    <w:p w14:paraId="334F8038">
      <w:pPr>
        <w:pageBreakBefore w:val="0"/>
        <w:widowControl w:val="0"/>
        <w:kinsoku/>
        <w:wordWrap/>
        <w:overflowPunct/>
        <w:topLinePunct w:val="0"/>
        <w:bidi w:val="0"/>
        <w:snapToGrid/>
        <w:spacing w:line="360" w:lineRule="exact"/>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（3）发包人逾期未完成支付分解表审批的，也未及时要求承包人进行修正和提供补充资料的，则承包人提交的支付分解表视为已经获得发包人批准。</w:t>
      </w:r>
    </w:p>
    <w:p w14:paraId="7484AA1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单价合同的总价项目支付分解表的编制与审批</w:t>
      </w:r>
    </w:p>
    <w:p w14:paraId="60A4EE6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102C178">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01" w:name="_Toc351203585"/>
      <w:r>
        <w:rPr>
          <w:rFonts w:hint="eastAsia" w:ascii="宋体" w:hAnsi="宋体" w:eastAsia="宋体" w:cs="宋体"/>
          <w:b/>
          <w:bCs/>
          <w:color w:val="auto"/>
          <w:sz w:val="20"/>
          <w:szCs w:val="20"/>
          <w:highlight w:val="none"/>
        </w:rPr>
        <w:t>12.5支付账户</w:t>
      </w:r>
      <w:bookmarkEnd w:id="301"/>
    </w:p>
    <w:p w14:paraId="645FFD5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发包人应将合同价款支付至合同协议书中约定的承包人账户。</w:t>
      </w:r>
    </w:p>
    <w:p w14:paraId="556C1231">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val="0"/>
          <w:color w:val="auto"/>
          <w:sz w:val="20"/>
          <w:szCs w:val="20"/>
          <w:highlight w:val="none"/>
        </w:rPr>
      </w:pPr>
      <w:bookmarkStart w:id="302" w:name="_Toc351203586"/>
      <w:bookmarkStart w:id="303" w:name="_Toc337558804"/>
      <w:bookmarkStart w:id="304" w:name="_Toc296503106"/>
      <w:bookmarkStart w:id="305" w:name="_Toc296346607"/>
      <w:bookmarkStart w:id="306" w:name="_Toc322522574"/>
      <w:r>
        <w:rPr>
          <w:rFonts w:hint="eastAsia" w:ascii="宋体" w:hAnsi="宋体" w:eastAsia="宋体" w:cs="宋体"/>
          <w:b/>
          <w:bCs w:val="0"/>
          <w:color w:val="auto"/>
          <w:sz w:val="20"/>
          <w:szCs w:val="20"/>
          <w:highlight w:val="none"/>
        </w:rPr>
        <w:t>13.验收和工程试车</w:t>
      </w:r>
      <w:bookmarkEnd w:id="302"/>
    </w:p>
    <w:bookmarkEnd w:id="303"/>
    <w:bookmarkEnd w:id="304"/>
    <w:bookmarkEnd w:id="305"/>
    <w:bookmarkEnd w:id="306"/>
    <w:p w14:paraId="2D4DC9F0">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307" w:name="_Toc351203587"/>
      <w:bookmarkStart w:id="308" w:name="_Toc337558805"/>
      <w:bookmarkStart w:id="309" w:name="_Toc296346611"/>
      <w:bookmarkStart w:id="310" w:name="_Toc296503110"/>
      <w:r>
        <w:rPr>
          <w:rFonts w:hint="eastAsia" w:ascii="宋体" w:hAnsi="宋体" w:eastAsia="宋体" w:cs="宋体"/>
          <w:b/>
          <w:bCs/>
          <w:color w:val="auto"/>
          <w:sz w:val="20"/>
          <w:szCs w:val="20"/>
          <w:highlight w:val="none"/>
        </w:rPr>
        <w:t>13.1分部分项工程验收</w:t>
      </w:r>
      <w:bookmarkEnd w:id="307"/>
    </w:p>
    <w:bookmarkEnd w:id="308"/>
    <w:p w14:paraId="6165C045">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13.1.1分部分项工程质量应符合国家有关工程施工验收规范、标准及合同约定，承包人应按照施工组织设计的要求完成分部分项工程施工。</w:t>
      </w:r>
    </w:p>
    <w:p w14:paraId="1F9EDC0F">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13.1.2除专用合同条款另有约定外，分部分项工程经承包人自检合格并具备验收条件的，承包人应提前48小时通知监理人进行验收。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0"/>
          <w:szCs w:val="20"/>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0"/>
          <w:szCs w:val="20"/>
          <w:highlight w:val="none"/>
        </w:rPr>
        <w:t>分部分项工程未经验收的，不得进入下一道工序施工。</w:t>
      </w:r>
    </w:p>
    <w:p w14:paraId="303A749F">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分部分项工程的验收资料应当作为竣工资料的组成部分。</w:t>
      </w:r>
    </w:p>
    <w:p w14:paraId="4A7BD248">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11" w:name="_Toc351203588"/>
      <w:bookmarkStart w:id="312" w:name="_Toc337558806"/>
      <w:r>
        <w:rPr>
          <w:rFonts w:hint="eastAsia" w:ascii="宋体" w:hAnsi="宋体" w:eastAsia="宋体" w:cs="宋体"/>
          <w:b/>
          <w:bCs/>
          <w:color w:val="auto"/>
          <w:sz w:val="20"/>
          <w:szCs w:val="20"/>
          <w:highlight w:val="none"/>
        </w:rPr>
        <w:t>13.2竣工验收</w:t>
      </w:r>
      <w:bookmarkEnd w:id="311"/>
    </w:p>
    <w:bookmarkEnd w:id="309"/>
    <w:bookmarkEnd w:id="310"/>
    <w:bookmarkEnd w:id="312"/>
    <w:p w14:paraId="094138D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13.2.1竣工验收条件</w:t>
      </w:r>
    </w:p>
    <w:p w14:paraId="27D76F3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工程具备以下条件的，承包人可以申请竣工验收：</w:t>
      </w:r>
    </w:p>
    <w:p w14:paraId="0F12ADF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（1）除发包人同意的甩项工作和缺陷修补工作外，合同范围内的全部工程以及有关工作，包括合同要求的试验、试运行以及检验均已完成，并符合合同要求；</w:t>
      </w:r>
    </w:p>
    <w:p w14:paraId="6DF2EEF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（2）已按合同约定编制了甩项工作和缺陷修补工作清单以及相应的施工计划；</w:t>
      </w:r>
    </w:p>
    <w:p w14:paraId="7C6C549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（3）已按合同约定的内容和份数备齐竣工资料。</w:t>
      </w:r>
    </w:p>
    <w:p w14:paraId="102D4AF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13.2.2竣工验收程序</w:t>
      </w:r>
    </w:p>
    <w:p w14:paraId="7A0BF47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除专用合同条款另有约定外，承包人申请竣工验收的，应当按照以下程序进行：</w:t>
      </w:r>
    </w:p>
    <w:p w14:paraId="55D8743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887FB9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9BE89D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（3）竣工验收合格的，发包人应在验收合格后14天内向承包人签发工程接收证书。发包人无正当理由逾期不颁发工程接收证书的，自验收合格后第15天起视为已颁发工程接收证书。</w:t>
      </w:r>
    </w:p>
    <w:p w14:paraId="41CD6E6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6F2298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C66AE0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97C5D5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13.2.3竣工日期</w:t>
      </w:r>
    </w:p>
    <w:p w14:paraId="2E3A5FD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13" w:name="#go14"/>
      <w:bookmarkEnd w:id="313"/>
      <w:r>
        <w:rPr>
          <w:rFonts w:hint="eastAsia" w:ascii="宋体" w:hAnsi="宋体" w:eastAsia="宋体" w:cs="宋体"/>
          <w:color w:val="auto"/>
          <w:kern w:val="0"/>
          <w:sz w:val="20"/>
          <w:szCs w:val="20"/>
          <w:highlight w:val="none"/>
        </w:rPr>
        <w:t>收申请报告的日期为实际竣工日期；工程未经竣工验收，发包人擅自使用的，以转移占有工程之日为实际竣工日期。</w:t>
      </w:r>
    </w:p>
    <w:p w14:paraId="20DA0BE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bookmarkStart w:id="314" w:name="_Toc15552"/>
      <w:bookmarkStart w:id="315" w:name="_Toc21806"/>
      <w:bookmarkStart w:id="316" w:name="_Toc2187"/>
      <w:bookmarkStart w:id="317" w:name="_Toc23108"/>
      <w:r>
        <w:rPr>
          <w:rFonts w:hint="eastAsia" w:ascii="宋体" w:hAnsi="宋体" w:eastAsia="宋体" w:cs="宋体"/>
          <w:color w:val="auto"/>
          <w:kern w:val="0"/>
          <w:sz w:val="20"/>
          <w:szCs w:val="20"/>
          <w:highlight w:val="none"/>
        </w:rPr>
        <w:t>13.2.4拒绝接收全部或部分工程</w:t>
      </w:r>
      <w:bookmarkEnd w:id="314"/>
      <w:bookmarkEnd w:id="315"/>
      <w:bookmarkEnd w:id="316"/>
      <w:bookmarkEnd w:id="317"/>
    </w:p>
    <w:p w14:paraId="381FAAC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614ADF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13.2.5移交、接收全部与部分工程</w:t>
      </w:r>
    </w:p>
    <w:p w14:paraId="35C24D9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除专用合同条款另有约定外，合同当事人应当在颁发工程接收证书后7天内完成工程的移交。</w:t>
      </w:r>
    </w:p>
    <w:p w14:paraId="09BA0F0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7FB1CB3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74A5429D">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18" w:name="_Toc351203589"/>
      <w:bookmarkStart w:id="319" w:name="_Toc337558807"/>
      <w:bookmarkStart w:id="320" w:name="_Toc296503111"/>
      <w:bookmarkStart w:id="321" w:name="_Toc296346612"/>
      <w:r>
        <w:rPr>
          <w:rFonts w:hint="eastAsia" w:ascii="宋体" w:hAnsi="宋体" w:eastAsia="宋体" w:cs="宋体"/>
          <w:b/>
          <w:bCs/>
          <w:color w:val="auto"/>
          <w:sz w:val="20"/>
          <w:szCs w:val="20"/>
          <w:highlight w:val="none"/>
        </w:rPr>
        <w:t>13.3工程试车</w:t>
      </w:r>
      <w:bookmarkEnd w:id="318"/>
    </w:p>
    <w:bookmarkEnd w:id="319"/>
    <w:bookmarkEnd w:id="320"/>
    <w:bookmarkEnd w:id="321"/>
    <w:p w14:paraId="70A8689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13.3.1试车程序</w:t>
      </w:r>
    </w:p>
    <w:p w14:paraId="6D07ECA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工程需要试车的，除专用合同条款另有约定外，试车内容应与承包人承包范围相一致，试车费用由承包人承担。工程试车应按如下程序进行：</w:t>
      </w:r>
    </w:p>
    <w:p w14:paraId="0AE0DDF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BF84BB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FA82EA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01806A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13.3.2试车中的责任</w:t>
      </w:r>
    </w:p>
    <w:p w14:paraId="4082AD6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C29DB8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11F879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13.3.3投料试车</w:t>
      </w:r>
    </w:p>
    <w:p w14:paraId="2D9220D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如需进行投料试车的，发包人应在工程竣工验收后组织投料试车。发包人要求在工程竣工验收前进行或需要承包人配合时，应征得承包人同意，并在专用合同条款中约定有关事项。</w:t>
      </w:r>
    </w:p>
    <w:p w14:paraId="3E96024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A237F7F">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val="0"/>
          <w:color w:val="auto"/>
          <w:sz w:val="20"/>
          <w:szCs w:val="20"/>
          <w:highlight w:val="none"/>
        </w:rPr>
      </w:pPr>
      <w:bookmarkStart w:id="322" w:name="_Toc351203590"/>
      <w:bookmarkStart w:id="323" w:name="_Toc337558808"/>
      <w:r>
        <w:rPr>
          <w:rFonts w:hint="eastAsia" w:ascii="宋体" w:hAnsi="宋体" w:eastAsia="宋体" w:cs="宋体"/>
          <w:b/>
          <w:bCs/>
          <w:color w:val="auto"/>
          <w:sz w:val="20"/>
          <w:szCs w:val="20"/>
          <w:highlight w:val="none"/>
        </w:rPr>
        <w:t>13.4提前交付单位工程的验收</w:t>
      </w:r>
      <w:bookmarkEnd w:id="322"/>
    </w:p>
    <w:bookmarkEnd w:id="323"/>
    <w:p w14:paraId="5659219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13.4.1发包人需要在工程竣工前使用单位工程的，或承包人提出提前交付已经竣工的单位工程且经发包人同意的，可进行单位工程验收，验收的程序按照第13.2款〔竣工验收〕的约定进行。</w:t>
      </w:r>
    </w:p>
    <w:p w14:paraId="17F3FFD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4B3E69E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13.4.2发包人要求在工程竣工前交付单位工程，由此导致承包人费用增加和（或）工期延误的，由发包人承担由此增加的费用和（或）延误的工期，并支付承包人合理的利润。</w:t>
      </w:r>
    </w:p>
    <w:p w14:paraId="37427D6F">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24" w:name="_Toc351203591"/>
      <w:r>
        <w:rPr>
          <w:rFonts w:hint="eastAsia" w:ascii="宋体" w:hAnsi="宋体" w:eastAsia="宋体" w:cs="宋体"/>
          <w:b/>
          <w:bCs/>
          <w:color w:val="auto"/>
          <w:sz w:val="20"/>
          <w:szCs w:val="20"/>
          <w:highlight w:val="none"/>
        </w:rPr>
        <w:t>13.5施工期运行</w:t>
      </w:r>
      <w:bookmarkEnd w:id="324"/>
    </w:p>
    <w:p w14:paraId="5D78056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57FA67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13.5.2在施工期运行中发现工程或工程设备损坏或存在缺陷的，由承包人按第15.2款〔缺陷责任期〕约定进行修复。</w:t>
      </w:r>
    </w:p>
    <w:p w14:paraId="03EB5A39">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25" w:name="_Toc296346613"/>
      <w:bookmarkStart w:id="326" w:name="_Toc296503112"/>
      <w:bookmarkStart w:id="327" w:name="_Toc351203592"/>
      <w:bookmarkStart w:id="328" w:name="_Toc337558809"/>
      <w:r>
        <w:rPr>
          <w:rFonts w:hint="eastAsia" w:ascii="宋体" w:hAnsi="宋体" w:eastAsia="宋体" w:cs="宋体"/>
          <w:b/>
          <w:bCs/>
          <w:color w:val="auto"/>
          <w:sz w:val="20"/>
          <w:szCs w:val="20"/>
          <w:highlight w:val="none"/>
        </w:rPr>
        <w:t>13.6竣工退</w:t>
      </w:r>
      <w:bookmarkEnd w:id="325"/>
      <w:bookmarkEnd w:id="326"/>
      <w:r>
        <w:rPr>
          <w:rFonts w:hint="eastAsia" w:ascii="宋体" w:hAnsi="宋体" w:eastAsia="宋体" w:cs="宋体"/>
          <w:b/>
          <w:bCs/>
          <w:color w:val="auto"/>
          <w:sz w:val="20"/>
          <w:szCs w:val="20"/>
          <w:highlight w:val="none"/>
        </w:rPr>
        <w:t>场</w:t>
      </w:r>
      <w:bookmarkEnd w:id="327"/>
    </w:p>
    <w:bookmarkEnd w:id="328"/>
    <w:p w14:paraId="601C4B0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13.6.1竣工退场</w:t>
      </w:r>
    </w:p>
    <w:p w14:paraId="53701C3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颁发工程接收证书后，承包人应按以下要求对施工现场进行清理：</w:t>
      </w:r>
    </w:p>
    <w:p w14:paraId="76E9D6F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（1）施工现场内残留的垃圾已全部清除出场；</w:t>
      </w:r>
    </w:p>
    <w:p w14:paraId="5E97DCC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（2）临时工程已拆除，场地已进行清理、平整或复原；</w:t>
      </w:r>
    </w:p>
    <w:p w14:paraId="1B43769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（3）按合同约定应撤离的人员、承包人施工设备和剩余的材料，包括废弃的施工设备和材料，已按计划撤离施工现场；</w:t>
      </w:r>
    </w:p>
    <w:p w14:paraId="0187024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（4）施工现场周边及其附近道路、河道的施工堆积物，已全部清理；</w:t>
      </w:r>
    </w:p>
    <w:p w14:paraId="700EAAA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（5）施工现场其他场地清理工作已全部完成。</w:t>
      </w:r>
    </w:p>
    <w:p w14:paraId="7E5FAD9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358013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13.6.2地表还原</w:t>
      </w:r>
    </w:p>
    <w:p w14:paraId="1940D42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02CF0F42">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val="0"/>
          <w:color w:val="auto"/>
          <w:sz w:val="20"/>
          <w:szCs w:val="20"/>
          <w:highlight w:val="none"/>
        </w:rPr>
      </w:pPr>
      <w:bookmarkStart w:id="329" w:name="_Toc351203593"/>
      <w:bookmarkStart w:id="330" w:name="_Toc337558810"/>
      <w:bookmarkStart w:id="331" w:name="_Toc296346614"/>
      <w:bookmarkStart w:id="332" w:name="_Toc296503113"/>
      <w:r>
        <w:rPr>
          <w:rFonts w:hint="eastAsia" w:ascii="宋体" w:hAnsi="宋体" w:eastAsia="宋体" w:cs="宋体"/>
          <w:b/>
          <w:bCs w:val="0"/>
          <w:color w:val="auto"/>
          <w:sz w:val="20"/>
          <w:szCs w:val="20"/>
          <w:highlight w:val="none"/>
        </w:rPr>
        <w:t>14.竣工结算</w:t>
      </w:r>
      <w:bookmarkEnd w:id="329"/>
    </w:p>
    <w:bookmarkEnd w:id="330"/>
    <w:p w14:paraId="0A60144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33" w:name="_Toc351203594"/>
      <w:bookmarkStart w:id="334" w:name="_Toc337558811"/>
      <w:r>
        <w:rPr>
          <w:rFonts w:hint="eastAsia" w:ascii="宋体" w:hAnsi="宋体" w:eastAsia="宋体" w:cs="宋体"/>
          <w:b/>
          <w:bCs/>
          <w:color w:val="auto"/>
          <w:sz w:val="20"/>
          <w:szCs w:val="20"/>
          <w:highlight w:val="none"/>
        </w:rPr>
        <w:t>14.1竣工结算申请</w:t>
      </w:r>
      <w:bookmarkEnd w:id="333"/>
    </w:p>
    <w:bookmarkEnd w:id="334"/>
    <w:p w14:paraId="3F5C07C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除专用合同条款另有约定外，</w:t>
      </w:r>
      <w:r>
        <w:rPr>
          <w:rFonts w:hint="eastAsia" w:ascii="宋体" w:hAnsi="宋体" w:eastAsia="宋体" w:cs="宋体"/>
          <w:color w:val="auto"/>
          <w:sz w:val="20"/>
          <w:szCs w:val="20"/>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405262E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除专用合同条款另有约定外，竣工结算申请单应包括以下内容：</w:t>
      </w:r>
    </w:p>
    <w:p w14:paraId="028E853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（1）竣工结算合同价格；</w:t>
      </w:r>
    </w:p>
    <w:p w14:paraId="3CB18D7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（2）发包人已支付承包人的款项；</w:t>
      </w:r>
    </w:p>
    <w:p w14:paraId="50680BD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（3）应扣留的质量保证金。已缴纳履约保证金的或提供其他工程质量担保方式的除外；</w:t>
      </w:r>
    </w:p>
    <w:p w14:paraId="37A96C7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（4）发包人应支付承包人的合同价款。</w:t>
      </w:r>
    </w:p>
    <w:p w14:paraId="56B616E3">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35" w:name="_Toc351203595"/>
      <w:bookmarkStart w:id="336" w:name="_Toc337558812"/>
      <w:r>
        <w:rPr>
          <w:rFonts w:hint="eastAsia" w:ascii="宋体" w:hAnsi="宋体" w:eastAsia="宋体" w:cs="宋体"/>
          <w:b/>
          <w:bCs/>
          <w:color w:val="auto"/>
          <w:sz w:val="20"/>
          <w:szCs w:val="20"/>
          <w:highlight w:val="none"/>
        </w:rPr>
        <w:t>14.2竣工结算审核</w:t>
      </w:r>
      <w:bookmarkEnd w:id="335"/>
    </w:p>
    <w:bookmarkEnd w:id="336"/>
    <w:p w14:paraId="166E496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（1）除专用合同条款另有约定外，监理人应在收到竣工结算申请单后14天内完成核查并报送发包人。发包人应在收到监理人提交的经审核的竣工结算申请单后</w:t>
      </w:r>
      <w:r>
        <w:rPr>
          <w:rFonts w:hint="eastAsia" w:ascii="宋体" w:hAnsi="宋体" w:eastAsia="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rPr>
        <w:t>天内</w:t>
      </w:r>
      <w:r>
        <w:rPr>
          <w:rFonts w:hint="eastAsia" w:ascii="宋体" w:hAnsi="宋体" w:eastAsia="宋体" w:cs="宋体"/>
          <w:color w:val="auto"/>
          <w:kern w:val="0"/>
          <w:sz w:val="20"/>
          <w:szCs w:val="20"/>
          <w:highlight w:val="none"/>
          <w:lang w:val="en-US" w:eastAsia="zh-CN"/>
        </w:rPr>
        <w:t>提交至行业主管部门</w:t>
      </w:r>
      <w:r>
        <w:rPr>
          <w:rFonts w:hint="eastAsia" w:ascii="宋体" w:hAnsi="宋体" w:eastAsia="宋体" w:cs="宋体"/>
          <w:color w:val="auto"/>
          <w:kern w:val="0"/>
          <w:sz w:val="20"/>
          <w:szCs w:val="20"/>
          <w:highlight w:val="none"/>
        </w:rPr>
        <w:t>审批，</w:t>
      </w:r>
      <w:r>
        <w:rPr>
          <w:rFonts w:hint="eastAsia" w:ascii="宋体" w:hAnsi="宋体" w:eastAsia="宋体" w:cs="宋体"/>
          <w:color w:val="auto"/>
          <w:kern w:val="0"/>
          <w:sz w:val="20"/>
          <w:szCs w:val="20"/>
          <w:highlight w:val="none"/>
          <w:lang w:val="en-US" w:eastAsia="zh-CN"/>
        </w:rPr>
        <w:t>行业主管部门</w:t>
      </w:r>
      <w:r>
        <w:rPr>
          <w:rFonts w:hint="eastAsia" w:ascii="宋体" w:hAnsi="宋体" w:eastAsia="宋体" w:cs="宋体"/>
          <w:color w:val="auto"/>
          <w:kern w:val="0"/>
          <w:sz w:val="20"/>
          <w:szCs w:val="20"/>
          <w:highlight w:val="none"/>
        </w:rPr>
        <w:t>审批</w:t>
      </w:r>
      <w:r>
        <w:rPr>
          <w:rFonts w:hint="eastAsia" w:ascii="宋体" w:hAnsi="宋体" w:eastAsia="宋体" w:cs="宋体"/>
          <w:color w:val="auto"/>
          <w:kern w:val="0"/>
          <w:sz w:val="20"/>
          <w:szCs w:val="20"/>
          <w:highlight w:val="none"/>
          <w:lang w:val="en-US" w:eastAsia="zh-CN"/>
        </w:rPr>
        <w:t>出具相关报告后</w:t>
      </w:r>
      <w:r>
        <w:rPr>
          <w:rFonts w:hint="eastAsia" w:ascii="宋体" w:hAnsi="宋体" w:eastAsia="宋体" w:cs="宋体"/>
          <w:color w:val="auto"/>
          <w:kern w:val="0"/>
          <w:sz w:val="20"/>
          <w:szCs w:val="20"/>
          <w:highlight w:val="none"/>
        </w:rPr>
        <w:t>由监理人向承包人签发经发包人签认的竣工付款证书。监理人或</w:t>
      </w:r>
      <w:r>
        <w:rPr>
          <w:rFonts w:hint="eastAsia" w:ascii="宋体" w:hAnsi="宋体" w:eastAsia="宋体" w:cs="宋体"/>
          <w:color w:val="auto"/>
          <w:sz w:val="20"/>
          <w:szCs w:val="20"/>
          <w:highlight w:val="none"/>
        </w:rPr>
        <w:t>发包人对竣工</w:t>
      </w:r>
      <w:r>
        <w:rPr>
          <w:rFonts w:hint="eastAsia" w:ascii="宋体" w:hAnsi="宋体" w:eastAsia="宋体" w:cs="宋体"/>
          <w:color w:val="auto"/>
          <w:kern w:val="0"/>
          <w:sz w:val="20"/>
          <w:szCs w:val="20"/>
          <w:highlight w:val="none"/>
        </w:rPr>
        <w:t>结算</w:t>
      </w:r>
      <w:r>
        <w:rPr>
          <w:rFonts w:hint="eastAsia" w:ascii="宋体" w:hAnsi="宋体" w:eastAsia="宋体" w:cs="宋体"/>
          <w:color w:val="auto"/>
          <w:sz w:val="20"/>
          <w:szCs w:val="20"/>
          <w:highlight w:val="none"/>
        </w:rPr>
        <w:t>申请单有异议的，有权要求承包人进行修正和提供补充资料，承包人应提交修正后的竣工</w:t>
      </w:r>
      <w:r>
        <w:rPr>
          <w:rFonts w:hint="eastAsia" w:ascii="宋体" w:hAnsi="宋体" w:eastAsia="宋体" w:cs="宋体"/>
          <w:color w:val="auto"/>
          <w:kern w:val="0"/>
          <w:sz w:val="20"/>
          <w:szCs w:val="20"/>
          <w:highlight w:val="none"/>
        </w:rPr>
        <w:t>结算</w:t>
      </w:r>
      <w:r>
        <w:rPr>
          <w:rFonts w:hint="eastAsia" w:ascii="宋体" w:hAnsi="宋体" w:eastAsia="宋体" w:cs="宋体"/>
          <w:color w:val="auto"/>
          <w:sz w:val="20"/>
          <w:szCs w:val="20"/>
          <w:highlight w:val="none"/>
        </w:rPr>
        <w:t>申请单。</w:t>
      </w:r>
    </w:p>
    <w:p w14:paraId="753DD98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（2）除专用合同条款另有约定外，发包人应在签发竣工付款证书后的</w:t>
      </w:r>
      <w:r>
        <w:rPr>
          <w:rFonts w:hint="eastAsia" w:ascii="宋体" w:hAnsi="宋体" w:eastAsia="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rPr>
        <w:t>天内，</w:t>
      </w:r>
      <w:r>
        <w:rPr>
          <w:rFonts w:hint="eastAsia" w:ascii="宋体" w:hAnsi="宋体" w:eastAsia="宋体" w:cs="宋体"/>
          <w:color w:val="auto"/>
          <w:kern w:val="0"/>
          <w:sz w:val="20"/>
          <w:szCs w:val="20"/>
          <w:highlight w:val="none"/>
          <w:lang w:val="en-US" w:eastAsia="zh-CN"/>
        </w:rPr>
        <w:t>提交给行业主管部门</w:t>
      </w:r>
      <w:r>
        <w:rPr>
          <w:rFonts w:hint="eastAsia" w:ascii="宋体" w:hAnsi="宋体" w:eastAsia="宋体" w:cs="宋体"/>
          <w:color w:val="auto"/>
          <w:kern w:val="0"/>
          <w:sz w:val="20"/>
          <w:szCs w:val="20"/>
          <w:highlight w:val="none"/>
        </w:rPr>
        <w:t>审批</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待工程款下达后3天内支付至承包人相关银行账户</w:t>
      </w:r>
      <w:r>
        <w:rPr>
          <w:rFonts w:hint="eastAsia" w:ascii="宋体" w:hAnsi="宋体" w:eastAsia="宋体" w:cs="宋体"/>
          <w:color w:val="auto"/>
          <w:kern w:val="0"/>
          <w:sz w:val="20"/>
          <w:szCs w:val="20"/>
          <w:highlight w:val="none"/>
        </w:rPr>
        <w:t>。</w:t>
      </w:r>
    </w:p>
    <w:p w14:paraId="606200F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w:t>
      </w:r>
    </w:p>
    <w:p w14:paraId="2AFFAF0C">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337" w:name="_Toc351203596"/>
      <w:bookmarkStart w:id="338" w:name="_Toc337558813"/>
      <w:r>
        <w:rPr>
          <w:rFonts w:hint="eastAsia" w:ascii="宋体" w:hAnsi="宋体" w:eastAsia="宋体" w:cs="宋体"/>
          <w:b/>
          <w:bCs/>
          <w:color w:val="auto"/>
          <w:sz w:val="20"/>
          <w:szCs w:val="20"/>
          <w:highlight w:val="none"/>
        </w:rPr>
        <w:t>14.3甩项竣工协议</w:t>
      </w:r>
      <w:bookmarkEnd w:id="337"/>
    </w:p>
    <w:bookmarkEnd w:id="338"/>
    <w:p w14:paraId="7A4C1FE4">
      <w:pPr>
        <w:pageBreakBefore w:val="0"/>
        <w:widowControl w:val="0"/>
        <w:kinsoku/>
        <w:wordWrap/>
        <w:overflowPunct/>
        <w:topLinePunct w:val="0"/>
        <w:autoSpaceDE w:val="0"/>
        <w:autoSpaceDN w:val="0"/>
        <w:bidi w:val="0"/>
        <w:adjustRightInd w:val="0"/>
        <w:snapToGrid/>
        <w:spacing w:line="360" w:lineRule="exact"/>
        <w:ind w:firstLine="392" w:firstLineChars="196"/>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39C7FD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39" w:name="_Toc351203597"/>
      <w:bookmarkStart w:id="340" w:name="_Toc337558814"/>
      <w:r>
        <w:rPr>
          <w:rFonts w:hint="eastAsia" w:ascii="宋体" w:hAnsi="宋体" w:eastAsia="宋体" w:cs="宋体"/>
          <w:b/>
          <w:bCs/>
          <w:color w:val="auto"/>
          <w:sz w:val="20"/>
          <w:szCs w:val="20"/>
          <w:highlight w:val="none"/>
        </w:rPr>
        <w:t>14.4最终结清</w:t>
      </w:r>
      <w:bookmarkEnd w:id="339"/>
    </w:p>
    <w:bookmarkEnd w:id="340"/>
    <w:p w14:paraId="6C3EEC5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14.4.1最终结清申请单</w:t>
      </w:r>
    </w:p>
    <w:p w14:paraId="1F83FCC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（1）除专用合同条款另有约定外，承包人应在缺陷责任期终止证书颁发后7天内，按专用合同条款约定的份数向发包人提交最终结清申请单，并提供相关证明材料。</w:t>
      </w:r>
    </w:p>
    <w:p w14:paraId="2F21FF2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除专用合同条款另有约定外，</w:t>
      </w:r>
      <w:r>
        <w:rPr>
          <w:rFonts w:hint="eastAsia" w:ascii="宋体" w:hAnsi="宋体" w:eastAsia="宋体" w:cs="宋体"/>
          <w:color w:val="auto"/>
          <w:kern w:val="0"/>
          <w:sz w:val="20"/>
          <w:szCs w:val="20"/>
          <w:highlight w:val="none"/>
        </w:rPr>
        <w:t>最终结清申请单</w:t>
      </w:r>
      <w:r>
        <w:rPr>
          <w:rFonts w:hint="eastAsia" w:ascii="宋体" w:hAnsi="宋体" w:eastAsia="宋体" w:cs="宋体"/>
          <w:color w:val="auto"/>
          <w:sz w:val="20"/>
          <w:szCs w:val="20"/>
          <w:highlight w:val="none"/>
        </w:rPr>
        <w:t>应列明质量保证金、应扣除的质量保证金、缺陷责任期内发生的增减费用。</w:t>
      </w:r>
    </w:p>
    <w:p w14:paraId="3F5573C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（2）发包人对最终结清申请单内容有异议的，有权要求承包人进行修正和提供补充资料，承包人应向发包人提交修正后的最终结清申请单。</w:t>
      </w:r>
    </w:p>
    <w:p w14:paraId="69F43AF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14.4.2最终结清证书和支付</w:t>
      </w:r>
    </w:p>
    <w:p w14:paraId="462F920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3DB3DF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1C15C6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（3）承包人对发包人颁发的最终结清证书有异议的，按第20条〔争议解决〕的约定办理。</w:t>
      </w:r>
    </w:p>
    <w:p w14:paraId="1F995917">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341" w:name="_Toc351203598"/>
      <w:bookmarkStart w:id="342" w:name="_Toc337558815"/>
      <w:r>
        <w:rPr>
          <w:rFonts w:hint="eastAsia" w:ascii="宋体" w:hAnsi="宋体" w:eastAsia="宋体" w:cs="宋体"/>
          <w:b/>
          <w:bCs w:val="0"/>
          <w:color w:val="auto"/>
          <w:sz w:val="20"/>
          <w:szCs w:val="20"/>
          <w:highlight w:val="none"/>
        </w:rPr>
        <w:t>15.缺陷责任与保修</w:t>
      </w:r>
      <w:bookmarkEnd w:id="341"/>
    </w:p>
    <w:bookmarkEnd w:id="331"/>
    <w:bookmarkEnd w:id="332"/>
    <w:bookmarkEnd w:id="342"/>
    <w:p w14:paraId="02317B3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343" w:name="_Toc351203599"/>
      <w:bookmarkStart w:id="344" w:name="_Toc337558816"/>
      <w:bookmarkStart w:id="345" w:name="_Toc296346615"/>
      <w:bookmarkStart w:id="346" w:name="_Toc296503114"/>
      <w:r>
        <w:rPr>
          <w:rFonts w:hint="eastAsia" w:ascii="宋体" w:hAnsi="宋体" w:eastAsia="宋体" w:cs="宋体"/>
          <w:b/>
          <w:bCs/>
          <w:color w:val="auto"/>
          <w:sz w:val="20"/>
          <w:szCs w:val="20"/>
          <w:highlight w:val="none"/>
        </w:rPr>
        <w:t>15.1工程保修的原则</w:t>
      </w:r>
      <w:bookmarkEnd w:id="343"/>
    </w:p>
    <w:bookmarkEnd w:id="344"/>
    <w:p w14:paraId="6B5ECB0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在工程移交发包人后，因承包人原因产生的质量缺陷，承包人应承担质量缺陷责任和保修义务。缺陷责任期届满，承包人仍应按合同约定的工程各部位保修年限承担保修义务。</w:t>
      </w:r>
    </w:p>
    <w:p w14:paraId="41C9CA45">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347" w:name="_Toc351203600"/>
      <w:bookmarkStart w:id="348" w:name="_Toc337558817"/>
      <w:r>
        <w:rPr>
          <w:rFonts w:hint="eastAsia" w:ascii="宋体" w:hAnsi="宋体" w:eastAsia="宋体" w:cs="宋体"/>
          <w:b/>
          <w:bCs/>
          <w:color w:val="auto"/>
          <w:sz w:val="20"/>
          <w:szCs w:val="20"/>
          <w:highlight w:val="none"/>
        </w:rPr>
        <w:t>15.2缺陷责任期</w:t>
      </w:r>
      <w:bookmarkEnd w:id="345"/>
      <w:bookmarkEnd w:id="346"/>
      <w:bookmarkEnd w:id="347"/>
    </w:p>
    <w:bookmarkEnd w:id="348"/>
    <w:p w14:paraId="17EE19C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15.2.1缺陷责任期从工程通过竣工验收之日起计算，合同当事人应在专用合同条款约定缺陷责任期的具体期限，但该期限最长不超过24个月。</w:t>
      </w:r>
    </w:p>
    <w:p w14:paraId="07B57A4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A6A4A0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 w:val="20"/>
          <w:szCs w:val="20"/>
          <w:highlight w:val="none"/>
        </w:rPr>
        <w:t>包人延长缺陷责任期，</w:t>
      </w:r>
      <w:r>
        <w:rPr>
          <w:rFonts w:hint="eastAsia" w:ascii="宋体" w:hAnsi="宋体" w:eastAsia="宋体" w:cs="宋体"/>
          <w:color w:val="auto"/>
          <w:kern w:val="0"/>
          <w:sz w:val="20"/>
          <w:szCs w:val="20"/>
          <w:highlight w:val="none"/>
        </w:rPr>
        <w:t>并应在原缺陷责任期届满前发出延长通知</w:t>
      </w:r>
      <w:r>
        <w:rPr>
          <w:rFonts w:hint="eastAsia" w:ascii="宋体" w:hAnsi="宋体" w:eastAsia="宋体" w:cs="宋体"/>
          <w:color w:val="auto"/>
          <w:kern w:val="0"/>
          <w:sz w:val="20"/>
          <w:szCs w:val="20"/>
          <w:highlight w:val="none"/>
          <w:lang w:eastAsia="zh-CN"/>
        </w:rPr>
        <w:t>。</w:t>
      </w:r>
      <w:r>
        <w:rPr>
          <w:rFonts w:hint="eastAsia" w:ascii="宋体" w:hAnsi="宋体" w:eastAsia="宋体" w:cs="宋体"/>
          <w:bCs/>
          <w:color w:val="auto"/>
          <w:sz w:val="20"/>
          <w:szCs w:val="20"/>
          <w:highlight w:val="none"/>
        </w:rPr>
        <w:t>但缺陷责任期</w:t>
      </w:r>
      <w:r>
        <w:rPr>
          <w:rFonts w:hint="eastAsia" w:ascii="宋体" w:hAnsi="宋体" w:eastAsia="宋体" w:cs="宋体"/>
          <w:bCs/>
          <w:color w:val="auto"/>
          <w:sz w:val="20"/>
          <w:szCs w:val="20"/>
          <w:highlight w:val="none"/>
          <w:lang w:eastAsia="zh-CN"/>
        </w:rPr>
        <w:t>（含延长部分）</w:t>
      </w:r>
      <w:r>
        <w:rPr>
          <w:rFonts w:hint="eastAsia" w:ascii="宋体" w:hAnsi="宋体" w:eastAsia="宋体" w:cs="宋体"/>
          <w:bCs/>
          <w:color w:val="auto"/>
          <w:sz w:val="20"/>
          <w:szCs w:val="20"/>
          <w:highlight w:val="none"/>
        </w:rPr>
        <w:t>最长</w:t>
      </w:r>
      <w:r>
        <w:rPr>
          <w:rFonts w:hint="eastAsia" w:ascii="宋体" w:hAnsi="宋体" w:eastAsia="宋体" w:cs="宋体"/>
          <w:color w:val="auto"/>
          <w:kern w:val="0"/>
          <w:sz w:val="20"/>
          <w:szCs w:val="20"/>
          <w:highlight w:val="none"/>
        </w:rPr>
        <w:t>不能超过24个月。</w:t>
      </w:r>
    </w:p>
    <w:p w14:paraId="2A6DA3F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由他人原因造成的缺陷，发包人负责组织维修，承包人不承担费用，且发包人不得从保证金中扣除费用。</w:t>
      </w:r>
    </w:p>
    <w:p w14:paraId="3585E54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15.2.3任何一项缺陷或损坏修复后，经检查证明其影响了工程或工程设备的使用性能，承包人应重新进行合同约定的试验和试运行，试验和试运行的全部费用应由责任方承担。</w:t>
      </w:r>
    </w:p>
    <w:p w14:paraId="6B7E8C4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3971516">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49" w:name="_Toc351203601"/>
      <w:bookmarkStart w:id="350" w:name="_Toc337558818"/>
      <w:bookmarkStart w:id="351" w:name="_Toc296503115"/>
      <w:bookmarkStart w:id="352" w:name="_Toc296346616"/>
      <w:r>
        <w:rPr>
          <w:rFonts w:hint="eastAsia" w:ascii="宋体" w:hAnsi="宋体" w:eastAsia="宋体" w:cs="宋体"/>
          <w:b/>
          <w:bCs/>
          <w:color w:val="auto"/>
          <w:sz w:val="20"/>
          <w:szCs w:val="20"/>
          <w:highlight w:val="none"/>
        </w:rPr>
        <w:t>15.3质量保证金</w:t>
      </w:r>
      <w:bookmarkEnd w:id="349"/>
    </w:p>
    <w:bookmarkEnd w:id="350"/>
    <w:p w14:paraId="760E0E0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经合同当事人协商一致扣留质量保证金的，应在专用合同条款中予以明确。</w:t>
      </w:r>
    </w:p>
    <w:p w14:paraId="4DFF802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在工程项目竣工前，承包人已经提供履约担保的，发包人不得同时预留工程质量保证金。</w:t>
      </w:r>
    </w:p>
    <w:p w14:paraId="6C96307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p>
    <w:p w14:paraId="0BE2302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15.3.1承包人提供质量保证金的方式</w:t>
      </w:r>
    </w:p>
    <w:p w14:paraId="3A60ECF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承包人提供质量保证金有以下三种方式：</w:t>
      </w:r>
    </w:p>
    <w:p w14:paraId="2C742E3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（1）质量保证金保函；</w:t>
      </w:r>
    </w:p>
    <w:p w14:paraId="2C697CB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（2）相应比例的工程款；</w:t>
      </w:r>
    </w:p>
    <w:p w14:paraId="49C238D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（3）双方约定的其他方式。</w:t>
      </w:r>
    </w:p>
    <w:p w14:paraId="561511B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除专用合同条款另有约定外，质量保证金原则上采用上述第（1）种方式。</w:t>
      </w:r>
    </w:p>
    <w:p w14:paraId="6294043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15.3.2质量保证金的扣留</w:t>
      </w:r>
    </w:p>
    <w:p w14:paraId="4CF3346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质量保证金的扣留有以下三种方式：</w:t>
      </w:r>
    </w:p>
    <w:p w14:paraId="1742071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（1）在支付工程进度款时逐次扣留，在此情形下，质量保证金的计算基数不包括预付款的支付、扣回以及价格调整的金额；</w:t>
      </w:r>
    </w:p>
    <w:p w14:paraId="3713D4F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（2）工</w:t>
      </w:r>
      <w:bookmarkStart w:id="353" w:name="#go6"/>
      <w:bookmarkEnd w:id="353"/>
      <w:r>
        <w:rPr>
          <w:rFonts w:hint="eastAsia" w:ascii="宋体" w:hAnsi="宋体" w:eastAsia="宋体" w:cs="宋体"/>
          <w:color w:val="auto"/>
          <w:kern w:val="0"/>
          <w:sz w:val="20"/>
          <w:szCs w:val="20"/>
          <w:highlight w:val="none"/>
        </w:rPr>
        <w:t>程竣工结算时一次性扣留质量保证金；</w:t>
      </w:r>
    </w:p>
    <w:p w14:paraId="05C735B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（3）双方约定的其他扣留方式。</w:t>
      </w:r>
    </w:p>
    <w:p w14:paraId="5FE878A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除专用合同条款另有约定外，质量保证金的扣留原则上采用上述第（1）种方式。</w:t>
      </w:r>
    </w:p>
    <w:p w14:paraId="5A26979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w:t>
      </w:r>
      <w:bookmarkStart w:id="354" w:name="#go4"/>
      <w:bookmarkEnd w:id="354"/>
      <w:r>
        <w:rPr>
          <w:rFonts w:hint="eastAsia" w:ascii="宋体" w:hAnsi="宋体" w:eastAsia="宋体" w:cs="宋体"/>
          <w:color w:val="auto"/>
          <w:kern w:val="0"/>
          <w:sz w:val="20"/>
          <w:szCs w:val="20"/>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25A53E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发包人在退还质量保证金的同时按照中国人民银行发布的同期同类贷款基准利率支付利息。</w:t>
      </w:r>
    </w:p>
    <w:p w14:paraId="56DFD7D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15.3.3</w:t>
      </w:r>
      <w:r>
        <w:rPr>
          <w:rFonts w:hint="eastAsia" w:ascii="宋体" w:hAnsi="宋体" w:eastAsia="宋体" w:cs="宋体"/>
          <w:color w:val="auto"/>
          <w:sz w:val="20"/>
          <w:szCs w:val="20"/>
          <w:highlight w:val="none"/>
        </w:rPr>
        <w:t>质量保证金</w:t>
      </w:r>
      <w:r>
        <w:rPr>
          <w:rFonts w:hint="eastAsia" w:ascii="宋体" w:hAnsi="宋体" w:eastAsia="宋体" w:cs="宋体"/>
          <w:color w:val="auto"/>
          <w:kern w:val="0"/>
          <w:sz w:val="20"/>
          <w:szCs w:val="20"/>
          <w:highlight w:val="none"/>
        </w:rPr>
        <w:t>的退还</w:t>
      </w:r>
    </w:p>
    <w:p w14:paraId="5541AC8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缺陷责任期内，承包人认真履行合同约定的责任，到期后，承包人可向发包人申请返还保证金。</w:t>
      </w:r>
    </w:p>
    <w:p w14:paraId="1574BDC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EAF9C7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发包人和承包人对保证金预留、返还以及工程维修质量、费用有争议的，按本合同第20条约定的争议和纠纷解决程序处理。</w:t>
      </w:r>
    </w:p>
    <w:p w14:paraId="20B88C23">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55" w:name="_Toc351203602"/>
      <w:bookmarkStart w:id="356" w:name="_Toc337558819"/>
      <w:r>
        <w:rPr>
          <w:rFonts w:hint="eastAsia" w:ascii="宋体" w:hAnsi="宋体" w:eastAsia="宋体" w:cs="宋体"/>
          <w:b/>
          <w:bCs/>
          <w:color w:val="auto"/>
          <w:sz w:val="20"/>
          <w:szCs w:val="20"/>
          <w:highlight w:val="none"/>
        </w:rPr>
        <w:t>15.4保修</w:t>
      </w:r>
      <w:bookmarkEnd w:id="355"/>
    </w:p>
    <w:bookmarkEnd w:id="351"/>
    <w:bookmarkEnd w:id="352"/>
    <w:bookmarkEnd w:id="356"/>
    <w:p w14:paraId="738277D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15.4.1保修责任</w:t>
      </w:r>
    </w:p>
    <w:p w14:paraId="6CB62E7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1B2C86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发包人未经竣工验收擅自使用工程的，保修期自</w:t>
      </w:r>
      <w:r>
        <w:rPr>
          <w:rFonts w:hint="eastAsia" w:ascii="宋体" w:hAnsi="宋体" w:eastAsia="宋体" w:cs="宋体"/>
          <w:color w:val="auto"/>
          <w:kern w:val="0"/>
          <w:sz w:val="20"/>
          <w:szCs w:val="20"/>
          <w:highlight w:val="none"/>
        </w:rPr>
        <w:t>转移占有之日起算</w:t>
      </w:r>
      <w:r>
        <w:rPr>
          <w:rFonts w:hint="eastAsia" w:ascii="宋体" w:hAnsi="宋体" w:eastAsia="宋体" w:cs="宋体"/>
          <w:color w:val="auto"/>
          <w:sz w:val="20"/>
          <w:szCs w:val="20"/>
          <w:highlight w:val="none"/>
        </w:rPr>
        <w:t>。</w:t>
      </w:r>
    </w:p>
    <w:p w14:paraId="7ACF6C9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15.4.2修复费用</w:t>
      </w:r>
    </w:p>
    <w:p w14:paraId="1EDB53A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保修期内，修复的费用按照以下约定处理：</w:t>
      </w:r>
    </w:p>
    <w:p w14:paraId="47E14F8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（1）保修期内，因承包人原因造成工程的缺陷、损坏，承包人应负责修复，并承担修复的费用以及因工程的缺陷、损坏造成的人身伤害和财产损失；</w:t>
      </w:r>
    </w:p>
    <w:p w14:paraId="5EE43BB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（2）保修期内，因发包人使用不当造成工程的缺陷、损坏，可以委托承包人修复，但发包人应承担修复的费用，并支付承包人合理利润；</w:t>
      </w:r>
    </w:p>
    <w:p w14:paraId="1D516F7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（3）因其他原因造成工程的缺陷、损坏，可以委托承包人修复，发包人应承担修复的费用，并支付承包人合理的利润，因工程的缺陷、损坏造成的人身伤害和财产损失由责任方承担。</w:t>
      </w:r>
    </w:p>
    <w:p w14:paraId="78049E8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15.4.3修复通知</w:t>
      </w:r>
    </w:p>
    <w:p w14:paraId="2C6A3DE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73EF16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15.4.4未能修复</w:t>
      </w:r>
    </w:p>
    <w:p w14:paraId="65BDF24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2C2059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15.4.5承包人出入权</w:t>
      </w:r>
    </w:p>
    <w:p w14:paraId="636A085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41D9CF2">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357" w:name="_Toc351203603"/>
      <w:bookmarkStart w:id="358" w:name="_Toc337558820"/>
      <w:r>
        <w:rPr>
          <w:rFonts w:hint="eastAsia" w:ascii="宋体" w:hAnsi="宋体" w:eastAsia="宋体" w:cs="宋体"/>
          <w:b/>
          <w:bCs w:val="0"/>
          <w:color w:val="auto"/>
          <w:sz w:val="20"/>
          <w:szCs w:val="20"/>
          <w:highlight w:val="none"/>
        </w:rPr>
        <w:t>16.违约</w:t>
      </w:r>
      <w:bookmarkEnd w:id="357"/>
    </w:p>
    <w:bookmarkEnd w:id="358"/>
    <w:p w14:paraId="19092BA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val="0"/>
          <w:color w:val="auto"/>
          <w:sz w:val="20"/>
          <w:szCs w:val="20"/>
          <w:highlight w:val="none"/>
        </w:rPr>
      </w:pPr>
      <w:bookmarkStart w:id="359" w:name="_Toc296346630"/>
      <w:bookmarkStart w:id="360" w:name="_Toc296503129"/>
      <w:bookmarkStart w:id="361" w:name="_Toc351203604"/>
      <w:bookmarkStart w:id="362" w:name="_Toc337558821"/>
      <w:r>
        <w:rPr>
          <w:rFonts w:hint="eastAsia" w:ascii="宋体" w:hAnsi="宋体" w:eastAsia="宋体" w:cs="宋体"/>
          <w:b/>
          <w:bCs w:val="0"/>
          <w:color w:val="auto"/>
          <w:sz w:val="20"/>
          <w:szCs w:val="20"/>
          <w:highlight w:val="none"/>
        </w:rPr>
        <w:t>16.1发</w:t>
      </w:r>
      <w:bookmarkEnd w:id="359"/>
      <w:bookmarkEnd w:id="360"/>
      <w:r>
        <w:rPr>
          <w:rFonts w:hint="eastAsia" w:ascii="宋体" w:hAnsi="宋体" w:eastAsia="宋体" w:cs="宋体"/>
          <w:b/>
          <w:bCs w:val="0"/>
          <w:color w:val="auto"/>
          <w:sz w:val="20"/>
          <w:szCs w:val="20"/>
          <w:highlight w:val="none"/>
        </w:rPr>
        <w:t>包人违约</w:t>
      </w:r>
      <w:bookmarkEnd w:id="361"/>
    </w:p>
    <w:bookmarkEnd w:id="362"/>
    <w:p w14:paraId="76CEF7D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16.1.1发包人违约的情形</w:t>
      </w:r>
    </w:p>
    <w:p w14:paraId="6F8E0E1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在合同履行过程中发生的下列情形，属于发包人违约：</w:t>
      </w:r>
    </w:p>
    <w:p w14:paraId="17ADFEA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（1）因发包人原因未能在计划开工日期前7天内下达开工通知的；</w:t>
      </w:r>
    </w:p>
    <w:p w14:paraId="2921DF1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（2）因发包人原因未能按合同约定支付合同价款的；</w:t>
      </w:r>
    </w:p>
    <w:p w14:paraId="38EDA7A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（3）发包人违反第10.1款〔变更的范围〕第（2）项约定，自行实施被取消的工作或转由他人实施的；</w:t>
      </w:r>
    </w:p>
    <w:p w14:paraId="6CB6827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（4）发包人提供的材料、工程设备的规格、数量或质量不符合合同约定，或因发包人原因导致交货日期延误或交货地点变更等情况的；</w:t>
      </w:r>
    </w:p>
    <w:p w14:paraId="7322736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（5）因发包人违反合同约定造成暂停施工的；</w:t>
      </w:r>
    </w:p>
    <w:p w14:paraId="65CF856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（6）发包人无正当理由没有在约定期限内发出复工指示，导致承包人无法复工的；</w:t>
      </w:r>
    </w:p>
    <w:p w14:paraId="63B8B74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（7）发包人明确表示或者以其行为表明不履行合同主要义务的；</w:t>
      </w:r>
    </w:p>
    <w:p w14:paraId="490442F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（8）发包人未能按照合同约定履行其他义务的。</w:t>
      </w:r>
    </w:p>
    <w:p w14:paraId="0F673DD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D3B5A6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16.1.2发包人违约的责任</w:t>
      </w:r>
    </w:p>
    <w:p w14:paraId="4187A7E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发包人应承担因其违约给承包人增加的费用和（或）延误的工期，并支付承包人合理的利润。此外，合同当事人可在专用合同条款中另行约定发包人违约责任的承担方式和计算方法。</w:t>
      </w:r>
    </w:p>
    <w:p w14:paraId="0DF903A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16.1.3因发包人违约解除合同</w:t>
      </w:r>
    </w:p>
    <w:p w14:paraId="547125A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28A3A1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16.1.4因发包人违约解除合同后的付款</w:t>
      </w:r>
    </w:p>
    <w:p w14:paraId="19D1DBE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承包人按照本款约定解除合同的，发包人应在解除合同后28天内支付下列款项，并解除履约担保：</w:t>
      </w:r>
    </w:p>
    <w:p w14:paraId="1E6B0F5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（1）合同解除前所完成工作的价款；</w:t>
      </w:r>
    </w:p>
    <w:p w14:paraId="057206F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（2）承包人为工程施工订购并已付款的材料、工程设备和其他物品的价款；</w:t>
      </w:r>
    </w:p>
    <w:p w14:paraId="4068FB2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（3）承包人撤离施工现场以及遣散承包人人员的款项；</w:t>
      </w:r>
    </w:p>
    <w:p w14:paraId="02723B8B">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（4）按照合同约定在合同解除前应支付的违约金；</w:t>
      </w:r>
    </w:p>
    <w:p w14:paraId="7B524A0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（5）按照合同约定应当支付给承包人的其他款项；</w:t>
      </w:r>
    </w:p>
    <w:p w14:paraId="237F1E1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（6）按照合同约定应退还的质量保证金；</w:t>
      </w:r>
    </w:p>
    <w:p w14:paraId="69C0890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（7）因解除合同给承包人造成的损失。</w:t>
      </w:r>
    </w:p>
    <w:p w14:paraId="4D0AAC41">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合同当事人未能就解除合同后的结清达成一致的，按照第20条〔争议解决〕的约定处理。</w:t>
      </w:r>
    </w:p>
    <w:p w14:paraId="1ABE5637">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承包人应妥善做好已完工程和与工程有关的已购材料、工程设备的保护和移交工作，并将施工设备和人员撤出施工现场，发包人应为承包人撤出提供必要条件。</w:t>
      </w:r>
    </w:p>
    <w:p w14:paraId="24EFC54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363" w:name="_Toc351203605"/>
      <w:bookmarkStart w:id="364" w:name="_Toc296503131"/>
      <w:bookmarkStart w:id="365" w:name="_Toc296346632"/>
      <w:bookmarkStart w:id="366" w:name="_Toc337558822"/>
      <w:r>
        <w:rPr>
          <w:rFonts w:hint="eastAsia" w:ascii="宋体" w:hAnsi="宋体" w:eastAsia="宋体" w:cs="宋体"/>
          <w:b/>
          <w:bCs/>
          <w:color w:val="auto"/>
          <w:sz w:val="20"/>
          <w:szCs w:val="20"/>
          <w:highlight w:val="none"/>
        </w:rPr>
        <w:t>16.2承包人违约</w:t>
      </w:r>
      <w:bookmarkEnd w:id="363"/>
    </w:p>
    <w:bookmarkEnd w:id="364"/>
    <w:bookmarkEnd w:id="365"/>
    <w:bookmarkEnd w:id="366"/>
    <w:p w14:paraId="6F6B6F6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16.2.1承包人违约的情形</w:t>
      </w:r>
    </w:p>
    <w:p w14:paraId="17D5D66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在合同履行过程中发生的下列情形，属于承包人违约：</w:t>
      </w:r>
    </w:p>
    <w:p w14:paraId="502752F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（1）承包人违反合同约定进行转包或违法分包的；</w:t>
      </w:r>
    </w:p>
    <w:p w14:paraId="390D7EC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（2）承包人违反合同约定采购和使用不合格的材料和工程设备的；</w:t>
      </w:r>
    </w:p>
    <w:p w14:paraId="2594650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（3）因承包人原因导致工程质量不符合合同要求的；</w:t>
      </w:r>
    </w:p>
    <w:p w14:paraId="7693609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（4）承包人违反第8.9款〔材料与设备专用要求〕的约定，未经批准，私自将已按照合同约定进入施工现场的材料或设备撤离施工现场的；</w:t>
      </w:r>
    </w:p>
    <w:p w14:paraId="7ECEC69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（5）承包人未能按施工进度计划及时完成合同约定的工作，造成工期延误的；</w:t>
      </w:r>
    </w:p>
    <w:p w14:paraId="23A7948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（6）承包人在缺陷责任期及保修期内，未能在合理期限对工程缺陷进行修复，或拒绝按发包人要求进行修复的；</w:t>
      </w:r>
    </w:p>
    <w:p w14:paraId="1977915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（7）承包人明确表示或者以其行为表明不履行合同主要义务的；</w:t>
      </w:r>
    </w:p>
    <w:p w14:paraId="7F09D01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（8）承包人未能按照合同约定履行其他义务的。</w:t>
      </w:r>
    </w:p>
    <w:p w14:paraId="5BF3551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承包人发生除本项第（7）目约定以外的其他违约情况时，监理人可向承包人发出整改通知，要求其在指定的期限内改正。</w:t>
      </w:r>
    </w:p>
    <w:p w14:paraId="7AF74BA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16.2.2承包人违约的责任</w:t>
      </w:r>
    </w:p>
    <w:p w14:paraId="6D05682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承包人应承担因其违约行为而增加的费用和（或）延误的工期。此外，合同当事人可在专用合同条款中另行约定承包人违约责任的承担方式和计算方法。</w:t>
      </w:r>
    </w:p>
    <w:p w14:paraId="368DF11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16.2.3因承包人违约解除合同</w:t>
      </w:r>
    </w:p>
    <w:p w14:paraId="277F8FE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B9BE77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16.2.4因承包人违约解除合同后的处理</w:t>
      </w:r>
    </w:p>
    <w:p w14:paraId="4ECAD07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因承包人原因导致合同解除的，则合同当事人应在合同解除后28天内完成估价、付款和清算，并按以下约定执行：</w:t>
      </w:r>
    </w:p>
    <w:p w14:paraId="31C0192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（1）合同解除后，按第4.4款〔商定或确定〕商定或确定承包人实际完成工作对应的合同价款，以及承包人已提供的材料、工程设备、施工设备和临时工程等的价值；</w:t>
      </w:r>
    </w:p>
    <w:p w14:paraId="66E30AF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（2）合同解除后，承包人应支付的违约金；</w:t>
      </w:r>
    </w:p>
    <w:p w14:paraId="7CC94FC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（3）合同解除后，因解除合同给发包人造成的损失；</w:t>
      </w:r>
    </w:p>
    <w:p w14:paraId="505CBCC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（4）合同解除后，承包人应按照发包人要求和监理人的指示完成现场的清理和撤离；</w:t>
      </w:r>
    </w:p>
    <w:p w14:paraId="311AA7F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（5）发包人和承包人应在合同解除后进行清算，出具最终结清付款证书，结清全部款项。</w:t>
      </w:r>
    </w:p>
    <w:p w14:paraId="0F7E79D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4DFE25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16.2.5采购合同权益转让</w:t>
      </w:r>
    </w:p>
    <w:p w14:paraId="6C62C706">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C5A61C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367" w:name="_Toc351203606"/>
      <w:r>
        <w:rPr>
          <w:rFonts w:hint="eastAsia" w:ascii="宋体" w:hAnsi="宋体" w:eastAsia="宋体" w:cs="宋体"/>
          <w:b/>
          <w:bCs/>
          <w:color w:val="auto"/>
          <w:sz w:val="20"/>
          <w:szCs w:val="20"/>
          <w:highlight w:val="none"/>
        </w:rPr>
        <w:t>16.3第三人造成的违约</w:t>
      </w:r>
      <w:bookmarkEnd w:id="367"/>
    </w:p>
    <w:p w14:paraId="7B527195">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在履行合同过程中，一方当事人因第三人的原因造成违约的，应当向对方当事人承担违约责任。一方当事人和第三人之间的纠纷，依照法律规定或者按照约定解决。</w:t>
      </w:r>
    </w:p>
    <w:p w14:paraId="2F701E92">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lang w:eastAsia="zh-CN"/>
        </w:rPr>
      </w:pPr>
      <w:bookmarkStart w:id="368" w:name="_Toc296346617"/>
      <w:bookmarkStart w:id="369" w:name="_Toc296503116"/>
      <w:bookmarkStart w:id="370" w:name="_Toc351203607"/>
      <w:bookmarkStart w:id="371" w:name="_Toc337558823"/>
      <w:r>
        <w:rPr>
          <w:rFonts w:hint="eastAsia" w:ascii="宋体" w:hAnsi="宋体" w:eastAsia="宋体" w:cs="宋体"/>
          <w:b/>
          <w:bCs w:val="0"/>
          <w:color w:val="auto"/>
          <w:sz w:val="20"/>
          <w:szCs w:val="20"/>
          <w:highlight w:val="none"/>
        </w:rPr>
        <w:t>17.不可抗力</w:t>
      </w:r>
      <w:bookmarkEnd w:id="368"/>
      <w:bookmarkEnd w:id="369"/>
      <w:bookmarkEnd w:id="370"/>
      <w:bookmarkEnd w:id="371"/>
    </w:p>
    <w:p w14:paraId="36DDDD7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val="0"/>
          <w:color w:val="auto"/>
          <w:sz w:val="20"/>
          <w:szCs w:val="20"/>
          <w:highlight w:val="none"/>
        </w:rPr>
      </w:pPr>
      <w:bookmarkStart w:id="372" w:name="_Toc351203608"/>
      <w:bookmarkStart w:id="373" w:name="_Toc296346618"/>
      <w:bookmarkStart w:id="374" w:name="_Toc337558824"/>
      <w:bookmarkStart w:id="375" w:name="_Toc296503117"/>
      <w:r>
        <w:rPr>
          <w:rFonts w:hint="eastAsia" w:ascii="宋体" w:hAnsi="宋体" w:eastAsia="宋体" w:cs="宋体"/>
          <w:b/>
          <w:bCs w:val="0"/>
          <w:color w:val="auto"/>
          <w:sz w:val="20"/>
          <w:szCs w:val="20"/>
          <w:highlight w:val="none"/>
        </w:rPr>
        <w:t>17.1不可抗力的确认</w:t>
      </w:r>
      <w:bookmarkEnd w:id="372"/>
    </w:p>
    <w:bookmarkEnd w:id="373"/>
    <w:bookmarkEnd w:id="374"/>
    <w:bookmarkEnd w:id="375"/>
    <w:p w14:paraId="70ACFD4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31562D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6D7708F">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376" w:name="_Toc351203609"/>
      <w:bookmarkStart w:id="377" w:name="_Toc296346619"/>
      <w:bookmarkStart w:id="378" w:name="_Toc296503118"/>
      <w:bookmarkStart w:id="379" w:name="_Toc337558825"/>
      <w:r>
        <w:rPr>
          <w:rFonts w:hint="eastAsia" w:ascii="宋体" w:hAnsi="宋体" w:eastAsia="宋体" w:cs="宋体"/>
          <w:b/>
          <w:bCs/>
          <w:color w:val="auto"/>
          <w:sz w:val="20"/>
          <w:szCs w:val="20"/>
          <w:highlight w:val="none"/>
        </w:rPr>
        <w:t>17.2不可抗力的通知</w:t>
      </w:r>
      <w:bookmarkEnd w:id="376"/>
    </w:p>
    <w:bookmarkEnd w:id="377"/>
    <w:bookmarkEnd w:id="378"/>
    <w:bookmarkEnd w:id="379"/>
    <w:p w14:paraId="5706A47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合同一方当事人遇到不可抗力事件，使其履行合同义务受到阻碍时，应立即通知合同另一方当事人和监理人，书面说明不可抗力和受阻碍的详细情况，并提供必要的证明。</w:t>
      </w:r>
    </w:p>
    <w:p w14:paraId="79956759">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696A163">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380" w:name="_Toc351203610"/>
      <w:bookmarkStart w:id="381" w:name="_Toc337558826"/>
      <w:bookmarkStart w:id="382" w:name="_Toc296346620"/>
      <w:bookmarkStart w:id="383" w:name="_Toc296503119"/>
      <w:r>
        <w:rPr>
          <w:rFonts w:hint="eastAsia" w:ascii="宋体" w:hAnsi="宋体" w:eastAsia="宋体" w:cs="宋体"/>
          <w:b/>
          <w:bCs/>
          <w:color w:val="auto"/>
          <w:sz w:val="20"/>
          <w:szCs w:val="20"/>
          <w:highlight w:val="none"/>
        </w:rPr>
        <w:t>17.3不可抗力后果的承担</w:t>
      </w:r>
      <w:bookmarkEnd w:id="380"/>
    </w:p>
    <w:bookmarkEnd w:id="381"/>
    <w:bookmarkEnd w:id="382"/>
    <w:bookmarkEnd w:id="383"/>
    <w:p w14:paraId="7D39738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17.3.1不可抗力引起的后果及造成的损失由合同当事人按照法律规定及合同约定各自承担。不可抗力发生前已完成的工程应当按照合同约定进行计量支付。</w:t>
      </w:r>
    </w:p>
    <w:p w14:paraId="5931C8F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17.3.2不可抗力导致的人员伤亡、财产损失、费用增加和（或）工期延误等后果，由合同当事人按以下原则承担：</w:t>
      </w:r>
    </w:p>
    <w:p w14:paraId="4517A1D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（1）永久工程、已运至施工现场的材料和工程设备的损坏，以及因工程损坏造成的第三人人员伤亡和财产损失由发包人承担；</w:t>
      </w:r>
    </w:p>
    <w:p w14:paraId="7987CAD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（2）承包人施工设备的损坏由承包人承担；</w:t>
      </w:r>
    </w:p>
    <w:p w14:paraId="1B21D49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（3）发包人和承包人承担各自人员伤亡和财产的损失；</w:t>
      </w:r>
    </w:p>
    <w:p w14:paraId="295CF2F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F997E8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（5）因不可抗力引起或将引起工期延误，发包人要求赶工的，由此增加的赶工费用由发包人承担；</w:t>
      </w:r>
    </w:p>
    <w:p w14:paraId="793A726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（6）承包人在停工期间按照发包人要求照管、清理和修复工程的费用由发包人承担。</w:t>
      </w:r>
    </w:p>
    <w:p w14:paraId="7EC7298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不可抗力发生后，合同当事人均应采取措施尽量避免和减少损失的扩大，任何一方当事人没有采取有效措施导致损失扩大的，应对扩大的损失承担责任。</w:t>
      </w:r>
    </w:p>
    <w:p w14:paraId="585E1AE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因合同一方迟延履行合同义务，在迟延履行期间遭遇不可抗力的，不免除其违约责任。</w:t>
      </w:r>
    </w:p>
    <w:p w14:paraId="29D219BF">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84" w:name="_Toc351203611"/>
      <w:bookmarkStart w:id="385" w:name="_Toc337558827"/>
      <w:r>
        <w:rPr>
          <w:rFonts w:hint="eastAsia" w:ascii="宋体" w:hAnsi="宋体" w:eastAsia="宋体" w:cs="宋体"/>
          <w:b/>
          <w:bCs/>
          <w:color w:val="auto"/>
          <w:sz w:val="20"/>
          <w:szCs w:val="20"/>
          <w:highlight w:val="none"/>
        </w:rPr>
        <w:t>17.4因不可抗力解除合同</w:t>
      </w:r>
      <w:bookmarkEnd w:id="384"/>
    </w:p>
    <w:bookmarkEnd w:id="385"/>
    <w:p w14:paraId="31E58FB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7B3EDE1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（1）合同解除前承包人已完成工作的价款；</w:t>
      </w:r>
    </w:p>
    <w:p w14:paraId="5D09D6FF">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（2）承包人为工程订购的并已交付给承包人，或承包人有责任接受交付的材料、工程设备和其他物品的价款；</w:t>
      </w:r>
    </w:p>
    <w:p w14:paraId="79015B78">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（3）发包人要求承包人退货或解除订货合同而产生的费用，或因不能退货或解除合同而产生的损失；</w:t>
      </w:r>
    </w:p>
    <w:p w14:paraId="06EFA3B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（4）承包人撤离施工现场以及遣散承包人人员的费用；</w:t>
      </w:r>
    </w:p>
    <w:p w14:paraId="250888A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（5）按照合同约定在合同解除前应支付给承包人的其他款项；</w:t>
      </w:r>
    </w:p>
    <w:p w14:paraId="5B212C62">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（6）扣减承包人按照合同约定应向发包人支付的款项；</w:t>
      </w:r>
    </w:p>
    <w:p w14:paraId="55405E14">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（7）双方商定或确定的其他款项。</w:t>
      </w:r>
    </w:p>
    <w:p w14:paraId="49EAD47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除专用合同条款另有约定外，合同解除后，发包人应在商定或确定上述款项后28天内完成上述款项的支付。</w:t>
      </w:r>
    </w:p>
    <w:p w14:paraId="2AE23602">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386" w:name="_Toc351203612"/>
      <w:bookmarkStart w:id="387" w:name="_Toc296346621"/>
      <w:bookmarkStart w:id="388" w:name="_Toc296503120"/>
      <w:bookmarkStart w:id="389" w:name="_Toc337558828"/>
      <w:r>
        <w:rPr>
          <w:rFonts w:hint="eastAsia" w:ascii="宋体" w:hAnsi="宋体" w:eastAsia="宋体" w:cs="宋体"/>
          <w:b/>
          <w:bCs w:val="0"/>
          <w:color w:val="auto"/>
          <w:sz w:val="20"/>
          <w:szCs w:val="20"/>
          <w:highlight w:val="none"/>
        </w:rPr>
        <w:t>18.保险</w:t>
      </w:r>
      <w:bookmarkEnd w:id="386"/>
    </w:p>
    <w:bookmarkEnd w:id="387"/>
    <w:bookmarkEnd w:id="388"/>
    <w:bookmarkEnd w:id="389"/>
    <w:p w14:paraId="60CF53B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390" w:name="_Toc351203613"/>
      <w:bookmarkStart w:id="391" w:name="_Toc337558829"/>
      <w:bookmarkStart w:id="392" w:name="_Toc296346622"/>
      <w:bookmarkStart w:id="393" w:name="_Toc296503121"/>
      <w:r>
        <w:rPr>
          <w:rFonts w:hint="eastAsia" w:ascii="宋体" w:hAnsi="宋体" w:eastAsia="宋体" w:cs="宋体"/>
          <w:b/>
          <w:bCs w:val="0"/>
          <w:color w:val="auto"/>
          <w:sz w:val="20"/>
          <w:szCs w:val="20"/>
          <w:highlight w:val="none"/>
        </w:rPr>
        <w:t>18.1工程保险</w:t>
      </w:r>
      <w:bookmarkEnd w:id="390"/>
    </w:p>
    <w:bookmarkEnd w:id="391"/>
    <w:bookmarkEnd w:id="392"/>
    <w:bookmarkEnd w:id="393"/>
    <w:p w14:paraId="53240F5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除专用合同条款另有约定外，发包人应投保建筑工程一切险或安装工程一切险；发包人委托承包人投保的，因投保产生的保险费和其他相关费用由发包人承担。</w:t>
      </w:r>
    </w:p>
    <w:p w14:paraId="579829F4">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94" w:name="_Toc351203614"/>
      <w:bookmarkStart w:id="395" w:name="_Toc337558830"/>
      <w:bookmarkStart w:id="396" w:name="_Toc296503122"/>
      <w:bookmarkStart w:id="397" w:name="_Toc296346623"/>
      <w:r>
        <w:rPr>
          <w:rFonts w:hint="eastAsia" w:ascii="宋体" w:hAnsi="宋体" w:eastAsia="宋体" w:cs="宋体"/>
          <w:b/>
          <w:bCs/>
          <w:color w:val="auto"/>
          <w:sz w:val="20"/>
          <w:szCs w:val="20"/>
          <w:highlight w:val="none"/>
        </w:rPr>
        <w:t>18.2工伤保险</w:t>
      </w:r>
      <w:bookmarkEnd w:id="394"/>
    </w:p>
    <w:bookmarkEnd w:id="395"/>
    <w:bookmarkEnd w:id="396"/>
    <w:bookmarkEnd w:id="397"/>
    <w:p w14:paraId="00375D6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18.2.1发包人应依照法律规定参加工伤保险，并为在施工现场的全部员工办理工伤保险，缴纳工伤保险费，并要求监理人及由发包人为履行合同聘请的第三方依法参加工伤保险。</w:t>
      </w:r>
    </w:p>
    <w:p w14:paraId="1E6C94B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18.2.2承包人应依照法律规定参加工伤保险，并为其履行合同的全部员工办理工伤保险，缴纳工伤保险费，并要求分包人及由承包人为履行合同聘请的第三方依法参加工伤保险。</w:t>
      </w:r>
    </w:p>
    <w:p w14:paraId="2847E10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398" w:name="_Toc351203615"/>
      <w:bookmarkStart w:id="399" w:name="_Toc296503125"/>
      <w:bookmarkStart w:id="400" w:name="_Toc337558831"/>
      <w:bookmarkStart w:id="401" w:name="_Toc296346626"/>
      <w:r>
        <w:rPr>
          <w:rFonts w:hint="eastAsia" w:ascii="宋体" w:hAnsi="宋体" w:eastAsia="宋体" w:cs="宋体"/>
          <w:b/>
          <w:bCs/>
          <w:color w:val="auto"/>
          <w:sz w:val="20"/>
          <w:szCs w:val="20"/>
          <w:highlight w:val="none"/>
        </w:rPr>
        <w:t>18.3其他保险</w:t>
      </w:r>
      <w:bookmarkEnd w:id="398"/>
    </w:p>
    <w:bookmarkEnd w:id="399"/>
    <w:bookmarkEnd w:id="400"/>
    <w:bookmarkEnd w:id="401"/>
    <w:p w14:paraId="73995FE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发包人和承包人可以为其施工现场的全部人员办理意外伤害保险并支付保险费，包括其员工及为履行合同聘请的第三方的人员，具体事项由合同当事人在专用合同条款约定。</w:t>
      </w:r>
    </w:p>
    <w:p w14:paraId="33F50A2E">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除专用合同条款另有约定外，承包人应为其施工设备等办理财产保险。</w:t>
      </w:r>
    </w:p>
    <w:p w14:paraId="50BB5B52">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02" w:name="_Toc351203616"/>
      <w:r>
        <w:rPr>
          <w:rFonts w:hint="eastAsia" w:ascii="宋体" w:hAnsi="宋体" w:eastAsia="宋体" w:cs="宋体"/>
          <w:b/>
          <w:bCs/>
          <w:color w:val="auto"/>
          <w:sz w:val="20"/>
          <w:szCs w:val="20"/>
          <w:highlight w:val="none"/>
        </w:rPr>
        <w:t>18.4持续保险</w:t>
      </w:r>
      <w:bookmarkEnd w:id="402"/>
    </w:p>
    <w:p w14:paraId="37EA69B9">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合同当事人应与保险人保持联系，使保险人能够随时了解工程实施中的变动，并确保按保险合同条款要求持续保险。</w:t>
      </w:r>
    </w:p>
    <w:p w14:paraId="3AE1712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403" w:name="_Toc351203617"/>
      <w:bookmarkStart w:id="404" w:name="_Toc296503126"/>
      <w:bookmarkStart w:id="405" w:name="_Toc337558832"/>
      <w:bookmarkStart w:id="406" w:name="_Toc296346627"/>
      <w:r>
        <w:rPr>
          <w:rFonts w:hint="eastAsia" w:ascii="宋体" w:hAnsi="宋体" w:eastAsia="宋体" w:cs="宋体"/>
          <w:b/>
          <w:bCs/>
          <w:color w:val="auto"/>
          <w:sz w:val="20"/>
          <w:szCs w:val="20"/>
          <w:highlight w:val="none"/>
        </w:rPr>
        <w:t>18.5保险凭证</w:t>
      </w:r>
      <w:bookmarkEnd w:id="403"/>
    </w:p>
    <w:bookmarkEnd w:id="404"/>
    <w:bookmarkEnd w:id="405"/>
    <w:bookmarkEnd w:id="406"/>
    <w:p w14:paraId="1A86632A">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合同当事人应及时向另一方当事人提交其已投保的各项保险的凭证和保险单复印件。</w:t>
      </w:r>
    </w:p>
    <w:p w14:paraId="77C4C6D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07" w:name="_Toc351203618"/>
      <w:bookmarkStart w:id="408" w:name="_Toc296503127"/>
      <w:bookmarkStart w:id="409" w:name="_Toc337558833"/>
      <w:bookmarkStart w:id="410" w:name="_Toc296346628"/>
      <w:r>
        <w:rPr>
          <w:rFonts w:hint="eastAsia" w:ascii="宋体" w:hAnsi="宋体" w:eastAsia="宋体" w:cs="宋体"/>
          <w:b/>
          <w:bCs/>
          <w:color w:val="auto"/>
          <w:sz w:val="20"/>
          <w:szCs w:val="20"/>
          <w:highlight w:val="none"/>
        </w:rPr>
        <w:t>18.6未按约定投保的补救</w:t>
      </w:r>
      <w:bookmarkEnd w:id="407"/>
    </w:p>
    <w:bookmarkEnd w:id="408"/>
    <w:bookmarkEnd w:id="409"/>
    <w:bookmarkEnd w:id="410"/>
    <w:p w14:paraId="5AC9EC50">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18.6.1发包人未按合同约定办理保险，或未能使保险持续有效的，则承包人可代为办理，所需费用由发包人承担。发包人未按合同约定办理保险，导致未能得到足额赔偿的，由发包人负责补足。</w:t>
      </w:r>
    </w:p>
    <w:p w14:paraId="3FB7AA9C">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18.6.2承包人未按合同约定办理保险，或未能使保险持续有效的，则发包人可代为办理，所需费用由承包人承担。承包人未按合同约定办理保险，导致未能得到足额赔偿的，由承包人负责补足。</w:t>
      </w:r>
    </w:p>
    <w:p w14:paraId="27C5DC1C">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11" w:name="_Toc351203619"/>
      <w:bookmarkStart w:id="412" w:name="_Toc337558834"/>
      <w:r>
        <w:rPr>
          <w:rFonts w:hint="eastAsia" w:ascii="宋体" w:hAnsi="宋体" w:eastAsia="宋体" w:cs="宋体"/>
          <w:b/>
          <w:bCs/>
          <w:color w:val="auto"/>
          <w:sz w:val="20"/>
          <w:szCs w:val="20"/>
          <w:highlight w:val="none"/>
        </w:rPr>
        <w:t>18.7通知义务</w:t>
      </w:r>
      <w:bookmarkEnd w:id="411"/>
    </w:p>
    <w:bookmarkEnd w:id="412"/>
    <w:p w14:paraId="399A663D">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6E0EC03">
      <w:pPr>
        <w:pageBreakBefore w:val="0"/>
        <w:widowControl w:val="0"/>
        <w:kinsoku/>
        <w:wordWrap/>
        <w:overflowPunct/>
        <w:topLinePunct w:val="0"/>
        <w:bidi w:val="0"/>
        <w:snapToGrid/>
        <w:spacing w:line="360" w:lineRule="exact"/>
        <w:ind w:firstLine="400" w:firstLineChars="20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保险事故发生时，投保人应按照保险合同规定的条件和期限及时向保险人报告。发包人和承包人应当在知道保险事故发生后及时通知对方。</w:t>
      </w:r>
    </w:p>
    <w:p w14:paraId="0904B9A4">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413" w:name="_Toc351203620"/>
      <w:bookmarkStart w:id="414" w:name="_Toc296503140"/>
      <w:bookmarkStart w:id="415" w:name="_Toc337558835"/>
      <w:bookmarkStart w:id="416" w:name="_Toc296346641"/>
      <w:r>
        <w:rPr>
          <w:rFonts w:hint="eastAsia" w:ascii="宋体" w:hAnsi="宋体" w:eastAsia="宋体" w:cs="宋体"/>
          <w:b/>
          <w:bCs w:val="0"/>
          <w:color w:val="auto"/>
          <w:sz w:val="20"/>
          <w:szCs w:val="20"/>
          <w:highlight w:val="none"/>
        </w:rPr>
        <w:t>19.索赔</w:t>
      </w:r>
      <w:bookmarkEnd w:id="413"/>
    </w:p>
    <w:bookmarkEnd w:id="414"/>
    <w:bookmarkEnd w:id="415"/>
    <w:bookmarkEnd w:id="416"/>
    <w:p w14:paraId="51843553">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val="0"/>
          <w:color w:val="auto"/>
          <w:sz w:val="20"/>
          <w:szCs w:val="20"/>
          <w:highlight w:val="none"/>
        </w:rPr>
      </w:pPr>
      <w:bookmarkStart w:id="417" w:name="_Toc351203621"/>
      <w:bookmarkStart w:id="418" w:name="_Toc296503141"/>
      <w:bookmarkStart w:id="419" w:name="_Toc337558836"/>
      <w:bookmarkStart w:id="420" w:name="_Toc296346642"/>
      <w:r>
        <w:rPr>
          <w:rFonts w:hint="eastAsia" w:ascii="宋体" w:hAnsi="宋体" w:eastAsia="宋体" w:cs="宋体"/>
          <w:b/>
          <w:bCs w:val="0"/>
          <w:color w:val="auto"/>
          <w:sz w:val="20"/>
          <w:szCs w:val="20"/>
          <w:highlight w:val="none"/>
        </w:rPr>
        <w:t>19.1承包人的索赔</w:t>
      </w:r>
      <w:bookmarkEnd w:id="417"/>
    </w:p>
    <w:bookmarkEnd w:id="418"/>
    <w:bookmarkEnd w:id="419"/>
    <w:bookmarkEnd w:id="420"/>
    <w:p w14:paraId="3A6C2608">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根据合同约定，承包人认为有权得到追加付款和（或）延长工期的，应按以下程序向发包人提出索赔：</w:t>
      </w:r>
    </w:p>
    <w:p w14:paraId="61BD5FA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609DFE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（2）承包人应在发出索赔意向通知书后28天内，向监理人正式递交索赔报告；索赔报告应详细说明索赔理由以及要求追加的付款金额和（或）延长的工期，并附必要的记录和证明材料；</w:t>
      </w:r>
    </w:p>
    <w:p w14:paraId="14E2F52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（3）索赔事件具有持续影响的，承包人应按合理时间间隔继续递交延续索赔通知，说明持续影响的实际情况和记录，列出累计的追加付款金额和（或）工期延长天数；</w:t>
      </w:r>
    </w:p>
    <w:p w14:paraId="332CE75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（4）在索赔事件影响结束后28天内，承包人应向监理人递交最终索赔报告，说明最终要求索赔的追加付款金额和（或）延长的工期，并附必要的记录和证明材料。</w:t>
      </w:r>
    </w:p>
    <w:p w14:paraId="3D7CF3FF">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21" w:name="_Toc351203622"/>
      <w:bookmarkStart w:id="422" w:name="_Toc296346643"/>
      <w:bookmarkStart w:id="423" w:name="_Toc337558837"/>
      <w:bookmarkStart w:id="424" w:name="_Toc296503142"/>
      <w:r>
        <w:rPr>
          <w:rFonts w:hint="eastAsia" w:ascii="宋体" w:hAnsi="宋体" w:eastAsia="宋体" w:cs="宋体"/>
          <w:b/>
          <w:bCs/>
          <w:color w:val="auto"/>
          <w:sz w:val="20"/>
          <w:szCs w:val="20"/>
          <w:highlight w:val="none"/>
        </w:rPr>
        <w:t>19.2对承包人索赔的处理</w:t>
      </w:r>
      <w:bookmarkEnd w:id="421"/>
    </w:p>
    <w:bookmarkEnd w:id="422"/>
    <w:bookmarkEnd w:id="423"/>
    <w:bookmarkEnd w:id="424"/>
    <w:p w14:paraId="7B6B80B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对承包人索赔的处理如下：</w:t>
      </w:r>
    </w:p>
    <w:p w14:paraId="089139B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（1）监理人应在收到索赔报告后14天内完成审查并报送发包人。监理人对索赔报告存在异议的，有权要求承包人提交全部原始记录副本；</w:t>
      </w:r>
    </w:p>
    <w:p w14:paraId="74DDE7E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（2）发包人应在监理人收到索赔报告或有关索赔的进一步证明材料后的28天内，由监理人向承包人出具经发包人签认的索赔处理结果。发包人逾期答复的，则视为认可承包人的索赔要求；</w:t>
      </w:r>
    </w:p>
    <w:p w14:paraId="60BE05E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（3）承包人接受索赔处理结果的，索赔款项在当期进度款中进行支付；承包人不接受索赔处理结果的，按照第20条〔争议解决〕约定处理。</w:t>
      </w:r>
    </w:p>
    <w:p w14:paraId="25B54D51">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25" w:name="_Toc351203623"/>
      <w:bookmarkStart w:id="426" w:name="_Toc296503143"/>
      <w:bookmarkStart w:id="427" w:name="_Toc337558838"/>
      <w:bookmarkStart w:id="428" w:name="_Toc296346644"/>
      <w:r>
        <w:rPr>
          <w:rFonts w:hint="eastAsia" w:ascii="宋体" w:hAnsi="宋体" w:eastAsia="宋体" w:cs="宋体"/>
          <w:b/>
          <w:bCs/>
          <w:color w:val="auto"/>
          <w:sz w:val="20"/>
          <w:szCs w:val="20"/>
          <w:highlight w:val="none"/>
        </w:rPr>
        <w:t>19.3发包人的索赔</w:t>
      </w:r>
      <w:bookmarkEnd w:id="425"/>
    </w:p>
    <w:bookmarkEnd w:id="426"/>
    <w:bookmarkEnd w:id="427"/>
    <w:bookmarkEnd w:id="428"/>
    <w:p w14:paraId="7EC6E98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根据合同约定，发包人认为有权得到赔付金额和（或）延长缺陷责任期的，监理人应向承包人发出通知并附有详细的证明。</w:t>
      </w:r>
    </w:p>
    <w:p w14:paraId="0051F2DB">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617DA6A">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29" w:name="_Toc351203624"/>
      <w:bookmarkStart w:id="430" w:name="_Toc337558839"/>
      <w:bookmarkStart w:id="431" w:name="_Toc296503144"/>
      <w:bookmarkStart w:id="432" w:name="_Toc296346645"/>
      <w:r>
        <w:rPr>
          <w:rFonts w:hint="eastAsia" w:ascii="宋体" w:hAnsi="宋体" w:eastAsia="宋体" w:cs="宋体"/>
          <w:b/>
          <w:bCs/>
          <w:color w:val="auto"/>
          <w:sz w:val="20"/>
          <w:szCs w:val="20"/>
          <w:highlight w:val="none"/>
        </w:rPr>
        <w:t>19.4对发包人索赔的处理</w:t>
      </w:r>
      <w:bookmarkEnd w:id="429"/>
    </w:p>
    <w:bookmarkEnd w:id="430"/>
    <w:bookmarkEnd w:id="431"/>
    <w:bookmarkEnd w:id="432"/>
    <w:p w14:paraId="0B39698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对发包人索赔的处理如下：</w:t>
      </w:r>
    </w:p>
    <w:p w14:paraId="51849482">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（1）承包人收到发包人提交的索赔报告后，应及时审查索赔报告的内容、查验发包人证明材料；</w:t>
      </w:r>
    </w:p>
    <w:p w14:paraId="7C76FD97">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（2）承包人应在收到索赔报告或有关索赔的进一步证明材料后28天内，将索赔处理结果答复发包人。如果承包人未在上述期限内作出答复的，则视为对发包人索赔要求的认可；</w:t>
      </w:r>
    </w:p>
    <w:p w14:paraId="01CCB76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（3）承包人接受索赔处理结果的，发包人可从应支付给承包人的合同价款中扣除赔付的金额或延长缺陷责任期；发包人不接受索赔处理结果的，按第20条〔争议解决〕约定处理。</w:t>
      </w:r>
    </w:p>
    <w:p w14:paraId="59066B9D">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33" w:name="_Toc351203625"/>
      <w:r>
        <w:rPr>
          <w:rFonts w:hint="eastAsia" w:ascii="宋体" w:hAnsi="宋体" w:eastAsia="宋体" w:cs="宋体"/>
          <w:b/>
          <w:bCs/>
          <w:color w:val="auto"/>
          <w:sz w:val="20"/>
          <w:szCs w:val="20"/>
          <w:highlight w:val="none"/>
        </w:rPr>
        <w:t>19.5提出索赔的期限</w:t>
      </w:r>
      <w:bookmarkEnd w:id="433"/>
    </w:p>
    <w:p w14:paraId="5AB28B2C">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（1）承包人按第14.2款〔竣工结算审核〕约定接收竣工付款证书后，应被视为已无权再提出在工程接收证书颁发前所发生的任何索赔。</w:t>
      </w:r>
    </w:p>
    <w:p w14:paraId="1EA5E69C">
      <w:pPr>
        <w:pageBreakBefore w:val="0"/>
        <w:widowControl w:val="0"/>
        <w:kinsoku/>
        <w:wordWrap/>
        <w:overflowPunct/>
        <w:topLinePunct w:val="0"/>
        <w:bidi w:val="0"/>
        <w:snapToGrid/>
        <w:spacing w:line="360" w:lineRule="exact"/>
        <w:ind w:firstLine="400" w:firstLineChars="200"/>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（2）承包人按第14.4款〔最终结清〕提交的最终结清申请单中，只限于提出工程接收证书颁发后发生的索赔。提出索赔的期限自接受最终结清证书时终止。</w:t>
      </w:r>
    </w:p>
    <w:p w14:paraId="3D9C1B48">
      <w:pPr>
        <w:pageBreakBefore w:val="0"/>
        <w:widowControl w:val="0"/>
        <w:kinsoku/>
        <w:wordWrap/>
        <w:overflowPunct/>
        <w:topLinePunct w:val="0"/>
        <w:bidi w:val="0"/>
        <w:snapToGrid/>
        <w:spacing w:before="120" w:after="120" w:line="360" w:lineRule="exact"/>
        <w:textAlignment w:val="auto"/>
        <w:outlineLvl w:val="9"/>
        <w:rPr>
          <w:rFonts w:hint="eastAsia" w:ascii="宋体" w:hAnsi="宋体" w:eastAsia="宋体" w:cs="宋体"/>
          <w:b/>
          <w:bCs w:val="0"/>
          <w:color w:val="auto"/>
          <w:sz w:val="20"/>
          <w:szCs w:val="20"/>
          <w:highlight w:val="none"/>
        </w:rPr>
      </w:pPr>
      <w:bookmarkStart w:id="434" w:name="_Toc351203626"/>
      <w:r>
        <w:rPr>
          <w:rFonts w:hint="eastAsia" w:ascii="宋体" w:hAnsi="宋体" w:eastAsia="宋体" w:cs="宋体"/>
          <w:b/>
          <w:bCs w:val="0"/>
          <w:color w:val="auto"/>
          <w:sz w:val="20"/>
          <w:szCs w:val="20"/>
          <w:highlight w:val="none"/>
        </w:rPr>
        <w:t>20</w:t>
      </w:r>
      <w:bookmarkStart w:id="435" w:name="_Toc337558840"/>
      <w:bookmarkStart w:id="436" w:name="_Toc296503146"/>
      <w:bookmarkStart w:id="437" w:name="_Toc296346647"/>
      <w:r>
        <w:rPr>
          <w:rFonts w:hint="eastAsia" w:ascii="宋体" w:hAnsi="宋体" w:eastAsia="宋体" w:cs="宋体"/>
          <w:b/>
          <w:bCs w:val="0"/>
          <w:color w:val="auto"/>
          <w:sz w:val="20"/>
          <w:szCs w:val="20"/>
          <w:highlight w:val="none"/>
        </w:rPr>
        <w:t>.争议解决</w:t>
      </w:r>
      <w:bookmarkEnd w:id="434"/>
    </w:p>
    <w:bookmarkEnd w:id="435"/>
    <w:bookmarkEnd w:id="436"/>
    <w:bookmarkEnd w:id="437"/>
    <w:p w14:paraId="45CA7117">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val="0"/>
          <w:color w:val="auto"/>
          <w:sz w:val="20"/>
          <w:szCs w:val="20"/>
          <w:highlight w:val="none"/>
        </w:rPr>
      </w:pPr>
      <w:bookmarkStart w:id="438" w:name="_Toc351203627"/>
      <w:bookmarkStart w:id="439" w:name="_Toc296346648"/>
      <w:bookmarkStart w:id="440" w:name="_Toc337558841"/>
      <w:bookmarkStart w:id="441" w:name="_Toc296503147"/>
      <w:r>
        <w:rPr>
          <w:rFonts w:hint="eastAsia" w:ascii="宋体" w:hAnsi="宋体" w:eastAsia="宋体" w:cs="宋体"/>
          <w:b/>
          <w:bCs w:val="0"/>
          <w:color w:val="auto"/>
          <w:sz w:val="20"/>
          <w:szCs w:val="20"/>
          <w:highlight w:val="none"/>
        </w:rPr>
        <w:t>20.1和解</w:t>
      </w:r>
      <w:bookmarkEnd w:id="438"/>
    </w:p>
    <w:bookmarkEnd w:id="439"/>
    <w:bookmarkEnd w:id="440"/>
    <w:bookmarkEnd w:id="441"/>
    <w:p w14:paraId="3E6CD72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合同当事人可以就争议自行和解，自行和解达成协议的经双方签字并盖章后作为合同补充文件，双方均应遵照执行。</w:t>
      </w:r>
    </w:p>
    <w:p w14:paraId="527C952C">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42" w:name="_Toc351203628"/>
      <w:r>
        <w:rPr>
          <w:rFonts w:hint="eastAsia" w:ascii="宋体" w:hAnsi="宋体" w:eastAsia="宋体" w:cs="宋体"/>
          <w:b/>
          <w:bCs/>
          <w:color w:val="auto"/>
          <w:sz w:val="20"/>
          <w:szCs w:val="20"/>
          <w:highlight w:val="none"/>
        </w:rPr>
        <w:t>20</w:t>
      </w:r>
      <w:bookmarkStart w:id="443" w:name="_Toc296503148"/>
      <w:bookmarkStart w:id="444" w:name="_Toc337558842"/>
      <w:bookmarkStart w:id="445" w:name="_Toc296346649"/>
      <w:r>
        <w:rPr>
          <w:rFonts w:hint="eastAsia" w:ascii="宋体" w:hAnsi="宋体" w:eastAsia="宋体" w:cs="宋体"/>
          <w:b/>
          <w:bCs/>
          <w:color w:val="auto"/>
          <w:sz w:val="20"/>
          <w:szCs w:val="20"/>
          <w:highlight w:val="none"/>
        </w:rPr>
        <w:t>.2调解</w:t>
      </w:r>
      <w:bookmarkEnd w:id="442"/>
    </w:p>
    <w:bookmarkEnd w:id="443"/>
    <w:bookmarkEnd w:id="444"/>
    <w:bookmarkEnd w:id="445"/>
    <w:p w14:paraId="67D66BD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合同当事人可以就争议请求建设行政主管部门、行业协会或其他第三方进行调解，调解达成协议的，经双方签字并盖章后作为合同补充文件，双方均应遵照执行。</w:t>
      </w:r>
    </w:p>
    <w:p w14:paraId="661F5AFE">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46" w:name="_Toc351203629"/>
      <w:bookmarkStart w:id="447" w:name="_Toc337558843"/>
      <w:bookmarkStart w:id="448" w:name="_Toc296346650"/>
      <w:bookmarkStart w:id="449" w:name="_Toc296503149"/>
      <w:r>
        <w:rPr>
          <w:rFonts w:hint="eastAsia" w:ascii="宋体" w:hAnsi="宋体" w:eastAsia="宋体" w:cs="宋体"/>
          <w:b/>
          <w:bCs/>
          <w:color w:val="auto"/>
          <w:sz w:val="20"/>
          <w:szCs w:val="20"/>
          <w:highlight w:val="none"/>
        </w:rPr>
        <w:t>20.3争议评审</w:t>
      </w:r>
      <w:bookmarkEnd w:id="446"/>
    </w:p>
    <w:bookmarkEnd w:id="447"/>
    <w:bookmarkEnd w:id="448"/>
    <w:bookmarkEnd w:id="449"/>
    <w:p w14:paraId="55D62B64">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合同当事人在专用合同条款中约定采取争议评审方式解决争议以及评审规则，并按下列约定执行：</w:t>
      </w:r>
    </w:p>
    <w:p w14:paraId="1705D49C">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20.3.1争议评审小组的确定</w:t>
      </w:r>
    </w:p>
    <w:p w14:paraId="76252DA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合同当事人可以共同选择一名或三名争议评审员，组成争议评审小组。除专用合同条款另有约定外，合同当事人应当自合同签订后28天内，或者争议发生后14天内，选定争议评审员。</w:t>
      </w:r>
    </w:p>
    <w:p w14:paraId="205EF57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3040CE3F">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除专用合同条款另有约定外，评审员报酬由发包人和承包人各承担一半。</w:t>
      </w:r>
    </w:p>
    <w:p w14:paraId="26DF294A">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20.3.2争议评审小组的决定</w:t>
      </w:r>
    </w:p>
    <w:p w14:paraId="1E0EB4A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6742D71">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20.3.3争议评审小组决定的效力</w:t>
      </w:r>
    </w:p>
    <w:p w14:paraId="46EE9785">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争议评审小组作出的书面决定经合同当事人签字确认后，对双方具有约束力，双方应遵照执行。</w:t>
      </w:r>
    </w:p>
    <w:p w14:paraId="252E3D33">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任何一方当事人不接受争议评审小组决定或不履行争议评审小组决定的，双方可选择采用其他争议解决方式。</w:t>
      </w:r>
    </w:p>
    <w:p w14:paraId="2F6D40DB">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bCs/>
          <w:color w:val="auto"/>
          <w:sz w:val="20"/>
          <w:szCs w:val="20"/>
          <w:highlight w:val="none"/>
        </w:rPr>
      </w:pPr>
      <w:bookmarkStart w:id="450" w:name="_Toc351203630"/>
      <w:bookmarkStart w:id="451" w:name="_Toc337558844"/>
      <w:bookmarkStart w:id="452" w:name="_Toc296503150"/>
      <w:bookmarkStart w:id="453" w:name="_Toc296346651"/>
      <w:r>
        <w:rPr>
          <w:rFonts w:hint="eastAsia" w:ascii="宋体" w:hAnsi="宋体" w:eastAsia="宋体" w:cs="宋体"/>
          <w:b/>
          <w:bCs/>
          <w:color w:val="auto"/>
          <w:sz w:val="20"/>
          <w:szCs w:val="20"/>
          <w:highlight w:val="none"/>
        </w:rPr>
        <w:t>20.4仲裁或诉讼</w:t>
      </w:r>
      <w:bookmarkEnd w:id="450"/>
    </w:p>
    <w:bookmarkEnd w:id="451"/>
    <w:bookmarkEnd w:id="452"/>
    <w:bookmarkEnd w:id="453"/>
    <w:p w14:paraId="2AA2F5D0">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因合同及合同有关事项产生的争议，合同当事人可以在专用合同条款中约定以下一种方式解决争议：</w:t>
      </w:r>
    </w:p>
    <w:p w14:paraId="59E8947D">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（1）向约定的仲裁委员会申请仲裁；</w:t>
      </w:r>
    </w:p>
    <w:p w14:paraId="760BEAE6">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（2）向有管辖权的人民法院起诉。</w:t>
      </w:r>
    </w:p>
    <w:p w14:paraId="3896DE33">
      <w:pPr>
        <w:pageBreakBefore w:val="0"/>
        <w:widowControl w:val="0"/>
        <w:kinsoku/>
        <w:wordWrap/>
        <w:overflowPunct/>
        <w:topLinePunct w:val="0"/>
        <w:bidi w:val="0"/>
        <w:snapToGrid/>
        <w:spacing w:before="120" w:after="120" w:line="360" w:lineRule="exact"/>
        <w:ind w:firstLine="402" w:firstLineChars="200"/>
        <w:textAlignment w:val="auto"/>
        <w:outlineLvl w:val="9"/>
        <w:rPr>
          <w:rFonts w:hint="eastAsia" w:ascii="宋体" w:hAnsi="宋体" w:eastAsia="宋体" w:cs="宋体"/>
          <w:b w:val="0"/>
          <w:color w:val="auto"/>
          <w:sz w:val="20"/>
          <w:szCs w:val="20"/>
          <w:highlight w:val="none"/>
        </w:rPr>
      </w:pPr>
      <w:bookmarkStart w:id="454" w:name="_Toc351203631"/>
      <w:bookmarkStart w:id="455" w:name="_Toc296346653"/>
      <w:bookmarkStart w:id="456" w:name="_Toc337558845"/>
      <w:bookmarkStart w:id="457" w:name="_Toc296503152"/>
      <w:r>
        <w:rPr>
          <w:rFonts w:hint="eastAsia" w:ascii="宋体" w:hAnsi="宋体" w:eastAsia="宋体" w:cs="宋体"/>
          <w:b/>
          <w:bCs/>
          <w:color w:val="auto"/>
          <w:sz w:val="20"/>
          <w:szCs w:val="20"/>
          <w:highlight w:val="none"/>
        </w:rPr>
        <w:t>20.5争议解决条款效力</w:t>
      </w:r>
      <w:bookmarkEnd w:id="454"/>
    </w:p>
    <w:bookmarkEnd w:id="455"/>
    <w:bookmarkEnd w:id="456"/>
    <w:bookmarkEnd w:id="457"/>
    <w:p w14:paraId="3392AF1E">
      <w:pPr>
        <w:pageBreakBefore w:val="0"/>
        <w:widowControl w:val="0"/>
        <w:kinsoku/>
        <w:wordWrap/>
        <w:overflowPunct/>
        <w:topLinePunct w:val="0"/>
        <w:autoSpaceDE w:val="0"/>
        <w:autoSpaceDN w:val="0"/>
        <w:bidi w:val="0"/>
        <w:adjustRightInd w:val="0"/>
        <w:snapToGrid/>
        <w:spacing w:line="360" w:lineRule="exact"/>
        <w:ind w:firstLine="400" w:firstLineChars="200"/>
        <w:jc w:val="left"/>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合同有关争议解决的条款独立存在，合同的变更、解除、终止、无效或者被撤销均不影响其效力。</w:t>
      </w:r>
    </w:p>
    <w:p w14:paraId="4AFDD882">
      <w:pPr>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3B606345">
      <w:pPr>
        <w:pStyle w:val="2"/>
        <w:spacing w:before="3"/>
        <w:ind w:left="0"/>
        <w:jc w:val="both"/>
        <w:outlineLvl w:val="9"/>
        <w:rPr>
          <w:rFonts w:hint="eastAsia" w:ascii="宋体" w:hAnsi="宋体" w:eastAsia="宋体" w:cs="宋体"/>
          <w:color w:val="auto"/>
          <w:sz w:val="20"/>
          <w:szCs w:val="20"/>
          <w:highlight w:val="none"/>
        </w:rPr>
      </w:pPr>
    </w:p>
    <w:p w14:paraId="072A14BD">
      <w:pPr>
        <w:pStyle w:val="2"/>
        <w:spacing w:before="10"/>
        <w:ind w:left="0"/>
        <w:jc w:val="both"/>
        <w:outlineLvl w:val="9"/>
        <w:rPr>
          <w:rFonts w:hint="eastAsia" w:ascii="宋体" w:hAnsi="宋体" w:eastAsia="宋体" w:cs="宋体"/>
          <w:color w:val="auto"/>
          <w:sz w:val="20"/>
          <w:szCs w:val="20"/>
          <w:highlight w:val="none"/>
        </w:rPr>
      </w:pPr>
      <w:bookmarkStart w:id="458" w:name="第二部分 通用合同条款"/>
      <w:bookmarkEnd w:id="458"/>
    </w:p>
    <w:p w14:paraId="5B5279E3">
      <w:pPr>
        <w:pStyle w:val="4"/>
        <w:ind w:left="0" w:leftChars="0" w:right="-64" w:rightChars="0" w:firstLine="0" w:firstLineChars="0"/>
        <w:jc w:val="center"/>
        <w:outlineLvl w:val="9"/>
        <w:rPr>
          <w:rFonts w:hint="eastAsia" w:ascii="宋体" w:hAnsi="宋体" w:eastAsia="宋体" w:cs="宋体"/>
          <w:b/>
          <w:bCs/>
          <w:color w:val="auto"/>
          <w:kern w:val="44"/>
          <w:sz w:val="20"/>
          <w:szCs w:val="20"/>
          <w:highlight w:val="none"/>
          <w:lang w:val="zh-CN" w:eastAsia="zh-CN" w:bidi="ar-SA"/>
        </w:rPr>
      </w:pPr>
      <w:r>
        <w:rPr>
          <w:rFonts w:hint="eastAsia" w:ascii="宋体" w:hAnsi="宋体" w:eastAsia="宋体" w:cs="宋体"/>
          <w:b/>
          <w:bCs/>
          <w:color w:val="auto"/>
          <w:kern w:val="44"/>
          <w:sz w:val="20"/>
          <w:szCs w:val="20"/>
          <w:highlight w:val="none"/>
          <w:lang w:val="zh-CN" w:eastAsia="zh-CN" w:bidi="ar-SA"/>
        </w:rPr>
        <w:t>第</w:t>
      </w:r>
      <w:r>
        <w:rPr>
          <w:rFonts w:hint="eastAsia" w:ascii="宋体" w:hAnsi="宋体" w:eastAsia="宋体" w:cs="宋体"/>
          <w:b/>
          <w:bCs/>
          <w:color w:val="auto"/>
          <w:kern w:val="44"/>
          <w:sz w:val="20"/>
          <w:szCs w:val="20"/>
          <w:highlight w:val="none"/>
          <w:lang w:val="en-US" w:eastAsia="zh-CN" w:bidi="ar-SA"/>
        </w:rPr>
        <w:t>三</w:t>
      </w:r>
      <w:r>
        <w:rPr>
          <w:rFonts w:hint="eastAsia" w:ascii="宋体" w:hAnsi="宋体" w:eastAsia="宋体" w:cs="宋体"/>
          <w:b/>
          <w:bCs/>
          <w:color w:val="auto"/>
          <w:kern w:val="44"/>
          <w:sz w:val="20"/>
          <w:szCs w:val="20"/>
          <w:highlight w:val="none"/>
          <w:lang w:val="zh-CN" w:eastAsia="zh-CN" w:bidi="ar-SA"/>
        </w:rPr>
        <w:t>部分专用合同条款</w:t>
      </w:r>
    </w:p>
    <w:p w14:paraId="1FA8860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bookmarkStart w:id="459" w:name="1. 一般约定"/>
      <w:bookmarkEnd w:id="459"/>
      <w:bookmarkStart w:id="460" w:name="1. 一般约定"/>
      <w:bookmarkEnd w:id="460"/>
      <w:r>
        <w:rPr>
          <w:rFonts w:hint="eastAsia" w:ascii="宋体" w:hAnsi="宋体" w:eastAsia="宋体" w:cs="宋体"/>
          <w:color w:val="auto"/>
          <w:kern w:val="0"/>
          <w:sz w:val="20"/>
          <w:szCs w:val="20"/>
          <w:lang w:val="en-US" w:eastAsia="zh-CN"/>
        </w:rPr>
        <w:t>1.一般约定</w:t>
      </w:r>
    </w:p>
    <w:p w14:paraId="524DF46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1.1词语定义</w:t>
      </w:r>
    </w:p>
    <w:p w14:paraId="2C7A946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1.1.1合同</w:t>
      </w:r>
    </w:p>
    <w:p w14:paraId="452A6B5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1.1.1.1其他合同文件包括：成交通知书；响应函及其附录；补充合同（协议）及其附件；</w:t>
      </w:r>
    </w:p>
    <w:p w14:paraId="4C435BE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图纸；技术标准和要求；已标价工程量清单。</w:t>
      </w:r>
    </w:p>
    <w:p w14:paraId="0E8528E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1.2合同当事人及其他相关方</w:t>
      </w:r>
    </w:p>
    <w:p w14:paraId="1DBE9D4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1.2.1监理人</w:t>
      </w:r>
    </w:p>
    <w:p w14:paraId="57367AE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名称： </w:t>
      </w:r>
    </w:p>
    <w:p w14:paraId="59821E3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公司： </w:t>
      </w:r>
    </w:p>
    <w:p w14:paraId="40731A1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联系电话： </w:t>
      </w:r>
    </w:p>
    <w:p w14:paraId="52158CD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1.2.2设计人</w:t>
      </w:r>
    </w:p>
    <w:p w14:paraId="269CA3F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名称： </w:t>
      </w:r>
    </w:p>
    <w:p w14:paraId="334983E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公司： </w:t>
      </w:r>
    </w:p>
    <w:p w14:paraId="7649B87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联系电话： </w:t>
      </w:r>
    </w:p>
    <w:p w14:paraId="1108EB3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1.2.3工程和设备</w:t>
      </w:r>
    </w:p>
    <w:p w14:paraId="7019861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1.2.4作为施工现场组成部分的其他场所包括：包括永久占地、临时占地。</w:t>
      </w:r>
    </w:p>
    <w:p w14:paraId="034D0E0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1.2.5永久占地包括：为实施合同工程需永久占用的土地。</w:t>
      </w:r>
    </w:p>
    <w:p w14:paraId="41AA2A8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1.2.6临时占地包括：为实施合同工程需临时占用的土地。</w:t>
      </w:r>
    </w:p>
    <w:p w14:paraId="112E0D3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1.3法律</w:t>
      </w:r>
    </w:p>
    <w:p w14:paraId="3B35C2A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适用于合同的其他规范性文件：按国家有关规定。</w:t>
      </w:r>
    </w:p>
    <w:p w14:paraId="349F7C9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1.4标准和规范</w:t>
      </w:r>
    </w:p>
    <w:p w14:paraId="35A5517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1.4.1适用于工程的标准规范包括：施工规范、质量验收规范、质量评定标准、地方技术标准和规程。</w:t>
      </w:r>
    </w:p>
    <w:p w14:paraId="3084655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1.4.2发包人提供国外标准、规范的名称：无；</w:t>
      </w:r>
    </w:p>
    <w:p w14:paraId="5158833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发包人提供国外标准、规范的份数：无；</w:t>
      </w:r>
    </w:p>
    <w:p w14:paraId="1B859A4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发包人提供国外标准、规范的名称：无。</w:t>
      </w:r>
    </w:p>
    <w:p w14:paraId="5342D5B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1.4.3发包人对工程的技术标准和功能要求的特殊要求：无。</w:t>
      </w:r>
    </w:p>
    <w:p w14:paraId="5D51218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1.5合同文件的优先顺序</w:t>
      </w:r>
    </w:p>
    <w:p w14:paraId="690649D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（1）合同协议书；</w:t>
      </w:r>
    </w:p>
    <w:p w14:paraId="4A8996F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（2）中标通知书；</w:t>
      </w:r>
    </w:p>
    <w:p w14:paraId="6BA3981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（3）投标函及其附录；</w:t>
      </w:r>
    </w:p>
    <w:p w14:paraId="1488E30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（4）专用合同条款及其附件；</w:t>
      </w:r>
    </w:p>
    <w:p w14:paraId="033E05C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（5）通用合同条款；</w:t>
      </w:r>
    </w:p>
    <w:p w14:paraId="70FE5AD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（6）图纸；</w:t>
      </w:r>
    </w:p>
    <w:p w14:paraId="1237CCE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（7）技术标准和要求；</w:t>
      </w:r>
    </w:p>
    <w:p w14:paraId="2B03390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（8）已标价工程量清单；</w:t>
      </w:r>
    </w:p>
    <w:p w14:paraId="199140C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1.6图纸和承包人文件</w:t>
      </w:r>
    </w:p>
    <w:p w14:paraId="73AC5E3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1.6.1图纸的提供</w:t>
      </w:r>
    </w:p>
    <w:p w14:paraId="4A9F9C2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发包人向承包人提供图纸的期限：双方约定的开工日期前3天内；</w:t>
      </w:r>
    </w:p>
    <w:p w14:paraId="096529D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发包人向承包人提供图纸的数量：壹套，承包人需要增加图纸套数的，发包人应代为复制，复制费用由承包人承担；</w:t>
      </w:r>
    </w:p>
    <w:p w14:paraId="68978D8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发包人向承包人提供图纸的内容：见图纸目录。</w:t>
      </w:r>
    </w:p>
    <w:p w14:paraId="6A3FCF1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1.6.2承包人文件</w:t>
      </w:r>
    </w:p>
    <w:p w14:paraId="0C2875F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需要由承包人提供的文件，包括：开工报告、施工组织设计、专项施工方案、进度计划及其他应交的施工管理文件、施工技术文件；</w:t>
      </w:r>
    </w:p>
    <w:p w14:paraId="3EA711E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承包人提供的文件的期限为：正式开工前7天；</w:t>
      </w:r>
    </w:p>
    <w:p w14:paraId="6B3B156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承包人提供的文件的数量为：一式肆份；</w:t>
      </w:r>
    </w:p>
    <w:p w14:paraId="09E1467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承包人提供的文件的形式为：纸质文件；</w:t>
      </w:r>
    </w:p>
    <w:p w14:paraId="729BD7E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发包人审批承包人文件的期限：收到文件后7天内。</w:t>
      </w:r>
    </w:p>
    <w:p w14:paraId="0619E18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1.6.3现场图纸准备</w:t>
      </w:r>
    </w:p>
    <w:p w14:paraId="5B5F7E8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关于现场图纸准备的约定：图纸会审或发包人审查后7天内。</w:t>
      </w:r>
    </w:p>
    <w:p w14:paraId="680D7DA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1.7联络</w:t>
      </w:r>
    </w:p>
    <w:p w14:paraId="56354F2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1.7.1发包人和承包人应当在7天内将与合同有关的通知、批准、证明、证书、指示、指令、要求、请求、同意、意见、确定和决定等书面函件送达对方当事人。</w:t>
      </w:r>
    </w:p>
    <w:p w14:paraId="0241F58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1.7.2发包人接收文件的地点：发包人办公室；</w:t>
      </w:r>
    </w:p>
    <w:p w14:paraId="5ABD229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发包人指定的接收人为：工地代表（可委托）；</w:t>
      </w:r>
    </w:p>
    <w:p w14:paraId="45B8AFE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承包人接收文件的地点：承包人项目部办公室；</w:t>
      </w:r>
    </w:p>
    <w:p w14:paraId="61DDDB5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承包人指定的接收人为：项目经理（可委托）；</w:t>
      </w:r>
    </w:p>
    <w:p w14:paraId="54EA07C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监理人接收文件的地点：项目监理部；</w:t>
      </w:r>
    </w:p>
    <w:p w14:paraId="4A018A2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监理人指定的接收人为：总监理工程（可委托）。</w:t>
      </w:r>
    </w:p>
    <w:p w14:paraId="53F0B9B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1.8交通运输</w:t>
      </w:r>
    </w:p>
    <w:p w14:paraId="43CA9B3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1.8.1出入现场的权利</w:t>
      </w:r>
    </w:p>
    <w:p w14:paraId="38CC582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关于出入现场的权利的约定：发包方管理人员、监理方管理人员佩戴工作证件及安全帽方可自由出入，但不得影响承包方的正常施工。</w:t>
      </w:r>
    </w:p>
    <w:p w14:paraId="3F0483C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1.8.2场内交通</w:t>
      </w:r>
    </w:p>
    <w:p w14:paraId="736DB0A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关于场外交通和场内交通的边界的约定：发包方、承包方和监理方可现场协商，再以书面形式进行确认。</w:t>
      </w:r>
    </w:p>
    <w:p w14:paraId="7F9B562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关于发包人向承包人免费提供满足工程施工需要的场内道路和交通设施的约定：发包方、承包方和监理方可现场协商，再以书面形式进行确认。</w:t>
      </w:r>
    </w:p>
    <w:p w14:paraId="7EEA956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1.8.3超大件和超重件的运输</w:t>
      </w:r>
    </w:p>
    <w:p w14:paraId="105D84F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运输超大件或超重件所需的道路和桥梁临时加固改造费用和其他有关费用由承包方承担。</w:t>
      </w:r>
    </w:p>
    <w:p w14:paraId="1D1FB14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1.8.4特别约定</w:t>
      </w:r>
    </w:p>
    <w:p w14:paraId="0C161C7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承包方要执行招标文件第二章“投标人须知”第10.10.5款规定。</w:t>
      </w:r>
    </w:p>
    <w:p w14:paraId="14C5739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1.9知识产权</w:t>
      </w:r>
    </w:p>
    <w:p w14:paraId="2B27D52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1.9.1关于发包人提供给承包人的图纸、发包人为实施工程自行编制或委托编制的技术规范以及反映发包人关于合同要求或其他类似性质的文件的著作权的归属：归发包人。</w:t>
      </w:r>
    </w:p>
    <w:p w14:paraId="0573115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关于发包人提供的上述文件的使用限制的要求：未经发包人同意，承包人不得用于本工程以外的其他工程。</w:t>
      </w:r>
    </w:p>
    <w:p w14:paraId="199B252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1.9.2关于承包人为实施工程所编制文件的著作权的归属：归属承包人。</w:t>
      </w:r>
    </w:p>
    <w:p w14:paraId="4A2CAE2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关于承包人提供的上述文件的使用限制的要求：未经承包人同意，不得用于除本工程以外的其他工程。</w:t>
      </w:r>
    </w:p>
    <w:p w14:paraId="7F0E6B5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1.9.4承包人在施工过程中所采用的专利、专有技术、技术秘密的使用费的承担方式：由承包方承担。</w:t>
      </w:r>
    </w:p>
    <w:p w14:paraId="7CC6072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1.10工程量清单错误的修正</w:t>
      </w:r>
    </w:p>
    <w:p w14:paraId="78210D6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出现工程量清单工程量偏差时，是否调整合同价格：按`10.4.1变更估价原则。</w:t>
      </w:r>
    </w:p>
    <w:p w14:paraId="58DF164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允许调整合同价格的工程量偏差范围及其调整办法：按`10.4.1变更估价原则。</w:t>
      </w:r>
    </w:p>
    <w:p w14:paraId="0D789E5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2.发包人</w:t>
      </w:r>
    </w:p>
    <w:p w14:paraId="69429FB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2.1发包人代表</w:t>
      </w:r>
    </w:p>
    <w:p w14:paraId="11B4393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发包人代表：</w:t>
      </w:r>
    </w:p>
    <w:p w14:paraId="3624469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姓名</w:t>
      </w:r>
    </w:p>
    <w:p w14:paraId="012C1EA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身份证号：</w:t>
      </w:r>
    </w:p>
    <w:p w14:paraId="206A089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职务：</w:t>
      </w:r>
    </w:p>
    <w:p w14:paraId="7EF1B7F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联系电话：</w:t>
      </w:r>
    </w:p>
    <w:p w14:paraId="2BE2892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电子信箱：</w:t>
      </w:r>
    </w:p>
    <w:p w14:paraId="4FD3100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通信地址：</w:t>
      </w:r>
    </w:p>
    <w:p w14:paraId="50A1912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发包人对发包人代表的授权范围如下：合同约定范围内的权利、义务（可授权代理人履行）。</w:t>
      </w:r>
    </w:p>
    <w:p w14:paraId="384B70B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2.2施工现场、施工条件和基础资料的提供</w:t>
      </w:r>
    </w:p>
    <w:p w14:paraId="6E25AA0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2.2.1提供施工现场</w:t>
      </w:r>
    </w:p>
    <w:p w14:paraId="465DD18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关于发包人移交施工现场的期限要求：双方确认开工日期前七天。</w:t>
      </w:r>
    </w:p>
    <w:p w14:paraId="1B081A3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2.2.2提供施工条件</w:t>
      </w:r>
    </w:p>
    <w:p w14:paraId="69262DF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关于发包人应负责提供施工所需要的条件，包括：水通、电通、道路通，但费用由承包人承担，施工用水、用电开户由承包方自行解决，发包人可协助办理相关手续。</w:t>
      </w:r>
    </w:p>
    <w:p w14:paraId="6105FD1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2.3支付担保</w:t>
      </w:r>
    </w:p>
    <w:p w14:paraId="747AAD0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发包人是否提供支付担保：否。</w:t>
      </w:r>
    </w:p>
    <w:p w14:paraId="508A015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发包人提供支付担保的形式：否。</w:t>
      </w:r>
    </w:p>
    <w:p w14:paraId="13EDDC9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3.承包人</w:t>
      </w:r>
    </w:p>
    <w:p w14:paraId="2FCF8BF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3.1承包人的一般义务</w:t>
      </w:r>
    </w:p>
    <w:p w14:paraId="1B1AE26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（1）承包人提交的竣工资料的内容：符合竣工验收要求的竣工图、施工管理资料、施工技术资料及国家、地方规定的其他资料。</w:t>
      </w:r>
    </w:p>
    <w:p w14:paraId="5880501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承包人需要提交的竣工资料套数：一式肆份。</w:t>
      </w:r>
    </w:p>
    <w:p w14:paraId="0D7B57C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承包人提交的竣工资料的费用承担：承包人承担。</w:t>
      </w:r>
    </w:p>
    <w:p w14:paraId="3C7E507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承包人提交的竣工资料移交时间：竣工验收通过后7天内。</w:t>
      </w:r>
    </w:p>
    <w:p w14:paraId="1B3C350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承包人提交的竣工资料形式要求：纸质资料，同时竣工图提供电子版。</w:t>
      </w:r>
    </w:p>
    <w:p w14:paraId="54CE93D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（2）承包人应履行的其他义务：</w:t>
      </w:r>
    </w:p>
    <w:p w14:paraId="510A58A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1、协助发包人做好施工所需的条件、报监报建手续及其他政府部门需要的报批手续，告知义务。</w:t>
      </w:r>
    </w:p>
    <w:p w14:paraId="4ECA9AA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2、按时足额将农民工工资保障金存入建设行政主管部门指定的账户，对农民工工资保障金的使用做出承诺。</w:t>
      </w:r>
    </w:p>
    <w:p w14:paraId="5471567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3、承包人应按发包人的指令，完成发包人要求的对工程内容的任何增加和减少。</w:t>
      </w:r>
    </w:p>
    <w:p w14:paraId="61CAF27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4、承包人进入现场施工，要做好现场安全文明施工工作。现场运输材料、对方材料等造成路面的污染，承包人应该有专人负责跟踪打扫；现场施工及生活垃圾产生的垃圾应该有人清理。</w:t>
      </w:r>
    </w:p>
    <w:p w14:paraId="7DEA7E4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5、承包人在实施过程中带动当地群众务工要求​</w:t>
      </w:r>
    </w:p>
    <w:p w14:paraId="23ED17A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（1）劳务报酬资金占比：本项目采用以工代赈方式建设，承包人在项目实施过程中，应积极带动当地群众参与务工，向当地务工群众发放的劳务报酬资金占本项目合同总价的比例不得低于15%，即</w:t>
      </w:r>
      <w:r>
        <w:rPr>
          <w:rFonts w:hint="eastAsia" w:ascii="宋体" w:hAnsi="宋体" w:eastAsia="宋体" w:cs="宋体"/>
          <w:color w:val="auto"/>
          <w:kern w:val="0"/>
          <w:sz w:val="20"/>
          <w:szCs w:val="20"/>
          <w:highlight w:val="none"/>
          <w:u w:val="single"/>
          <w:lang w:val="en-US" w:eastAsia="zh-CN"/>
        </w:rPr>
        <w:t>人民币</w:t>
      </w:r>
      <w:r>
        <w:rPr>
          <w:rFonts w:hint="eastAsia" w:ascii="宋体" w:hAnsi="宋体" w:eastAsia="宋体" w:cs="宋体"/>
          <w:color w:val="auto"/>
          <w:kern w:val="0"/>
          <w:sz w:val="20"/>
          <w:szCs w:val="20"/>
          <w:highlight w:val="none"/>
          <w:lang w:val="en-US" w:eastAsia="zh-CN"/>
        </w:rPr>
        <w:t>元（大写</w:t>
      </w:r>
      <w:r>
        <w:rPr>
          <w:rFonts w:hint="eastAsia" w:ascii="宋体" w:hAnsi="宋体" w:eastAsia="宋体" w:cs="宋体"/>
          <w:color w:val="auto"/>
          <w:kern w:val="0"/>
          <w:sz w:val="20"/>
          <w:szCs w:val="20"/>
          <w:highlight w:val="none"/>
          <w:u w:val="single"/>
          <w:lang w:val="en-US" w:eastAsia="zh-CN"/>
        </w:rPr>
        <w:t>：[大写金额]</w:t>
      </w:r>
      <w:r>
        <w:rPr>
          <w:rFonts w:hint="eastAsia" w:ascii="宋体" w:hAnsi="宋体" w:eastAsia="宋体" w:cs="宋体"/>
          <w:color w:val="auto"/>
          <w:kern w:val="0"/>
          <w:sz w:val="20"/>
          <w:szCs w:val="20"/>
          <w:highlight w:val="none"/>
          <w:lang w:val="en-US" w:eastAsia="zh-CN"/>
        </w:rPr>
        <w:t>）。承包人应优先吸纳项目所在地脱贫人口、监测对象、农村低收入人口等重点群体参与工程建设，并签订合法合规的劳务合同。​</w:t>
      </w:r>
    </w:p>
    <w:p w14:paraId="35639C6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（2）劳务报酬发放管理​</w:t>
      </w:r>
    </w:p>
    <w:p w14:paraId="28C9267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劳务报酬发放标准应不低于当地同工种市场平均工资水平。​</w:t>
      </w:r>
    </w:p>
    <w:p w14:paraId="2ADE2C2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承包人应建立劳务用工台账，详细记录参与工程建设的当地群众姓名、身份证号、工种、工作天数、劳务报酬标准及发放金额等信息。每月30日前，将上月劳务报酬发放情况汇总表及银行代发凭证等资料报送发包人。​</w:t>
      </w:r>
    </w:p>
    <w:p w14:paraId="7A787AC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承包人不得以任何形式拖欠当地群众劳务报酬，确保劳务报酬按时足额发放至个人银行账户。如发生拖欠行为，发包人有权从应付承包人的工程款中直接扣除相应款项用于支付劳务报酬，并追究承包人违约责任。​</w:t>
      </w:r>
    </w:p>
    <w:p w14:paraId="1EA7E36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highlight w:val="yellow"/>
          <w:lang w:val="en-US" w:eastAsia="zh-CN"/>
        </w:rPr>
      </w:pPr>
      <w:r>
        <w:rPr>
          <w:rFonts w:hint="eastAsia" w:ascii="宋体" w:hAnsi="宋体" w:eastAsia="宋体" w:cs="宋体"/>
          <w:color w:val="auto"/>
          <w:kern w:val="0"/>
          <w:sz w:val="20"/>
          <w:szCs w:val="20"/>
          <w:highlight w:val="none"/>
          <w:lang w:val="en-US" w:eastAsia="zh-CN"/>
        </w:rPr>
        <w:t>（4）过程资料提交：承包人应在项目实施过程中，及时收集、整理并提交体现劳务报酬发放标准、额度的相关材料，包括但不限于劳务报酬发放公示照片、劳务用工台账、银行代发凭证、劳务人员签字确认表等，作为工程结算和验收的重要依据。</w:t>
      </w:r>
    </w:p>
    <w:p w14:paraId="0DBA462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6、承包人应负责提供完成合同所需的劳务、材料、施工设备、工程设备和其他物品。不尽事宜由双方另行协商确定。</w:t>
      </w:r>
    </w:p>
    <w:p w14:paraId="34F5633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3.2承包人项目经理</w:t>
      </w:r>
    </w:p>
    <w:p w14:paraId="0885E58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3.2.1项目经理：</w:t>
      </w:r>
    </w:p>
    <w:p w14:paraId="6FD315D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姓名：</w:t>
      </w:r>
    </w:p>
    <w:p w14:paraId="5E95CD8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身份证号：</w:t>
      </w:r>
    </w:p>
    <w:p w14:paraId="5AAFDAE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建造师执业资格等级：</w:t>
      </w:r>
    </w:p>
    <w:p w14:paraId="04EC424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建造师注册证书号：</w:t>
      </w:r>
    </w:p>
    <w:p w14:paraId="7C51236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建造师执业印章号：</w:t>
      </w:r>
    </w:p>
    <w:p w14:paraId="63E1F8B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安全生产考核合格证书号：</w:t>
      </w:r>
    </w:p>
    <w:p w14:paraId="0F11E10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联系电话：</w:t>
      </w:r>
    </w:p>
    <w:p w14:paraId="47BC8BE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电子信箱：</w:t>
      </w:r>
    </w:p>
    <w:p w14:paraId="2FCAF8F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通信地址：</w:t>
      </w:r>
    </w:p>
    <w:p w14:paraId="440B08C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3.2.2承包人对项目经理的授权范围如下：合同约定范围的权利、义务。</w:t>
      </w:r>
    </w:p>
    <w:p w14:paraId="2E3E4CA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关于项目经理每月在施工现场的时间要求：项目经理在岗带班时间不得少于当月施工时间的80%，且关键部位施工必须在现场以及分部分项验收、隐蔽工程验收必须在现场。</w:t>
      </w:r>
    </w:p>
    <w:p w14:paraId="79ABE96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未提交劳动合同，以及没有为项目经理缴纳社会保险证明的违约责任：由此而影响到项目报建报监手续办理、被主管部门处罚停工、民工上访等造成的经济损失，由承包人赔偿。项目经理未经批准，擅自离开施工现场的违约责任：未经发包人同意或正当理由，项目经理擅自离岗的，视为承包人违约，承包人应向发包人支付违约金4000元/人•次。</w:t>
      </w:r>
    </w:p>
    <w:p w14:paraId="3852606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3.2.3承包人擅自更换项目经理的违约责任：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发包人有权要求承包人按6000元/人·次支付违约金，由此产生的一切损失及后果由承包人承担。</w:t>
      </w:r>
    </w:p>
    <w:p w14:paraId="59C2D20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3.2.4承包人无正当理由拒绝更换项目经理的违约责任：承包人项目经理因不称职，发包人要求调换在规定的时间内未及时调换的，视为承包人违约，发包人有权要求承包人按2000元/人·次支付违约金，由此产生的一切损失及后果由承包人承担。</w:t>
      </w:r>
    </w:p>
    <w:p w14:paraId="3A0526C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3.3承包人人员</w:t>
      </w:r>
    </w:p>
    <w:p w14:paraId="28E9F54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3.3.1承包人提交项目管理机构及施工现场管理人员安排报告的期限：开工前7天内。</w:t>
      </w:r>
    </w:p>
    <w:p w14:paraId="5EAC566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3.3.2承包人无正当理由拒绝撤换主要施工管理人员的违约责任：承包人主要施工管理人员因不称职，发包人要求调换而承包人在发包人规定的期限内无正当理由拒绝撤换或未及时调换的视为承包人违约，发包人有权要求承包人按照技术负责人1000元/人•次(人民币)；专业工程师2000元/人•次(人民币)的标准承担违约金，由此产生的一切损失及后果由承包人承担。</w:t>
      </w:r>
    </w:p>
    <w:p w14:paraId="5AF419E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3.3.3承包人主要施工管理人员离开施工现场的批准要求：每人每天罚款1000元，此款从应得工程款扣除。</w:t>
      </w:r>
    </w:p>
    <w:p w14:paraId="5784216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3.3.4承包人擅自更换主要施工管理人员的违约责任：技术负责人、专业工程师未经发包人书面同意不准擅自更换，承包方擅自更换的，发包方有权要求承包人按照技术负责人处1000元/人•次(人民币)、专业工程师处6000元/人•次(人民币)的标准承担违约金，由此产生的一切损失及后果由承包人承担。</w:t>
      </w:r>
    </w:p>
    <w:p w14:paraId="7BAB72E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承包人主要施工管理人员擅自离开施工现场的违约责任：未经发包人同意，技术负责人擅自离岗的，视为承包人违约，发包人有权要求承包人按照2000元/人•次(人民币)的标准承担违约金。</w:t>
      </w:r>
    </w:p>
    <w:p w14:paraId="341B4FD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未经发包人同意，专业工程师擅自离岗的，视为承包人违约，发包人有权要求承包人按照违约金1000元/人•次(人民币)的标准承担违约金，由此产生的一切损失及后果由承包人承担。</w:t>
      </w:r>
    </w:p>
    <w:p w14:paraId="7396CD1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3.4分包</w:t>
      </w:r>
    </w:p>
    <w:p w14:paraId="7F71C27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u w:val="single"/>
          <w:lang w:val="en-US" w:eastAsia="zh-CN"/>
        </w:rPr>
        <w:t>本工程不允许分包</w:t>
      </w:r>
      <w:r>
        <w:rPr>
          <w:rFonts w:hint="eastAsia" w:ascii="宋体" w:hAnsi="宋体" w:eastAsia="宋体" w:cs="宋体"/>
          <w:color w:val="auto"/>
          <w:kern w:val="0"/>
          <w:sz w:val="20"/>
          <w:szCs w:val="20"/>
          <w:lang w:val="en-US" w:eastAsia="zh-CN"/>
        </w:rPr>
        <w:t>。</w:t>
      </w:r>
    </w:p>
    <w:p w14:paraId="2C7FD61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3.5工程照管与成品、半成品保护</w:t>
      </w:r>
    </w:p>
    <w:p w14:paraId="44138CA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承包人负责照管工程及工程相关的材料、工程设备的起始时间：</w:t>
      </w:r>
      <w:r>
        <w:rPr>
          <w:rFonts w:hint="eastAsia" w:ascii="宋体" w:hAnsi="宋体" w:eastAsia="宋体" w:cs="宋体"/>
          <w:color w:val="auto"/>
          <w:kern w:val="0"/>
          <w:sz w:val="20"/>
          <w:szCs w:val="20"/>
          <w:u w:val="single"/>
          <w:lang w:val="en-US" w:eastAsia="zh-CN"/>
        </w:rPr>
        <w:t>从合同签订之日起至竣工验收合格之日。</w:t>
      </w:r>
    </w:p>
    <w:p w14:paraId="53468ED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3.6履约担保</w:t>
      </w:r>
    </w:p>
    <w:p w14:paraId="6157129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承包人是否提供履约担保：</w:t>
      </w:r>
      <w:r>
        <w:rPr>
          <w:rFonts w:hint="eastAsia" w:ascii="宋体" w:hAnsi="宋体" w:eastAsia="宋体" w:cs="宋体"/>
          <w:color w:val="auto"/>
          <w:kern w:val="0"/>
          <w:sz w:val="20"/>
          <w:szCs w:val="20"/>
          <w:u w:val="single"/>
          <w:lang w:val="en-US" w:eastAsia="zh-CN"/>
        </w:rPr>
        <w:t>不提供</w:t>
      </w:r>
      <w:r>
        <w:rPr>
          <w:rFonts w:hint="eastAsia" w:ascii="宋体" w:hAnsi="宋体" w:eastAsia="宋体" w:cs="宋体"/>
          <w:color w:val="auto"/>
          <w:kern w:val="0"/>
          <w:sz w:val="20"/>
          <w:szCs w:val="20"/>
          <w:lang w:val="en-US" w:eastAsia="zh-CN"/>
        </w:rPr>
        <w:t>。</w:t>
      </w:r>
    </w:p>
    <w:p w14:paraId="2ABF950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4.监理人</w:t>
      </w:r>
    </w:p>
    <w:p w14:paraId="4C4F72C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4.1监理人的一般规定</w:t>
      </w:r>
    </w:p>
    <w:p w14:paraId="5A16319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关于监理人的监理内容：图纸及工程量清单范围内的内容。</w:t>
      </w:r>
    </w:p>
    <w:p w14:paraId="15AD0DD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关于监理人的监理权限：按监理合同约定。</w:t>
      </w:r>
    </w:p>
    <w:p w14:paraId="5ACBDCA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关于监理人在施工现场的办公场所、生活场所的提供和费用承担的约定：由承包人承担，承包人投标报价时综合考虑此项费用。</w:t>
      </w:r>
    </w:p>
    <w:p w14:paraId="62578F9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4.2监理人员</w:t>
      </w:r>
    </w:p>
    <w:p w14:paraId="79CFD8C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总监理工程师</w:t>
      </w:r>
    </w:p>
    <w:p w14:paraId="1E409E4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姓名：</w:t>
      </w:r>
    </w:p>
    <w:p w14:paraId="06B2496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职务：</w:t>
      </w:r>
    </w:p>
    <w:p w14:paraId="2164224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监理工程是执业资格证书号：</w:t>
      </w:r>
    </w:p>
    <w:p w14:paraId="20A8BEF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联系电话：</w:t>
      </w:r>
    </w:p>
    <w:p w14:paraId="7FCD62B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关于监理人的其他约定：具体见签订的项目监理合同</w:t>
      </w:r>
    </w:p>
    <w:p w14:paraId="0296AD5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4.3商定或确定</w:t>
      </w:r>
    </w:p>
    <w:p w14:paraId="7DFCC27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在发包人和承包人不能通过协商达成一致意见时，发包人授权监理人对以下事项进行确定：</w:t>
      </w:r>
    </w:p>
    <w:p w14:paraId="6AED717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（1）工程质量；</w:t>
      </w:r>
    </w:p>
    <w:p w14:paraId="774962C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（2）已完工程数量、经济索赔；</w:t>
      </w:r>
    </w:p>
    <w:p w14:paraId="42A4818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（3）工期延误或提前、工程索赔。</w:t>
      </w:r>
    </w:p>
    <w:p w14:paraId="4DDFF88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5.工程质量</w:t>
      </w:r>
    </w:p>
    <w:p w14:paraId="6678ADC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5.1质量要求</w:t>
      </w:r>
    </w:p>
    <w:p w14:paraId="6894BCA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5.1.1特殊质量标准和要求：无。</w:t>
      </w:r>
    </w:p>
    <w:p w14:paraId="772C8F4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关于工程奖项的约定：无。</w:t>
      </w:r>
    </w:p>
    <w:p w14:paraId="6217A1C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5.2隐蔽工程检查</w:t>
      </w:r>
    </w:p>
    <w:p w14:paraId="27B91BF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5.2.1承包人提前通知监理人隐蔽工程检查的期限的约定：</w:t>
      </w:r>
      <w:r>
        <w:rPr>
          <w:rFonts w:hint="eastAsia" w:ascii="宋体" w:hAnsi="宋体" w:eastAsia="宋体" w:cs="宋体"/>
          <w:color w:val="auto"/>
          <w:kern w:val="0"/>
          <w:sz w:val="20"/>
          <w:szCs w:val="20"/>
          <w:u w:val="single"/>
          <w:lang w:val="en-US" w:eastAsia="zh-CN"/>
        </w:rPr>
        <w:t>工程隐蔽或中间验收前12小时以书面形式通知发包人和监理工程师验收的内容、时间、地点，承包人准备验收记录单（印制的表格）由双方签证。验收合格，承包人可进行隐蔽和继续施工；验收不合格，双方商订时限内修改，后按上述循序重新验收</w:t>
      </w:r>
      <w:r>
        <w:rPr>
          <w:rFonts w:hint="eastAsia" w:ascii="宋体" w:hAnsi="宋体" w:eastAsia="宋体" w:cs="宋体"/>
          <w:color w:val="auto"/>
          <w:kern w:val="0"/>
          <w:sz w:val="20"/>
          <w:szCs w:val="20"/>
          <w:lang w:val="en-US" w:eastAsia="zh-CN"/>
        </w:rPr>
        <w:t>。</w:t>
      </w:r>
    </w:p>
    <w:p w14:paraId="2C944F0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监理人不能按时进行检查时，应提前</w:t>
      </w:r>
      <w:r>
        <w:rPr>
          <w:rFonts w:hint="eastAsia" w:ascii="宋体" w:hAnsi="宋体" w:eastAsia="宋体" w:cs="宋体"/>
          <w:color w:val="auto"/>
          <w:kern w:val="0"/>
          <w:sz w:val="20"/>
          <w:szCs w:val="20"/>
          <w:u w:val="single"/>
          <w:lang w:val="en-US" w:eastAsia="zh-CN"/>
        </w:rPr>
        <w:t>24</w:t>
      </w:r>
      <w:r>
        <w:rPr>
          <w:rFonts w:hint="eastAsia" w:ascii="宋体" w:hAnsi="宋体" w:eastAsia="宋体" w:cs="宋体"/>
          <w:color w:val="auto"/>
          <w:kern w:val="0"/>
          <w:sz w:val="20"/>
          <w:szCs w:val="20"/>
          <w:lang w:val="en-US" w:eastAsia="zh-CN"/>
        </w:rPr>
        <w:t>小时提交书面延期要求。</w:t>
      </w:r>
    </w:p>
    <w:p w14:paraId="2D7E0C8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关于延期最长不得超过：</w:t>
      </w:r>
      <w:r>
        <w:rPr>
          <w:rFonts w:hint="eastAsia" w:ascii="宋体" w:hAnsi="宋体" w:eastAsia="宋体" w:cs="宋体"/>
          <w:color w:val="auto"/>
          <w:kern w:val="0"/>
          <w:sz w:val="20"/>
          <w:szCs w:val="20"/>
          <w:u w:val="single"/>
          <w:lang w:val="en-US" w:eastAsia="zh-CN"/>
        </w:rPr>
        <w:t>48</w:t>
      </w:r>
      <w:r>
        <w:rPr>
          <w:rFonts w:hint="eastAsia" w:ascii="宋体" w:hAnsi="宋体" w:eastAsia="宋体" w:cs="宋体"/>
          <w:color w:val="auto"/>
          <w:kern w:val="0"/>
          <w:sz w:val="20"/>
          <w:szCs w:val="20"/>
          <w:lang w:val="en-US" w:eastAsia="zh-CN"/>
        </w:rPr>
        <w:t>小时。</w:t>
      </w:r>
    </w:p>
    <w:p w14:paraId="08A09BD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6.安全文明施工与环境保护</w:t>
      </w:r>
    </w:p>
    <w:p w14:paraId="171A271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6.1安全文明施工</w:t>
      </w:r>
    </w:p>
    <w:p w14:paraId="260C92F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6.1.1项目安全生产的达标目标及相应事项的约定：</w:t>
      </w:r>
      <w:r>
        <w:rPr>
          <w:rFonts w:hint="eastAsia" w:ascii="宋体" w:hAnsi="宋体" w:eastAsia="宋体" w:cs="宋体"/>
          <w:color w:val="auto"/>
          <w:kern w:val="0"/>
          <w:sz w:val="20"/>
          <w:szCs w:val="20"/>
          <w:u w:val="single"/>
          <w:lang w:val="en-US" w:eastAsia="zh-CN"/>
        </w:rPr>
        <w:t>符合文明施工工地标准，费用由承包人承担</w:t>
      </w:r>
      <w:r>
        <w:rPr>
          <w:rFonts w:hint="eastAsia" w:ascii="宋体" w:hAnsi="宋体" w:eastAsia="宋体" w:cs="宋体"/>
          <w:color w:val="auto"/>
          <w:kern w:val="0"/>
          <w:sz w:val="20"/>
          <w:szCs w:val="20"/>
          <w:lang w:val="en-US" w:eastAsia="zh-CN"/>
        </w:rPr>
        <w:t>。</w:t>
      </w:r>
    </w:p>
    <w:p w14:paraId="6CF5DD1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6.1.2关于治安保卫的特别约定：</w:t>
      </w:r>
      <w:r>
        <w:rPr>
          <w:rFonts w:hint="eastAsia" w:ascii="宋体" w:hAnsi="宋体" w:eastAsia="宋体" w:cs="宋体"/>
          <w:color w:val="auto"/>
          <w:kern w:val="0"/>
          <w:sz w:val="20"/>
          <w:szCs w:val="20"/>
          <w:u w:val="single"/>
          <w:lang w:val="en-US" w:eastAsia="zh-CN"/>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eastAsia="宋体" w:cs="宋体"/>
          <w:color w:val="auto"/>
          <w:kern w:val="0"/>
          <w:sz w:val="20"/>
          <w:szCs w:val="20"/>
          <w:lang w:val="en-US" w:eastAsia="zh-CN"/>
        </w:rPr>
        <w:t>。</w:t>
      </w:r>
    </w:p>
    <w:p w14:paraId="68D98B1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关于编制施工场地治安管理计划的约定：</w:t>
      </w:r>
      <w:r>
        <w:rPr>
          <w:rFonts w:hint="eastAsia" w:ascii="宋体" w:hAnsi="宋体" w:eastAsia="宋体" w:cs="宋体"/>
          <w:color w:val="auto"/>
          <w:kern w:val="0"/>
          <w:sz w:val="20"/>
          <w:szCs w:val="20"/>
          <w:u w:val="single"/>
          <w:lang w:val="en-US" w:eastAsia="zh-CN"/>
        </w:rPr>
        <w:t>由承包人负责编制和办理报批手续</w:t>
      </w:r>
      <w:r>
        <w:rPr>
          <w:rFonts w:hint="eastAsia" w:ascii="宋体" w:hAnsi="宋体" w:eastAsia="宋体" w:cs="宋体"/>
          <w:color w:val="auto"/>
          <w:kern w:val="0"/>
          <w:sz w:val="20"/>
          <w:szCs w:val="20"/>
          <w:lang w:val="en-US" w:eastAsia="zh-CN"/>
        </w:rPr>
        <w:t>。</w:t>
      </w:r>
    </w:p>
    <w:p w14:paraId="288924A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6.1.3文明施工</w:t>
      </w:r>
    </w:p>
    <w:p w14:paraId="0C556F0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合同当事人对文明施工的要求：遵守行业和项目所在地方政府的规定。</w:t>
      </w:r>
    </w:p>
    <w:p w14:paraId="77A0ABB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6.1.4关于安全文明施工费支付比例和支付期限：本合同价款已包含安全防护、文明施工措施费，支付期限的约定：使用要求：专款专用。按广西壮族自治区建设厅《关于印发＜广西壮族自治区建筑工程安全防护、文明施工措施费及使用管理细则＞的通知》（桂建质〔2006〕22号）及《关于严格落实建筑工程安全防护文明施工措施有关问题的通知》（桂建管〔2008〕26号）相关规定执行。</w:t>
      </w:r>
    </w:p>
    <w:p w14:paraId="2DA422A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6.2环境保护</w:t>
      </w:r>
    </w:p>
    <w:p w14:paraId="30423F1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因施工需要，经发包人批准，由承包人办理有关施工场地交通、环卫和施工噪音管理等手续，费用由承包人负责。</w:t>
      </w:r>
    </w:p>
    <w:p w14:paraId="03FEB3F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经过城市道路的施工车辆，必须按交警、城管、运输等部门相关规定执行。由于施工车辆造成的道路、环境等污染，其责任和费用均由承包人承担。</w:t>
      </w:r>
    </w:p>
    <w:p w14:paraId="4B9A6AD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7.工期和进度</w:t>
      </w:r>
    </w:p>
    <w:p w14:paraId="459B592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7.1施工组织设计</w:t>
      </w:r>
    </w:p>
    <w:p w14:paraId="7812267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7.1.1合同当事人约定的施工组织设计应包括的其他内容：按照工程特点和行业有关规定编制。</w:t>
      </w:r>
    </w:p>
    <w:p w14:paraId="3DB8097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7.1.2施工组织设计的提交和修改</w:t>
      </w:r>
    </w:p>
    <w:p w14:paraId="3BAA17B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承包人提交详细施工组织设计的期限的约定：开工前7天。</w:t>
      </w:r>
    </w:p>
    <w:p w14:paraId="4F0FA84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发包人和监理人在收到详细的施工组织设计后确认或提出修改意见的期限：收到后7天内。</w:t>
      </w:r>
    </w:p>
    <w:p w14:paraId="6033D52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7.2施工进度计划</w:t>
      </w:r>
    </w:p>
    <w:p w14:paraId="3506C9D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7.2.1施工进度计划的修订</w:t>
      </w:r>
    </w:p>
    <w:p w14:paraId="5935AAE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发包人和监理人在收到修订的施工进度计划后确认或提出修改意见的期限：收到后7天内。</w:t>
      </w:r>
    </w:p>
    <w:p w14:paraId="468AC66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7.3开工</w:t>
      </w:r>
    </w:p>
    <w:p w14:paraId="5650AA9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7.3.1开工准备</w:t>
      </w:r>
    </w:p>
    <w:p w14:paraId="60630B8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关于承包人提交工程开工报审表的期限：开工前3天。</w:t>
      </w:r>
    </w:p>
    <w:p w14:paraId="552A6A1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关于发包人应完成的其他开工准备工作及期限：开工前7天。</w:t>
      </w:r>
    </w:p>
    <w:p w14:paraId="13A05ED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关于承包人应完成的其他开工准备工作及期限：开工前3天。</w:t>
      </w:r>
    </w:p>
    <w:p w14:paraId="0C47A5F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7.3.2开工通知</w:t>
      </w:r>
    </w:p>
    <w:p w14:paraId="6341759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因发包人原因造成监理人未能在计划开工日期之日起360天内发出开工通知的，承包人有权提出价格调整要求，或者解除合同。</w:t>
      </w:r>
    </w:p>
    <w:p w14:paraId="2C3CB68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7.4测量放线</w:t>
      </w:r>
    </w:p>
    <w:p w14:paraId="10EC599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7.4.1发包人通过监理人向承包人提供测量基准点、基准线和水准点及其书面资料的期限：开工前7天。</w:t>
      </w:r>
    </w:p>
    <w:p w14:paraId="0430477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7.5工期延误</w:t>
      </w:r>
    </w:p>
    <w:p w14:paraId="5A328D4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7.5.1因发包人原因导致工期延误</w:t>
      </w:r>
    </w:p>
    <w:p w14:paraId="5B9F8FD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因发包人原因导致工期延误的其他情形：政策性调整。</w:t>
      </w:r>
    </w:p>
    <w:p w14:paraId="4762AC0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7.5.2因承包人原因导致工期延误</w:t>
      </w:r>
    </w:p>
    <w:p w14:paraId="0F7DA67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双方约定经监理工程师确认，工期相应顺延的情况。</w:t>
      </w:r>
    </w:p>
    <w:p w14:paraId="54A3763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因承包人原因造成工期延误，逾期竣工违约金的计算方法为：每逾期1天，罚款10000元。因承包人原因造成工期延误，逾期竣工违约金的上限：合同价的5%。</w:t>
      </w:r>
    </w:p>
    <w:p w14:paraId="0A3D12D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7.6不利物质条件</w:t>
      </w:r>
    </w:p>
    <w:p w14:paraId="097C045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不利物质条件的其他情形和有关约定：按照通用条款。</w:t>
      </w:r>
    </w:p>
    <w:p w14:paraId="1178A87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7.7异常恶劣的气候条件</w:t>
      </w:r>
    </w:p>
    <w:p w14:paraId="03A3DFD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发包人和承包人同意以下情形视为异常恶劣的气候条件（以气象台记录为准）：</w:t>
      </w:r>
    </w:p>
    <w:p w14:paraId="5151B92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（1）零度以下低温天气；</w:t>
      </w:r>
    </w:p>
    <w:p w14:paraId="2B4F2D5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（2）连续暴雨3天以上；</w:t>
      </w:r>
    </w:p>
    <w:p w14:paraId="33AD4ED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（3）连续3天8级以上（含）大风。</w:t>
      </w:r>
    </w:p>
    <w:p w14:paraId="4740EE1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7.8提前竣工的奖励</w:t>
      </w:r>
    </w:p>
    <w:p w14:paraId="74CFA89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7.8.1提前竣工的奖励：无（如有则另签订补充协议）。</w:t>
      </w:r>
    </w:p>
    <w:p w14:paraId="59801E0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8.材料与设备</w:t>
      </w:r>
    </w:p>
    <w:p w14:paraId="010D167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8.1承包人采购材料与工程设备</w:t>
      </w:r>
    </w:p>
    <w:p w14:paraId="3FBBE77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除专用合同条款的附件《发包人供应材料设备一览表》中明确的材料、工程设备外，由承包人负责材料和工程设备的采购、运输和保管。</w:t>
      </w:r>
    </w:p>
    <w:p w14:paraId="4F20957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8.2材料与工程设备的保管与使用</w:t>
      </w:r>
    </w:p>
    <w:p w14:paraId="49DA009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8.3发包人供应的材料设备的保管费用的承担：由承包人承担。</w:t>
      </w:r>
    </w:p>
    <w:p w14:paraId="69324D1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8.4样品</w:t>
      </w:r>
    </w:p>
    <w:p w14:paraId="42F9102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8.4.1样品的报送与封存</w:t>
      </w:r>
    </w:p>
    <w:p w14:paraId="26A5B20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需要承包人报送样品的材料或工程设备，样品的种类、名称、规格、数量要求：主要材料涉及品种、款式、颜色等方面内容的，承包人应提交准备合格的材料样品送发包人选定。</w:t>
      </w:r>
    </w:p>
    <w:p w14:paraId="76E8E26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8.5施工设备和临时设施</w:t>
      </w:r>
    </w:p>
    <w:p w14:paraId="15D0019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8.5.1承包人提供的施工设备和临时设施</w:t>
      </w:r>
    </w:p>
    <w:p w14:paraId="14A4340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除专用合同条款另有约定的其他独立承包人和监理人指示的他人提供条件外，承包人运入施工场地的所有施工设备以及在施工场地建设的临时设施仅限于用于合同工程。</w:t>
      </w:r>
    </w:p>
    <w:p w14:paraId="65D9391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关于修建临时设施费用承担的约定：</w:t>
      </w:r>
    </w:p>
    <w:p w14:paraId="6F6C663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①承包人的临时用地（含项目部驻地等）租用费（含拆迁补偿）、临时用地的环保、恢复、临时用地的青苗补偿及地面附着物拆除等费用均由承包人负责，以上费用在投标报价中综合考虑。</w:t>
      </w:r>
    </w:p>
    <w:p w14:paraId="513EF1A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②承包人负责合同实施期间其合同段内临时交通道路（含场内外连接公共交通道路）和交通设施的修建、维修、养护和交通管理工作，并承担一切费用。</w:t>
      </w:r>
    </w:p>
    <w:p w14:paraId="778925A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③承包人修建的临时道路和交通设施，应免费提供给发包人、监理工程师和其他合同段的承包人使用。</w:t>
      </w:r>
    </w:p>
    <w:p w14:paraId="5DA6593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8.5.2发包人提供的施工设备和临时设施</w:t>
      </w:r>
    </w:p>
    <w:p w14:paraId="0A52E81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发包人提供的施工设备和临时设施：无。</w:t>
      </w:r>
    </w:p>
    <w:p w14:paraId="7B7CAAA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发包人提供的施工设备和临时设施的运行、维护、拆除、清运费用的承担人：无。</w:t>
      </w:r>
    </w:p>
    <w:p w14:paraId="238C0FD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9.试验与检验</w:t>
      </w:r>
    </w:p>
    <w:p w14:paraId="6AAE850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9.1试验设备与试验人员</w:t>
      </w:r>
    </w:p>
    <w:p w14:paraId="36CC792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9.1.2试验设备</w:t>
      </w:r>
    </w:p>
    <w:p w14:paraId="73175C5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施工现场需要配置的试验场所：无。</w:t>
      </w:r>
    </w:p>
    <w:p w14:paraId="69ED5C3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施工现场需要配备的试验设备：无。</w:t>
      </w:r>
    </w:p>
    <w:p w14:paraId="3B9ACE3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施工现场需要具备的其他试验条件：无。</w:t>
      </w:r>
    </w:p>
    <w:p w14:paraId="67DC659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9.2现场工艺试验</w:t>
      </w:r>
    </w:p>
    <w:p w14:paraId="752A7CE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现场工艺试验的有关约定：无。</w:t>
      </w:r>
    </w:p>
    <w:p w14:paraId="1160E12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9.3检验费用</w:t>
      </w:r>
    </w:p>
    <w:p w14:paraId="68221EA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highlight w:val="yellow"/>
          <w:lang w:val="en-US" w:eastAsia="zh-CN"/>
        </w:rPr>
        <w:t>根据《建设工程质量检测管理办法》（建设部令第 57 号）以及《广西壮族自治区建设工程质量检测管理实施细则》（桂建发〔2025〕5 号）规定</w:t>
      </w:r>
      <w:r>
        <w:rPr>
          <w:rFonts w:hint="eastAsia" w:ascii="宋体" w:hAnsi="宋体" w:eastAsia="宋体" w:cs="宋体"/>
          <w:color w:val="auto"/>
          <w:kern w:val="0"/>
          <w:sz w:val="20"/>
          <w:szCs w:val="20"/>
          <w:lang w:val="en-US" w:eastAsia="zh-CN"/>
        </w:rPr>
        <w:t>，工程质量检测业务由招标人委托有相应资质的检测机构检测。费用从招标人的项目建设经费中支出并直接支付给检测机构，不计入合同价款内。</w:t>
      </w:r>
    </w:p>
    <w:p w14:paraId="7F4CAF8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10.变更</w:t>
      </w:r>
    </w:p>
    <w:p w14:paraId="1CEABF3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10.1变更的范围</w:t>
      </w:r>
    </w:p>
    <w:p w14:paraId="5AB5A15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关于变更的范围的约定：超出招标图纸和工程量清单的子目。</w:t>
      </w:r>
    </w:p>
    <w:p w14:paraId="527A22F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10.2变更程序</w:t>
      </w:r>
    </w:p>
    <w:p w14:paraId="373B797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10.2.1</w:t>
      </w:r>
    </w:p>
    <w:p w14:paraId="7F96351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（1）设计变更和工程签证，按各市政府或相关部门的规定办理。属不可抗力（自然灾害、突发事件等）造成变更的，按特事特办原则予以办理。</w:t>
      </w:r>
    </w:p>
    <w:p w14:paraId="308891D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（2）建设单位在实施项目过程中，若发生单价变动，由建设单位、监理单位、施工单位及其他相关单位共同商定并签字确认。</w:t>
      </w:r>
    </w:p>
    <w:p w14:paraId="071EEDA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（3）当合同规定的合同价款调整情况发生后，承包人未在规定时间内通知发包人，或者未在规定时间内提出调整报告，发包人可以根据有关资料，决定是否调整和调整的金额，并书面通知承包人。</w:t>
      </w:r>
    </w:p>
    <w:p w14:paraId="64857A6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10.3变更估价</w:t>
      </w:r>
    </w:p>
    <w:p w14:paraId="5AE94AA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10.3.1变更估价原则</w:t>
      </w:r>
    </w:p>
    <w:p w14:paraId="39653B0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关于变更估价的约定:</w:t>
      </w:r>
    </w:p>
    <w:p w14:paraId="568A551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（1）工程量清单中的子目工程量为结算最终工程量（除工程内容变更外）。承包人按照施工图纸完成全部工程。</w:t>
      </w:r>
    </w:p>
    <w:p w14:paraId="40CF207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（2）已标价工程量清单中有适用于变更工作的子目的，采用财政评审报告中有相同细目的单价进行结算。</w:t>
      </w:r>
    </w:p>
    <w:p w14:paraId="68C3174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（3）已标价工程量清单中无适用于变更工作的子目，但有类似子目的，可在合理范围内按照财政评审报告中类似细目的单价进行结算，由监理人按第3.5款商定或确定变更工作的单价；</w:t>
      </w:r>
    </w:p>
    <w:p w14:paraId="42CDE06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已标价工程量清单中无适用或类似子目的单价，新增项目有定额的套定额进行计算，其中材料价格有信息价的按信息价，无信息价的按市场价；新增项目无定额可套的，由发包人、承包人根据市场价格协商决定，并经岑溪市审计部门审定。</w:t>
      </w:r>
    </w:p>
    <w:p w14:paraId="36CC8DD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10.4承包人的合理化建议</w:t>
      </w:r>
    </w:p>
    <w:p w14:paraId="054061C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监理人审查承包人合理化建议的期限：收到书面建议后30天内。</w:t>
      </w:r>
    </w:p>
    <w:p w14:paraId="64C4734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发包人审批承包人合理化建议的期限：收到监理人的审核意见后30天内。</w:t>
      </w:r>
    </w:p>
    <w:p w14:paraId="0BACC4D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承包人提出的合理化建议降低了合同价格或者提高了工程经济效益的奖励的方法和金额为：无。</w:t>
      </w:r>
    </w:p>
    <w:p w14:paraId="3D441F4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10.5暂估价</w:t>
      </w:r>
    </w:p>
    <w:p w14:paraId="6F142A1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无。</w:t>
      </w:r>
    </w:p>
    <w:p w14:paraId="3BE6DDB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11.价格调整</w:t>
      </w:r>
    </w:p>
    <w:p w14:paraId="0751745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11.1市场价格波动引起的调整</w:t>
      </w:r>
    </w:p>
    <w:p w14:paraId="4DD1013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市场价格波动是否调整合同价格的约定：正常的施工条件下不予调整。非承包人原因造成的工期延误超过360天的，受到影响部分进行调整。</w:t>
      </w:r>
    </w:p>
    <w:p w14:paraId="53B624D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因市场价格波动调整合同价格，采用以下方式对合同价格进行调整：</w:t>
      </w:r>
    </w:p>
    <w:p w14:paraId="5AF9A77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（1）主要材料确认价：</w:t>
      </w:r>
    </w:p>
    <w:p w14:paraId="6BE2A86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按施工期间《梧州市建设工程造价信息》2026年4月份岑溪市部分价格计算，缺项部分参考市场价格。</w:t>
      </w:r>
    </w:p>
    <w:p w14:paraId="1237B80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（2）价差计算方法：</w:t>
      </w:r>
    </w:p>
    <w:p w14:paraId="1504223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①《承包人提供的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3302C27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②承包人在《承包人提供的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3734EFB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③承包人在《承包人提供的主要材料和设备一览表》中载明的材料单价等于基准单价的：合同履行期间材料单价涨跌幅以基准单价为基础超过约定的风险范围时，其超过部分据实调整。</w:t>
      </w:r>
    </w:p>
    <w:p w14:paraId="459B2C3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12.合同价格、计量与支付</w:t>
      </w:r>
    </w:p>
    <w:p w14:paraId="6500042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12.1合同价格形式</w:t>
      </w:r>
    </w:p>
    <w:p w14:paraId="01254AE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本项目采用总价合同。</w:t>
      </w:r>
    </w:p>
    <w:p w14:paraId="16F126F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总价包含的风险范围：除涉及变更以外（含发包人要求增加的工作内容的）的风险。</w:t>
      </w:r>
    </w:p>
    <w:p w14:paraId="1F4309C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风险费用的计算方法：由承包人自行考虑计算。</w:t>
      </w:r>
    </w:p>
    <w:p w14:paraId="59553F7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风险范围以外合同价格的调整方法：按10.4.1变更估价原则。</w:t>
      </w:r>
    </w:p>
    <w:p w14:paraId="3FA3046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3、其他价格方式：无。</w:t>
      </w:r>
    </w:p>
    <w:p w14:paraId="6A531AF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12.2预付款</w:t>
      </w:r>
    </w:p>
    <w:p w14:paraId="0713458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12.2.1预付款的支付</w:t>
      </w:r>
    </w:p>
    <w:p w14:paraId="028463A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预付款支付比例或金额：工程签订施工合同并开工建设后，前期可预拨付工程签约合同价的30%项目资金。</w:t>
      </w:r>
    </w:p>
    <w:p w14:paraId="044D96E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12.2.2预付款担保</w:t>
      </w:r>
    </w:p>
    <w:p w14:paraId="1851F04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交预付款担保的期限：承包人应在申请预付款时提交一份等额的预付款保函，保函格式和开具银行应满足发包人要求，由此产生的费用应由承包人自行负担。在预付款按第12.2.1第3条规定以抵扣方式偿清以前，上述预付款保函应一直有效，但约定，该预付款保函的总额应随承包人在任何月度付款中所偿还的数额逐步抵扣而降低。</w:t>
      </w:r>
    </w:p>
    <w:p w14:paraId="004B62F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预付款担保的形式为：可以是银行转账、电汇或网上支付、保函(银行保函、电子保函、保证保险保函、工程担保保函)等形式。</w:t>
      </w:r>
    </w:p>
    <w:p w14:paraId="543F8B7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12.3工程进度款支付</w:t>
      </w:r>
    </w:p>
    <w:p w14:paraId="6DED248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12.4付款周期</w:t>
      </w:r>
    </w:p>
    <w:p w14:paraId="40FDF698">
      <w:pPr>
        <w:autoSpaceDE/>
        <w:autoSpaceDN/>
        <w:spacing w:before="0" w:after="0" w:line="360" w:lineRule="auto"/>
        <w:ind w:left="0" w:right="0" w:firstLine="411" w:firstLineChars="196"/>
        <w:jc w:val="both"/>
        <w:outlineLvl w:val="9"/>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2"/>
          <w:sz w:val="21"/>
          <w:szCs w:val="21"/>
          <w:highlight w:val="none"/>
          <w:lang w:val="en-US" w:eastAsia="zh-CN" w:bidi="ar-SA"/>
        </w:rPr>
        <w:t>衔接资金拨付按照国库集中支付有关规定办理，工程签订施工合同并开工建设后，根据岑溪市财政局、农业农村局相关的要求，加快推进项目实施和资金支出工作，前期可拨付工程签约合同价的30%项目资金；项目完成后，经镇级验收合格，按甲方相关程序审批后，进度款支付限额为工程签约合同价的80%；经市级验收合格后，进度款支付限额为工程签约合同价的90%；经财政结算评审后，拨付至结算金额的97%。扣除工程价款结算总额的3%保留金作为工程质量保修金，1年后经验收无质量问题的工程拨付质量保证金，如有质量问题的工程则将质量保证金用于项目维修。</w:t>
      </w:r>
    </w:p>
    <w:p w14:paraId="3DF97B6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12.4.1进度付款申请单的编制</w:t>
      </w:r>
    </w:p>
    <w:p w14:paraId="00B0EDB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关于进度付款申请单编制的约定：</w:t>
      </w:r>
      <w:r>
        <w:rPr>
          <w:rFonts w:hint="eastAsia" w:ascii="宋体" w:hAnsi="宋体" w:eastAsia="宋体" w:cs="宋体"/>
          <w:color w:val="auto"/>
          <w:kern w:val="0"/>
          <w:sz w:val="20"/>
          <w:szCs w:val="20"/>
          <w:highlight w:val="yellow"/>
          <w:u w:val="single"/>
          <w:lang w:val="en-US" w:eastAsia="zh-CN"/>
        </w:rPr>
        <w:t>符合财政部门的规定，一式陆份（发包人贰份，承包人贰份</w:t>
      </w:r>
      <w:r>
        <w:rPr>
          <w:rFonts w:hint="eastAsia" w:ascii="宋体" w:hAnsi="宋体" w:eastAsia="宋体" w:cs="宋体"/>
          <w:color w:val="auto"/>
          <w:kern w:val="0"/>
          <w:sz w:val="20"/>
          <w:szCs w:val="20"/>
          <w:highlight w:val="yellow"/>
          <w:lang w:val="en-US" w:eastAsia="zh-CN"/>
        </w:rPr>
        <w:t>，岑溪市农业农村局壹份，岑溪市财政局壹份）</w:t>
      </w:r>
      <w:r>
        <w:rPr>
          <w:rFonts w:hint="eastAsia" w:ascii="宋体" w:hAnsi="宋体" w:eastAsia="宋体" w:cs="宋体"/>
          <w:color w:val="auto"/>
          <w:kern w:val="0"/>
          <w:sz w:val="20"/>
          <w:szCs w:val="20"/>
          <w:lang w:val="en-US" w:eastAsia="zh-CN"/>
        </w:rPr>
        <w:t>。</w:t>
      </w:r>
    </w:p>
    <w:p w14:paraId="7F931B1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12.4.2进度付款申请单的提交</w:t>
      </w:r>
    </w:p>
    <w:p w14:paraId="2024C27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（1）总价合同进度付款申请单提交的约定：按照12.4条例付款周期拨付申请。</w:t>
      </w:r>
    </w:p>
    <w:p w14:paraId="38BC369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（2）其他价格形式合同进度付款申请单提交的约定：待定。</w:t>
      </w:r>
    </w:p>
    <w:p w14:paraId="5CCA6CB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12.4.3进度款审核和支付</w:t>
      </w:r>
    </w:p>
    <w:p w14:paraId="504D7E7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（1）监理人审查并报送发包人的期限：收到申请单后7天内。</w:t>
      </w:r>
    </w:p>
    <w:p w14:paraId="77614F0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（2）发包人支付进度款的期限：收到监理人的审核单后3天内审批完毕呈政府职能部门审定。收到政府相关部门的审定意见书后5天内支付。</w:t>
      </w:r>
    </w:p>
    <w:p w14:paraId="56860C0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进度款支付方式：银行转账。</w:t>
      </w:r>
    </w:p>
    <w:p w14:paraId="6832306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12.4.4支付分解表的编制</w:t>
      </w:r>
    </w:p>
    <w:p w14:paraId="213A702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总价合同支付分解表的编制与审批：待定。</w:t>
      </w:r>
    </w:p>
    <w:p w14:paraId="36A728D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13.验收和工程试车</w:t>
      </w:r>
    </w:p>
    <w:p w14:paraId="76E56B5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13.1分部分项工程验收</w:t>
      </w:r>
    </w:p>
    <w:p w14:paraId="0F893F1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13.1.2监理人不能按时进行验收时，应提前48小时提交书面延期要求。</w:t>
      </w:r>
    </w:p>
    <w:p w14:paraId="30F8E1B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关于延期最长不得超过：48小时。</w:t>
      </w:r>
    </w:p>
    <w:p w14:paraId="6F3F7E2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13.2竣工验收</w:t>
      </w:r>
    </w:p>
    <w:p w14:paraId="72208CC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13.2.1竣工验收条件</w:t>
      </w:r>
    </w:p>
    <w:p w14:paraId="0315A03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承包人负责整理和提交的竣工验收资料应当符合工程所在地建设行政主管部门和(或)城市建设档案管理机构有关施工资料的要求，具体内容包括：按规定要求执行。</w:t>
      </w:r>
    </w:p>
    <w:p w14:paraId="53D3304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竣工验收资料的份数：肆份。</w:t>
      </w:r>
    </w:p>
    <w:p w14:paraId="4515B09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承包人提供竣工图的约定：竣工验收正式通过后10天提供竣工图4套。</w:t>
      </w:r>
    </w:p>
    <w:p w14:paraId="669967C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13.2.2竣工验收程序</w:t>
      </w:r>
    </w:p>
    <w:p w14:paraId="44218C3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关于竣工验收程序的约定：承包人准备的竣工验收资料齐全，并编制了竣工图（附电子文档），后向监理人提出预验收申请，预验收合格监理人签署同意验收后发包人在30天内组织有关部门竣工验收。</w:t>
      </w:r>
    </w:p>
    <w:p w14:paraId="4478D7B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在组织竣工验收过程中发现工程不符合验收合格条件，应在7日内向承包人提出修改意见，承包人在收到修改意见后应当在15日内复工，以达到验收合格条件。如进行更正后仍存在不符合验收合格的问题，发包人有权解除合同，承包人应当按本合同总价的30%向甲方支付违约金，给发包人造成损失的应予以赔偿；由发包人原因造成上述错误的除外。</w:t>
      </w:r>
    </w:p>
    <w:p w14:paraId="1F75823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13.2.3移交、接收全部与部分工程</w:t>
      </w:r>
    </w:p>
    <w:p w14:paraId="14D86DE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承包人向发包人移交工程的期限：竣工验收合格后10天内。</w:t>
      </w:r>
    </w:p>
    <w:p w14:paraId="7A2A690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发包人未按本合同约定接收全部或部分工程的，违约金的计算方法为：每日按10000元支付违约金，总额不超过合同价的5%。</w:t>
      </w:r>
    </w:p>
    <w:p w14:paraId="20E9F96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承包人未按时移交工程的，违约金的计算方法为：每日按10000元支付违约金，总额不超过合同价的5%。</w:t>
      </w:r>
    </w:p>
    <w:p w14:paraId="47BF786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13.3工程试车</w:t>
      </w:r>
    </w:p>
    <w:p w14:paraId="040C435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无。</w:t>
      </w:r>
    </w:p>
    <w:p w14:paraId="75290F7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13.4竣工退场</w:t>
      </w:r>
    </w:p>
    <w:p w14:paraId="088ACEB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13.4.1竣工退场</w:t>
      </w:r>
    </w:p>
    <w:p w14:paraId="0848E2F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承包人完成竣工退场的期限：竣工验收合格30天内。</w:t>
      </w:r>
    </w:p>
    <w:p w14:paraId="5826C9F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14.竣工结算</w:t>
      </w:r>
    </w:p>
    <w:p w14:paraId="760ECE6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14.1竣工付款申请</w:t>
      </w:r>
    </w:p>
    <w:p w14:paraId="4F62FA1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承包人提交竣工付款申请单的期限：竣工验收合格后60天内。</w:t>
      </w:r>
    </w:p>
    <w:p w14:paraId="184F4EA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竣工付款申请单应包括的内容：结算书、签证资料、竣工图、会议纪要、施工组织设计、多项施工方案、采购文件、响应文件、施工合同、施工日记等，并应符合审计部门的要求。</w:t>
      </w:r>
    </w:p>
    <w:p w14:paraId="46BAAA1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14.2竣工结算审核</w:t>
      </w:r>
    </w:p>
    <w:p w14:paraId="63637A7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发包人审批竣工付款申请单的期限：</w:t>
      </w:r>
    </w:p>
    <w:p w14:paraId="6F9E2A9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工程竣工结算报告金额发包人审查时间</w:t>
      </w:r>
    </w:p>
    <w:p w14:paraId="76E684A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1、500万元以下从接到竣工结算报告和完整的竣工结算资料之日起20天</w:t>
      </w:r>
    </w:p>
    <w:p w14:paraId="2D755FB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2、500万元-2000万元从接到竣工结算报告和完整的竣工结算资料之日起30天</w:t>
      </w:r>
    </w:p>
    <w:p w14:paraId="6B59199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3、2000万元-5000万元从接到竣工结算报告和完整的竣工结算资料之日起45天</w:t>
      </w:r>
    </w:p>
    <w:p w14:paraId="4EB3908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4、5000万元以上从接到竣工结算报告和完整的竣工结算资料之日起60天</w:t>
      </w:r>
    </w:p>
    <w:p w14:paraId="534B53A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因承包人提供的结算资料不完整而需要补充或承包人不按时对账耽误时间时，审查时间应相应顺延。</w:t>
      </w:r>
    </w:p>
    <w:p w14:paraId="0E95508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发包人完成竣工付款的期限：审计部门审定出具审计结论承包人提交发票后30天内。</w:t>
      </w:r>
    </w:p>
    <w:p w14:paraId="2651B84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关于竣工付款证书异议部分复核的方式和程序：向监理人提出申请复议，监理人签署意见后30天内答复。</w:t>
      </w:r>
    </w:p>
    <w:p w14:paraId="24C037D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双方按照《审计法》的规定，审计机关对政府投资和以政府投资为主的建设项目的预算执行情况和决算进行审计监督。各方结算（决算）工程价款必须以审计机关作出的审计结论为结算（决算）依据。</w:t>
      </w:r>
    </w:p>
    <w:p w14:paraId="3816B35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14.3最终结清</w:t>
      </w:r>
    </w:p>
    <w:p w14:paraId="554EB32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14.3.1最终结清申请单</w:t>
      </w:r>
    </w:p>
    <w:p w14:paraId="0266D79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承包人提交最终结清申请单的份数：一式肆份。</w:t>
      </w:r>
    </w:p>
    <w:p w14:paraId="1FB8F36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承包人提交最终结算申请单的期限：审计结论出后30天内。</w:t>
      </w:r>
    </w:p>
    <w:p w14:paraId="070DEB0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14.3.2最终结清证书和支付</w:t>
      </w:r>
    </w:p>
    <w:p w14:paraId="6368B16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（1）发包人完成最终结清申请单的审批并颁发最终结清证书的期限：经县政府职能部门审定后30天内。</w:t>
      </w:r>
    </w:p>
    <w:p w14:paraId="31E76E8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（2）发包人完成支付的期限：政府职能部门审定后45天内。</w:t>
      </w:r>
    </w:p>
    <w:p w14:paraId="5BA8201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15.缺陷责任期与保修</w:t>
      </w:r>
    </w:p>
    <w:p w14:paraId="317AA63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15.1缺陷责任期</w:t>
      </w:r>
    </w:p>
    <w:p w14:paraId="4CE935A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缺陷责任期的具体期限：12个月。</w:t>
      </w:r>
    </w:p>
    <w:p w14:paraId="1DFD71A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15.2质量保证金</w:t>
      </w:r>
    </w:p>
    <w:p w14:paraId="319A0FE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关于是否扣留质量保证金的约定：按合同价的3%扣留。</w:t>
      </w:r>
    </w:p>
    <w:p w14:paraId="4A9EF71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15.2.1承包人提供质量保证金的方式</w:t>
      </w:r>
    </w:p>
    <w:p w14:paraId="3EF4D1B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质量保证金采用以下第3种方式：</w:t>
      </w:r>
    </w:p>
    <w:p w14:paraId="36601A4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（1）质量保证金保函，保证金额为：无；</w:t>
      </w:r>
    </w:p>
    <w:p w14:paraId="337CAAE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（2）3%的工程款；</w:t>
      </w:r>
    </w:p>
    <w:p w14:paraId="55F0F05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（3）其他方式:发包人按工程价款结算总额的3%预留工程质量保修金，待缺陷责任期满后返还。</w:t>
      </w:r>
    </w:p>
    <w:p w14:paraId="57A247B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15.3.1质量保证金的扣留</w:t>
      </w:r>
    </w:p>
    <w:p w14:paraId="0C7FBD8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质量保证金的扣留采取以下方式：</w:t>
      </w:r>
    </w:p>
    <w:p w14:paraId="73F7E374">
      <w:pPr>
        <w:autoSpaceDE/>
        <w:autoSpaceDN/>
        <w:spacing w:before="0" w:after="0" w:line="360" w:lineRule="auto"/>
        <w:ind w:left="0" w:right="0" w:firstLine="792" w:firstLineChars="3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工程竣工结算时一次性扣留质量保证金；</w:t>
      </w:r>
    </w:p>
    <w:p w14:paraId="437C6E0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关于质量保证金的补充约定：无。</w:t>
      </w:r>
    </w:p>
    <w:p w14:paraId="5B96C05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15.4保修</w:t>
      </w:r>
    </w:p>
    <w:p w14:paraId="2BACD90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15.4.1保修责任</w:t>
      </w:r>
    </w:p>
    <w:p w14:paraId="07C4E97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工程保修期为：（详见附件《工程质量保修书》）。</w:t>
      </w:r>
    </w:p>
    <w:p w14:paraId="0C49E47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15.4.2修复通知</w:t>
      </w:r>
    </w:p>
    <w:p w14:paraId="59F970B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承包人收到保修通知并到达工程现场的合理时间：3天内。</w:t>
      </w:r>
    </w:p>
    <w:p w14:paraId="0FFFED9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16.违约</w:t>
      </w:r>
    </w:p>
    <w:p w14:paraId="13254BD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16.1发包人违约</w:t>
      </w:r>
    </w:p>
    <w:p w14:paraId="7D089FE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16.1.1发包人违约的情形</w:t>
      </w:r>
    </w:p>
    <w:p w14:paraId="3DBC8CF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发包人违约的其他情形：无。</w:t>
      </w:r>
    </w:p>
    <w:p w14:paraId="35AC15D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16.1.2发包人违约的责任</w:t>
      </w:r>
    </w:p>
    <w:p w14:paraId="3BD0C16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发包人违约责任的承担方式和计算方法：</w:t>
      </w:r>
    </w:p>
    <w:p w14:paraId="720BFEB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（1）因发包人原因未能在计划开工日期前7天内下达开工通知的违约责任：无。</w:t>
      </w:r>
    </w:p>
    <w:p w14:paraId="637D53C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（2）因发包人原因未能按合同约定支付合同价款的违约责任：无。</w:t>
      </w:r>
    </w:p>
    <w:p w14:paraId="24222CE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（3）发包人违反第10.1款〔变更的范围〕第（2）项约定，自行实施被取消的工作或转由他人实施的违约责任：无。</w:t>
      </w:r>
    </w:p>
    <w:p w14:paraId="080EBF4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（4）发包人提供的材料、工程设备的规格、数量或质量不符合合同约定，或因发包人原因导致交货日期延误或交货地点变更等情况的违约责任：发包人负责退货，工期顺延，但不承担工期延误的费用。</w:t>
      </w:r>
    </w:p>
    <w:p w14:paraId="1015716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（5）因发包人违反合同约定造成暂停施工的违约责任：工期顺延，不承担费用补偿。</w:t>
      </w:r>
    </w:p>
    <w:p w14:paraId="20D1C1E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（6）发包人无正当理由没有在约定期限内发出复工指示，导致承包人无法复工的违约责任。工期顺延，但不承担费用补偿。</w:t>
      </w:r>
    </w:p>
    <w:p w14:paraId="142E3D6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（7）其他：无。</w:t>
      </w:r>
    </w:p>
    <w:p w14:paraId="67DF0E8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16.1.3因发包人违约解除合同</w:t>
      </w:r>
    </w:p>
    <w:p w14:paraId="4FF9AED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承包人按16.1.1项〔发包人违约的情形〕约定暂停施工满无天后发包人仍不纠正其违约行为并致使合同目的不能实现的，承包人有权解除合同。</w:t>
      </w:r>
    </w:p>
    <w:p w14:paraId="118150C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16.2承包人违约</w:t>
      </w:r>
    </w:p>
    <w:p w14:paraId="1C70671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16.2.1承包人违约的情形</w:t>
      </w:r>
    </w:p>
    <w:p w14:paraId="0937D53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承包人违约的其他情形：非承包人原因发生的工程事故，承包人不积极采取措施，导致经济损失扩大。</w:t>
      </w:r>
    </w:p>
    <w:p w14:paraId="6B0FA7A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16.2.2承包人违约的责任</w:t>
      </w:r>
    </w:p>
    <w:p w14:paraId="360E9DF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承包人违约责任的承担方式和计算方法：</w:t>
      </w:r>
    </w:p>
    <w:p w14:paraId="2FBDCE4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承包人未按本合同通用条款第16.2.1条内容完成的，承包人无条件返工处理，修复至工程质量要求并承担相关费用，并在发包人规定的时间内完成返工，否则发包人有权要求承包人按该分项工程10%的工程款支付违约金。</w:t>
      </w:r>
    </w:p>
    <w:p w14:paraId="4CCF4F0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（2）承包人有本合同通用条款第16.2.1情形的，或经监理人检验认为修复质量不合格而承包人拒绝再进行修补的，发包人将扣除承包人全部质量保修金。</w:t>
      </w:r>
    </w:p>
    <w:p w14:paraId="0AAF7C8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承包人有本专用合同条款3.2、3.3条违约责任的，发包人有权扣除承包人的违约金。违约金金额可在承包人的履约保证金及计量支付款内扣除。监理人预先下发含有认定违约意向的指令，如承包人不及时采取措施纠正，则在指令下达后十五天下支付违约金通知书（不再陈述违约情形）。承包人履约保证金被扣除后由发包人从最后一次计量时扣除相应金额补足履约保证金。承包人在合同期内，完成合同规定的全部工程，且质量合格，在本工程施工竣工验收后十五天内可申请返还全部或部分违约金，返还金额由监理人审核，发包人批准。违约金额返还时不计利息。</w:t>
      </w:r>
    </w:p>
    <w:p w14:paraId="3B6F616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highlight w:val="yellow"/>
          <w:lang w:val="en-US" w:eastAsia="zh-CN"/>
        </w:rPr>
      </w:pPr>
      <w:r>
        <w:rPr>
          <w:rFonts w:hint="eastAsia" w:ascii="宋体" w:hAnsi="宋体" w:eastAsia="宋体" w:cs="宋体"/>
          <w:color w:val="auto"/>
          <w:kern w:val="0"/>
          <w:sz w:val="20"/>
          <w:szCs w:val="20"/>
          <w:highlight w:val="none"/>
          <w:lang w:val="en-US" w:eastAsia="zh-CN"/>
        </w:rPr>
        <w:t>（4）若承包人未按照合同约定，支付务工群众劳务的报酬资金占比未达到合同要求，每少1%，承包人应向发包人支付合同总价3%的违约金，并限期补足差额。逾期未补足的，发包人有权解除合同，承包人应退还已收取的全部工程款，并承担由此给发包人造成的全部损失。​若承包人拖欠当地群众劳务报酬，每拖欠一天，应按照拖欠金额的3%向劳务人员支付违约金，并承担由此引发的一切法律责任。同时，发包人有权从应付承包人的工程款中直接扣除相应款项用于支付劳务报酬。​</w:t>
      </w:r>
    </w:p>
    <w:p w14:paraId="056FEED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16.2.3因承包人违约解除合同</w:t>
      </w:r>
    </w:p>
    <w:p w14:paraId="3BA8CCF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关于承包人违约解除合同的特别约定：承包人有违反以下情况之一的，发包人有权解除合同，并没收其全部履约保证金；解除合同后，已完成的工程量一律80%计付工程款。</w:t>
      </w:r>
    </w:p>
    <w:p w14:paraId="375FEB8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（1）承包人无正当理由不按开工通知的要求及时进场组织施工和不按签订协议书时商订的进度计划有效地开展施工准备，造成停工或工期延误30天的；</w:t>
      </w:r>
    </w:p>
    <w:p w14:paraId="474DDE1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（2）承包人违反本合同通用条款第3.5条规定私自将合同或合同的任何部分或任何权利转让给其他人，或私自将工程或工程的一部分分包出去的；</w:t>
      </w:r>
    </w:p>
    <w:p w14:paraId="366681D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（3）未经监理人批准，承包人私自将已按投标文件承诺进入工地的工程设备、施工设备、临时工程或材料撤离工地的；</w:t>
      </w:r>
    </w:p>
    <w:p w14:paraId="0E8D8FF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（4）由于承包人原因拒绝按合同进度计划及时完成合同规定的工程，而又未采取有效措施赶上进度，造成工期延误30天的；</w:t>
      </w:r>
    </w:p>
    <w:p w14:paraId="70469DC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（5）承包人否认合同有效或拒绝履行合同规定的承包人义务，或由于法律、财务等原因导致承包人无法继续履行或实质上已停止履行合同的义务30天的；</w:t>
      </w:r>
    </w:p>
    <w:p w14:paraId="6B12EB5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（6）合同签订之日起十五日内，承包人无法按合同规定及投标文件的承诺进场经监理工程师认可的全部人员和机械的；</w:t>
      </w:r>
    </w:p>
    <w:p w14:paraId="1B4FEAC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承包人有其他未按合同约定履行义务的情形，经发包人书面通知后在规定时间内未改正的。发包人继续使用承包人在施工现场的材料、设备、临时工程、承包人文件和由承包人或以其名义编制的其他文件的费用承担方式：由承包人承担。</w:t>
      </w:r>
    </w:p>
    <w:p w14:paraId="2627164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17.不可抗力</w:t>
      </w:r>
    </w:p>
    <w:p w14:paraId="05780FD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17.1不可抗力的确认</w:t>
      </w:r>
    </w:p>
    <w:p w14:paraId="0773C3C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除通用合同条款约定的不可抗力事件之外，视为不可抗力的其他情形：无。</w:t>
      </w:r>
    </w:p>
    <w:p w14:paraId="32B5810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17.2因不可抗力解除合同</w:t>
      </w:r>
    </w:p>
    <w:p w14:paraId="33B4256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合同解除后，发包人应在商定或确定发包人应支付款项后60天内完成款项的支付。</w:t>
      </w:r>
    </w:p>
    <w:p w14:paraId="2A5C439F">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18.保险</w:t>
      </w:r>
    </w:p>
    <w:p w14:paraId="4103ADF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18.1工程保险</w:t>
      </w:r>
    </w:p>
    <w:p w14:paraId="7230526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关于工程保险的特别约定：由承包人负责并承担费用。</w:t>
      </w:r>
    </w:p>
    <w:p w14:paraId="0BAC4AA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18.2其他保险</w:t>
      </w:r>
    </w:p>
    <w:p w14:paraId="0181AD10">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关于其他保险的约定：由承包人考虑并承担费用。</w:t>
      </w:r>
    </w:p>
    <w:p w14:paraId="314144E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承包人是否应为其施工设备等办理财产保险：由承包人选择。</w:t>
      </w:r>
    </w:p>
    <w:p w14:paraId="0A7BE62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18.3通知义务</w:t>
      </w:r>
    </w:p>
    <w:p w14:paraId="51BC5EF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关于变更保险合同时的通知义务的约定：由办理方告知。</w:t>
      </w:r>
    </w:p>
    <w:p w14:paraId="0D46E2C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19.争议解决</w:t>
      </w:r>
    </w:p>
    <w:p w14:paraId="58AD139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19.1争议评审</w:t>
      </w:r>
    </w:p>
    <w:p w14:paraId="1124697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合同当事人是否同意将工程争议提交争议评审小组决定：同意。</w:t>
      </w:r>
    </w:p>
    <w:p w14:paraId="062F0FD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19.1.1争议评审小组的确定</w:t>
      </w:r>
    </w:p>
    <w:p w14:paraId="77460178">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争议评审小组成员的确定：由当地建设主管部门确定。</w:t>
      </w:r>
    </w:p>
    <w:p w14:paraId="45FFFE1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选定争议评审员的期限：争议事件发生后45天内。</w:t>
      </w:r>
    </w:p>
    <w:p w14:paraId="154D4C2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争议评审小组成员的报酬承担方式：按责任大小比例承担。</w:t>
      </w:r>
    </w:p>
    <w:p w14:paraId="4DEF5AF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其他事项的约定：无。</w:t>
      </w:r>
    </w:p>
    <w:p w14:paraId="4231706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19.1.2争议评审小组的决定</w:t>
      </w:r>
    </w:p>
    <w:p w14:paraId="4F73EEE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合同当事人关于本项的约定：同意评审小组的决定。</w:t>
      </w:r>
    </w:p>
    <w:p w14:paraId="641487D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19.2仲裁或诉讼</w:t>
      </w:r>
    </w:p>
    <w:p w14:paraId="758F8C8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因合同及合同有关事项发生的争议，按下列第2种方式解决：</w:t>
      </w:r>
    </w:p>
    <w:p w14:paraId="020D3D9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（1）提请梧州仲裁委员会按照该会仲裁规则进行仲裁，仲裁裁决是终局的，对合同双方均有约束力。</w:t>
      </w:r>
    </w:p>
    <w:p w14:paraId="75B273E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（2）向工程所在地的人民法院起诉。</w:t>
      </w:r>
    </w:p>
    <w:p w14:paraId="37EAEDA1">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20.补充条款</w:t>
      </w:r>
    </w:p>
    <w:p w14:paraId="130B4D6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20.1对承包人的要求</w:t>
      </w:r>
    </w:p>
    <w:p w14:paraId="3B09E216">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7CD1B0D3">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2.遵守国务院《建设工程质量管理条例》，根据水利部、自治区和水利厅的有关质量管理规定，建立健全质量管理机构，结合工程实际制定完善的可操作性强的质量管理制度，施工质量等级达到合同约定等级。</w:t>
      </w:r>
    </w:p>
    <w:p w14:paraId="00C55649">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按国家《中华人民共和国生产安全法》《建设工程安全生产管理条例》及自治区安全生产法规和水利水电工程施工安全操作规程的规定建立健全安全管理机构和安全管理制度，采取安全施工保障措施保障工程施工安全。施工中所有安全责任由承包人负责。</w:t>
      </w:r>
    </w:p>
    <w:p w14:paraId="0F2482A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4.按有关施工规程规范及本招标文件技术条款进行组织施工并实施施工过程和移交前工程保护措施。施工中所有安全保护措施由承包人负责。</w:t>
      </w:r>
    </w:p>
    <w:p w14:paraId="7B87FD9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5.承包人违约有以下情况之一者，发包人有权采取合同规定的以下措施处理，并视情节轻重处予违约金。</w:t>
      </w:r>
    </w:p>
    <w:p w14:paraId="1C5F893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（1）未经发包人批准，施工期内承包人调走主要施工技术人员(包括建造师、专业工程师)，经发现不及时调回的，违约金额为履约保证金金额的5%~20%(视情节严重而定)。</w:t>
      </w:r>
    </w:p>
    <w:p w14:paraId="4C8CCF4B">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（2）未经发包人批准，施工期内自行调走主要施工机械，经发现不及时调回的，违约金额为履约保证金金额的5%~20%(视情节严重而定)。</w:t>
      </w:r>
    </w:p>
    <w:p w14:paraId="2265A03E">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（3）所有以上违约金额均在承包人的履约保证金(包括银行利息)及计量支付款内扣除，承包人履约保证金被扣除后，由发包人从最后一次计量支付时扣相应金额补足履约保证金。</w:t>
      </w:r>
    </w:p>
    <w:p w14:paraId="596BFCC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6AC1427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合同签订之日起15日内，承包人无法按合同规定进场全部人员和机械时，作为承包人违约，发包人可解除合同，没收其全部履约保证金，另行发包工程。合同履行过程中，承包人未按规定要求落实安全生产措施费用专款专用，挪用、扣减安全生产措施费用，且不服从发包人或监理人的安全生产管理，发包人有权对违反安全生产相关规定的行为处以罚款直至终止合同。</w:t>
      </w:r>
    </w:p>
    <w:p w14:paraId="713E3BC2">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6.承包人生活设施及施工场地，应自费配备消防设备，防止火灾发生。</w:t>
      </w:r>
    </w:p>
    <w:p w14:paraId="04E109DC">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7.承包人使用的劳动力均应进行保险，否则不准安排工作，禁止使用童工。</w:t>
      </w:r>
    </w:p>
    <w:p w14:paraId="0B3ED025">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207B290D">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6EFC284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53C67994">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20.2发包人所有付款（含预付款）均转入如下承包人单位基本账户（签订施工合同时标明），承包人单位基本账户发生改变时，承包人应书面通知（法定代表人签字并加盖单位公章）发包人。</w:t>
      </w:r>
    </w:p>
    <w:p w14:paraId="4532314A">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20.3专用合同条款中未尽事宜，在签订施工合同时双方再商定，或签订补充协议进行补充。</w:t>
      </w:r>
    </w:p>
    <w:p w14:paraId="429AD180">
      <w:pPr>
        <w:spacing w:before="66" w:line="228" w:lineRule="auto"/>
        <w:ind w:left="3" w:firstLine="209" w:firstLineChars="100"/>
        <w:outlineLvl w:val="0"/>
        <w:rPr>
          <w:rFonts w:ascii="宋体" w:hAnsi="宋体" w:eastAsia="宋体" w:cs="宋体"/>
          <w:sz w:val="20"/>
          <w:szCs w:val="20"/>
        </w:rPr>
      </w:pPr>
      <w:r>
        <w:rPr>
          <w:rFonts w:ascii="宋体" w:hAnsi="宋体" w:eastAsia="宋体" w:cs="宋体"/>
          <w:b/>
          <w:bCs/>
          <w:spacing w:val="4"/>
          <w:sz w:val="20"/>
          <w:szCs w:val="20"/>
        </w:rPr>
        <w:t>21.</w:t>
      </w:r>
      <w:r>
        <w:rPr>
          <w:rFonts w:ascii="宋体" w:hAnsi="宋体" w:eastAsia="宋体" w:cs="宋体"/>
          <w:spacing w:val="4"/>
          <w:sz w:val="20"/>
          <w:szCs w:val="20"/>
        </w:rPr>
        <w:t xml:space="preserve"> </w:t>
      </w:r>
      <w:r>
        <w:rPr>
          <w:rFonts w:hint="eastAsia" w:ascii="宋体" w:hAnsi="宋体" w:eastAsia="宋体" w:cs="宋体"/>
          <w:b/>
          <w:bCs/>
          <w:spacing w:val="4"/>
          <w:sz w:val="20"/>
          <w:szCs w:val="20"/>
          <w:lang w:eastAsia="zh-CN"/>
        </w:rPr>
        <w:t>其他</w:t>
      </w:r>
      <w:r>
        <w:rPr>
          <w:rFonts w:ascii="宋体" w:hAnsi="宋体" w:eastAsia="宋体" w:cs="宋体"/>
          <w:b/>
          <w:bCs/>
          <w:spacing w:val="4"/>
          <w:sz w:val="20"/>
          <w:szCs w:val="20"/>
        </w:rPr>
        <w:t>补充条款</w:t>
      </w:r>
    </w:p>
    <w:p w14:paraId="5A14FAB9">
      <w:pPr>
        <w:spacing w:before="65" w:line="228" w:lineRule="auto"/>
        <w:ind w:left="423"/>
        <w:rPr>
          <w:rFonts w:ascii="宋体" w:hAnsi="宋体" w:eastAsia="宋体" w:cs="宋体"/>
          <w:sz w:val="20"/>
          <w:szCs w:val="20"/>
        </w:rPr>
      </w:pPr>
      <w:r>
        <w:rPr>
          <w:rFonts w:ascii="宋体" w:hAnsi="宋体" w:eastAsia="宋体" w:cs="宋体"/>
          <w:spacing w:val="6"/>
          <w:sz w:val="20"/>
          <w:szCs w:val="20"/>
        </w:rPr>
        <w:t>21.1</w:t>
      </w:r>
      <w:r>
        <w:rPr>
          <w:rFonts w:ascii="宋体" w:hAnsi="宋体" w:eastAsia="宋体" w:cs="宋体"/>
          <w:spacing w:val="-34"/>
          <w:sz w:val="20"/>
          <w:szCs w:val="20"/>
        </w:rPr>
        <w:t xml:space="preserve"> </w:t>
      </w:r>
      <w:r>
        <w:rPr>
          <w:rFonts w:ascii="宋体" w:hAnsi="宋体" w:eastAsia="宋体" w:cs="宋体"/>
          <w:spacing w:val="6"/>
          <w:sz w:val="20"/>
          <w:szCs w:val="20"/>
        </w:rPr>
        <w:t>本工程禁止使用童工。</w:t>
      </w:r>
    </w:p>
    <w:p w14:paraId="28794C67">
      <w:pPr>
        <w:spacing w:before="113" w:line="228" w:lineRule="auto"/>
        <w:ind w:left="423"/>
        <w:rPr>
          <w:rFonts w:ascii="宋体" w:hAnsi="宋体" w:eastAsia="宋体" w:cs="宋体"/>
          <w:sz w:val="20"/>
          <w:szCs w:val="20"/>
        </w:rPr>
      </w:pPr>
      <w:r>
        <w:rPr>
          <w:rFonts w:ascii="宋体" w:hAnsi="宋体" w:eastAsia="宋体" w:cs="宋体"/>
          <w:spacing w:val="9"/>
          <w:sz w:val="20"/>
          <w:szCs w:val="20"/>
        </w:rPr>
        <w:t>21.2 承包人须在签订合同时向发包人提供本项目的项</w:t>
      </w:r>
      <w:r>
        <w:rPr>
          <w:rFonts w:ascii="宋体" w:hAnsi="宋体" w:eastAsia="宋体" w:cs="宋体"/>
          <w:spacing w:val="8"/>
          <w:sz w:val="20"/>
          <w:szCs w:val="20"/>
        </w:rPr>
        <w:t>目管理机构人员任命书。</w:t>
      </w:r>
    </w:p>
    <w:p w14:paraId="5884FC1C">
      <w:pPr>
        <w:spacing w:before="114" w:line="332" w:lineRule="auto"/>
        <w:ind w:firstLine="423"/>
        <w:rPr>
          <w:rFonts w:ascii="宋体" w:hAnsi="宋体" w:eastAsia="宋体" w:cs="宋体"/>
          <w:sz w:val="20"/>
          <w:szCs w:val="20"/>
        </w:rPr>
      </w:pPr>
      <w:r>
        <w:rPr>
          <w:rFonts w:ascii="宋体" w:hAnsi="宋体" w:eastAsia="宋体" w:cs="宋体"/>
          <w:spacing w:val="9"/>
          <w:sz w:val="20"/>
          <w:szCs w:val="20"/>
        </w:rPr>
        <w:t>21.3</w:t>
      </w:r>
      <w:r>
        <w:rPr>
          <w:rFonts w:ascii="宋体" w:hAnsi="宋体" w:eastAsia="宋体" w:cs="宋体"/>
          <w:spacing w:val="-24"/>
          <w:sz w:val="20"/>
          <w:szCs w:val="20"/>
        </w:rPr>
        <w:t xml:space="preserve"> </w:t>
      </w:r>
      <w:r>
        <w:rPr>
          <w:rFonts w:ascii="宋体" w:hAnsi="宋体" w:eastAsia="宋体" w:cs="宋体"/>
          <w:spacing w:val="9"/>
          <w:sz w:val="20"/>
          <w:szCs w:val="20"/>
        </w:rPr>
        <w:t>因承包人拖欠农民工工资造成集体上访、投诉、停工、罢工的，发</w:t>
      </w:r>
      <w:r>
        <w:rPr>
          <w:rFonts w:ascii="宋体" w:hAnsi="宋体" w:eastAsia="宋体" w:cs="宋体"/>
          <w:spacing w:val="8"/>
          <w:sz w:val="20"/>
          <w:szCs w:val="20"/>
        </w:rPr>
        <w:t>包人有权暂停支付工</w:t>
      </w:r>
      <w:r>
        <w:rPr>
          <w:rFonts w:ascii="宋体" w:hAnsi="宋体" w:eastAsia="宋体" w:cs="宋体"/>
          <w:spacing w:val="6"/>
          <w:sz w:val="20"/>
          <w:szCs w:val="20"/>
        </w:rPr>
        <w:t>程进度款。</w:t>
      </w:r>
    </w:p>
    <w:p w14:paraId="4AB430A5">
      <w:pPr>
        <w:spacing w:before="1" w:line="332" w:lineRule="auto"/>
        <w:ind w:left="1" w:firstLine="421"/>
        <w:rPr>
          <w:rFonts w:ascii="宋体" w:hAnsi="宋体" w:eastAsia="宋体" w:cs="宋体"/>
          <w:sz w:val="20"/>
          <w:szCs w:val="20"/>
        </w:rPr>
      </w:pPr>
      <w:r>
        <w:rPr>
          <w:rFonts w:ascii="宋体" w:hAnsi="宋体" w:eastAsia="宋体" w:cs="宋体"/>
          <w:spacing w:val="9"/>
          <w:sz w:val="20"/>
          <w:szCs w:val="20"/>
        </w:rPr>
        <w:t>21.</w:t>
      </w:r>
      <w:r>
        <w:rPr>
          <w:rFonts w:hint="eastAsia" w:ascii="宋体" w:hAnsi="宋体" w:cs="宋体"/>
          <w:spacing w:val="9"/>
          <w:sz w:val="20"/>
          <w:szCs w:val="20"/>
          <w:lang w:val="en-US" w:eastAsia="zh-CN"/>
        </w:rPr>
        <w:t>4</w:t>
      </w:r>
      <w:r>
        <w:rPr>
          <w:rFonts w:ascii="宋体" w:hAnsi="宋体" w:eastAsia="宋体" w:cs="宋体"/>
          <w:spacing w:val="-41"/>
          <w:sz w:val="20"/>
          <w:szCs w:val="20"/>
        </w:rPr>
        <w:t xml:space="preserve"> </w:t>
      </w:r>
      <w:r>
        <w:rPr>
          <w:rFonts w:ascii="宋体" w:hAnsi="宋体" w:eastAsia="宋体" w:cs="宋体"/>
          <w:spacing w:val="9"/>
          <w:sz w:val="20"/>
          <w:szCs w:val="20"/>
        </w:rPr>
        <w:t>在开工后</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个月内，承包人必须按照《建筑工人</w:t>
      </w:r>
      <w:r>
        <w:rPr>
          <w:rFonts w:ascii="宋体" w:hAnsi="宋体" w:eastAsia="宋体" w:cs="宋体"/>
          <w:spacing w:val="8"/>
          <w:sz w:val="20"/>
          <w:szCs w:val="20"/>
        </w:rPr>
        <w:t>实名制管理办法（试行）的通知》有关</w:t>
      </w:r>
      <w:r>
        <w:rPr>
          <w:rFonts w:ascii="宋体" w:hAnsi="宋体" w:eastAsia="宋体" w:cs="宋体"/>
          <w:spacing w:val="11"/>
          <w:sz w:val="20"/>
          <w:szCs w:val="20"/>
        </w:rPr>
        <w:t>规定提供职工（农民工）花名册给发包人，发包人以承包人提供的职工（农民工）花名册核定务</w:t>
      </w:r>
      <w:r>
        <w:rPr>
          <w:rFonts w:ascii="宋体" w:hAnsi="宋体" w:eastAsia="宋体" w:cs="宋体"/>
          <w:spacing w:val="9"/>
          <w:sz w:val="20"/>
          <w:szCs w:val="20"/>
        </w:rPr>
        <w:t>工人员；如务工人员发生变化应及时变更并报发包人存档。</w:t>
      </w:r>
    </w:p>
    <w:p w14:paraId="4C118421">
      <w:pPr>
        <w:spacing w:line="227" w:lineRule="auto"/>
        <w:ind w:left="17"/>
        <w:rPr>
          <w:rFonts w:ascii="宋体" w:hAnsi="宋体" w:eastAsia="宋体" w:cs="宋体"/>
          <w:b/>
          <w:bCs/>
          <w:spacing w:val="-5"/>
          <w:sz w:val="20"/>
          <w:szCs w:val="20"/>
        </w:rPr>
      </w:pPr>
    </w:p>
    <w:p w14:paraId="61D15B2B">
      <w:pPr>
        <w:spacing w:line="227" w:lineRule="auto"/>
        <w:ind w:left="17"/>
        <w:rPr>
          <w:rFonts w:ascii="宋体" w:hAnsi="宋体" w:eastAsia="宋体" w:cs="宋体"/>
          <w:sz w:val="20"/>
          <w:szCs w:val="20"/>
        </w:rPr>
      </w:pPr>
      <w:r>
        <w:rPr>
          <w:rFonts w:ascii="宋体" w:hAnsi="宋体" w:eastAsia="宋体" w:cs="宋体"/>
          <w:b/>
          <w:bCs/>
          <w:spacing w:val="-5"/>
          <w:sz w:val="20"/>
          <w:szCs w:val="20"/>
        </w:rPr>
        <w:t>附件</w:t>
      </w:r>
    </w:p>
    <w:p w14:paraId="346A56FE">
      <w:pPr>
        <w:spacing w:before="113" w:line="228" w:lineRule="auto"/>
        <w:ind w:left="17"/>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15"/>
          <w:sz w:val="20"/>
          <w:szCs w:val="20"/>
        </w:rPr>
        <w:t xml:space="preserve"> </w:t>
      </w:r>
      <w:r>
        <w:rPr>
          <w:rFonts w:ascii="宋体" w:hAnsi="宋体" w:eastAsia="宋体" w:cs="宋体"/>
          <w:spacing w:val="6"/>
          <w:sz w:val="20"/>
          <w:szCs w:val="20"/>
        </w:rPr>
        <w:t>1：承包人承揽工程项目一览表</w:t>
      </w:r>
    </w:p>
    <w:p w14:paraId="341976EC">
      <w:pPr>
        <w:spacing w:before="113" w:line="228" w:lineRule="auto"/>
        <w:ind w:left="17"/>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31"/>
          <w:sz w:val="20"/>
          <w:szCs w:val="20"/>
        </w:rPr>
        <w:t xml:space="preserve"> </w:t>
      </w:r>
      <w:r>
        <w:rPr>
          <w:rFonts w:ascii="宋体" w:hAnsi="宋体" w:eastAsia="宋体" w:cs="宋体"/>
          <w:spacing w:val="7"/>
          <w:sz w:val="20"/>
          <w:szCs w:val="20"/>
        </w:rPr>
        <w:t>2：承包人主要施工管理人员表</w:t>
      </w:r>
    </w:p>
    <w:p w14:paraId="37029173">
      <w:pPr>
        <w:spacing w:before="113" w:line="228" w:lineRule="auto"/>
        <w:ind w:left="17"/>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19"/>
          <w:sz w:val="20"/>
          <w:szCs w:val="20"/>
        </w:rPr>
        <w:t xml:space="preserve"> </w:t>
      </w:r>
      <w:r>
        <w:rPr>
          <w:rFonts w:ascii="宋体" w:hAnsi="宋体" w:eastAsia="宋体" w:cs="宋体"/>
          <w:spacing w:val="7"/>
          <w:sz w:val="20"/>
          <w:szCs w:val="20"/>
        </w:rPr>
        <w:t>3：承包人用于本工程施工的机械设备表</w:t>
      </w:r>
    </w:p>
    <w:p w14:paraId="47EFC205">
      <w:pPr>
        <w:spacing w:before="113" w:line="228" w:lineRule="auto"/>
        <w:ind w:left="17"/>
        <w:rPr>
          <w:rFonts w:ascii="宋体" w:hAnsi="宋体" w:eastAsia="宋体" w:cs="宋体"/>
          <w:sz w:val="20"/>
          <w:szCs w:val="20"/>
        </w:rPr>
      </w:pPr>
      <w:r>
        <w:rPr>
          <w:rFonts w:ascii="宋体" w:hAnsi="宋体" w:eastAsia="宋体" w:cs="宋体"/>
          <w:spacing w:val="11"/>
          <w:sz w:val="20"/>
          <w:szCs w:val="20"/>
        </w:rPr>
        <w:t>附件4：工程质量保修书</w:t>
      </w:r>
    </w:p>
    <w:p w14:paraId="4B8691AB">
      <w:pPr>
        <w:spacing w:before="97" w:line="219" w:lineRule="auto"/>
        <w:ind w:left="67"/>
        <w:rPr>
          <w:rFonts w:ascii="宋体" w:hAnsi="宋体" w:eastAsia="宋体" w:cs="宋体"/>
          <w:spacing w:val="-18"/>
          <w:sz w:val="30"/>
          <w:szCs w:val="30"/>
        </w:rPr>
      </w:pPr>
    </w:p>
    <w:p w14:paraId="712566A6">
      <w:pPr>
        <w:spacing w:before="97" w:line="219" w:lineRule="auto"/>
        <w:ind w:left="67"/>
        <w:rPr>
          <w:rFonts w:ascii="宋体" w:hAnsi="宋体" w:eastAsia="宋体" w:cs="宋体"/>
          <w:sz w:val="30"/>
          <w:szCs w:val="30"/>
        </w:rPr>
      </w:pPr>
      <w:r>
        <w:rPr>
          <w:rFonts w:ascii="宋体" w:hAnsi="宋体" w:eastAsia="宋体" w:cs="宋体"/>
          <w:spacing w:val="-18"/>
          <w:sz w:val="30"/>
          <w:szCs w:val="30"/>
        </w:rPr>
        <w:t>附件</w:t>
      </w:r>
      <w:r>
        <w:rPr>
          <w:rFonts w:ascii="宋体" w:hAnsi="宋体" w:eastAsia="宋体" w:cs="宋体"/>
          <w:spacing w:val="-40"/>
          <w:sz w:val="30"/>
          <w:szCs w:val="30"/>
        </w:rPr>
        <w:t xml:space="preserve"> </w:t>
      </w:r>
      <w:r>
        <w:rPr>
          <w:rFonts w:ascii="宋体" w:hAnsi="宋体" w:eastAsia="宋体" w:cs="宋体"/>
          <w:spacing w:val="-18"/>
          <w:sz w:val="30"/>
          <w:szCs w:val="30"/>
        </w:rPr>
        <w:t>1：</w:t>
      </w:r>
    </w:p>
    <w:p w14:paraId="356C7205">
      <w:pPr>
        <w:spacing w:before="159" w:line="220" w:lineRule="auto"/>
        <w:ind w:left="2676"/>
        <w:rPr>
          <w:rFonts w:ascii="宋体" w:hAnsi="宋体" w:eastAsia="宋体" w:cs="宋体"/>
          <w:sz w:val="30"/>
          <w:szCs w:val="30"/>
        </w:rPr>
      </w:pPr>
      <w:r>
        <w:rPr>
          <w:rFonts w:ascii="宋体" w:hAnsi="宋体" w:eastAsia="宋体" w:cs="宋体"/>
          <w:b/>
          <w:bCs/>
          <w:spacing w:val="-4"/>
          <w:sz w:val="30"/>
          <w:szCs w:val="30"/>
        </w:rPr>
        <w:t>承包人承揽工程项目一览表</w:t>
      </w:r>
    </w:p>
    <w:p w14:paraId="5B3900FE">
      <w:pPr>
        <w:spacing w:line="127" w:lineRule="exact"/>
      </w:pPr>
    </w:p>
    <w:tbl>
      <w:tblPr>
        <w:tblStyle w:val="8"/>
        <w:tblW w:w="87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709"/>
        <w:gridCol w:w="1082"/>
        <w:gridCol w:w="850"/>
        <w:gridCol w:w="657"/>
        <w:gridCol w:w="901"/>
        <w:gridCol w:w="991"/>
        <w:gridCol w:w="1133"/>
        <w:gridCol w:w="658"/>
        <w:gridCol w:w="854"/>
      </w:tblGrid>
      <w:tr w14:paraId="66C0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83" w:type="dxa"/>
            <w:vAlign w:val="top"/>
          </w:tcPr>
          <w:p w14:paraId="1C98348B">
            <w:pPr>
              <w:pStyle w:val="7"/>
              <w:spacing w:before="114" w:line="229" w:lineRule="auto"/>
              <w:ind w:left="99"/>
            </w:pPr>
            <w:r>
              <w:rPr>
                <w:spacing w:val="6"/>
              </w:rPr>
              <w:t>单位工</w:t>
            </w:r>
          </w:p>
          <w:p w14:paraId="431D588A">
            <w:pPr>
              <w:pStyle w:val="7"/>
              <w:spacing w:before="231" w:line="229" w:lineRule="auto"/>
              <w:ind w:left="96"/>
            </w:pPr>
            <w:r>
              <w:rPr>
                <w:spacing w:val="7"/>
              </w:rPr>
              <w:t>程名称</w:t>
            </w:r>
          </w:p>
        </w:tc>
        <w:tc>
          <w:tcPr>
            <w:tcW w:w="709" w:type="dxa"/>
            <w:vAlign w:val="top"/>
          </w:tcPr>
          <w:p w14:paraId="346A9150">
            <w:pPr>
              <w:pStyle w:val="7"/>
              <w:spacing w:before="113" w:line="230" w:lineRule="auto"/>
              <w:ind w:left="98"/>
            </w:pPr>
            <w:r>
              <w:rPr>
                <w:spacing w:val="3"/>
              </w:rPr>
              <w:t>建设</w:t>
            </w:r>
          </w:p>
          <w:p w14:paraId="188502EC">
            <w:pPr>
              <w:pStyle w:val="7"/>
              <w:spacing w:before="231" w:line="228" w:lineRule="auto"/>
              <w:ind w:left="96"/>
            </w:pPr>
            <w:r>
              <w:rPr>
                <w:spacing w:val="4"/>
              </w:rPr>
              <w:t>规模</w:t>
            </w:r>
          </w:p>
        </w:tc>
        <w:tc>
          <w:tcPr>
            <w:tcW w:w="1082" w:type="dxa"/>
            <w:vAlign w:val="top"/>
          </w:tcPr>
          <w:p w14:paraId="557E0197">
            <w:pPr>
              <w:pStyle w:val="7"/>
              <w:spacing w:before="114" w:line="390" w:lineRule="auto"/>
              <w:ind w:left="131" w:right="151" w:hanging="34"/>
            </w:pPr>
            <w:r>
              <w:rPr>
                <w:spacing w:val="6"/>
              </w:rPr>
              <w:t>建筑面积</w:t>
            </w:r>
            <w:r>
              <w:rPr>
                <w:spacing w:val="-2"/>
              </w:rPr>
              <w:t>(平方米)</w:t>
            </w:r>
          </w:p>
        </w:tc>
        <w:tc>
          <w:tcPr>
            <w:tcW w:w="850" w:type="dxa"/>
            <w:vAlign w:val="top"/>
          </w:tcPr>
          <w:p w14:paraId="0C61BB45">
            <w:pPr>
              <w:pStyle w:val="7"/>
              <w:spacing w:before="114" w:line="229" w:lineRule="auto"/>
              <w:ind w:left="99"/>
            </w:pPr>
            <w:r>
              <w:rPr>
                <w:spacing w:val="2"/>
              </w:rPr>
              <w:t>结构</w:t>
            </w:r>
          </w:p>
          <w:p w14:paraId="33831F4D">
            <w:pPr>
              <w:pStyle w:val="7"/>
              <w:spacing w:before="231" w:line="230" w:lineRule="auto"/>
              <w:ind w:left="97"/>
            </w:pPr>
            <w:r>
              <w:rPr>
                <w:spacing w:val="3"/>
              </w:rPr>
              <w:t>形式</w:t>
            </w:r>
          </w:p>
        </w:tc>
        <w:tc>
          <w:tcPr>
            <w:tcW w:w="657" w:type="dxa"/>
            <w:vAlign w:val="top"/>
          </w:tcPr>
          <w:p w14:paraId="35809C56">
            <w:pPr>
              <w:spacing w:line="287" w:lineRule="auto"/>
              <w:rPr>
                <w:rFonts w:ascii="Arial"/>
                <w:sz w:val="21"/>
              </w:rPr>
            </w:pPr>
          </w:p>
          <w:p w14:paraId="5FC2C46B">
            <w:pPr>
              <w:pStyle w:val="7"/>
              <w:spacing w:before="65" w:line="228" w:lineRule="auto"/>
              <w:ind w:left="96"/>
            </w:pPr>
            <w:r>
              <w:rPr>
                <w:spacing w:val="4"/>
              </w:rPr>
              <w:t>层数</w:t>
            </w:r>
          </w:p>
        </w:tc>
        <w:tc>
          <w:tcPr>
            <w:tcW w:w="901" w:type="dxa"/>
            <w:vAlign w:val="top"/>
          </w:tcPr>
          <w:p w14:paraId="504A3E62">
            <w:pPr>
              <w:pStyle w:val="7"/>
              <w:spacing w:before="114" w:line="228" w:lineRule="auto"/>
              <w:ind w:left="96"/>
            </w:pPr>
            <w:r>
              <w:rPr>
                <w:spacing w:val="3"/>
              </w:rPr>
              <w:t>生产</w:t>
            </w:r>
          </w:p>
          <w:p w14:paraId="6943CDE1">
            <w:pPr>
              <w:pStyle w:val="7"/>
              <w:spacing w:before="233" w:line="228" w:lineRule="auto"/>
              <w:ind w:left="103"/>
            </w:pPr>
            <w:r>
              <w:t>能力</w:t>
            </w:r>
          </w:p>
        </w:tc>
        <w:tc>
          <w:tcPr>
            <w:tcW w:w="991" w:type="dxa"/>
            <w:vAlign w:val="top"/>
          </w:tcPr>
          <w:p w14:paraId="3164BD97">
            <w:pPr>
              <w:pStyle w:val="7"/>
              <w:spacing w:before="113" w:line="230" w:lineRule="auto"/>
              <w:ind w:left="99"/>
            </w:pPr>
            <w:r>
              <w:rPr>
                <w:spacing w:val="5"/>
              </w:rPr>
              <w:t>设备安</w:t>
            </w:r>
          </w:p>
          <w:p w14:paraId="5B178B37">
            <w:pPr>
              <w:pStyle w:val="7"/>
              <w:spacing w:before="231" w:line="228" w:lineRule="auto"/>
              <w:ind w:left="96"/>
            </w:pPr>
            <w:r>
              <w:rPr>
                <w:spacing w:val="6"/>
              </w:rPr>
              <w:t>装内容</w:t>
            </w:r>
          </w:p>
        </w:tc>
        <w:tc>
          <w:tcPr>
            <w:tcW w:w="1133" w:type="dxa"/>
            <w:vAlign w:val="top"/>
          </w:tcPr>
          <w:p w14:paraId="0FB48010">
            <w:pPr>
              <w:pStyle w:val="7"/>
              <w:spacing w:before="114" w:line="227" w:lineRule="auto"/>
              <w:ind w:left="97"/>
            </w:pPr>
            <w:r>
              <w:rPr>
                <w:spacing w:val="7"/>
              </w:rPr>
              <w:t>合同价格</w:t>
            </w:r>
          </w:p>
          <w:p w14:paraId="01F3E09D">
            <w:pPr>
              <w:pStyle w:val="7"/>
              <w:spacing w:before="234" w:line="229" w:lineRule="auto"/>
              <w:ind w:left="106"/>
            </w:pPr>
            <w:r>
              <w:rPr>
                <w:spacing w:val="-1"/>
              </w:rPr>
              <w:t>（元）</w:t>
            </w:r>
          </w:p>
        </w:tc>
        <w:tc>
          <w:tcPr>
            <w:tcW w:w="658" w:type="dxa"/>
            <w:vAlign w:val="top"/>
          </w:tcPr>
          <w:p w14:paraId="5D840BEC">
            <w:pPr>
              <w:pStyle w:val="7"/>
              <w:spacing w:before="113" w:line="230" w:lineRule="auto"/>
              <w:ind w:left="99"/>
            </w:pPr>
            <w:r>
              <w:rPr>
                <w:spacing w:val="4"/>
              </w:rPr>
              <w:t>开工</w:t>
            </w:r>
          </w:p>
          <w:p w14:paraId="1CDC3B59">
            <w:pPr>
              <w:pStyle w:val="7"/>
              <w:spacing w:before="231" w:line="229" w:lineRule="auto"/>
              <w:ind w:left="134"/>
            </w:pPr>
            <w:r>
              <w:rPr>
                <w:spacing w:val="-14"/>
              </w:rPr>
              <w:t>日期</w:t>
            </w:r>
          </w:p>
        </w:tc>
        <w:tc>
          <w:tcPr>
            <w:tcW w:w="854" w:type="dxa"/>
            <w:vAlign w:val="top"/>
          </w:tcPr>
          <w:p w14:paraId="37111EB3">
            <w:pPr>
              <w:pStyle w:val="7"/>
              <w:spacing w:before="114" w:line="228" w:lineRule="auto"/>
              <w:ind w:left="99"/>
            </w:pPr>
            <w:r>
              <w:rPr>
                <w:spacing w:val="4"/>
              </w:rPr>
              <w:t>竣工</w:t>
            </w:r>
          </w:p>
          <w:p w14:paraId="2D4B78AE">
            <w:pPr>
              <w:pStyle w:val="7"/>
              <w:spacing w:before="232" w:line="229" w:lineRule="auto"/>
              <w:ind w:left="134"/>
            </w:pPr>
            <w:r>
              <w:rPr>
                <w:spacing w:val="-14"/>
              </w:rPr>
              <w:t>日期</w:t>
            </w:r>
          </w:p>
        </w:tc>
      </w:tr>
      <w:tr w14:paraId="0A78A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3" w:type="dxa"/>
            <w:vAlign w:val="top"/>
          </w:tcPr>
          <w:p w14:paraId="609CADE8">
            <w:pPr>
              <w:rPr>
                <w:rFonts w:ascii="Arial"/>
                <w:sz w:val="21"/>
              </w:rPr>
            </w:pPr>
          </w:p>
        </w:tc>
        <w:tc>
          <w:tcPr>
            <w:tcW w:w="709" w:type="dxa"/>
            <w:vAlign w:val="top"/>
          </w:tcPr>
          <w:p w14:paraId="160F5771">
            <w:pPr>
              <w:rPr>
                <w:rFonts w:ascii="Arial"/>
                <w:sz w:val="21"/>
              </w:rPr>
            </w:pPr>
          </w:p>
        </w:tc>
        <w:tc>
          <w:tcPr>
            <w:tcW w:w="1082" w:type="dxa"/>
            <w:vAlign w:val="top"/>
          </w:tcPr>
          <w:p w14:paraId="1BEB4B9C">
            <w:pPr>
              <w:rPr>
                <w:rFonts w:ascii="Arial"/>
                <w:sz w:val="21"/>
              </w:rPr>
            </w:pPr>
          </w:p>
        </w:tc>
        <w:tc>
          <w:tcPr>
            <w:tcW w:w="850" w:type="dxa"/>
            <w:vAlign w:val="top"/>
          </w:tcPr>
          <w:p w14:paraId="2B3F093E">
            <w:pPr>
              <w:rPr>
                <w:rFonts w:ascii="Arial"/>
                <w:sz w:val="21"/>
              </w:rPr>
            </w:pPr>
          </w:p>
        </w:tc>
        <w:tc>
          <w:tcPr>
            <w:tcW w:w="657" w:type="dxa"/>
            <w:vAlign w:val="top"/>
          </w:tcPr>
          <w:p w14:paraId="43B81030">
            <w:pPr>
              <w:rPr>
                <w:rFonts w:ascii="Arial"/>
                <w:sz w:val="21"/>
              </w:rPr>
            </w:pPr>
          </w:p>
        </w:tc>
        <w:tc>
          <w:tcPr>
            <w:tcW w:w="901" w:type="dxa"/>
            <w:vAlign w:val="top"/>
          </w:tcPr>
          <w:p w14:paraId="279D9BA2">
            <w:pPr>
              <w:rPr>
                <w:rFonts w:ascii="Arial"/>
                <w:sz w:val="21"/>
              </w:rPr>
            </w:pPr>
          </w:p>
        </w:tc>
        <w:tc>
          <w:tcPr>
            <w:tcW w:w="991" w:type="dxa"/>
            <w:vAlign w:val="top"/>
          </w:tcPr>
          <w:p w14:paraId="3EF96D3F">
            <w:pPr>
              <w:rPr>
                <w:rFonts w:ascii="Arial"/>
                <w:sz w:val="21"/>
              </w:rPr>
            </w:pPr>
          </w:p>
        </w:tc>
        <w:tc>
          <w:tcPr>
            <w:tcW w:w="1133" w:type="dxa"/>
            <w:vAlign w:val="top"/>
          </w:tcPr>
          <w:p w14:paraId="214F7C0F">
            <w:pPr>
              <w:rPr>
                <w:rFonts w:ascii="Arial"/>
                <w:sz w:val="21"/>
              </w:rPr>
            </w:pPr>
          </w:p>
        </w:tc>
        <w:tc>
          <w:tcPr>
            <w:tcW w:w="658" w:type="dxa"/>
            <w:vAlign w:val="top"/>
          </w:tcPr>
          <w:p w14:paraId="5026998A">
            <w:pPr>
              <w:rPr>
                <w:rFonts w:ascii="Arial"/>
                <w:sz w:val="21"/>
              </w:rPr>
            </w:pPr>
          </w:p>
        </w:tc>
        <w:tc>
          <w:tcPr>
            <w:tcW w:w="854" w:type="dxa"/>
            <w:vAlign w:val="top"/>
          </w:tcPr>
          <w:p w14:paraId="4683BE61">
            <w:pPr>
              <w:rPr>
                <w:rFonts w:ascii="Arial"/>
                <w:sz w:val="21"/>
              </w:rPr>
            </w:pPr>
          </w:p>
        </w:tc>
      </w:tr>
      <w:tr w14:paraId="62D2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3" w:type="dxa"/>
            <w:vAlign w:val="top"/>
          </w:tcPr>
          <w:p w14:paraId="4139E8B4">
            <w:pPr>
              <w:rPr>
                <w:rFonts w:ascii="Arial"/>
                <w:sz w:val="21"/>
              </w:rPr>
            </w:pPr>
          </w:p>
        </w:tc>
        <w:tc>
          <w:tcPr>
            <w:tcW w:w="709" w:type="dxa"/>
            <w:vAlign w:val="top"/>
          </w:tcPr>
          <w:p w14:paraId="653A4F14">
            <w:pPr>
              <w:rPr>
                <w:rFonts w:ascii="Arial"/>
                <w:sz w:val="21"/>
              </w:rPr>
            </w:pPr>
          </w:p>
        </w:tc>
        <w:tc>
          <w:tcPr>
            <w:tcW w:w="1082" w:type="dxa"/>
            <w:vAlign w:val="top"/>
          </w:tcPr>
          <w:p w14:paraId="0986C399">
            <w:pPr>
              <w:rPr>
                <w:rFonts w:ascii="Arial"/>
                <w:sz w:val="21"/>
              </w:rPr>
            </w:pPr>
          </w:p>
        </w:tc>
        <w:tc>
          <w:tcPr>
            <w:tcW w:w="850" w:type="dxa"/>
            <w:vAlign w:val="top"/>
          </w:tcPr>
          <w:p w14:paraId="15EC9245">
            <w:pPr>
              <w:rPr>
                <w:rFonts w:ascii="Arial"/>
                <w:sz w:val="21"/>
              </w:rPr>
            </w:pPr>
          </w:p>
        </w:tc>
        <w:tc>
          <w:tcPr>
            <w:tcW w:w="657" w:type="dxa"/>
            <w:vAlign w:val="top"/>
          </w:tcPr>
          <w:p w14:paraId="799C9E2D">
            <w:pPr>
              <w:rPr>
                <w:rFonts w:ascii="Arial"/>
                <w:sz w:val="21"/>
              </w:rPr>
            </w:pPr>
          </w:p>
        </w:tc>
        <w:tc>
          <w:tcPr>
            <w:tcW w:w="901" w:type="dxa"/>
            <w:vAlign w:val="top"/>
          </w:tcPr>
          <w:p w14:paraId="728381AF">
            <w:pPr>
              <w:rPr>
                <w:rFonts w:ascii="Arial"/>
                <w:sz w:val="21"/>
              </w:rPr>
            </w:pPr>
          </w:p>
        </w:tc>
        <w:tc>
          <w:tcPr>
            <w:tcW w:w="991" w:type="dxa"/>
            <w:vAlign w:val="top"/>
          </w:tcPr>
          <w:p w14:paraId="7EF8C4EF">
            <w:pPr>
              <w:rPr>
                <w:rFonts w:ascii="Arial"/>
                <w:sz w:val="21"/>
              </w:rPr>
            </w:pPr>
          </w:p>
        </w:tc>
        <w:tc>
          <w:tcPr>
            <w:tcW w:w="1133" w:type="dxa"/>
            <w:vAlign w:val="top"/>
          </w:tcPr>
          <w:p w14:paraId="32EBA6B2">
            <w:pPr>
              <w:rPr>
                <w:rFonts w:ascii="Arial"/>
                <w:sz w:val="21"/>
              </w:rPr>
            </w:pPr>
          </w:p>
        </w:tc>
        <w:tc>
          <w:tcPr>
            <w:tcW w:w="658" w:type="dxa"/>
            <w:vAlign w:val="top"/>
          </w:tcPr>
          <w:p w14:paraId="7CAF6393">
            <w:pPr>
              <w:rPr>
                <w:rFonts w:ascii="Arial"/>
                <w:sz w:val="21"/>
              </w:rPr>
            </w:pPr>
          </w:p>
        </w:tc>
        <w:tc>
          <w:tcPr>
            <w:tcW w:w="854" w:type="dxa"/>
            <w:vAlign w:val="top"/>
          </w:tcPr>
          <w:p w14:paraId="3DA8AFC6">
            <w:pPr>
              <w:rPr>
                <w:rFonts w:ascii="Arial"/>
                <w:sz w:val="21"/>
              </w:rPr>
            </w:pPr>
          </w:p>
        </w:tc>
      </w:tr>
      <w:tr w14:paraId="2AACE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3" w:type="dxa"/>
            <w:vAlign w:val="top"/>
          </w:tcPr>
          <w:p w14:paraId="7DD3103A">
            <w:pPr>
              <w:rPr>
                <w:rFonts w:ascii="Arial"/>
                <w:sz w:val="21"/>
              </w:rPr>
            </w:pPr>
          </w:p>
        </w:tc>
        <w:tc>
          <w:tcPr>
            <w:tcW w:w="709" w:type="dxa"/>
            <w:vAlign w:val="top"/>
          </w:tcPr>
          <w:p w14:paraId="18741F67">
            <w:pPr>
              <w:rPr>
                <w:rFonts w:ascii="Arial"/>
                <w:sz w:val="21"/>
              </w:rPr>
            </w:pPr>
          </w:p>
        </w:tc>
        <w:tc>
          <w:tcPr>
            <w:tcW w:w="1082" w:type="dxa"/>
            <w:vAlign w:val="top"/>
          </w:tcPr>
          <w:p w14:paraId="15820FA2">
            <w:pPr>
              <w:rPr>
                <w:rFonts w:ascii="Arial"/>
                <w:sz w:val="21"/>
              </w:rPr>
            </w:pPr>
          </w:p>
        </w:tc>
        <w:tc>
          <w:tcPr>
            <w:tcW w:w="850" w:type="dxa"/>
            <w:vAlign w:val="top"/>
          </w:tcPr>
          <w:p w14:paraId="42BF68F4">
            <w:pPr>
              <w:rPr>
                <w:rFonts w:ascii="Arial"/>
                <w:sz w:val="21"/>
              </w:rPr>
            </w:pPr>
          </w:p>
        </w:tc>
        <w:tc>
          <w:tcPr>
            <w:tcW w:w="657" w:type="dxa"/>
            <w:vAlign w:val="top"/>
          </w:tcPr>
          <w:p w14:paraId="24CB0C59">
            <w:pPr>
              <w:rPr>
                <w:rFonts w:ascii="Arial"/>
                <w:sz w:val="21"/>
              </w:rPr>
            </w:pPr>
          </w:p>
        </w:tc>
        <w:tc>
          <w:tcPr>
            <w:tcW w:w="901" w:type="dxa"/>
            <w:vAlign w:val="top"/>
          </w:tcPr>
          <w:p w14:paraId="69FABDA4">
            <w:pPr>
              <w:rPr>
                <w:rFonts w:ascii="Arial"/>
                <w:sz w:val="21"/>
              </w:rPr>
            </w:pPr>
          </w:p>
        </w:tc>
        <w:tc>
          <w:tcPr>
            <w:tcW w:w="991" w:type="dxa"/>
            <w:vAlign w:val="top"/>
          </w:tcPr>
          <w:p w14:paraId="775D6764">
            <w:pPr>
              <w:rPr>
                <w:rFonts w:ascii="Arial"/>
                <w:sz w:val="21"/>
              </w:rPr>
            </w:pPr>
          </w:p>
        </w:tc>
        <w:tc>
          <w:tcPr>
            <w:tcW w:w="1133" w:type="dxa"/>
            <w:vAlign w:val="top"/>
          </w:tcPr>
          <w:p w14:paraId="10A1E3A1">
            <w:pPr>
              <w:rPr>
                <w:rFonts w:ascii="Arial"/>
                <w:sz w:val="21"/>
              </w:rPr>
            </w:pPr>
          </w:p>
        </w:tc>
        <w:tc>
          <w:tcPr>
            <w:tcW w:w="658" w:type="dxa"/>
            <w:vAlign w:val="top"/>
          </w:tcPr>
          <w:p w14:paraId="4B23BC56">
            <w:pPr>
              <w:rPr>
                <w:rFonts w:ascii="Arial"/>
                <w:sz w:val="21"/>
              </w:rPr>
            </w:pPr>
          </w:p>
        </w:tc>
        <w:tc>
          <w:tcPr>
            <w:tcW w:w="854" w:type="dxa"/>
            <w:vAlign w:val="top"/>
          </w:tcPr>
          <w:p w14:paraId="179822AA">
            <w:pPr>
              <w:rPr>
                <w:rFonts w:ascii="Arial"/>
                <w:sz w:val="21"/>
              </w:rPr>
            </w:pPr>
          </w:p>
        </w:tc>
      </w:tr>
      <w:tr w14:paraId="515C2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3" w:type="dxa"/>
            <w:vAlign w:val="top"/>
          </w:tcPr>
          <w:p w14:paraId="09D67826">
            <w:pPr>
              <w:rPr>
                <w:rFonts w:ascii="Arial"/>
                <w:sz w:val="21"/>
              </w:rPr>
            </w:pPr>
          </w:p>
        </w:tc>
        <w:tc>
          <w:tcPr>
            <w:tcW w:w="709" w:type="dxa"/>
            <w:vAlign w:val="top"/>
          </w:tcPr>
          <w:p w14:paraId="2C09D91E">
            <w:pPr>
              <w:rPr>
                <w:rFonts w:ascii="Arial"/>
                <w:sz w:val="21"/>
              </w:rPr>
            </w:pPr>
          </w:p>
        </w:tc>
        <w:tc>
          <w:tcPr>
            <w:tcW w:w="1082" w:type="dxa"/>
            <w:vAlign w:val="top"/>
          </w:tcPr>
          <w:p w14:paraId="49A49FEC">
            <w:pPr>
              <w:rPr>
                <w:rFonts w:ascii="Arial"/>
                <w:sz w:val="21"/>
              </w:rPr>
            </w:pPr>
          </w:p>
        </w:tc>
        <w:tc>
          <w:tcPr>
            <w:tcW w:w="850" w:type="dxa"/>
            <w:vAlign w:val="top"/>
          </w:tcPr>
          <w:p w14:paraId="093DCC45">
            <w:pPr>
              <w:rPr>
                <w:rFonts w:ascii="Arial"/>
                <w:sz w:val="21"/>
              </w:rPr>
            </w:pPr>
          </w:p>
        </w:tc>
        <w:tc>
          <w:tcPr>
            <w:tcW w:w="657" w:type="dxa"/>
            <w:vAlign w:val="top"/>
          </w:tcPr>
          <w:p w14:paraId="3E877DCA">
            <w:pPr>
              <w:rPr>
                <w:rFonts w:ascii="Arial"/>
                <w:sz w:val="21"/>
              </w:rPr>
            </w:pPr>
          </w:p>
        </w:tc>
        <w:tc>
          <w:tcPr>
            <w:tcW w:w="901" w:type="dxa"/>
            <w:vAlign w:val="top"/>
          </w:tcPr>
          <w:p w14:paraId="458D659E">
            <w:pPr>
              <w:rPr>
                <w:rFonts w:ascii="Arial"/>
                <w:sz w:val="21"/>
              </w:rPr>
            </w:pPr>
          </w:p>
        </w:tc>
        <w:tc>
          <w:tcPr>
            <w:tcW w:w="991" w:type="dxa"/>
            <w:vAlign w:val="top"/>
          </w:tcPr>
          <w:p w14:paraId="7EEF34D9">
            <w:pPr>
              <w:rPr>
                <w:rFonts w:ascii="Arial"/>
                <w:sz w:val="21"/>
              </w:rPr>
            </w:pPr>
          </w:p>
        </w:tc>
        <w:tc>
          <w:tcPr>
            <w:tcW w:w="1133" w:type="dxa"/>
            <w:vAlign w:val="top"/>
          </w:tcPr>
          <w:p w14:paraId="065BA596">
            <w:pPr>
              <w:rPr>
                <w:rFonts w:ascii="Arial"/>
                <w:sz w:val="21"/>
              </w:rPr>
            </w:pPr>
          </w:p>
        </w:tc>
        <w:tc>
          <w:tcPr>
            <w:tcW w:w="658" w:type="dxa"/>
            <w:vAlign w:val="top"/>
          </w:tcPr>
          <w:p w14:paraId="5EE511F9">
            <w:pPr>
              <w:rPr>
                <w:rFonts w:ascii="Arial"/>
                <w:sz w:val="21"/>
              </w:rPr>
            </w:pPr>
          </w:p>
        </w:tc>
        <w:tc>
          <w:tcPr>
            <w:tcW w:w="854" w:type="dxa"/>
            <w:vAlign w:val="top"/>
          </w:tcPr>
          <w:p w14:paraId="2FE08286">
            <w:pPr>
              <w:rPr>
                <w:rFonts w:ascii="Arial"/>
                <w:sz w:val="21"/>
              </w:rPr>
            </w:pPr>
          </w:p>
        </w:tc>
      </w:tr>
      <w:tr w14:paraId="64587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3" w:type="dxa"/>
            <w:vAlign w:val="top"/>
          </w:tcPr>
          <w:p w14:paraId="40871A9B">
            <w:pPr>
              <w:rPr>
                <w:rFonts w:ascii="Arial"/>
                <w:sz w:val="21"/>
              </w:rPr>
            </w:pPr>
          </w:p>
        </w:tc>
        <w:tc>
          <w:tcPr>
            <w:tcW w:w="709" w:type="dxa"/>
            <w:vAlign w:val="top"/>
          </w:tcPr>
          <w:p w14:paraId="2A0A55A6">
            <w:pPr>
              <w:rPr>
                <w:rFonts w:ascii="Arial"/>
                <w:sz w:val="21"/>
              </w:rPr>
            </w:pPr>
          </w:p>
        </w:tc>
        <w:tc>
          <w:tcPr>
            <w:tcW w:w="1082" w:type="dxa"/>
            <w:vAlign w:val="top"/>
          </w:tcPr>
          <w:p w14:paraId="6040D832">
            <w:pPr>
              <w:rPr>
                <w:rFonts w:ascii="Arial"/>
                <w:sz w:val="21"/>
              </w:rPr>
            </w:pPr>
          </w:p>
        </w:tc>
        <w:tc>
          <w:tcPr>
            <w:tcW w:w="850" w:type="dxa"/>
            <w:vAlign w:val="top"/>
          </w:tcPr>
          <w:p w14:paraId="3C88409E">
            <w:pPr>
              <w:rPr>
                <w:rFonts w:ascii="Arial"/>
                <w:sz w:val="21"/>
              </w:rPr>
            </w:pPr>
          </w:p>
        </w:tc>
        <w:tc>
          <w:tcPr>
            <w:tcW w:w="657" w:type="dxa"/>
            <w:vAlign w:val="top"/>
          </w:tcPr>
          <w:p w14:paraId="3CB9B7FB">
            <w:pPr>
              <w:rPr>
                <w:rFonts w:ascii="Arial"/>
                <w:sz w:val="21"/>
              </w:rPr>
            </w:pPr>
          </w:p>
        </w:tc>
        <w:tc>
          <w:tcPr>
            <w:tcW w:w="901" w:type="dxa"/>
            <w:vAlign w:val="top"/>
          </w:tcPr>
          <w:p w14:paraId="204211D3">
            <w:pPr>
              <w:rPr>
                <w:rFonts w:ascii="Arial"/>
                <w:sz w:val="21"/>
              </w:rPr>
            </w:pPr>
          </w:p>
        </w:tc>
        <w:tc>
          <w:tcPr>
            <w:tcW w:w="991" w:type="dxa"/>
            <w:vAlign w:val="top"/>
          </w:tcPr>
          <w:p w14:paraId="1B20FBE7">
            <w:pPr>
              <w:rPr>
                <w:rFonts w:ascii="Arial"/>
                <w:sz w:val="21"/>
              </w:rPr>
            </w:pPr>
          </w:p>
        </w:tc>
        <w:tc>
          <w:tcPr>
            <w:tcW w:w="1133" w:type="dxa"/>
            <w:vAlign w:val="top"/>
          </w:tcPr>
          <w:p w14:paraId="52AE3140">
            <w:pPr>
              <w:rPr>
                <w:rFonts w:ascii="Arial"/>
                <w:sz w:val="21"/>
              </w:rPr>
            </w:pPr>
          </w:p>
        </w:tc>
        <w:tc>
          <w:tcPr>
            <w:tcW w:w="658" w:type="dxa"/>
            <w:vAlign w:val="top"/>
          </w:tcPr>
          <w:p w14:paraId="451A1194">
            <w:pPr>
              <w:rPr>
                <w:rFonts w:ascii="Arial"/>
                <w:sz w:val="21"/>
              </w:rPr>
            </w:pPr>
          </w:p>
        </w:tc>
        <w:tc>
          <w:tcPr>
            <w:tcW w:w="854" w:type="dxa"/>
            <w:vAlign w:val="top"/>
          </w:tcPr>
          <w:p w14:paraId="75EDAFD7">
            <w:pPr>
              <w:rPr>
                <w:rFonts w:ascii="Arial"/>
                <w:sz w:val="21"/>
              </w:rPr>
            </w:pPr>
          </w:p>
        </w:tc>
      </w:tr>
      <w:tr w14:paraId="13ABA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3" w:type="dxa"/>
            <w:vAlign w:val="top"/>
          </w:tcPr>
          <w:p w14:paraId="76AA2295">
            <w:pPr>
              <w:rPr>
                <w:rFonts w:ascii="Arial"/>
                <w:sz w:val="21"/>
              </w:rPr>
            </w:pPr>
          </w:p>
        </w:tc>
        <w:tc>
          <w:tcPr>
            <w:tcW w:w="709" w:type="dxa"/>
            <w:vAlign w:val="top"/>
          </w:tcPr>
          <w:p w14:paraId="02EC8476">
            <w:pPr>
              <w:rPr>
                <w:rFonts w:ascii="Arial"/>
                <w:sz w:val="21"/>
              </w:rPr>
            </w:pPr>
          </w:p>
        </w:tc>
        <w:tc>
          <w:tcPr>
            <w:tcW w:w="1082" w:type="dxa"/>
            <w:vAlign w:val="top"/>
          </w:tcPr>
          <w:p w14:paraId="00A89794">
            <w:pPr>
              <w:rPr>
                <w:rFonts w:ascii="Arial"/>
                <w:sz w:val="21"/>
              </w:rPr>
            </w:pPr>
          </w:p>
        </w:tc>
        <w:tc>
          <w:tcPr>
            <w:tcW w:w="850" w:type="dxa"/>
            <w:vAlign w:val="top"/>
          </w:tcPr>
          <w:p w14:paraId="29AF49F2">
            <w:pPr>
              <w:rPr>
                <w:rFonts w:ascii="Arial"/>
                <w:sz w:val="21"/>
              </w:rPr>
            </w:pPr>
          </w:p>
        </w:tc>
        <w:tc>
          <w:tcPr>
            <w:tcW w:w="657" w:type="dxa"/>
            <w:vAlign w:val="top"/>
          </w:tcPr>
          <w:p w14:paraId="4646FFE4">
            <w:pPr>
              <w:rPr>
                <w:rFonts w:ascii="Arial"/>
                <w:sz w:val="21"/>
              </w:rPr>
            </w:pPr>
          </w:p>
        </w:tc>
        <w:tc>
          <w:tcPr>
            <w:tcW w:w="901" w:type="dxa"/>
            <w:vAlign w:val="top"/>
          </w:tcPr>
          <w:p w14:paraId="7C0CB502">
            <w:pPr>
              <w:rPr>
                <w:rFonts w:ascii="Arial"/>
                <w:sz w:val="21"/>
              </w:rPr>
            </w:pPr>
          </w:p>
        </w:tc>
        <w:tc>
          <w:tcPr>
            <w:tcW w:w="991" w:type="dxa"/>
            <w:vAlign w:val="top"/>
          </w:tcPr>
          <w:p w14:paraId="0E5E91E0">
            <w:pPr>
              <w:rPr>
                <w:rFonts w:ascii="Arial"/>
                <w:sz w:val="21"/>
              </w:rPr>
            </w:pPr>
          </w:p>
        </w:tc>
        <w:tc>
          <w:tcPr>
            <w:tcW w:w="1133" w:type="dxa"/>
            <w:vAlign w:val="top"/>
          </w:tcPr>
          <w:p w14:paraId="7E248D6F">
            <w:pPr>
              <w:rPr>
                <w:rFonts w:ascii="Arial"/>
                <w:sz w:val="21"/>
              </w:rPr>
            </w:pPr>
          </w:p>
        </w:tc>
        <w:tc>
          <w:tcPr>
            <w:tcW w:w="658" w:type="dxa"/>
            <w:vAlign w:val="top"/>
          </w:tcPr>
          <w:p w14:paraId="3B32B5BC">
            <w:pPr>
              <w:rPr>
                <w:rFonts w:ascii="Arial"/>
                <w:sz w:val="21"/>
              </w:rPr>
            </w:pPr>
          </w:p>
        </w:tc>
        <w:tc>
          <w:tcPr>
            <w:tcW w:w="854" w:type="dxa"/>
            <w:vAlign w:val="top"/>
          </w:tcPr>
          <w:p w14:paraId="048D21FC">
            <w:pPr>
              <w:rPr>
                <w:rFonts w:ascii="Arial"/>
                <w:sz w:val="21"/>
              </w:rPr>
            </w:pPr>
          </w:p>
        </w:tc>
      </w:tr>
      <w:tr w14:paraId="429D6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3" w:type="dxa"/>
            <w:vAlign w:val="top"/>
          </w:tcPr>
          <w:p w14:paraId="3FD2134C">
            <w:pPr>
              <w:rPr>
                <w:rFonts w:ascii="Arial"/>
                <w:sz w:val="21"/>
              </w:rPr>
            </w:pPr>
          </w:p>
        </w:tc>
        <w:tc>
          <w:tcPr>
            <w:tcW w:w="709" w:type="dxa"/>
            <w:vAlign w:val="top"/>
          </w:tcPr>
          <w:p w14:paraId="3E12A654">
            <w:pPr>
              <w:rPr>
                <w:rFonts w:ascii="Arial"/>
                <w:sz w:val="21"/>
              </w:rPr>
            </w:pPr>
          </w:p>
        </w:tc>
        <w:tc>
          <w:tcPr>
            <w:tcW w:w="1082" w:type="dxa"/>
            <w:vAlign w:val="top"/>
          </w:tcPr>
          <w:p w14:paraId="2D7EF57D">
            <w:pPr>
              <w:rPr>
                <w:rFonts w:ascii="Arial"/>
                <w:sz w:val="21"/>
              </w:rPr>
            </w:pPr>
          </w:p>
        </w:tc>
        <w:tc>
          <w:tcPr>
            <w:tcW w:w="850" w:type="dxa"/>
            <w:vAlign w:val="top"/>
          </w:tcPr>
          <w:p w14:paraId="1A77AF11">
            <w:pPr>
              <w:rPr>
                <w:rFonts w:ascii="Arial"/>
                <w:sz w:val="21"/>
              </w:rPr>
            </w:pPr>
          </w:p>
        </w:tc>
        <w:tc>
          <w:tcPr>
            <w:tcW w:w="657" w:type="dxa"/>
            <w:vAlign w:val="top"/>
          </w:tcPr>
          <w:p w14:paraId="7B2637AA">
            <w:pPr>
              <w:rPr>
                <w:rFonts w:ascii="Arial"/>
                <w:sz w:val="21"/>
              </w:rPr>
            </w:pPr>
          </w:p>
        </w:tc>
        <w:tc>
          <w:tcPr>
            <w:tcW w:w="901" w:type="dxa"/>
            <w:vAlign w:val="top"/>
          </w:tcPr>
          <w:p w14:paraId="25630105">
            <w:pPr>
              <w:rPr>
                <w:rFonts w:ascii="Arial"/>
                <w:sz w:val="21"/>
              </w:rPr>
            </w:pPr>
          </w:p>
        </w:tc>
        <w:tc>
          <w:tcPr>
            <w:tcW w:w="991" w:type="dxa"/>
            <w:vAlign w:val="top"/>
          </w:tcPr>
          <w:p w14:paraId="47C86E34">
            <w:pPr>
              <w:rPr>
                <w:rFonts w:ascii="Arial"/>
                <w:sz w:val="21"/>
              </w:rPr>
            </w:pPr>
          </w:p>
        </w:tc>
        <w:tc>
          <w:tcPr>
            <w:tcW w:w="1133" w:type="dxa"/>
            <w:vAlign w:val="top"/>
          </w:tcPr>
          <w:p w14:paraId="567EB492">
            <w:pPr>
              <w:rPr>
                <w:rFonts w:ascii="Arial"/>
                <w:sz w:val="21"/>
              </w:rPr>
            </w:pPr>
          </w:p>
        </w:tc>
        <w:tc>
          <w:tcPr>
            <w:tcW w:w="658" w:type="dxa"/>
            <w:vAlign w:val="top"/>
          </w:tcPr>
          <w:p w14:paraId="3D4EE41B">
            <w:pPr>
              <w:rPr>
                <w:rFonts w:ascii="Arial"/>
                <w:sz w:val="21"/>
              </w:rPr>
            </w:pPr>
          </w:p>
        </w:tc>
        <w:tc>
          <w:tcPr>
            <w:tcW w:w="854" w:type="dxa"/>
            <w:vAlign w:val="top"/>
          </w:tcPr>
          <w:p w14:paraId="72F247D7">
            <w:pPr>
              <w:rPr>
                <w:rFonts w:ascii="Arial"/>
                <w:sz w:val="21"/>
              </w:rPr>
            </w:pPr>
          </w:p>
        </w:tc>
      </w:tr>
      <w:tr w14:paraId="7305E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3" w:type="dxa"/>
            <w:vAlign w:val="top"/>
          </w:tcPr>
          <w:p w14:paraId="7565659F">
            <w:pPr>
              <w:rPr>
                <w:rFonts w:ascii="Arial"/>
                <w:sz w:val="21"/>
              </w:rPr>
            </w:pPr>
          </w:p>
        </w:tc>
        <w:tc>
          <w:tcPr>
            <w:tcW w:w="709" w:type="dxa"/>
            <w:vAlign w:val="top"/>
          </w:tcPr>
          <w:p w14:paraId="33C99DCA">
            <w:pPr>
              <w:rPr>
                <w:rFonts w:ascii="Arial"/>
                <w:sz w:val="21"/>
              </w:rPr>
            </w:pPr>
          </w:p>
        </w:tc>
        <w:tc>
          <w:tcPr>
            <w:tcW w:w="1082" w:type="dxa"/>
            <w:vAlign w:val="top"/>
          </w:tcPr>
          <w:p w14:paraId="26C58540">
            <w:pPr>
              <w:rPr>
                <w:rFonts w:ascii="Arial"/>
                <w:sz w:val="21"/>
              </w:rPr>
            </w:pPr>
          </w:p>
        </w:tc>
        <w:tc>
          <w:tcPr>
            <w:tcW w:w="850" w:type="dxa"/>
            <w:vAlign w:val="top"/>
          </w:tcPr>
          <w:p w14:paraId="782D04FE">
            <w:pPr>
              <w:rPr>
                <w:rFonts w:ascii="Arial"/>
                <w:sz w:val="21"/>
              </w:rPr>
            </w:pPr>
          </w:p>
        </w:tc>
        <w:tc>
          <w:tcPr>
            <w:tcW w:w="657" w:type="dxa"/>
            <w:vAlign w:val="top"/>
          </w:tcPr>
          <w:p w14:paraId="488A41EB">
            <w:pPr>
              <w:rPr>
                <w:rFonts w:ascii="Arial"/>
                <w:sz w:val="21"/>
              </w:rPr>
            </w:pPr>
          </w:p>
        </w:tc>
        <w:tc>
          <w:tcPr>
            <w:tcW w:w="901" w:type="dxa"/>
            <w:vAlign w:val="top"/>
          </w:tcPr>
          <w:p w14:paraId="315A2B42">
            <w:pPr>
              <w:rPr>
                <w:rFonts w:ascii="Arial"/>
                <w:sz w:val="21"/>
              </w:rPr>
            </w:pPr>
          </w:p>
        </w:tc>
        <w:tc>
          <w:tcPr>
            <w:tcW w:w="991" w:type="dxa"/>
            <w:vAlign w:val="top"/>
          </w:tcPr>
          <w:p w14:paraId="386C7334">
            <w:pPr>
              <w:rPr>
                <w:rFonts w:ascii="Arial"/>
                <w:sz w:val="21"/>
              </w:rPr>
            </w:pPr>
          </w:p>
        </w:tc>
        <w:tc>
          <w:tcPr>
            <w:tcW w:w="1133" w:type="dxa"/>
            <w:vAlign w:val="top"/>
          </w:tcPr>
          <w:p w14:paraId="02B00C07">
            <w:pPr>
              <w:rPr>
                <w:rFonts w:ascii="Arial"/>
                <w:sz w:val="21"/>
              </w:rPr>
            </w:pPr>
          </w:p>
        </w:tc>
        <w:tc>
          <w:tcPr>
            <w:tcW w:w="658" w:type="dxa"/>
            <w:vAlign w:val="top"/>
          </w:tcPr>
          <w:p w14:paraId="15966FEB">
            <w:pPr>
              <w:rPr>
                <w:rFonts w:ascii="Arial"/>
                <w:sz w:val="21"/>
              </w:rPr>
            </w:pPr>
          </w:p>
        </w:tc>
        <w:tc>
          <w:tcPr>
            <w:tcW w:w="854" w:type="dxa"/>
            <w:vAlign w:val="top"/>
          </w:tcPr>
          <w:p w14:paraId="24D622A2">
            <w:pPr>
              <w:rPr>
                <w:rFonts w:ascii="Arial"/>
                <w:sz w:val="21"/>
              </w:rPr>
            </w:pPr>
          </w:p>
        </w:tc>
      </w:tr>
      <w:tr w14:paraId="6C652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3" w:type="dxa"/>
            <w:vAlign w:val="top"/>
          </w:tcPr>
          <w:p w14:paraId="2FA93E20">
            <w:pPr>
              <w:rPr>
                <w:rFonts w:ascii="Arial"/>
                <w:sz w:val="21"/>
              </w:rPr>
            </w:pPr>
          </w:p>
        </w:tc>
        <w:tc>
          <w:tcPr>
            <w:tcW w:w="709" w:type="dxa"/>
            <w:vAlign w:val="top"/>
          </w:tcPr>
          <w:p w14:paraId="4D7B4073">
            <w:pPr>
              <w:rPr>
                <w:rFonts w:ascii="Arial"/>
                <w:sz w:val="21"/>
              </w:rPr>
            </w:pPr>
          </w:p>
        </w:tc>
        <w:tc>
          <w:tcPr>
            <w:tcW w:w="1082" w:type="dxa"/>
            <w:vAlign w:val="top"/>
          </w:tcPr>
          <w:p w14:paraId="507CC3F9">
            <w:pPr>
              <w:rPr>
                <w:rFonts w:ascii="Arial"/>
                <w:sz w:val="21"/>
              </w:rPr>
            </w:pPr>
          </w:p>
        </w:tc>
        <w:tc>
          <w:tcPr>
            <w:tcW w:w="850" w:type="dxa"/>
            <w:vAlign w:val="top"/>
          </w:tcPr>
          <w:p w14:paraId="351F839C">
            <w:pPr>
              <w:rPr>
                <w:rFonts w:ascii="Arial"/>
                <w:sz w:val="21"/>
              </w:rPr>
            </w:pPr>
          </w:p>
        </w:tc>
        <w:tc>
          <w:tcPr>
            <w:tcW w:w="657" w:type="dxa"/>
            <w:vAlign w:val="top"/>
          </w:tcPr>
          <w:p w14:paraId="15186B92">
            <w:pPr>
              <w:rPr>
                <w:rFonts w:ascii="Arial"/>
                <w:sz w:val="21"/>
              </w:rPr>
            </w:pPr>
          </w:p>
        </w:tc>
        <w:tc>
          <w:tcPr>
            <w:tcW w:w="901" w:type="dxa"/>
            <w:vAlign w:val="top"/>
          </w:tcPr>
          <w:p w14:paraId="3CA66D5F">
            <w:pPr>
              <w:rPr>
                <w:rFonts w:ascii="Arial"/>
                <w:sz w:val="21"/>
              </w:rPr>
            </w:pPr>
          </w:p>
        </w:tc>
        <w:tc>
          <w:tcPr>
            <w:tcW w:w="991" w:type="dxa"/>
            <w:vAlign w:val="top"/>
          </w:tcPr>
          <w:p w14:paraId="4C6AEA4B">
            <w:pPr>
              <w:rPr>
                <w:rFonts w:ascii="Arial"/>
                <w:sz w:val="21"/>
              </w:rPr>
            </w:pPr>
          </w:p>
        </w:tc>
        <w:tc>
          <w:tcPr>
            <w:tcW w:w="1133" w:type="dxa"/>
            <w:vAlign w:val="top"/>
          </w:tcPr>
          <w:p w14:paraId="66E1D959">
            <w:pPr>
              <w:rPr>
                <w:rFonts w:ascii="Arial"/>
                <w:sz w:val="21"/>
              </w:rPr>
            </w:pPr>
          </w:p>
        </w:tc>
        <w:tc>
          <w:tcPr>
            <w:tcW w:w="658" w:type="dxa"/>
            <w:vAlign w:val="top"/>
          </w:tcPr>
          <w:p w14:paraId="648433BB">
            <w:pPr>
              <w:rPr>
                <w:rFonts w:ascii="Arial"/>
                <w:sz w:val="21"/>
              </w:rPr>
            </w:pPr>
          </w:p>
        </w:tc>
        <w:tc>
          <w:tcPr>
            <w:tcW w:w="854" w:type="dxa"/>
            <w:vAlign w:val="top"/>
          </w:tcPr>
          <w:p w14:paraId="794B8759">
            <w:pPr>
              <w:rPr>
                <w:rFonts w:ascii="Arial"/>
                <w:sz w:val="21"/>
              </w:rPr>
            </w:pPr>
          </w:p>
        </w:tc>
      </w:tr>
      <w:tr w14:paraId="75657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83" w:type="dxa"/>
            <w:vAlign w:val="top"/>
          </w:tcPr>
          <w:p w14:paraId="1B802AA3">
            <w:pPr>
              <w:rPr>
                <w:rFonts w:ascii="Arial"/>
                <w:sz w:val="21"/>
              </w:rPr>
            </w:pPr>
          </w:p>
        </w:tc>
        <w:tc>
          <w:tcPr>
            <w:tcW w:w="709" w:type="dxa"/>
            <w:vAlign w:val="top"/>
          </w:tcPr>
          <w:p w14:paraId="3BECAE47">
            <w:pPr>
              <w:rPr>
                <w:rFonts w:ascii="Arial"/>
                <w:sz w:val="21"/>
              </w:rPr>
            </w:pPr>
          </w:p>
        </w:tc>
        <w:tc>
          <w:tcPr>
            <w:tcW w:w="1082" w:type="dxa"/>
            <w:vAlign w:val="top"/>
          </w:tcPr>
          <w:p w14:paraId="3A5D582B">
            <w:pPr>
              <w:rPr>
                <w:rFonts w:ascii="Arial"/>
                <w:sz w:val="21"/>
              </w:rPr>
            </w:pPr>
          </w:p>
        </w:tc>
        <w:tc>
          <w:tcPr>
            <w:tcW w:w="850" w:type="dxa"/>
            <w:vAlign w:val="top"/>
          </w:tcPr>
          <w:p w14:paraId="23593EC5">
            <w:pPr>
              <w:rPr>
                <w:rFonts w:ascii="Arial"/>
                <w:sz w:val="21"/>
              </w:rPr>
            </w:pPr>
          </w:p>
        </w:tc>
        <w:tc>
          <w:tcPr>
            <w:tcW w:w="657" w:type="dxa"/>
            <w:vAlign w:val="top"/>
          </w:tcPr>
          <w:p w14:paraId="2B433430">
            <w:pPr>
              <w:rPr>
                <w:rFonts w:ascii="Arial"/>
                <w:sz w:val="21"/>
              </w:rPr>
            </w:pPr>
          </w:p>
        </w:tc>
        <w:tc>
          <w:tcPr>
            <w:tcW w:w="901" w:type="dxa"/>
            <w:vAlign w:val="top"/>
          </w:tcPr>
          <w:p w14:paraId="160D2CE7">
            <w:pPr>
              <w:rPr>
                <w:rFonts w:ascii="Arial"/>
                <w:sz w:val="21"/>
              </w:rPr>
            </w:pPr>
          </w:p>
        </w:tc>
        <w:tc>
          <w:tcPr>
            <w:tcW w:w="991" w:type="dxa"/>
            <w:vAlign w:val="top"/>
          </w:tcPr>
          <w:p w14:paraId="79532EB3">
            <w:pPr>
              <w:rPr>
                <w:rFonts w:ascii="Arial"/>
                <w:sz w:val="21"/>
              </w:rPr>
            </w:pPr>
          </w:p>
        </w:tc>
        <w:tc>
          <w:tcPr>
            <w:tcW w:w="1133" w:type="dxa"/>
            <w:vAlign w:val="top"/>
          </w:tcPr>
          <w:p w14:paraId="5CC0ADCC">
            <w:pPr>
              <w:rPr>
                <w:rFonts w:ascii="Arial"/>
                <w:sz w:val="21"/>
              </w:rPr>
            </w:pPr>
          </w:p>
        </w:tc>
        <w:tc>
          <w:tcPr>
            <w:tcW w:w="658" w:type="dxa"/>
            <w:vAlign w:val="top"/>
          </w:tcPr>
          <w:p w14:paraId="3A14F462">
            <w:pPr>
              <w:rPr>
                <w:rFonts w:ascii="Arial"/>
                <w:sz w:val="21"/>
              </w:rPr>
            </w:pPr>
          </w:p>
        </w:tc>
        <w:tc>
          <w:tcPr>
            <w:tcW w:w="854" w:type="dxa"/>
            <w:vAlign w:val="top"/>
          </w:tcPr>
          <w:p w14:paraId="740FA6DD">
            <w:pPr>
              <w:rPr>
                <w:rFonts w:ascii="Arial"/>
                <w:sz w:val="21"/>
              </w:rPr>
            </w:pPr>
          </w:p>
        </w:tc>
      </w:tr>
    </w:tbl>
    <w:p w14:paraId="3FA3C9E9">
      <w:pPr>
        <w:pStyle w:val="2"/>
      </w:pPr>
    </w:p>
    <w:p w14:paraId="77F8C034">
      <w:pPr>
        <w:sectPr>
          <w:footerReference r:id="rId4" w:type="default"/>
          <w:pgSz w:w="11906" w:h="16839"/>
          <w:pgMar w:top="400" w:right="1628" w:bottom="1420" w:left="1554" w:header="0" w:footer="1184" w:gutter="0"/>
          <w:cols w:space="720" w:num="1"/>
        </w:sectPr>
      </w:pPr>
    </w:p>
    <w:p w14:paraId="06A7EF44">
      <w:pPr>
        <w:pStyle w:val="2"/>
        <w:spacing w:line="250" w:lineRule="auto"/>
      </w:pPr>
    </w:p>
    <w:p w14:paraId="5EF2D124">
      <w:pPr>
        <w:spacing w:before="97" w:line="219" w:lineRule="auto"/>
        <w:rPr>
          <w:rFonts w:ascii="宋体" w:hAnsi="宋体" w:eastAsia="宋体" w:cs="宋体"/>
          <w:sz w:val="30"/>
          <w:szCs w:val="30"/>
        </w:rPr>
      </w:pPr>
      <w:r>
        <w:rPr>
          <w:rFonts w:ascii="宋体" w:hAnsi="宋体" w:eastAsia="宋体" w:cs="宋体"/>
          <w:spacing w:val="-13"/>
          <w:sz w:val="30"/>
          <w:szCs w:val="30"/>
        </w:rPr>
        <w:t>附件</w:t>
      </w:r>
      <w:r>
        <w:rPr>
          <w:rFonts w:ascii="宋体" w:hAnsi="宋体" w:eastAsia="宋体" w:cs="宋体"/>
          <w:spacing w:val="-60"/>
          <w:sz w:val="30"/>
          <w:szCs w:val="30"/>
        </w:rPr>
        <w:t xml:space="preserve"> </w:t>
      </w:r>
      <w:r>
        <w:rPr>
          <w:rFonts w:ascii="宋体" w:hAnsi="宋体" w:eastAsia="宋体" w:cs="宋体"/>
          <w:spacing w:val="-13"/>
          <w:sz w:val="30"/>
          <w:szCs w:val="30"/>
        </w:rPr>
        <w:t>2：</w:t>
      </w:r>
    </w:p>
    <w:p w14:paraId="71B99C86">
      <w:pPr>
        <w:spacing w:before="159" w:line="220" w:lineRule="auto"/>
        <w:ind w:left="2609"/>
        <w:rPr>
          <w:rFonts w:ascii="宋体" w:hAnsi="宋体" w:eastAsia="宋体" w:cs="宋体"/>
          <w:sz w:val="30"/>
          <w:szCs w:val="30"/>
        </w:rPr>
      </w:pPr>
      <w:r>
        <w:rPr>
          <w:rFonts w:ascii="宋体" w:hAnsi="宋体" w:eastAsia="宋体" w:cs="宋体"/>
          <w:b/>
          <w:bCs/>
          <w:spacing w:val="-4"/>
          <w:sz w:val="30"/>
          <w:szCs w:val="30"/>
        </w:rPr>
        <w:t>承包人主要施工管理人员表</w:t>
      </w:r>
    </w:p>
    <w:p w14:paraId="47A09945">
      <w:pPr>
        <w:spacing w:line="127" w:lineRule="exact"/>
      </w:pPr>
    </w:p>
    <w:tbl>
      <w:tblPr>
        <w:tblStyle w:val="8"/>
        <w:tblW w:w="8507"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332"/>
        <w:gridCol w:w="1416"/>
        <w:gridCol w:w="1133"/>
        <w:gridCol w:w="2751"/>
      </w:tblGrid>
      <w:tr w14:paraId="260EC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875" w:type="dxa"/>
            <w:vAlign w:val="top"/>
          </w:tcPr>
          <w:p w14:paraId="01CF9BA1">
            <w:pPr>
              <w:pStyle w:val="7"/>
              <w:spacing w:before="123" w:line="231" w:lineRule="auto"/>
              <w:ind w:left="100"/>
            </w:pPr>
            <w:r>
              <w:t>名</w:t>
            </w:r>
            <w:r>
              <w:rPr>
                <w:spacing w:val="7"/>
              </w:rPr>
              <w:t xml:space="preserve">    </w:t>
            </w:r>
            <w:r>
              <w:t>称</w:t>
            </w:r>
          </w:p>
        </w:tc>
        <w:tc>
          <w:tcPr>
            <w:tcW w:w="1332" w:type="dxa"/>
            <w:vAlign w:val="top"/>
          </w:tcPr>
          <w:p w14:paraId="7A4AE102">
            <w:pPr>
              <w:pStyle w:val="7"/>
              <w:spacing w:before="124" w:line="228" w:lineRule="auto"/>
              <w:ind w:left="94"/>
            </w:pPr>
            <w:r>
              <w:rPr>
                <w:spacing w:val="4"/>
              </w:rPr>
              <w:t>姓名</w:t>
            </w:r>
          </w:p>
        </w:tc>
        <w:tc>
          <w:tcPr>
            <w:tcW w:w="1416" w:type="dxa"/>
            <w:vAlign w:val="top"/>
          </w:tcPr>
          <w:p w14:paraId="77580BFB">
            <w:pPr>
              <w:pStyle w:val="7"/>
              <w:spacing w:before="124" w:line="228" w:lineRule="auto"/>
              <w:ind w:left="95"/>
            </w:pPr>
            <w:r>
              <w:rPr>
                <w:spacing w:val="4"/>
              </w:rPr>
              <w:t>职务</w:t>
            </w:r>
          </w:p>
        </w:tc>
        <w:tc>
          <w:tcPr>
            <w:tcW w:w="1133" w:type="dxa"/>
            <w:vAlign w:val="top"/>
          </w:tcPr>
          <w:p w14:paraId="6C297AA4">
            <w:pPr>
              <w:pStyle w:val="7"/>
              <w:spacing w:before="123" w:line="231" w:lineRule="auto"/>
              <w:ind w:left="97"/>
            </w:pPr>
            <w:r>
              <w:rPr>
                <w:spacing w:val="4"/>
              </w:rPr>
              <w:t>职称</w:t>
            </w:r>
          </w:p>
        </w:tc>
        <w:tc>
          <w:tcPr>
            <w:tcW w:w="2751" w:type="dxa"/>
            <w:vAlign w:val="top"/>
          </w:tcPr>
          <w:p w14:paraId="6EF647F7">
            <w:pPr>
              <w:pStyle w:val="7"/>
              <w:spacing w:before="183" w:line="229" w:lineRule="auto"/>
              <w:ind w:left="96"/>
            </w:pPr>
            <w:r>
              <w:rPr>
                <w:spacing w:val="8"/>
              </w:rPr>
              <w:t>计划进场时间</w:t>
            </w:r>
          </w:p>
        </w:tc>
      </w:tr>
      <w:tr w14:paraId="77336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507" w:type="dxa"/>
            <w:gridSpan w:val="5"/>
            <w:vAlign w:val="top"/>
          </w:tcPr>
          <w:p w14:paraId="0F4CD3A3">
            <w:pPr>
              <w:pStyle w:val="7"/>
              <w:spacing w:before="118" w:line="228" w:lineRule="auto"/>
              <w:ind w:left="3631"/>
            </w:pPr>
            <w:r>
              <w:rPr>
                <w:spacing w:val="7"/>
              </w:rPr>
              <w:t>一、总部人员</w:t>
            </w:r>
          </w:p>
        </w:tc>
      </w:tr>
      <w:tr w14:paraId="5E184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75" w:type="dxa"/>
            <w:vAlign w:val="top"/>
          </w:tcPr>
          <w:p w14:paraId="1B56D874">
            <w:pPr>
              <w:pStyle w:val="7"/>
              <w:spacing w:before="121" w:line="228" w:lineRule="auto"/>
              <w:ind w:left="101"/>
            </w:pPr>
            <w:r>
              <w:rPr>
                <w:spacing w:val="6"/>
              </w:rPr>
              <w:t>项目主管</w:t>
            </w:r>
          </w:p>
        </w:tc>
        <w:tc>
          <w:tcPr>
            <w:tcW w:w="1332" w:type="dxa"/>
            <w:vAlign w:val="top"/>
          </w:tcPr>
          <w:p w14:paraId="30A4530B">
            <w:pPr>
              <w:rPr>
                <w:rFonts w:ascii="Arial"/>
                <w:sz w:val="21"/>
              </w:rPr>
            </w:pPr>
          </w:p>
        </w:tc>
        <w:tc>
          <w:tcPr>
            <w:tcW w:w="1416" w:type="dxa"/>
            <w:vAlign w:val="top"/>
          </w:tcPr>
          <w:p w14:paraId="6259B99E">
            <w:pPr>
              <w:rPr>
                <w:rFonts w:ascii="Arial"/>
                <w:sz w:val="21"/>
              </w:rPr>
            </w:pPr>
          </w:p>
        </w:tc>
        <w:tc>
          <w:tcPr>
            <w:tcW w:w="1133" w:type="dxa"/>
            <w:vAlign w:val="top"/>
          </w:tcPr>
          <w:p w14:paraId="3E0B8009">
            <w:pPr>
              <w:rPr>
                <w:rFonts w:ascii="Arial"/>
                <w:sz w:val="21"/>
              </w:rPr>
            </w:pPr>
          </w:p>
        </w:tc>
        <w:tc>
          <w:tcPr>
            <w:tcW w:w="2751" w:type="dxa"/>
            <w:vAlign w:val="top"/>
          </w:tcPr>
          <w:p w14:paraId="2811CDCF">
            <w:pPr>
              <w:rPr>
                <w:rFonts w:ascii="Arial"/>
                <w:sz w:val="21"/>
              </w:rPr>
            </w:pPr>
          </w:p>
        </w:tc>
      </w:tr>
      <w:tr w14:paraId="1D107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75" w:type="dxa"/>
            <w:vMerge w:val="restart"/>
            <w:tcBorders>
              <w:bottom w:val="nil"/>
            </w:tcBorders>
            <w:vAlign w:val="top"/>
          </w:tcPr>
          <w:p w14:paraId="07F3DE80">
            <w:pPr>
              <w:spacing w:line="281" w:lineRule="auto"/>
              <w:rPr>
                <w:rFonts w:ascii="Arial"/>
                <w:sz w:val="21"/>
              </w:rPr>
            </w:pPr>
          </w:p>
          <w:p w14:paraId="18EAD2E3">
            <w:pPr>
              <w:spacing w:line="282" w:lineRule="auto"/>
              <w:rPr>
                <w:rFonts w:ascii="Arial"/>
                <w:sz w:val="21"/>
              </w:rPr>
            </w:pPr>
          </w:p>
          <w:p w14:paraId="416651A7">
            <w:pPr>
              <w:pStyle w:val="7"/>
              <w:spacing w:before="65" w:line="229" w:lineRule="auto"/>
              <w:ind w:left="98"/>
            </w:pPr>
            <w:r>
              <w:rPr>
                <w:spacing w:val="7"/>
              </w:rPr>
              <w:t>其他人员</w:t>
            </w:r>
          </w:p>
        </w:tc>
        <w:tc>
          <w:tcPr>
            <w:tcW w:w="1332" w:type="dxa"/>
            <w:vAlign w:val="top"/>
          </w:tcPr>
          <w:p w14:paraId="62210903">
            <w:pPr>
              <w:rPr>
                <w:rFonts w:ascii="Arial"/>
                <w:sz w:val="21"/>
              </w:rPr>
            </w:pPr>
          </w:p>
        </w:tc>
        <w:tc>
          <w:tcPr>
            <w:tcW w:w="1416" w:type="dxa"/>
            <w:vAlign w:val="top"/>
          </w:tcPr>
          <w:p w14:paraId="6F7CFA70">
            <w:pPr>
              <w:rPr>
                <w:rFonts w:ascii="Arial"/>
                <w:sz w:val="21"/>
              </w:rPr>
            </w:pPr>
          </w:p>
        </w:tc>
        <w:tc>
          <w:tcPr>
            <w:tcW w:w="1133" w:type="dxa"/>
            <w:vAlign w:val="top"/>
          </w:tcPr>
          <w:p w14:paraId="30A0B4E5">
            <w:pPr>
              <w:rPr>
                <w:rFonts w:ascii="Arial"/>
                <w:sz w:val="21"/>
              </w:rPr>
            </w:pPr>
          </w:p>
        </w:tc>
        <w:tc>
          <w:tcPr>
            <w:tcW w:w="2751" w:type="dxa"/>
            <w:vAlign w:val="top"/>
          </w:tcPr>
          <w:p w14:paraId="6A65442B">
            <w:pPr>
              <w:rPr>
                <w:rFonts w:ascii="Arial"/>
                <w:sz w:val="21"/>
              </w:rPr>
            </w:pPr>
          </w:p>
        </w:tc>
      </w:tr>
      <w:tr w14:paraId="612ED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Merge w:val="continue"/>
            <w:tcBorders>
              <w:top w:val="nil"/>
              <w:bottom w:val="nil"/>
            </w:tcBorders>
            <w:vAlign w:val="top"/>
          </w:tcPr>
          <w:p w14:paraId="794A5FFE">
            <w:pPr>
              <w:rPr>
                <w:rFonts w:ascii="Arial"/>
                <w:sz w:val="21"/>
              </w:rPr>
            </w:pPr>
          </w:p>
        </w:tc>
        <w:tc>
          <w:tcPr>
            <w:tcW w:w="1332" w:type="dxa"/>
            <w:vAlign w:val="top"/>
          </w:tcPr>
          <w:p w14:paraId="4049F13D">
            <w:pPr>
              <w:rPr>
                <w:rFonts w:ascii="Arial"/>
                <w:sz w:val="21"/>
              </w:rPr>
            </w:pPr>
          </w:p>
        </w:tc>
        <w:tc>
          <w:tcPr>
            <w:tcW w:w="1416" w:type="dxa"/>
            <w:vAlign w:val="top"/>
          </w:tcPr>
          <w:p w14:paraId="3D768BDA">
            <w:pPr>
              <w:rPr>
                <w:rFonts w:ascii="Arial"/>
                <w:sz w:val="21"/>
              </w:rPr>
            </w:pPr>
          </w:p>
        </w:tc>
        <w:tc>
          <w:tcPr>
            <w:tcW w:w="1133" w:type="dxa"/>
            <w:vAlign w:val="top"/>
          </w:tcPr>
          <w:p w14:paraId="598ECC9E">
            <w:pPr>
              <w:rPr>
                <w:rFonts w:ascii="Arial"/>
                <w:sz w:val="21"/>
              </w:rPr>
            </w:pPr>
          </w:p>
        </w:tc>
        <w:tc>
          <w:tcPr>
            <w:tcW w:w="2751" w:type="dxa"/>
            <w:vAlign w:val="top"/>
          </w:tcPr>
          <w:p w14:paraId="0A6EEC28">
            <w:pPr>
              <w:rPr>
                <w:rFonts w:ascii="Arial"/>
                <w:sz w:val="21"/>
              </w:rPr>
            </w:pPr>
          </w:p>
        </w:tc>
      </w:tr>
      <w:tr w14:paraId="4007D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Merge w:val="continue"/>
            <w:tcBorders>
              <w:top w:val="nil"/>
            </w:tcBorders>
            <w:vAlign w:val="top"/>
          </w:tcPr>
          <w:p w14:paraId="5825AD2B">
            <w:pPr>
              <w:rPr>
                <w:rFonts w:ascii="Arial"/>
                <w:sz w:val="21"/>
              </w:rPr>
            </w:pPr>
          </w:p>
        </w:tc>
        <w:tc>
          <w:tcPr>
            <w:tcW w:w="1332" w:type="dxa"/>
            <w:vAlign w:val="top"/>
          </w:tcPr>
          <w:p w14:paraId="64F77E86">
            <w:pPr>
              <w:rPr>
                <w:rFonts w:ascii="Arial"/>
                <w:sz w:val="21"/>
              </w:rPr>
            </w:pPr>
          </w:p>
        </w:tc>
        <w:tc>
          <w:tcPr>
            <w:tcW w:w="1416" w:type="dxa"/>
            <w:vAlign w:val="top"/>
          </w:tcPr>
          <w:p w14:paraId="55F809A2">
            <w:pPr>
              <w:rPr>
                <w:rFonts w:ascii="Arial"/>
                <w:sz w:val="21"/>
              </w:rPr>
            </w:pPr>
          </w:p>
        </w:tc>
        <w:tc>
          <w:tcPr>
            <w:tcW w:w="1133" w:type="dxa"/>
            <w:vAlign w:val="top"/>
          </w:tcPr>
          <w:p w14:paraId="49D5D5BE">
            <w:pPr>
              <w:rPr>
                <w:rFonts w:ascii="Arial"/>
                <w:sz w:val="21"/>
              </w:rPr>
            </w:pPr>
          </w:p>
        </w:tc>
        <w:tc>
          <w:tcPr>
            <w:tcW w:w="2751" w:type="dxa"/>
            <w:vAlign w:val="top"/>
          </w:tcPr>
          <w:p w14:paraId="7B818DA1">
            <w:pPr>
              <w:rPr>
                <w:rFonts w:ascii="Arial"/>
                <w:sz w:val="21"/>
              </w:rPr>
            </w:pPr>
          </w:p>
        </w:tc>
      </w:tr>
      <w:tr w14:paraId="7F894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507" w:type="dxa"/>
            <w:gridSpan w:val="5"/>
            <w:vAlign w:val="top"/>
          </w:tcPr>
          <w:p w14:paraId="2CEF15A5">
            <w:pPr>
              <w:pStyle w:val="7"/>
              <w:spacing w:before="122" w:line="229" w:lineRule="auto"/>
              <w:ind w:left="3631"/>
            </w:pPr>
            <w:r>
              <w:rPr>
                <w:spacing w:val="7"/>
              </w:rPr>
              <w:t>二、现场人员</w:t>
            </w:r>
          </w:p>
        </w:tc>
      </w:tr>
      <w:tr w14:paraId="35D1F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Align w:val="top"/>
          </w:tcPr>
          <w:p w14:paraId="5ECB0B21">
            <w:pPr>
              <w:pStyle w:val="7"/>
              <w:spacing w:before="121" w:line="229" w:lineRule="auto"/>
              <w:ind w:left="101"/>
            </w:pPr>
            <w:r>
              <w:rPr>
                <w:spacing w:val="6"/>
              </w:rPr>
              <w:t>项目经理</w:t>
            </w:r>
          </w:p>
        </w:tc>
        <w:tc>
          <w:tcPr>
            <w:tcW w:w="1332" w:type="dxa"/>
            <w:vAlign w:val="top"/>
          </w:tcPr>
          <w:p w14:paraId="2E9AE8F6">
            <w:pPr>
              <w:rPr>
                <w:rFonts w:ascii="Arial"/>
                <w:sz w:val="21"/>
              </w:rPr>
            </w:pPr>
          </w:p>
        </w:tc>
        <w:tc>
          <w:tcPr>
            <w:tcW w:w="1416" w:type="dxa"/>
            <w:vAlign w:val="top"/>
          </w:tcPr>
          <w:p w14:paraId="34AE373C">
            <w:pPr>
              <w:rPr>
                <w:rFonts w:ascii="Arial"/>
                <w:sz w:val="21"/>
              </w:rPr>
            </w:pPr>
          </w:p>
        </w:tc>
        <w:tc>
          <w:tcPr>
            <w:tcW w:w="1133" w:type="dxa"/>
            <w:vAlign w:val="top"/>
          </w:tcPr>
          <w:p w14:paraId="5D57F52A">
            <w:pPr>
              <w:rPr>
                <w:rFonts w:ascii="Arial"/>
                <w:sz w:val="21"/>
              </w:rPr>
            </w:pPr>
          </w:p>
        </w:tc>
        <w:tc>
          <w:tcPr>
            <w:tcW w:w="2751" w:type="dxa"/>
            <w:vAlign w:val="top"/>
          </w:tcPr>
          <w:p w14:paraId="75A36E14">
            <w:pPr>
              <w:rPr>
                <w:rFonts w:ascii="Arial"/>
                <w:sz w:val="21"/>
              </w:rPr>
            </w:pPr>
          </w:p>
        </w:tc>
      </w:tr>
      <w:tr w14:paraId="06E67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Align w:val="top"/>
          </w:tcPr>
          <w:p w14:paraId="58685446">
            <w:pPr>
              <w:pStyle w:val="7"/>
              <w:spacing w:before="123" w:line="228" w:lineRule="auto"/>
              <w:ind w:left="101"/>
            </w:pPr>
            <w:r>
              <w:rPr>
                <w:spacing w:val="7"/>
              </w:rPr>
              <w:t>项目副经理</w:t>
            </w:r>
          </w:p>
        </w:tc>
        <w:tc>
          <w:tcPr>
            <w:tcW w:w="1332" w:type="dxa"/>
            <w:vAlign w:val="top"/>
          </w:tcPr>
          <w:p w14:paraId="23F1DF2B">
            <w:pPr>
              <w:rPr>
                <w:rFonts w:ascii="Arial"/>
                <w:sz w:val="21"/>
              </w:rPr>
            </w:pPr>
          </w:p>
        </w:tc>
        <w:tc>
          <w:tcPr>
            <w:tcW w:w="1416" w:type="dxa"/>
            <w:vAlign w:val="top"/>
          </w:tcPr>
          <w:p w14:paraId="5426C091">
            <w:pPr>
              <w:rPr>
                <w:rFonts w:ascii="Arial"/>
                <w:sz w:val="21"/>
              </w:rPr>
            </w:pPr>
          </w:p>
        </w:tc>
        <w:tc>
          <w:tcPr>
            <w:tcW w:w="1133" w:type="dxa"/>
            <w:vAlign w:val="top"/>
          </w:tcPr>
          <w:p w14:paraId="662C2F87">
            <w:pPr>
              <w:rPr>
                <w:rFonts w:ascii="Arial"/>
                <w:sz w:val="21"/>
              </w:rPr>
            </w:pPr>
          </w:p>
        </w:tc>
        <w:tc>
          <w:tcPr>
            <w:tcW w:w="2751" w:type="dxa"/>
            <w:vAlign w:val="top"/>
          </w:tcPr>
          <w:p w14:paraId="4D7CCD5A">
            <w:pPr>
              <w:rPr>
                <w:rFonts w:ascii="Arial"/>
                <w:sz w:val="21"/>
              </w:rPr>
            </w:pPr>
          </w:p>
        </w:tc>
      </w:tr>
      <w:tr w14:paraId="70906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Align w:val="top"/>
          </w:tcPr>
          <w:p w14:paraId="0CACA3B3">
            <w:pPr>
              <w:pStyle w:val="7"/>
              <w:spacing w:before="121" w:line="228" w:lineRule="auto"/>
              <w:ind w:left="98"/>
            </w:pPr>
            <w:r>
              <w:rPr>
                <w:spacing w:val="7"/>
              </w:rPr>
              <w:t>技术负责人</w:t>
            </w:r>
          </w:p>
        </w:tc>
        <w:tc>
          <w:tcPr>
            <w:tcW w:w="1332" w:type="dxa"/>
            <w:vAlign w:val="top"/>
          </w:tcPr>
          <w:p w14:paraId="0CB4C2D2">
            <w:pPr>
              <w:rPr>
                <w:rFonts w:ascii="Arial"/>
                <w:sz w:val="21"/>
              </w:rPr>
            </w:pPr>
          </w:p>
        </w:tc>
        <w:tc>
          <w:tcPr>
            <w:tcW w:w="1416" w:type="dxa"/>
            <w:vAlign w:val="top"/>
          </w:tcPr>
          <w:p w14:paraId="3A507ED6">
            <w:pPr>
              <w:rPr>
                <w:rFonts w:ascii="Arial"/>
                <w:sz w:val="21"/>
              </w:rPr>
            </w:pPr>
          </w:p>
        </w:tc>
        <w:tc>
          <w:tcPr>
            <w:tcW w:w="1133" w:type="dxa"/>
            <w:vAlign w:val="top"/>
          </w:tcPr>
          <w:p w14:paraId="07906300">
            <w:pPr>
              <w:rPr>
                <w:rFonts w:ascii="Arial"/>
                <w:sz w:val="21"/>
              </w:rPr>
            </w:pPr>
          </w:p>
        </w:tc>
        <w:tc>
          <w:tcPr>
            <w:tcW w:w="2751" w:type="dxa"/>
            <w:vAlign w:val="top"/>
          </w:tcPr>
          <w:p w14:paraId="703ED746">
            <w:pPr>
              <w:rPr>
                <w:rFonts w:ascii="Arial"/>
                <w:sz w:val="21"/>
              </w:rPr>
            </w:pPr>
          </w:p>
        </w:tc>
      </w:tr>
      <w:tr w14:paraId="0D22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Align w:val="top"/>
          </w:tcPr>
          <w:p w14:paraId="7AF0C8C0">
            <w:pPr>
              <w:pStyle w:val="7"/>
              <w:spacing w:before="122" w:line="227" w:lineRule="auto"/>
              <w:ind w:left="96"/>
            </w:pPr>
            <w:r>
              <w:rPr>
                <w:spacing w:val="7"/>
              </w:rPr>
              <w:t>造价管理</w:t>
            </w:r>
          </w:p>
        </w:tc>
        <w:tc>
          <w:tcPr>
            <w:tcW w:w="1332" w:type="dxa"/>
            <w:vAlign w:val="top"/>
          </w:tcPr>
          <w:p w14:paraId="1755D975">
            <w:pPr>
              <w:rPr>
                <w:rFonts w:ascii="Arial"/>
                <w:sz w:val="21"/>
              </w:rPr>
            </w:pPr>
          </w:p>
        </w:tc>
        <w:tc>
          <w:tcPr>
            <w:tcW w:w="1416" w:type="dxa"/>
            <w:vAlign w:val="top"/>
          </w:tcPr>
          <w:p w14:paraId="4032FDBA">
            <w:pPr>
              <w:rPr>
                <w:rFonts w:ascii="Arial"/>
                <w:sz w:val="21"/>
              </w:rPr>
            </w:pPr>
          </w:p>
        </w:tc>
        <w:tc>
          <w:tcPr>
            <w:tcW w:w="1133" w:type="dxa"/>
            <w:vAlign w:val="top"/>
          </w:tcPr>
          <w:p w14:paraId="646AB4D4">
            <w:pPr>
              <w:rPr>
                <w:rFonts w:ascii="Arial"/>
                <w:sz w:val="21"/>
              </w:rPr>
            </w:pPr>
          </w:p>
        </w:tc>
        <w:tc>
          <w:tcPr>
            <w:tcW w:w="2751" w:type="dxa"/>
            <w:vAlign w:val="top"/>
          </w:tcPr>
          <w:p w14:paraId="07539F08">
            <w:pPr>
              <w:rPr>
                <w:rFonts w:ascii="Arial"/>
                <w:sz w:val="21"/>
              </w:rPr>
            </w:pPr>
          </w:p>
        </w:tc>
      </w:tr>
      <w:tr w14:paraId="00D21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75" w:type="dxa"/>
            <w:vMerge w:val="restart"/>
            <w:tcBorders>
              <w:bottom w:val="nil"/>
            </w:tcBorders>
            <w:vAlign w:val="top"/>
          </w:tcPr>
          <w:p w14:paraId="767E0552">
            <w:pPr>
              <w:spacing w:line="282" w:lineRule="auto"/>
              <w:rPr>
                <w:rFonts w:ascii="Arial"/>
                <w:sz w:val="21"/>
              </w:rPr>
            </w:pPr>
          </w:p>
          <w:p w14:paraId="7AF62AE3">
            <w:pPr>
              <w:spacing w:line="282" w:lineRule="auto"/>
              <w:rPr>
                <w:rFonts w:ascii="Arial"/>
                <w:sz w:val="21"/>
              </w:rPr>
            </w:pPr>
          </w:p>
          <w:p w14:paraId="406BD3AC">
            <w:pPr>
              <w:pStyle w:val="7"/>
              <w:spacing w:before="65" w:line="228" w:lineRule="auto"/>
              <w:ind w:left="98"/>
            </w:pPr>
            <w:r>
              <w:rPr>
                <w:spacing w:val="7"/>
              </w:rPr>
              <w:t>质量管理</w:t>
            </w:r>
          </w:p>
        </w:tc>
        <w:tc>
          <w:tcPr>
            <w:tcW w:w="1332" w:type="dxa"/>
            <w:vAlign w:val="top"/>
          </w:tcPr>
          <w:p w14:paraId="615878A5">
            <w:pPr>
              <w:rPr>
                <w:rFonts w:ascii="Arial"/>
                <w:sz w:val="21"/>
              </w:rPr>
            </w:pPr>
          </w:p>
        </w:tc>
        <w:tc>
          <w:tcPr>
            <w:tcW w:w="1416" w:type="dxa"/>
            <w:vAlign w:val="top"/>
          </w:tcPr>
          <w:p w14:paraId="11A421BF">
            <w:pPr>
              <w:rPr>
                <w:rFonts w:ascii="Arial"/>
                <w:sz w:val="21"/>
              </w:rPr>
            </w:pPr>
          </w:p>
        </w:tc>
        <w:tc>
          <w:tcPr>
            <w:tcW w:w="1133" w:type="dxa"/>
            <w:vAlign w:val="top"/>
          </w:tcPr>
          <w:p w14:paraId="1B8740BD">
            <w:pPr>
              <w:rPr>
                <w:rFonts w:ascii="Arial"/>
                <w:sz w:val="21"/>
              </w:rPr>
            </w:pPr>
          </w:p>
        </w:tc>
        <w:tc>
          <w:tcPr>
            <w:tcW w:w="2751" w:type="dxa"/>
            <w:vAlign w:val="top"/>
          </w:tcPr>
          <w:p w14:paraId="72C3F802">
            <w:pPr>
              <w:rPr>
                <w:rFonts w:ascii="Arial"/>
                <w:sz w:val="21"/>
              </w:rPr>
            </w:pPr>
          </w:p>
        </w:tc>
      </w:tr>
      <w:tr w14:paraId="3C6B6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Merge w:val="continue"/>
            <w:tcBorders>
              <w:top w:val="nil"/>
              <w:bottom w:val="nil"/>
            </w:tcBorders>
            <w:vAlign w:val="top"/>
          </w:tcPr>
          <w:p w14:paraId="2565E74E">
            <w:pPr>
              <w:rPr>
                <w:rFonts w:ascii="Arial"/>
                <w:sz w:val="21"/>
              </w:rPr>
            </w:pPr>
          </w:p>
        </w:tc>
        <w:tc>
          <w:tcPr>
            <w:tcW w:w="1332" w:type="dxa"/>
            <w:vAlign w:val="top"/>
          </w:tcPr>
          <w:p w14:paraId="608E1102">
            <w:pPr>
              <w:rPr>
                <w:rFonts w:ascii="Arial"/>
                <w:sz w:val="21"/>
              </w:rPr>
            </w:pPr>
          </w:p>
        </w:tc>
        <w:tc>
          <w:tcPr>
            <w:tcW w:w="1416" w:type="dxa"/>
            <w:vAlign w:val="top"/>
          </w:tcPr>
          <w:p w14:paraId="23E6AD5F">
            <w:pPr>
              <w:rPr>
                <w:rFonts w:ascii="Arial"/>
                <w:sz w:val="21"/>
              </w:rPr>
            </w:pPr>
          </w:p>
        </w:tc>
        <w:tc>
          <w:tcPr>
            <w:tcW w:w="1133" w:type="dxa"/>
            <w:vAlign w:val="top"/>
          </w:tcPr>
          <w:p w14:paraId="2046DB10">
            <w:pPr>
              <w:rPr>
                <w:rFonts w:ascii="Arial"/>
                <w:sz w:val="21"/>
              </w:rPr>
            </w:pPr>
          </w:p>
        </w:tc>
        <w:tc>
          <w:tcPr>
            <w:tcW w:w="2751" w:type="dxa"/>
            <w:vAlign w:val="top"/>
          </w:tcPr>
          <w:p w14:paraId="4ED41BD3">
            <w:pPr>
              <w:rPr>
                <w:rFonts w:ascii="Arial"/>
                <w:sz w:val="21"/>
              </w:rPr>
            </w:pPr>
          </w:p>
        </w:tc>
      </w:tr>
      <w:tr w14:paraId="135AB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Merge w:val="continue"/>
            <w:tcBorders>
              <w:top w:val="nil"/>
            </w:tcBorders>
            <w:vAlign w:val="top"/>
          </w:tcPr>
          <w:p w14:paraId="0B281DFB">
            <w:pPr>
              <w:rPr>
                <w:rFonts w:ascii="Arial"/>
                <w:sz w:val="21"/>
              </w:rPr>
            </w:pPr>
          </w:p>
        </w:tc>
        <w:tc>
          <w:tcPr>
            <w:tcW w:w="1332" w:type="dxa"/>
            <w:vAlign w:val="top"/>
          </w:tcPr>
          <w:p w14:paraId="5FD11B07">
            <w:pPr>
              <w:rPr>
                <w:rFonts w:ascii="Arial"/>
                <w:sz w:val="21"/>
              </w:rPr>
            </w:pPr>
          </w:p>
        </w:tc>
        <w:tc>
          <w:tcPr>
            <w:tcW w:w="1416" w:type="dxa"/>
            <w:vAlign w:val="top"/>
          </w:tcPr>
          <w:p w14:paraId="51066B94">
            <w:pPr>
              <w:rPr>
                <w:rFonts w:ascii="Arial"/>
                <w:sz w:val="21"/>
              </w:rPr>
            </w:pPr>
          </w:p>
        </w:tc>
        <w:tc>
          <w:tcPr>
            <w:tcW w:w="1133" w:type="dxa"/>
            <w:vAlign w:val="top"/>
          </w:tcPr>
          <w:p w14:paraId="2530D688">
            <w:pPr>
              <w:rPr>
                <w:rFonts w:ascii="Arial"/>
                <w:sz w:val="21"/>
              </w:rPr>
            </w:pPr>
          </w:p>
        </w:tc>
        <w:tc>
          <w:tcPr>
            <w:tcW w:w="2751" w:type="dxa"/>
            <w:vAlign w:val="top"/>
          </w:tcPr>
          <w:p w14:paraId="5EE2AB5D">
            <w:pPr>
              <w:rPr>
                <w:rFonts w:ascii="Arial"/>
                <w:sz w:val="21"/>
              </w:rPr>
            </w:pPr>
          </w:p>
        </w:tc>
      </w:tr>
      <w:tr w14:paraId="0847C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Align w:val="top"/>
          </w:tcPr>
          <w:p w14:paraId="5EBBAFCC">
            <w:pPr>
              <w:pStyle w:val="7"/>
              <w:spacing w:before="123" w:line="228" w:lineRule="auto"/>
              <w:ind w:left="97"/>
            </w:pPr>
            <w:r>
              <w:rPr>
                <w:spacing w:val="7"/>
              </w:rPr>
              <w:t>材料管理</w:t>
            </w:r>
          </w:p>
        </w:tc>
        <w:tc>
          <w:tcPr>
            <w:tcW w:w="1332" w:type="dxa"/>
            <w:vAlign w:val="top"/>
          </w:tcPr>
          <w:p w14:paraId="70FD563E">
            <w:pPr>
              <w:rPr>
                <w:rFonts w:ascii="Arial"/>
                <w:sz w:val="21"/>
              </w:rPr>
            </w:pPr>
          </w:p>
        </w:tc>
        <w:tc>
          <w:tcPr>
            <w:tcW w:w="1416" w:type="dxa"/>
            <w:vAlign w:val="top"/>
          </w:tcPr>
          <w:p w14:paraId="51518BBB">
            <w:pPr>
              <w:rPr>
                <w:rFonts w:ascii="Arial"/>
                <w:sz w:val="21"/>
              </w:rPr>
            </w:pPr>
          </w:p>
        </w:tc>
        <w:tc>
          <w:tcPr>
            <w:tcW w:w="1133" w:type="dxa"/>
            <w:vAlign w:val="top"/>
          </w:tcPr>
          <w:p w14:paraId="4ED8652B">
            <w:pPr>
              <w:rPr>
                <w:rFonts w:ascii="Arial"/>
                <w:sz w:val="21"/>
              </w:rPr>
            </w:pPr>
          </w:p>
        </w:tc>
        <w:tc>
          <w:tcPr>
            <w:tcW w:w="2751" w:type="dxa"/>
            <w:vAlign w:val="top"/>
          </w:tcPr>
          <w:p w14:paraId="717712C6">
            <w:pPr>
              <w:rPr>
                <w:rFonts w:ascii="Arial"/>
                <w:sz w:val="21"/>
              </w:rPr>
            </w:pPr>
          </w:p>
        </w:tc>
      </w:tr>
      <w:tr w14:paraId="1747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Align w:val="top"/>
          </w:tcPr>
          <w:p w14:paraId="78555B87">
            <w:pPr>
              <w:pStyle w:val="7"/>
              <w:spacing w:before="122" w:line="228" w:lineRule="auto"/>
              <w:ind w:left="97"/>
            </w:pPr>
            <w:r>
              <w:rPr>
                <w:spacing w:val="7"/>
              </w:rPr>
              <w:t>计划管理</w:t>
            </w:r>
          </w:p>
        </w:tc>
        <w:tc>
          <w:tcPr>
            <w:tcW w:w="1332" w:type="dxa"/>
            <w:vAlign w:val="top"/>
          </w:tcPr>
          <w:p w14:paraId="4A851ED4">
            <w:pPr>
              <w:rPr>
                <w:rFonts w:ascii="Arial"/>
                <w:sz w:val="21"/>
              </w:rPr>
            </w:pPr>
          </w:p>
        </w:tc>
        <w:tc>
          <w:tcPr>
            <w:tcW w:w="1416" w:type="dxa"/>
            <w:vAlign w:val="top"/>
          </w:tcPr>
          <w:p w14:paraId="3B3BE67B">
            <w:pPr>
              <w:rPr>
                <w:rFonts w:ascii="Arial"/>
                <w:sz w:val="21"/>
              </w:rPr>
            </w:pPr>
          </w:p>
        </w:tc>
        <w:tc>
          <w:tcPr>
            <w:tcW w:w="1133" w:type="dxa"/>
            <w:vAlign w:val="top"/>
          </w:tcPr>
          <w:p w14:paraId="076D9B5F">
            <w:pPr>
              <w:rPr>
                <w:rFonts w:ascii="Arial"/>
                <w:sz w:val="21"/>
              </w:rPr>
            </w:pPr>
          </w:p>
        </w:tc>
        <w:tc>
          <w:tcPr>
            <w:tcW w:w="2751" w:type="dxa"/>
            <w:vAlign w:val="top"/>
          </w:tcPr>
          <w:p w14:paraId="0E98D2FE">
            <w:pPr>
              <w:rPr>
                <w:rFonts w:ascii="Arial"/>
                <w:sz w:val="21"/>
              </w:rPr>
            </w:pPr>
          </w:p>
        </w:tc>
      </w:tr>
      <w:tr w14:paraId="4DFD6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Merge w:val="restart"/>
            <w:tcBorders>
              <w:bottom w:val="nil"/>
            </w:tcBorders>
            <w:vAlign w:val="top"/>
          </w:tcPr>
          <w:p w14:paraId="2363002B">
            <w:pPr>
              <w:spacing w:line="282" w:lineRule="auto"/>
              <w:rPr>
                <w:rFonts w:ascii="Arial"/>
                <w:sz w:val="21"/>
              </w:rPr>
            </w:pPr>
          </w:p>
          <w:p w14:paraId="144CD738">
            <w:pPr>
              <w:spacing w:line="282" w:lineRule="auto"/>
              <w:rPr>
                <w:rFonts w:ascii="Arial"/>
                <w:sz w:val="21"/>
              </w:rPr>
            </w:pPr>
          </w:p>
          <w:p w14:paraId="69246E44">
            <w:pPr>
              <w:pStyle w:val="7"/>
              <w:spacing w:before="65" w:line="228" w:lineRule="auto"/>
              <w:ind w:left="101"/>
            </w:pPr>
            <w:r>
              <w:rPr>
                <w:spacing w:val="6"/>
              </w:rPr>
              <w:t>安全管理</w:t>
            </w:r>
          </w:p>
        </w:tc>
        <w:tc>
          <w:tcPr>
            <w:tcW w:w="1332" w:type="dxa"/>
            <w:vAlign w:val="top"/>
          </w:tcPr>
          <w:p w14:paraId="07EFBF86">
            <w:pPr>
              <w:rPr>
                <w:rFonts w:ascii="Arial"/>
                <w:sz w:val="21"/>
              </w:rPr>
            </w:pPr>
          </w:p>
        </w:tc>
        <w:tc>
          <w:tcPr>
            <w:tcW w:w="1416" w:type="dxa"/>
            <w:vAlign w:val="top"/>
          </w:tcPr>
          <w:p w14:paraId="7CDC6D95">
            <w:pPr>
              <w:rPr>
                <w:rFonts w:ascii="Arial"/>
                <w:sz w:val="21"/>
              </w:rPr>
            </w:pPr>
          </w:p>
        </w:tc>
        <w:tc>
          <w:tcPr>
            <w:tcW w:w="1133" w:type="dxa"/>
            <w:vAlign w:val="top"/>
          </w:tcPr>
          <w:p w14:paraId="24EE9526">
            <w:pPr>
              <w:rPr>
                <w:rFonts w:ascii="Arial"/>
                <w:sz w:val="21"/>
              </w:rPr>
            </w:pPr>
          </w:p>
        </w:tc>
        <w:tc>
          <w:tcPr>
            <w:tcW w:w="2751" w:type="dxa"/>
            <w:vAlign w:val="top"/>
          </w:tcPr>
          <w:p w14:paraId="744D7536">
            <w:pPr>
              <w:rPr>
                <w:rFonts w:ascii="Arial"/>
                <w:sz w:val="21"/>
              </w:rPr>
            </w:pPr>
          </w:p>
        </w:tc>
      </w:tr>
      <w:tr w14:paraId="4A619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Merge w:val="continue"/>
            <w:tcBorders>
              <w:top w:val="nil"/>
              <w:bottom w:val="nil"/>
            </w:tcBorders>
            <w:vAlign w:val="top"/>
          </w:tcPr>
          <w:p w14:paraId="1A856D64">
            <w:pPr>
              <w:rPr>
                <w:rFonts w:ascii="Arial"/>
                <w:sz w:val="21"/>
              </w:rPr>
            </w:pPr>
          </w:p>
        </w:tc>
        <w:tc>
          <w:tcPr>
            <w:tcW w:w="1332" w:type="dxa"/>
            <w:vAlign w:val="top"/>
          </w:tcPr>
          <w:p w14:paraId="42D7EE66">
            <w:pPr>
              <w:rPr>
                <w:rFonts w:ascii="Arial"/>
                <w:sz w:val="21"/>
              </w:rPr>
            </w:pPr>
          </w:p>
        </w:tc>
        <w:tc>
          <w:tcPr>
            <w:tcW w:w="1416" w:type="dxa"/>
            <w:vAlign w:val="top"/>
          </w:tcPr>
          <w:p w14:paraId="5A3B683A">
            <w:pPr>
              <w:rPr>
                <w:rFonts w:ascii="Arial"/>
                <w:sz w:val="21"/>
              </w:rPr>
            </w:pPr>
          </w:p>
        </w:tc>
        <w:tc>
          <w:tcPr>
            <w:tcW w:w="1133" w:type="dxa"/>
            <w:vAlign w:val="top"/>
          </w:tcPr>
          <w:p w14:paraId="247B10DE">
            <w:pPr>
              <w:rPr>
                <w:rFonts w:ascii="Arial"/>
                <w:sz w:val="21"/>
              </w:rPr>
            </w:pPr>
          </w:p>
        </w:tc>
        <w:tc>
          <w:tcPr>
            <w:tcW w:w="2751" w:type="dxa"/>
            <w:vAlign w:val="top"/>
          </w:tcPr>
          <w:p w14:paraId="68AC5E80">
            <w:pPr>
              <w:rPr>
                <w:rFonts w:ascii="Arial"/>
                <w:sz w:val="21"/>
              </w:rPr>
            </w:pPr>
          </w:p>
        </w:tc>
      </w:tr>
      <w:tr w14:paraId="2917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Merge w:val="continue"/>
            <w:tcBorders>
              <w:top w:val="nil"/>
            </w:tcBorders>
            <w:vAlign w:val="top"/>
          </w:tcPr>
          <w:p w14:paraId="0FF0A05E">
            <w:pPr>
              <w:rPr>
                <w:rFonts w:ascii="Arial"/>
                <w:sz w:val="21"/>
              </w:rPr>
            </w:pPr>
          </w:p>
        </w:tc>
        <w:tc>
          <w:tcPr>
            <w:tcW w:w="1332" w:type="dxa"/>
            <w:vAlign w:val="top"/>
          </w:tcPr>
          <w:p w14:paraId="1C65FB6E">
            <w:pPr>
              <w:rPr>
                <w:rFonts w:ascii="Arial"/>
                <w:sz w:val="21"/>
              </w:rPr>
            </w:pPr>
          </w:p>
        </w:tc>
        <w:tc>
          <w:tcPr>
            <w:tcW w:w="1416" w:type="dxa"/>
            <w:vAlign w:val="top"/>
          </w:tcPr>
          <w:p w14:paraId="2FD078C7">
            <w:pPr>
              <w:rPr>
                <w:rFonts w:ascii="Arial"/>
                <w:sz w:val="21"/>
              </w:rPr>
            </w:pPr>
          </w:p>
        </w:tc>
        <w:tc>
          <w:tcPr>
            <w:tcW w:w="1133" w:type="dxa"/>
            <w:vAlign w:val="top"/>
          </w:tcPr>
          <w:p w14:paraId="3C358745">
            <w:pPr>
              <w:rPr>
                <w:rFonts w:ascii="Arial"/>
                <w:sz w:val="21"/>
              </w:rPr>
            </w:pPr>
          </w:p>
        </w:tc>
        <w:tc>
          <w:tcPr>
            <w:tcW w:w="2751" w:type="dxa"/>
            <w:vAlign w:val="top"/>
          </w:tcPr>
          <w:p w14:paraId="5FBD318E">
            <w:pPr>
              <w:rPr>
                <w:rFonts w:ascii="Arial"/>
                <w:sz w:val="21"/>
              </w:rPr>
            </w:pPr>
          </w:p>
        </w:tc>
      </w:tr>
      <w:tr w14:paraId="0E45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75" w:type="dxa"/>
            <w:vMerge w:val="restart"/>
            <w:tcBorders>
              <w:bottom w:val="nil"/>
            </w:tcBorders>
            <w:vAlign w:val="top"/>
          </w:tcPr>
          <w:p w14:paraId="54E4B41F">
            <w:pPr>
              <w:spacing w:line="312" w:lineRule="auto"/>
              <w:rPr>
                <w:rFonts w:ascii="Arial"/>
                <w:sz w:val="21"/>
              </w:rPr>
            </w:pPr>
          </w:p>
          <w:p w14:paraId="0F57D643">
            <w:pPr>
              <w:pStyle w:val="7"/>
              <w:spacing w:before="65" w:line="229" w:lineRule="auto"/>
              <w:ind w:left="98"/>
            </w:pPr>
            <w:r>
              <w:rPr>
                <w:spacing w:val="7"/>
              </w:rPr>
              <w:t>其他人员</w:t>
            </w:r>
          </w:p>
        </w:tc>
        <w:tc>
          <w:tcPr>
            <w:tcW w:w="1332" w:type="dxa"/>
            <w:vAlign w:val="top"/>
          </w:tcPr>
          <w:p w14:paraId="3EE8AB54">
            <w:pPr>
              <w:rPr>
                <w:rFonts w:ascii="Arial"/>
                <w:sz w:val="21"/>
              </w:rPr>
            </w:pPr>
          </w:p>
        </w:tc>
        <w:tc>
          <w:tcPr>
            <w:tcW w:w="1416" w:type="dxa"/>
            <w:vAlign w:val="top"/>
          </w:tcPr>
          <w:p w14:paraId="61D9BC88">
            <w:pPr>
              <w:rPr>
                <w:rFonts w:ascii="Arial"/>
                <w:sz w:val="21"/>
              </w:rPr>
            </w:pPr>
          </w:p>
        </w:tc>
        <w:tc>
          <w:tcPr>
            <w:tcW w:w="1133" w:type="dxa"/>
            <w:vAlign w:val="top"/>
          </w:tcPr>
          <w:p w14:paraId="777947FA">
            <w:pPr>
              <w:rPr>
                <w:rFonts w:ascii="Arial"/>
                <w:sz w:val="21"/>
              </w:rPr>
            </w:pPr>
          </w:p>
        </w:tc>
        <w:tc>
          <w:tcPr>
            <w:tcW w:w="2751" w:type="dxa"/>
            <w:vAlign w:val="top"/>
          </w:tcPr>
          <w:p w14:paraId="048AA6C2">
            <w:pPr>
              <w:rPr>
                <w:rFonts w:ascii="Arial"/>
                <w:sz w:val="21"/>
              </w:rPr>
            </w:pPr>
          </w:p>
        </w:tc>
      </w:tr>
      <w:tr w14:paraId="1AEB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5" w:type="dxa"/>
            <w:vMerge w:val="continue"/>
            <w:tcBorders>
              <w:top w:val="nil"/>
            </w:tcBorders>
            <w:vAlign w:val="top"/>
          </w:tcPr>
          <w:p w14:paraId="6FC6C1E0">
            <w:pPr>
              <w:rPr>
                <w:rFonts w:ascii="Arial"/>
                <w:sz w:val="21"/>
              </w:rPr>
            </w:pPr>
          </w:p>
        </w:tc>
        <w:tc>
          <w:tcPr>
            <w:tcW w:w="1332" w:type="dxa"/>
            <w:vAlign w:val="top"/>
          </w:tcPr>
          <w:p w14:paraId="563EAD2E">
            <w:pPr>
              <w:rPr>
                <w:rFonts w:ascii="Arial"/>
                <w:sz w:val="21"/>
              </w:rPr>
            </w:pPr>
          </w:p>
        </w:tc>
        <w:tc>
          <w:tcPr>
            <w:tcW w:w="1416" w:type="dxa"/>
            <w:vAlign w:val="top"/>
          </w:tcPr>
          <w:p w14:paraId="68642839">
            <w:pPr>
              <w:rPr>
                <w:rFonts w:ascii="Arial"/>
                <w:sz w:val="21"/>
              </w:rPr>
            </w:pPr>
          </w:p>
        </w:tc>
        <w:tc>
          <w:tcPr>
            <w:tcW w:w="1133" w:type="dxa"/>
            <w:vAlign w:val="top"/>
          </w:tcPr>
          <w:p w14:paraId="1670ED1D">
            <w:pPr>
              <w:rPr>
                <w:rFonts w:ascii="Arial"/>
                <w:sz w:val="21"/>
              </w:rPr>
            </w:pPr>
          </w:p>
        </w:tc>
        <w:tc>
          <w:tcPr>
            <w:tcW w:w="2751" w:type="dxa"/>
            <w:vAlign w:val="top"/>
          </w:tcPr>
          <w:p w14:paraId="0927DD60">
            <w:pPr>
              <w:rPr>
                <w:rFonts w:ascii="Arial"/>
                <w:sz w:val="21"/>
              </w:rPr>
            </w:pPr>
          </w:p>
        </w:tc>
      </w:tr>
      <w:tr w14:paraId="2471D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875" w:type="dxa"/>
            <w:vAlign w:val="top"/>
          </w:tcPr>
          <w:p w14:paraId="3A1AF1A3">
            <w:pPr>
              <w:rPr>
                <w:rFonts w:ascii="Arial"/>
                <w:sz w:val="21"/>
              </w:rPr>
            </w:pPr>
          </w:p>
        </w:tc>
        <w:tc>
          <w:tcPr>
            <w:tcW w:w="1332" w:type="dxa"/>
            <w:vAlign w:val="top"/>
          </w:tcPr>
          <w:p w14:paraId="40CDCB13">
            <w:pPr>
              <w:rPr>
                <w:rFonts w:ascii="Arial"/>
                <w:sz w:val="21"/>
              </w:rPr>
            </w:pPr>
          </w:p>
        </w:tc>
        <w:tc>
          <w:tcPr>
            <w:tcW w:w="1416" w:type="dxa"/>
            <w:vAlign w:val="top"/>
          </w:tcPr>
          <w:p w14:paraId="192251E9">
            <w:pPr>
              <w:rPr>
                <w:rFonts w:ascii="Arial"/>
                <w:sz w:val="21"/>
              </w:rPr>
            </w:pPr>
          </w:p>
        </w:tc>
        <w:tc>
          <w:tcPr>
            <w:tcW w:w="1133" w:type="dxa"/>
            <w:vAlign w:val="top"/>
          </w:tcPr>
          <w:p w14:paraId="1212D3D1">
            <w:pPr>
              <w:rPr>
                <w:rFonts w:ascii="Arial"/>
                <w:sz w:val="21"/>
              </w:rPr>
            </w:pPr>
          </w:p>
        </w:tc>
        <w:tc>
          <w:tcPr>
            <w:tcW w:w="2751" w:type="dxa"/>
            <w:vAlign w:val="top"/>
          </w:tcPr>
          <w:p w14:paraId="546B4EC2">
            <w:pPr>
              <w:rPr>
                <w:rFonts w:ascii="Arial"/>
                <w:sz w:val="21"/>
              </w:rPr>
            </w:pPr>
          </w:p>
        </w:tc>
      </w:tr>
    </w:tbl>
    <w:p w14:paraId="07139FA8">
      <w:pPr>
        <w:pStyle w:val="2"/>
        <w:spacing w:line="273" w:lineRule="auto"/>
      </w:pPr>
    </w:p>
    <w:p w14:paraId="2FFE6D2E">
      <w:pPr>
        <w:pStyle w:val="2"/>
        <w:spacing w:line="273" w:lineRule="auto"/>
      </w:pPr>
    </w:p>
    <w:p w14:paraId="0908F2C6">
      <w:pPr>
        <w:pStyle w:val="2"/>
        <w:spacing w:line="273" w:lineRule="auto"/>
      </w:pPr>
    </w:p>
    <w:p w14:paraId="0FDBC971">
      <w:pPr>
        <w:pStyle w:val="2"/>
        <w:spacing w:line="274" w:lineRule="auto"/>
      </w:pPr>
    </w:p>
    <w:p w14:paraId="60E9C8F9">
      <w:pPr>
        <w:pStyle w:val="2"/>
        <w:spacing w:line="274" w:lineRule="auto"/>
      </w:pPr>
    </w:p>
    <w:p w14:paraId="047A3ADC">
      <w:pPr>
        <w:spacing w:before="97" w:line="219" w:lineRule="auto"/>
        <w:rPr>
          <w:rFonts w:ascii="宋体" w:hAnsi="宋体" w:eastAsia="宋体" w:cs="宋体"/>
          <w:sz w:val="30"/>
          <w:szCs w:val="30"/>
        </w:rPr>
      </w:pPr>
      <w:r>
        <w:rPr>
          <w:rFonts w:ascii="宋体" w:hAnsi="宋体" w:eastAsia="宋体" w:cs="宋体"/>
          <w:spacing w:val="-14"/>
          <w:sz w:val="30"/>
          <w:szCs w:val="30"/>
        </w:rPr>
        <w:br w:type="page"/>
      </w:r>
      <w:r>
        <w:rPr>
          <w:rFonts w:ascii="宋体" w:hAnsi="宋体" w:eastAsia="宋体" w:cs="宋体"/>
          <w:spacing w:val="-14"/>
          <w:sz w:val="30"/>
          <w:szCs w:val="30"/>
        </w:rPr>
        <w:t>附件</w:t>
      </w:r>
      <w:r>
        <w:rPr>
          <w:rFonts w:ascii="宋体" w:hAnsi="宋体" w:eastAsia="宋体" w:cs="宋体"/>
          <w:spacing w:val="-56"/>
          <w:sz w:val="30"/>
          <w:szCs w:val="30"/>
        </w:rPr>
        <w:t xml:space="preserve"> </w:t>
      </w:r>
      <w:r>
        <w:rPr>
          <w:rFonts w:ascii="宋体" w:hAnsi="宋体" w:eastAsia="宋体" w:cs="宋体"/>
          <w:spacing w:val="-14"/>
          <w:sz w:val="30"/>
          <w:szCs w:val="30"/>
        </w:rPr>
        <w:t>3：</w:t>
      </w:r>
    </w:p>
    <w:p w14:paraId="62EC0527">
      <w:pPr>
        <w:spacing w:before="160" w:line="219" w:lineRule="auto"/>
        <w:ind w:left="2007"/>
        <w:rPr>
          <w:rFonts w:ascii="宋体" w:hAnsi="宋体" w:eastAsia="宋体" w:cs="宋体"/>
          <w:sz w:val="30"/>
          <w:szCs w:val="30"/>
        </w:rPr>
      </w:pPr>
      <w:r>
        <w:rPr>
          <w:rFonts w:ascii="宋体" w:hAnsi="宋体" w:eastAsia="宋体" w:cs="宋体"/>
          <w:b/>
          <w:bCs/>
          <w:spacing w:val="-3"/>
          <w:sz w:val="30"/>
          <w:szCs w:val="30"/>
        </w:rPr>
        <w:t>承包人用于本工程施工的机械设备表</w:t>
      </w:r>
    </w:p>
    <w:p w14:paraId="3A502EC5">
      <w:pPr>
        <w:spacing w:line="127" w:lineRule="exact"/>
      </w:pPr>
    </w:p>
    <w:tbl>
      <w:tblPr>
        <w:tblStyle w:val="8"/>
        <w:tblW w:w="8419"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249"/>
        <w:gridCol w:w="1016"/>
        <w:gridCol w:w="809"/>
        <w:gridCol w:w="708"/>
        <w:gridCol w:w="922"/>
        <w:gridCol w:w="1138"/>
        <w:gridCol w:w="795"/>
        <w:gridCol w:w="924"/>
      </w:tblGrid>
      <w:tr w14:paraId="2237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58" w:type="dxa"/>
            <w:vAlign w:val="top"/>
          </w:tcPr>
          <w:p w14:paraId="4A637D3A">
            <w:pPr>
              <w:spacing w:line="285" w:lineRule="auto"/>
              <w:rPr>
                <w:rFonts w:ascii="Arial"/>
                <w:sz w:val="21"/>
              </w:rPr>
            </w:pPr>
          </w:p>
          <w:p w14:paraId="41C99223">
            <w:pPr>
              <w:pStyle w:val="7"/>
              <w:spacing w:before="65" w:line="230" w:lineRule="auto"/>
              <w:ind w:left="98"/>
            </w:pPr>
            <w:r>
              <w:rPr>
                <w:spacing w:val="5"/>
              </w:rPr>
              <w:t>序号</w:t>
            </w:r>
          </w:p>
        </w:tc>
        <w:tc>
          <w:tcPr>
            <w:tcW w:w="1249" w:type="dxa"/>
            <w:vAlign w:val="top"/>
          </w:tcPr>
          <w:p w14:paraId="44786A89">
            <w:pPr>
              <w:pStyle w:val="7"/>
              <w:spacing w:before="112" w:line="228" w:lineRule="auto"/>
              <w:ind w:left="94"/>
            </w:pPr>
            <w:r>
              <w:rPr>
                <w:spacing w:val="7"/>
              </w:rPr>
              <w:t>机械或</w:t>
            </w:r>
          </w:p>
          <w:p w14:paraId="31582E1C">
            <w:pPr>
              <w:pStyle w:val="7"/>
              <w:spacing w:before="233" w:line="230" w:lineRule="auto"/>
              <w:ind w:left="99"/>
            </w:pPr>
            <w:r>
              <w:rPr>
                <w:spacing w:val="6"/>
              </w:rPr>
              <w:t>设备名称</w:t>
            </w:r>
          </w:p>
        </w:tc>
        <w:tc>
          <w:tcPr>
            <w:tcW w:w="1016" w:type="dxa"/>
            <w:vAlign w:val="top"/>
          </w:tcPr>
          <w:p w14:paraId="72C99BAF">
            <w:pPr>
              <w:pStyle w:val="7"/>
              <w:spacing w:before="112" w:line="228" w:lineRule="auto"/>
              <w:ind w:left="95"/>
            </w:pPr>
            <w:r>
              <w:rPr>
                <w:spacing w:val="4"/>
              </w:rPr>
              <w:t>规格</w:t>
            </w:r>
          </w:p>
          <w:p w14:paraId="621A319A">
            <w:pPr>
              <w:pStyle w:val="7"/>
              <w:spacing w:before="232" w:line="230" w:lineRule="auto"/>
              <w:ind w:left="101"/>
            </w:pPr>
            <w:r>
              <w:rPr>
                <w:spacing w:val="1"/>
              </w:rPr>
              <w:t>型号</w:t>
            </w:r>
          </w:p>
        </w:tc>
        <w:tc>
          <w:tcPr>
            <w:tcW w:w="809" w:type="dxa"/>
            <w:vAlign w:val="top"/>
          </w:tcPr>
          <w:p w14:paraId="4889DF05">
            <w:pPr>
              <w:spacing w:line="286" w:lineRule="auto"/>
              <w:rPr>
                <w:rFonts w:ascii="Arial"/>
                <w:sz w:val="21"/>
              </w:rPr>
            </w:pPr>
          </w:p>
          <w:p w14:paraId="55F72DDF">
            <w:pPr>
              <w:pStyle w:val="7"/>
              <w:spacing w:before="65" w:line="228" w:lineRule="auto"/>
              <w:ind w:left="98"/>
            </w:pPr>
            <w:r>
              <w:rPr>
                <w:spacing w:val="3"/>
              </w:rPr>
              <w:t>数量</w:t>
            </w:r>
          </w:p>
        </w:tc>
        <w:tc>
          <w:tcPr>
            <w:tcW w:w="708" w:type="dxa"/>
            <w:vAlign w:val="top"/>
          </w:tcPr>
          <w:p w14:paraId="239D1516">
            <w:pPr>
              <w:spacing w:line="286" w:lineRule="auto"/>
              <w:rPr>
                <w:rFonts w:ascii="Arial"/>
                <w:sz w:val="21"/>
              </w:rPr>
            </w:pPr>
          </w:p>
          <w:p w14:paraId="128E015B">
            <w:pPr>
              <w:pStyle w:val="7"/>
              <w:spacing w:before="65" w:line="228" w:lineRule="auto"/>
              <w:ind w:left="96"/>
            </w:pPr>
            <w:r>
              <w:rPr>
                <w:spacing w:val="4"/>
              </w:rPr>
              <w:t>产地</w:t>
            </w:r>
          </w:p>
        </w:tc>
        <w:tc>
          <w:tcPr>
            <w:tcW w:w="922" w:type="dxa"/>
            <w:vAlign w:val="top"/>
          </w:tcPr>
          <w:p w14:paraId="4A5C3A1E">
            <w:pPr>
              <w:pStyle w:val="7"/>
              <w:spacing w:before="112" w:line="229" w:lineRule="auto"/>
              <w:ind w:left="96"/>
            </w:pPr>
            <w:r>
              <w:rPr>
                <w:spacing w:val="4"/>
              </w:rPr>
              <w:t>制造</w:t>
            </w:r>
          </w:p>
          <w:p w14:paraId="31622B3A">
            <w:pPr>
              <w:pStyle w:val="7"/>
              <w:spacing w:before="232" w:line="228" w:lineRule="auto"/>
              <w:ind w:left="96"/>
            </w:pPr>
            <w:r>
              <w:rPr>
                <w:spacing w:val="4"/>
              </w:rPr>
              <w:t>年份</w:t>
            </w:r>
          </w:p>
        </w:tc>
        <w:tc>
          <w:tcPr>
            <w:tcW w:w="1138" w:type="dxa"/>
            <w:vAlign w:val="top"/>
          </w:tcPr>
          <w:p w14:paraId="07FF8055">
            <w:pPr>
              <w:pStyle w:val="7"/>
              <w:spacing w:before="112" w:line="228" w:lineRule="auto"/>
              <w:ind w:left="98"/>
            </w:pPr>
            <w:r>
              <w:rPr>
                <w:spacing w:val="7"/>
              </w:rPr>
              <w:t>额定功率</w:t>
            </w:r>
          </w:p>
          <w:p w14:paraId="6B1E21C5">
            <w:pPr>
              <w:pStyle w:val="7"/>
              <w:spacing w:before="232" w:line="241" w:lineRule="auto"/>
              <w:ind w:left="108"/>
            </w:pPr>
            <w:r>
              <w:t>（kW）</w:t>
            </w:r>
          </w:p>
        </w:tc>
        <w:tc>
          <w:tcPr>
            <w:tcW w:w="795" w:type="dxa"/>
            <w:vAlign w:val="top"/>
          </w:tcPr>
          <w:p w14:paraId="5A366FDD">
            <w:pPr>
              <w:pStyle w:val="7"/>
              <w:spacing w:before="112" w:line="228" w:lineRule="auto"/>
              <w:ind w:left="99"/>
            </w:pPr>
            <w:r>
              <w:rPr>
                <w:spacing w:val="3"/>
              </w:rPr>
              <w:t>生产</w:t>
            </w:r>
          </w:p>
          <w:p w14:paraId="42F8A5D6">
            <w:pPr>
              <w:pStyle w:val="7"/>
              <w:spacing w:before="232" w:line="228" w:lineRule="auto"/>
              <w:ind w:left="105"/>
            </w:pPr>
            <w:r>
              <w:t>能力</w:t>
            </w:r>
          </w:p>
        </w:tc>
        <w:tc>
          <w:tcPr>
            <w:tcW w:w="924" w:type="dxa"/>
            <w:vAlign w:val="top"/>
          </w:tcPr>
          <w:p w14:paraId="793C3CA1">
            <w:pPr>
              <w:spacing w:line="285" w:lineRule="auto"/>
              <w:rPr>
                <w:rFonts w:ascii="Arial"/>
                <w:sz w:val="21"/>
              </w:rPr>
            </w:pPr>
          </w:p>
          <w:p w14:paraId="2D08FC18">
            <w:pPr>
              <w:pStyle w:val="7"/>
              <w:spacing w:before="65" w:line="230" w:lineRule="auto"/>
              <w:ind w:left="102"/>
            </w:pPr>
            <w:r>
              <w:rPr>
                <w:spacing w:val="3"/>
              </w:rPr>
              <w:t>备注</w:t>
            </w:r>
          </w:p>
        </w:tc>
      </w:tr>
      <w:tr w14:paraId="26E2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6D71CEFA">
            <w:pPr>
              <w:rPr>
                <w:rFonts w:ascii="Arial"/>
                <w:sz w:val="21"/>
              </w:rPr>
            </w:pPr>
          </w:p>
        </w:tc>
        <w:tc>
          <w:tcPr>
            <w:tcW w:w="1249" w:type="dxa"/>
            <w:vAlign w:val="top"/>
          </w:tcPr>
          <w:p w14:paraId="5B1E4645">
            <w:pPr>
              <w:rPr>
                <w:rFonts w:ascii="Arial"/>
                <w:sz w:val="21"/>
              </w:rPr>
            </w:pPr>
          </w:p>
        </w:tc>
        <w:tc>
          <w:tcPr>
            <w:tcW w:w="1016" w:type="dxa"/>
            <w:vAlign w:val="top"/>
          </w:tcPr>
          <w:p w14:paraId="0A436FAB">
            <w:pPr>
              <w:rPr>
                <w:rFonts w:ascii="Arial"/>
                <w:sz w:val="21"/>
              </w:rPr>
            </w:pPr>
          </w:p>
        </w:tc>
        <w:tc>
          <w:tcPr>
            <w:tcW w:w="809" w:type="dxa"/>
            <w:vAlign w:val="top"/>
          </w:tcPr>
          <w:p w14:paraId="78C317AD">
            <w:pPr>
              <w:rPr>
                <w:rFonts w:ascii="Arial"/>
                <w:sz w:val="21"/>
              </w:rPr>
            </w:pPr>
          </w:p>
        </w:tc>
        <w:tc>
          <w:tcPr>
            <w:tcW w:w="708" w:type="dxa"/>
            <w:vAlign w:val="top"/>
          </w:tcPr>
          <w:p w14:paraId="21609EB8">
            <w:pPr>
              <w:rPr>
                <w:rFonts w:ascii="Arial"/>
                <w:sz w:val="21"/>
              </w:rPr>
            </w:pPr>
          </w:p>
        </w:tc>
        <w:tc>
          <w:tcPr>
            <w:tcW w:w="922" w:type="dxa"/>
            <w:vAlign w:val="top"/>
          </w:tcPr>
          <w:p w14:paraId="333B3EE0">
            <w:pPr>
              <w:rPr>
                <w:rFonts w:ascii="Arial"/>
                <w:sz w:val="21"/>
              </w:rPr>
            </w:pPr>
          </w:p>
        </w:tc>
        <w:tc>
          <w:tcPr>
            <w:tcW w:w="1138" w:type="dxa"/>
            <w:vAlign w:val="top"/>
          </w:tcPr>
          <w:p w14:paraId="1A5FF550">
            <w:pPr>
              <w:rPr>
                <w:rFonts w:ascii="Arial"/>
                <w:sz w:val="21"/>
              </w:rPr>
            </w:pPr>
          </w:p>
        </w:tc>
        <w:tc>
          <w:tcPr>
            <w:tcW w:w="795" w:type="dxa"/>
            <w:vAlign w:val="top"/>
          </w:tcPr>
          <w:p w14:paraId="0934AE7C">
            <w:pPr>
              <w:rPr>
                <w:rFonts w:ascii="Arial"/>
                <w:sz w:val="21"/>
              </w:rPr>
            </w:pPr>
          </w:p>
        </w:tc>
        <w:tc>
          <w:tcPr>
            <w:tcW w:w="924" w:type="dxa"/>
            <w:vAlign w:val="top"/>
          </w:tcPr>
          <w:p w14:paraId="7B0E205F">
            <w:pPr>
              <w:rPr>
                <w:rFonts w:ascii="Arial"/>
                <w:sz w:val="21"/>
              </w:rPr>
            </w:pPr>
          </w:p>
        </w:tc>
      </w:tr>
      <w:tr w14:paraId="53A00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4CBB5853">
            <w:pPr>
              <w:rPr>
                <w:rFonts w:ascii="Arial"/>
                <w:sz w:val="21"/>
              </w:rPr>
            </w:pPr>
          </w:p>
        </w:tc>
        <w:tc>
          <w:tcPr>
            <w:tcW w:w="1249" w:type="dxa"/>
            <w:vAlign w:val="top"/>
          </w:tcPr>
          <w:p w14:paraId="0A267522">
            <w:pPr>
              <w:rPr>
                <w:rFonts w:ascii="Arial"/>
                <w:sz w:val="21"/>
              </w:rPr>
            </w:pPr>
          </w:p>
        </w:tc>
        <w:tc>
          <w:tcPr>
            <w:tcW w:w="1016" w:type="dxa"/>
            <w:vAlign w:val="top"/>
          </w:tcPr>
          <w:p w14:paraId="508322DD">
            <w:pPr>
              <w:rPr>
                <w:rFonts w:ascii="Arial"/>
                <w:sz w:val="21"/>
              </w:rPr>
            </w:pPr>
          </w:p>
        </w:tc>
        <w:tc>
          <w:tcPr>
            <w:tcW w:w="809" w:type="dxa"/>
            <w:vAlign w:val="top"/>
          </w:tcPr>
          <w:p w14:paraId="08009F55">
            <w:pPr>
              <w:rPr>
                <w:rFonts w:ascii="Arial"/>
                <w:sz w:val="21"/>
              </w:rPr>
            </w:pPr>
          </w:p>
        </w:tc>
        <w:tc>
          <w:tcPr>
            <w:tcW w:w="708" w:type="dxa"/>
            <w:vAlign w:val="top"/>
          </w:tcPr>
          <w:p w14:paraId="0E826A4B">
            <w:pPr>
              <w:rPr>
                <w:rFonts w:ascii="Arial"/>
                <w:sz w:val="21"/>
              </w:rPr>
            </w:pPr>
          </w:p>
        </w:tc>
        <w:tc>
          <w:tcPr>
            <w:tcW w:w="922" w:type="dxa"/>
            <w:vAlign w:val="top"/>
          </w:tcPr>
          <w:p w14:paraId="3B3CE848">
            <w:pPr>
              <w:rPr>
                <w:rFonts w:ascii="Arial"/>
                <w:sz w:val="21"/>
              </w:rPr>
            </w:pPr>
          </w:p>
        </w:tc>
        <w:tc>
          <w:tcPr>
            <w:tcW w:w="1138" w:type="dxa"/>
            <w:vAlign w:val="top"/>
          </w:tcPr>
          <w:p w14:paraId="268238AD">
            <w:pPr>
              <w:rPr>
                <w:rFonts w:ascii="Arial"/>
                <w:sz w:val="21"/>
              </w:rPr>
            </w:pPr>
          </w:p>
        </w:tc>
        <w:tc>
          <w:tcPr>
            <w:tcW w:w="795" w:type="dxa"/>
            <w:vAlign w:val="top"/>
          </w:tcPr>
          <w:p w14:paraId="6C988BC6">
            <w:pPr>
              <w:rPr>
                <w:rFonts w:ascii="Arial"/>
                <w:sz w:val="21"/>
              </w:rPr>
            </w:pPr>
          </w:p>
        </w:tc>
        <w:tc>
          <w:tcPr>
            <w:tcW w:w="924" w:type="dxa"/>
            <w:vAlign w:val="top"/>
          </w:tcPr>
          <w:p w14:paraId="4F636A97">
            <w:pPr>
              <w:rPr>
                <w:rFonts w:ascii="Arial"/>
                <w:sz w:val="21"/>
              </w:rPr>
            </w:pPr>
          </w:p>
        </w:tc>
      </w:tr>
      <w:tr w14:paraId="5776A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0A4540E5">
            <w:pPr>
              <w:rPr>
                <w:rFonts w:ascii="Arial"/>
                <w:sz w:val="21"/>
              </w:rPr>
            </w:pPr>
          </w:p>
        </w:tc>
        <w:tc>
          <w:tcPr>
            <w:tcW w:w="1249" w:type="dxa"/>
            <w:vAlign w:val="top"/>
          </w:tcPr>
          <w:p w14:paraId="0CABEAF8">
            <w:pPr>
              <w:rPr>
                <w:rFonts w:ascii="Arial"/>
                <w:sz w:val="21"/>
              </w:rPr>
            </w:pPr>
          </w:p>
        </w:tc>
        <w:tc>
          <w:tcPr>
            <w:tcW w:w="1016" w:type="dxa"/>
            <w:vAlign w:val="top"/>
          </w:tcPr>
          <w:p w14:paraId="499E5B23">
            <w:pPr>
              <w:rPr>
                <w:rFonts w:ascii="Arial"/>
                <w:sz w:val="21"/>
              </w:rPr>
            </w:pPr>
          </w:p>
        </w:tc>
        <w:tc>
          <w:tcPr>
            <w:tcW w:w="809" w:type="dxa"/>
            <w:vAlign w:val="top"/>
          </w:tcPr>
          <w:p w14:paraId="55725655">
            <w:pPr>
              <w:rPr>
                <w:rFonts w:ascii="Arial"/>
                <w:sz w:val="21"/>
              </w:rPr>
            </w:pPr>
          </w:p>
        </w:tc>
        <w:tc>
          <w:tcPr>
            <w:tcW w:w="708" w:type="dxa"/>
            <w:vAlign w:val="top"/>
          </w:tcPr>
          <w:p w14:paraId="7785BE00">
            <w:pPr>
              <w:rPr>
                <w:rFonts w:ascii="Arial"/>
                <w:sz w:val="21"/>
              </w:rPr>
            </w:pPr>
          </w:p>
        </w:tc>
        <w:tc>
          <w:tcPr>
            <w:tcW w:w="922" w:type="dxa"/>
            <w:vAlign w:val="top"/>
          </w:tcPr>
          <w:p w14:paraId="44D02AE4">
            <w:pPr>
              <w:rPr>
                <w:rFonts w:ascii="Arial"/>
                <w:sz w:val="21"/>
              </w:rPr>
            </w:pPr>
          </w:p>
        </w:tc>
        <w:tc>
          <w:tcPr>
            <w:tcW w:w="1138" w:type="dxa"/>
            <w:vAlign w:val="top"/>
          </w:tcPr>
          <w:p w14:paraId="7F231300">
            <w:pPr>
              <w:rPr>
                <w:rFonts w:ascii="Arial"/>
                <w:sz w:val="21"/>
              </w:rPr>
            </w:pPr>
          </w:p>
        </w:tc>
        <w:tc>
          <w:tcPr>
            <w:tcW w:w="795" w:type="dxa"/>
            <w:vAlign w:val="top"/>
          </w:tcPr>
          <w:p w14:paraId="327FE05B">
            <w:pPr>
              <w:rPr>
                <w:rFonts w:ascii="Arial"/>
                <w:sz w:val="21"/>
              </w:rPr>
            </w:pPr>
          </w:p>
        </w:tc>
        <w:tc>
          <w:tcPr>
            <w:tcW w:w="924" w:type="dxa"/>
            <w:vAlign w:val="top"/>
          </w:tcPr>
          <w:p w14:paraId="0229CF81">
            <w:pPr>
              <w:rPr>
                <w:rFonts w:ascii="Arial"/>
                <w:sz w:val="21"/>
              </w:rPr>
            </w:pPr>
          </w:p>
        </w:tc>
      </w:tr>
      <w:tr w14:paraId="7533B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56E09A50">
            <w:pPr>
              <w:rPr>
                <w:rFonts w:ascii="Arial"/>
                <w:sz w:val="21"/>
              </w:rPr>
            </w:pPr>
          </w:p>
        </w:tc>
        <w:tc>
          <w:tcPr>
            <w:tcW w:w="1249" w:type="dxa"/>
            <w:vAlign w:val="top"/>
          </w:tcPr>
          <w:p w14:paraId="2D4A97D6">
            <w:pPr>
              <w:rPr>
                <w:rFonts w:ascii="Arial"/>
                <w:sz w:val="21"/>
              </w:rPr>
            </w:pPr>
          </w:p>
        </w:tc>
        <w:tc>
          <w:tcPr>
            <w:tcW w:w="1016" w:type="dxa"/>
            <w:vAlign w:val="top"/>
          </w:tcPr>
          <w:p w14:paraId="76954DE8">
            <w:pPr>
              <w:rPr>
                <w:rFonts w:ascii="Arial"/>
                <w:sz w:val="21"/>
              </w:rPr>
            </w:pPr>
          </w:p>
        </w:tc>
        <w:tc>
          <w:tcPr>
            <w:tcW w:w="809" w:type="dxa"/>
            <w:vAlign w:val="top"/>
          </w:tcPr>
          <w:p w14:paraId="7819660D">
            <w:pPr>
              <w:rPr>
                <w:rFonts w:ascii="Arial"/>
                <w:sz w:val="21"/>
              </w:rPr>
            </w:pPr>
          </w:p>
        </w:tc>
        <w:tc>
          <w:tcPr>
            <w:tcW w:w="708" w:type="dxa"/>
            <w:vAlign w:val="top"/>
          </w:tcPr>
          <w:p w14:paraId="2409C7B6">
            <w:pPr>
              <w:rPr>
                <w:rFonts w:ascii="Arial"/>
                <w:sz w:val="21"/>
              </w:rPr>
            </w:pPr>
          </w:p>
        </w:tc>
        <w:tc>
          <w:tcPr>
            <w:tcW w:w="922" w:type="dxa"/>
            <w:vAlign w:val="top"/>
          </w:tcPr>
          <w:p w14:paraId="2EEECBFF">
            <w:pPr>
              <w:rPr>
                <w:rFonts w:ascii="Arial"/>
                <w:sz w:val="21"/>
              </w:rPr>
            </w:pPr>
          </w:p>
        </w:tc>
        <w:tc>
          <w:tcPr>
            <w:tcW w:w="1138" w:type="dxa"/>
            <w:vAlign w:val="top"/>
          </w:tcPr>
          <w:p w14:paraId="3EBD8049">
            <w:pPr>
              <w:rPr>
                <w:rFonts w:ascii="Arial"/>
                <w:sz w:val="21"/>
              </w:rPr>
            </w:pPr>
          </w:p>
        </w:tc>
        <w:tc>
          <w:tcPr>
            <w:tcW w:w="795" w:type="dxa"/>
            <w:vAlign w:val="top"/>
          </w:tcPr>
          <w:p w14:paraId="4DC8A1C4">
            <w:pPr>
              <w:rPr>
                <w:rFonts w:ascii="Arial"/>
                <w:sz w:val="21"/>
              </w:rPr>
            </w:pPr>
          </w:p>
        </w:tc>
        <w:tc>
          <w:tcPr>
            <w:tcW w:w="924" w:type="dxa"/>
            <w:vAlign w:val="top"/>
          </w:tcPr>
          <w:p w14:paraId="488238E3">
            <w:pPr>
              <w:rPr>
                <w:rFonts w:ascii="Arial"/>
                <w:sz w:val="21"/>
              </w:rPr>
            </w:pPr>
          </w:p>
        </w:tc>
      </w:tr>
      <w:tr w14:paraId="5F971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6DF9FB3D">
            <w:pPr>
              <w:rPr>
                <w:rFonts w:ascii="Arial"/>
                <w:sz w:val="21"/>
              </w:rPr>
            </w:pPr>
          </w:p>
        </w:tc>
        <w:tc>
          <w:tcPr>
            <w:tcW w:w="1249" w:type="dxa"/>
            <w:vAlign w:val="top"/>
          </w:tcPr>
          <w:p w14:paraId="55F23A58">
            <w:pPr>
              <w:rPr>
                <w:rFonts w:ascii="Arial"/>
                <w:sz w:val="21"/>
              </w:rPr>
            </w:pPr>
          </w:p>
        </w:tc>
        <w:tc>
          <w:tcPr>
            <w:tcW w:w="1016" w:type="dxa"/>
            <w:vAlign w:val="top"/>
          </w:tcPr>
          <w:p w14:paraId="67C5A63D">
            <w:pPr>
              <w:rPr>
                <w:rFonts w:ascii="Arial"/>
                <w:sz w:val="21"/>
              </w:rPr>
            </w:pPr>
          </w:p>
        </w:tc>
        <w:tc>
          <w:tcPr>
            <w:tcW w:w="809" w:type="dxa"/>
            <w:vAlign w:val="top"/>
          </w:tcPr>
          <w:p w14:paraId="358F38F0">
            <w:pPr>
              <w:rPr>
                <w:rFonts w:ascii="Arial"/>
                <w:sz w:val="21"/>
              </w:rPr>
            </w:pPr>
          </w:p>
        </w:tc>
        <w:tc>
          <w:tcPr>
            <w:tcW w:w="708" w:type="dxa"/>
            <w:vAlign w:val="top"/>
          </w:tcPr>
          <w:p w14:paraId="25B3D1CD">
            <w:pPr>
              <w:rPr>
                <w:rFonts w:ascii="Arial"/>
                <w:sz w:val="21"/>
              </w:rPr>
            </w:pPr>
          </w:p>
        </w:tc>
        <w:tc>
          <w:tcPr>
            <w:tcW w:w="922" w:type="dxa"/>
            <w:vAlign w:val="top"/>
          </w:tcPr>
          <w:p w14:paraId="4166A2A2">
            <w:pPr>
              <w:rPr>
                <w:rFonts w:ascii="Arial"/>
                <w:sz w:val="21"/>
              </w:rPr>
            </w:pPr>
          </w:p>
        </w:tc>
        <w:tc>
          <w:tcPr>
            <w:tcW w:w="1138" w:type="dxa"/>
            <w:vAlign w:val="top"/>
          </w:tcPr>
          <w:p w14:paraId="4C851F33">
            <w:pPr>
              <w:rPr>
                <w:rFonts w:ascii="Arial"/>
                <w:sz w:val="21"/>
              </w:rPr>
            </w:pPr>
          </w:p>
        </w:tc>
        <w:tc>
          <w:tcPr>
            <w:tcW w:w="795" w:type="dxa"/>
            <w:vAlign w:val="top"/>
          </w:tcPr>
          <w:p w14:paraId="2476AAF0">
            <w:pPr>
              <w:rPr>
                <w:rFonts w:ascii="Arial"/>
                <w:sz w:val="21"/>
              </w:rPr>
            </w:pPr>
          </w:p>
        </w:tc>
        <w:tc>
          <w:tcPr>
            <w:tcW w:w="924" w:type="dxa"/>
            <w:vAlign w:val="top"/>
          </w:tcPr>
          <w:p w14:paraId="03E596C3">
            <w:pPr>
              <w:rPr>
                <w:rFonts w:ascii="Arial"/>
                <w:sz w:val="21"/>
              </w:rPr>
            </w:pPr>
          </w:p>
        </w:tc>
      </w:tr>
      <w:tr w14:paraId="754E4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4E0FD6D7">
            <w:pPr>
              <w:rPr>
                <w:rFonts w:ascii="Arial"/>
                <w:sz w:val="21"/>
              </w:rPr>
            </w:pPr>
          </w:p>
        </w:tc>
        <w:tc>
          <w:tcPr>
            <w:tcW w:w="1249" w:type="dxa"/>
            <w:vAlign w:val="top"/>
          </w:tcPr>
          <w:p w14:paraId="31F44A3C">
            <w:pPr>
              <w:rPr>
                <w:rFonts w:ascii="Arial"/>
                <w:sz w:val="21"/>
              </w:rPr>
            </w:pPr>
          </w:p>
        </w:tc>
        <w:tc>
          <w:tcPr>
            <w:tcW w:w="1016" w:type="dxa"/>
            <w:vAlign w:val="top"/>
          </w:tcPr>
          <w:p w14:paraId="3AE203AB">
            <w:pPr>
              <w:rPr>
                <w:rFonts w:ascii="Arial"/>
                <w:sz w:val="21"/>
              </w:rPr>
            </w:pPr>
          </w:p>
        </w:tc>
        <w:tc>
          <w:tcPr>
            <w:tcW w:w="809" w:type="dxa"/>
            <w:vAlign w:val="top"/>
          </w:tcPr>
          <w:p w14:paraId="0942CE48">
            <w:pPr>
              <w:rPr>
                <w:rFonts w:ascii="Arial"/>
                <w:sz w:val="21"/>
              </w:rPr>
            </w:pPr>
          </w:p>
        </w:tc>
        <w:tc>
          <w:tcPr>
            <w:tcW w:w="708" w:type="dxa"/>
            <w:vAlign w:val="top"/>
          </w:tcPr>
          <w:p w14:paraId="1718C789">
            <w:pPr>
              <w:rPr>
                <w:rFonts w:ascii="Arial"/>
                <w:sz w:val="21"/>
              </w:rPr>
            </w:pPr>
          </w:p>
        </w:tc>
        <w:tc>
          <w:tcPr>
            <w:tcW w:w="922" w:type="dxa"/>
            <w:vAlign w:val="top"/>
          </w:tcPr>
          <w:p w14:paraId="2688DEF7">
            <w:pPr>
              <w:rPr>
                <w:rFonts w:ascii="Arial"/>
                <w:sz w:val="21"/>
              </w:rPr>
            </w:pPr>
          </w:p>
        </w:tc>
        <w:tc>
          <w:tcPr>
            <w:tcW w:w="1138" w:type="dxa"/>
            <w:vAlign w:val="top"/>
          </w:tcPr>
          <w:p w14:paraId="2418F09A">
            <w:pPr>
              <w:rPr>
                <w:rFonts w:ascii="Arial"/>
                <w:sz w:val="21"/>
              </w:rPr>
            </w:pPr>
          </w:p>
        </w:tc>
        <w:tc>
          <w:tcPr>
            <w:tcW w:w="795" w:type="dxa"/>
            <w:vAlign w:val="top"/>
          </w:tcPr>
          <w:p w14:paraId="53647240">
            <w:pPr>
              <w:rPr>
                <w:rFonts w:ascii="Arial"/>
                <w:sz w:val="21"/>
              </w:rPr>
            </w:pPr>
          </w:p>
        </w:tc>
        <w:tc>
          <w:tcPr>
            <w:tcW w:w="924" w:type="dxa"/>
            <w:vAlign w:val="top"/>
          </w:tcPr>
          <w:p w14:paraId="197C6476">
            <w:pPr>
              <w:rPr>
                <w:rFonts w:ascii="Arial"/>
                <w:sz w:val="21"/>
              </w:rPr>
            </w:pPr>
          </w:p>
        </w:tc>
      </w:tr>
      <w:tr w14:paraId="3088F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65D933D1">
            <w:pPr>
              <w:rPr>
                <w:rFonts w:ascii="Arial"/>
                <w:sz w:val="21"/>
              </w:rPr>
            </w:pPr>
          </w:p>
        </w:tc>
        <w:tc>
          <w:tcPr>
            <w:tcW w:w="1249" w:type="dxa"/>
            <w:vAlign w:val="top"/>
          </w:tcPr>
          <w:p w14:paraId="7FE13A12">
            <w:pPr>
              <w:rPr>
                <w:rFonts w:ascii="Arial"/>
                <w:sz w:val="21"/>
              </w:rPr>
            </w:pPr>
          </w:p>
        </w:tc>
        <w:tc>
          <w:tcPr>
            <w:tcW w:w="1016" w:type="dxa"/>
            <w:vAlign w:val="top"/>
          </w:tcPr>
          <w:p w14:paraId="6E00002D">
            <w:pPr>
              <w:rPr>
                <w:rFonts w:ascii="Arial"/>
                <w:sz w:val="21"/>
              </w:rPr>
            </w:pPr>
          </w:p>
        </w:tc>
        <w:tc>
          <w:tcPr>
            <w:tcW w:w="809" w:type="dxa"/>
            <w:vAlign w:val="top"/>
          </w:tcPr>
          <w:p w14:paraId="0E170E5F">
            <w:pPr>
              <w:rPr>
                <w:rFonts w:ascii="Arial"/>
                <w:sz w:val="21"/>
              </w:rPr>
            </w:pPr>
          </w:p>
        </w:tc>
        <w:tc>
          <w:tcPr>
            <w:tcW w:w="708" w:type="dxa"/>
            <w:vAlign w:val="top"/>
          </w:tcPr>
          <w:p w14:paraId="1DBA0D99">
            <w:pPr>
              <w:rPr>
                <w:rFonts w:ascii="Arial"/>
                <w:sz w:val="21"/>
              </w:rPr>
            </w:pPr>
          </w:p>
        </w:tc>
        <w:tc>
          <w:tcPr>
            <w:tcW w:w="922" w:type="dxa"/>
            <w:vAlign w:val="top"/>
          </w:tcPr>
          <w:p w14:paraId="29FDBB65">
            <w:pPr>
              <w:rPr>
                <w:rFonts w:ascii="Arial"/>
                <w:sz w:val="21"/>
              </w:rPr>
            </w:pPr>
          </w:p>
        </w:tc>
        <w:tc>
          <w:tcPr>
            <w:tcW w:w="1138" w:type="dxa"/>
            <w:vAlign w:val="top"/>
          </w:tcPr>
          <w:p w14:paraId="40F1E10D">
            <w:pPr>
              <w:rPr>
                <w:rFonts w:ascii="Arial"/>
                <w:sz w:val="21"/>
              </w:rPr>
            </w:pPr>
          </w:p>
        </w:tc>
        <w:tc>
          <w:tcPr>
            <w:tcW w:w="795" w:type="dxa"/>
            <w:vAlign w:val="top"/>
          </w:tcPr>
          <w:p w14:paraId="463DB26E">
            <w:pPr>
              <w:rPr>
                <w:rFonts w:ascii="Arial"/>
                <w:sz w:val="21"/>
              </w:rPr>
            </w:pPr>
          </w:p>
        </w:tc>
        <w:tc>
          <w:tcPr>
            <w:tcW w:w="924" w:type="dxa"/>
            <w:vAlign w:val="top"/>
          </w:tcPr>
          <w:p w14:paraId="25CFCD06">
            <w:pPr>
              <w:rPr>
                <w:rFonts w:ascii="Arial"/>
                <w:sz w:val="21"/>
              </w:rPr>
            </w:pPr>
          </w:p>
        </w:tc>
      </w:tr>
      <w:tr w14:paraId="3C141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73EED4E9">
            <w:pPr>
              <w:rPr>
                <w:rFonts w:ascii="Arial"/>
                <w:sz w:val="21"/>
              </w:rPr>
            </w:pPr>
          </w:p>
        </w:tc>
        <w:tc>
          <w:tcPr>
            <w:tcW w:w="1249" w:type="dxa"/>
            <w:vAlign w:val="top"/>
          </w:tcPr>
          <w:p w14:paraId="259CA08B">
            <w:pPr>
              <w:rPr>
                <w:rFonts w:ascii="Arial"/>
                <w:sz w:val="21"/>
              </w:rPr>
            </w:pPr>
          </w:p>
        </w:tc>
        <w:tc>
          <w:tcPr>
            <w:tcW w:w="1016" w:type="dxa"/>
            <w:vAlign w:val="top"/>
          </w:tcPr>
          <w:p w14:paraId="2DB8E07E">
            <w:pPr>
              <w:rPr>
                <w:rFonts w:ascii="Arial"/>
                <w:sz w:val="21"/>
              </w:rPr>
            </w:pPr>
          </w:p>
        </w:tc>
        <w:tc>
          <w:tcPr>
            <w:tcW w:w="809" w:type="dxa"/>
            <w:vAlign w:val="top"/>
          </w:tcPr>
          <w:p w14:paraId="13524E67">
            <w:pPr>
              <w:rPr>
                <w:rFonts w:ascii="Arial"/>
                <w:sz w:val="21"/>
              </w:rPr>
            </w:pPr>
          </w:p>
        </w:tc>
        <w:tc>
          <w:tcPr>
            <w:tcW w:w="708" w:type="dxa"/>
            <w:vAlign w:val="top"/>
          </w:tcPr>
          <w:p w14:paraId="434FE175">
            <w:pPr>
              <w:rPr>
                <w:rFonts w:ascii="Arial"/>
                <w:sz w:val="21"/>
              </w:rPr>
            </w:pPr>
          </w:p>
        </w:tc>
        <w:tc>
          <w:tcPr>
            <w:tcW w:w="922" w:type="dxa"/>
            <w:vAlign w:val="top"/>
          </w:tcPr>
          <w:p w14:paraId="14B11C71">
            <w:pPr>
              <w:rPr>
                <w:rFonts w:ascii="Arial"/>
                <w:sz w:val="21"/>
              </w:rPr>
            </w:pPr>
          </w:p>
        </w:tc>
        <w:tc>
          <w:tcPr>
            <w:tcW w:w="1138" w:type="dxa"/>
            <w:vAlign w:val="top"/>
          </w:tcPr>
          <w:p w14:paraId="33BB41C8">
            <w:pPr>
              <w:rPr>
                <w:rFonts w:ascii="Arial"/>
                <w:sz w:val="21"/>
              </w:rPr>
            </w:pPr>
          </w:p>
        </w:tc>
        <w:tc>
          <w:tcPr>
            <w:tcW w:w="795" w:type="dxa"/>
            <w:vAlign w:val="top"/>
          </w:tcPr>
          <w:p w14:paraId="2D945B00">
            <w:pPr>
              <w:rPr>
                <w:rFonts w:ascii="Arial"/>
                <w:sz w:val="21"/>
              </w:rPr>
            </w:pPr>
          </w:p>
        </w:tc>
        <w:tc>
          <w:tcPr>
            <w:tcW w:w="924" w:type="dxa"/>
            <w:vAlign w:val="top"/>
          </w:tcPr>
          <w:p w14:paraId="16CE16FC">
            <w:pPr>
              <w:rPr>
                <w:rFonts w:ascii="Arial"/>
                <w:sz w:val="21"/>
              </w:rPr>
            </w:pPr>
          </w:p>
        </w:tc>
      </w:tr>
      <w:tr w14:paraId="04FB2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6BEAB571">
            <w:pPr>
              <w:rPr>
                <w:rFonts w:ascii="Arial"/>
                <w:sz w:val="21"/>
              </w:rPr>
            </w:pPr>
          </w:p>
        </w:tc>
        <w:tc>
          <w:tcPr>
            <w:tcW w:w="1249" w:type="dxa"/>
            <w:vAlign w:val="top"/>
          </w:tcPr>
          <w:p w14:paraId="4F3840BF">
            <w:pPr>
              <w:rPr>
                <w:rFonts w:ascii="Arial"/>
                <w:sz w:val="21"/>
              </w:rPr>
            </w:pPr>
          </w:p>
        </w:tc>
        <w:tc>
          <w:tcPr>
            <w:tcW w:w="1016" w:type="dxa"/>
            <w:vAlign w:val="top"/>
          </w:tcPr>
          <w:p w14:paraId="5C2D5FD7">
            <w:pPr>
              <w:rPr>
                <w:rFonts w:ascii="Arial"/>
                <w:sz w:val="21"/>
              </w:rPr>
            </w:pPr>
          </w:p>
        </w:tc>
        <w:tc>
          <w:tcPr>
            <w:tcW w:w="809" w:type="dxa"/>
            <w:vAlign w:val="top"/>
          </w:tcPr>
          <w:p w14:paraId="7926BDEA">
            <w:pPr>
              <w:rPr>
                <w:rFonts w:ascii="Arial"/>
                <w:sz w:val="21"/>
              </w:rPr>
            </w:pPr>
          </w:p>
        </w:tc>
        <w:tc>
          <w:tcPr>
            <w:tcW w:w="708" w:type="dxa"/>
            <w:vAlign w:val="top"/>
          </w:tcPr>
          <w:p w14:paraId="48EF3255">
            <w:pPr>
              <w:rPr>
                <w:rFonts w:ascii="Arial"/>
                <w:sz w:val="21"/>
              </w:rPr>
            </w:pPr>
          </w:p>
        </w:tc>
        <w:tc>
          <w:tcPr>
            <w:tcW w:w="922" w:type="dxa"/>
            <w:vAlign w:val="top"/>
          </w:tcPr>
          <w:p w14:paraId="079FA1B3">
            <w:pPr>
              <w:rPr>
                <w:rFonts w:ascii="Arial"/>
                <w:sz w:val="21"/>
              </w:rPr>
            </w:pPr>
          </w:p>
        </w:tc>
        <w:tc>
          <w:tcPr>
            <w:tcW w:w="1138" w:type="dxa"/>
            <w:vAlign w:val="top"/>
          </w:tcPr>
          <w:p w14:paraId="298942AD">
            <w:pPr>
              <w:rPr>
                <w:rFonts w:ascii="Arial"/>
                <w:sz w:val="21"/>
              </w:rPr>
            </w:pPr>
          </w:p>
        </w:tc>
        <w:tc>
          <w:tcPr>
            <w:tcW w:w="795" w:type="dxa"/>
            <w:vAlign w:val="top"/>
          </w:tcPr>
          <w:p w14:paraId="0BAD8E46">
            <w:pPr>
              <w:rPr>
                <w:rFonts w:ascii="Arial"/>
                <w:sz w:val="21"/>
              </w:rPr>
            </w:pPr>
          </w:p>
        </w:tc>
        <w:tc>
          <w:tcPr>
            <w:tcW w:w="924" w:type="dxa"/>
            <w:vAlign w:val="top"/>
          </w:tcPr>
          <w:p w14:paraId="163C88E2">
            <w:pPr>
              <w:rPr>
                <w:rFonts w:ascii="Arial"/>
                <w:sz w:val="21"/>
              </w:rPr>
            </w:pPr>
          </w:p>
        </w:tc>
      </w:tr>
      <w:tr w14:paraId="37000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5C02BA01">
            <w:pPr>
              <w:rPr>
                <w:rFonts w:ascii="Arial"/>
                <w:sz w:val="21"/>
              </w:rPr>
            </w:pPr>
          </w:p>
        </w:tc>
        <w:tc>
          <w:tcPr>
            <w:tcW w:w="1249" w:type="dxa"/>
            <w:vAlign w:val="top"/>
          </w:tcPr>
          <w:p w14:paraId="236A9CBD">
            <w:pPr>
              <w:rPr>
                <w:rFonts w:ascii="Arial"/>
                <w:sz w:val="21"/>
              </w:rPr>
            </w:pPr>
          </w:p>
        </w:tc>
        <w:tc>
          <w:tcPr>
            <w:tcW w:w="1016" w:type="dxa"/>
            <w:vAlign w:val="top"/>
          </w:tcPr>
          <w:p w14:paraId="161553D2">
            <w:pPr>
              <w:rPr>
                <w:rFonts w:ascii="Arial"/>
                <w:sz w:val="21"/>
              </w:rPr>
            </w:pPr>
          </w:p>
        </w:tc>
        <w:tc>
          <w:tcPr>
            <w:tcW w:w="809" w:type="dxa"/>
            <w:vAlign w:val="top"/>
          </w:tcPr>
          <w:p w14:paraId="0E7090C0">
            <w:pPr>
              <w:rPr>
                <w:rFonts w:ascii="Arial"/>
                <w:sz w:val="21"/>
              </w:rPr>
            </w:pPr>
          </w:p>
        </w:tc>
        <w:tc>
          <w:tcPr>
            <w:tcW w:w="708" w:type="dxa"/>
            <w:vAlign w:val="top"/>
          </w:tcPr>
          <w:p w14:paraId="2463A5FF">
            <w:pPr>
              <w:rPr>
                <w:rFonts w:ascii="Arial"/>
                <w:sz w:val="21"/>
              </w:rPr>
            </w:pPr>
          </w:p>
        </w:tc>
        <w:tc>
          <w:tcPr>
            <w:tcW w:w="922" w:type="dxa"/>
            <w:vAlign w:val="top"/>
          </w:tcPr>
          <w:p w14:paraId="5265062B">
            <w:pPr>
              <w:rPr>
                <w:rFonts w:ascii="Arial"/>
                <w:sz w:val="21"/>
              </w:rPr>
            </w:pPr>
          </w:p>
        </w:tc>
        <w:tc>
          <w:tcPr>
            <w:tcW w:w="1138" w:type="dxa"/>
            <w:vAlign w:val="top"/>
          </w:tcPr>
          <w:p w14:paraId="00921528">
            <w:pPr>
              <w:rPr>
                <w:rFonts w:ascii="Arial"/>
                <w:sz w:val="21"/>
              </w:rPr>
            </w:pPr>
          </w:p>
        </w:tc>
        <w:tc>
          <w:tcPr>
            <w:tcW w:w="795" w:type="dxa"/>
            <w:vAlign w:val="top"/>
          </w:tcPr>
          <w:p w14:paraId="7BD80131">
            <w:pPr>
              <w:rPr>
                <w:rFonts w:ascii="Arial"/>
                <w:sz w:val="21"/>
              </w:rPr>
            </w:pPr>
          </w:p>
        </w:tc>
        <w:tc>
          <w:tcPr>
            <w:tcW w:w="924" w:type="dxa"/>
            <w:vAlign w:val="top"/>
          </w:tcPr>
          <w:p w14:paraId="4A15C0F2">
            <w:pPr>
              <w:rPr>
                <w:rFonts w:ascii="Arial"/>
                <w:sz w:val="21"/>
              </w:rPr>
            </w:pPr>
          </w:p>
        </w:tc>
      </w:tr>
      <w:tr w14:paraId="3863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326F9B7A">
            <w:pPr>
              <w:rPr>
                <w:rFonts w:ascii="Arial"/>
                <w:sz w:val="21"/>
              </w:rPr>
            </w:pPr>
          </w:p>
        </w:tc>
        <w:tc>
          <w:tcPr>
            <w:tcW w:w="1249" w:type="dxa"/>
            <w:vAlign w:val="top"/>
          </w:tcPr>
          <w:p w14:paraId="68488879">
            <w:pPr>
              <w:rPr>
                <w:rFonts w:ascii="Arial"/>
                <w:sz w:val="21"/>
              </w:rPr>
            </w:pPr>
          </w:p>
        </w:tc>
        <w:tc>
          <w:tcPr>
            <w:tcW w:w="1016" w:type="dxa"/>
            <w:vAlign w:val="top"/>
          </w:tcPr>
          <w:p w14:paraId="09F4DE31">
            <w:pPr>
              <w:rPr>
                <w:rFonts w:ascii="Arial"/>
                <w:sz w:val="21"/>
              </w:rPr>
            </w:pPr>
          </w:p>
        </w:tc>
        <w:tc>
          <w:tcPr>
            <w:tcW w:w="809" w:type="dxa"/>
            <w:vAlign w:val="top"/>
          </w:tcPr>
          <w:p w14:paraId="5594B737">
            <w:pPr>
              <w:rPr>
                <w:rFonts w:ascii="Arial"/>
                <w:sz w:val="21"/>
              </w:rPr>
            </w:pPr>
          </w:p>
        </w:tc>
        <w:tc>
          <w:tcPr>
            <w:tcW w:w="708" w:type="dxa"/>
            <w:vAlign w:val="top"/>
          </w:tcPr>
          <w:p w14:paraId="20A7E23E">
            <w:pPr>
              <w:rPr>
                <w:rFonts w:ascii="Arial"/>
                <w:sz w:val="21"/>
              </w:rPr>
            </w:pPr>
          </w:p>
        </w:tc>
        <w:tc>
          <w:tcPr>
            <w:tcW w:w="922" w:type="dxa"/>
            <w:vAlign w:val="top"/>
          </w:tcPr>
          <w:p w14:paraId="706412B1">
            <w:pPr>
              <w:rPr>
                <w:rFonts w:ascii="Arial"/>
                <w:sz w:val="21"/>
              </w:rPr>
            </w:pPr>
          </w:p>
        </w:tc>
        <w:tc>
          <w:tcPr>
            <w:tcW w:w="1138" w:type="dxa"/>
            <w:vAlign w:val="top"/>
          </w:tcPr>
          <w:p w14:paraId="5E0C79E6">
            <w:pPr>
              <w:rPr>
                <w:rFonts w:ascii="Arial"/>
                <w:sz w:val="21"/>
              </w:rPr>
            </w:pPr>
          </w:p>
        </w:tc>
        <w:tc>
          <w:tcPr>
            <w:tcW w:w="795" w:type="dxa"/>
            <w:vAlign w:val="top"/>
          </w:tcPr>
          <w:p w14:paraId="6B2B3660">
            <w:pPr>
              <w:rPr>
                <w:rFonts w:ascii="Arial"/>
                <w:sz w:val="21"/>
              </w:rPr>
            </w:pPr>
          </w:p>
        </w:tc>
        <w:tc>
          <w:tcPr>
            <w:tcW w:w="924" w:type="dxa"/>
            <w:vAlign w:val="top"/>
          </w:tcPr>
          <w:p w14:paraId="1723F0EC">
            <w:pPr>
              <w:rPr>
                <w:rFonts w:ascii="Arial"/>
                <w:sz w:val="21"/>
              </w:rPr>
            </w:pPr>
          </w:p>
        </w:tc>
      </w:tr>
      <w:tr w14:paraId="790D7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75DEB63B">
            <w:pPr>
              <w:rPr>
                <w:rFonts w:ascii="Arial"/>
                <w:sz w:val="21"/>
              </w:rPr>
            </w:pPr>
          </w:p>
        </w:tc>
        <w:tc>
          <w:tcPr>
            <w:tcW w:w="1249" w:type="dxa"/>
            <w:vAlign w:val="top"/>
          </w:tcPr>
          <w:p w14:paraId="0F8F07F3">
            <w:pPr>
              <w:rPr>
                <w:rFonts w:ascii="Arial"/>
                <w:sz w:val="21"/>
              </w:rPr>
            </w:pPr>
          </w:p>
        </w:tc>
        <w:tc>
          <w:tcPr>
            <w:tcW w:w="1016" w:type="dxa"/>
            <w:vAlign w:val="top"/>
          </w:tcPr>
          <w:p w14:paraId="25877E8B">
            <w:pPr>
              <w:rPr>
                <w:rFonts w:ascii="Arial"/>
                <w:sz w:val="21"/>
              </w:rPr>
            </w:pPr>
          </w:p>
        </w:tc>
        <w:tc>
          <w:tcPr>
            <w:tcW w:w="809" w:type="dxa"/>
            <w:vAlign w:val="top"/>
          </w:tcPr>
          <w:p w14:paraId="6ADD9F9E">
            <w:pPr>
              <w:rPr>
                <w:rFonts w:ascii="Arial"/>
                <w:sz w:val="21"/>
              </w:rPr>
            </w:pPr>
          </w:p>
        </w:tc>
        <w:tc>
          <w:tcPr>
            <w:tcW w:w="708" w:type="dxa"/>
            <w:vAlign w:val="top"/>
          </w:tcPr>
          <w:p w14:paraId="7097739A">
            <w:pPr>
              <w:rPr>
                <w:rFonts w:ascii="Arial"/>
                <w:sz w:val="21"/>
              </w:rPr>
            </w:pPr>
          </w:p>
        </w:tc>
        <w:tc>
          <w:tcPr>
            <w:tcW w:w="922" w:type="dxa"/>
            <w:vAlign w:val="top"/>
          </w:tcPr>
          <w:p w14:paraId="2966A1BF">
            <w:pPr>
              <w:rPr>
                <w:rFonts w:ascii="Arial"/>
                <w:sz w:val="21"/>
              </w:rPr>
            </w:pPr>
          </w:p>
        </w:tc>
        <w:tc>
          <w:tcPr>
            <w:tcW w:w="1138" w:type="dxa"/>
            <w:vAlign w:val="top"/>
          </w:tcPr>
          <w:p w14:paraId="0757556E">
            <w:pPr>
              <w:rPr>
                <w:rFonts w:ascii="Arial"/>
                <w:sz w:val="21"/>
              </w:rPr>
            </w:pPr>
          </w:p>
        </w:tc>
        <w:tc>
          <w:tcPr>
            <w:tcW w:w="795" w:type="dxa"/>
            <w:vAlign w:val="top"/>
          </w:tcPr>
          <w:p w14:paraId="65FBE07B">
            <w:pPr>
              <w:rPr>
                <w:rFonts w:ascii="Arial"/>
                <w:sz w:val="21"/>
              </w:rPr>
            </w:pPr>
          </w:p>
        </w:tc>
        <w:tc>
          <w:tcPr>
            <w:tcW w:w="924" w:type="dxa"/>
            <w:vAlign w:val="top"/>
          </w:tcPr>
          <w:p w14:paraId="04C8F4AB">
            <w:pPr>
              <w:rPr>
                <w:rFonts w:ascii="Arial"/>
                <w:sz w:val="21"/>
              </w:rPr>
            </w:pPr>
          </w:p>
        </w:tc>
      </w:tr>
      <w:tr w14:paraId="3BF61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79BD4340">
            <w:pPr>
              <w:rPr>
                <w:rFonts w:ascii="Arial"/>
                <w:sz w:val="21"/>
              </w:rPr>
            </w:pPr>
          </w:p>
        </w:tc>
        <w:tc>
          <w:tcPr>
            <w:tcW w:w="1249" w:type="dxa"/>
            <w:vAlign w:val="top"/>
          </w:tcPr>
          <w:p w14:paraId="6DFF8B53">
            <w:pPr>
              <w:rPr>
                <w:rFonts w:ascii="Arial"/>
                <w:sz w:val="21"/>
              </w:rPr>
            </w:pPr>
          </w:p>
        </w:tc>
        <w:tc>
          <w:tcPr>
            <w:tcW w:w="1016" w:type="dxa"/>
            <w:vAlign w:val="top"/>
          </w:tcPr>
          <w:p w14:paraId="41E703CB">
            <w:pPr>
              <w:rPr>
                <w:rFonts w:ascii="Arial"/>
                <w:sz w:val="21"/>
              </w:rPr>
            </w:pPr>
          </w:p>
        </w:tc>
        <w:tc>
          <w:tcPr>
            <w:tcW w:w="809" w:type="dxa"/>
            <w:vAlign w:val="top"/>
          </w:tcPr>
          <w:p w14:paraId="52B009B6">
            <w:pPr>
              <w:rPr>
                <w:rFonts w:ascii="Arial"/>
                <w:sz w:val="21"/>
              </w:rPr>
            </w:pPr>
          </w:p>
        </w:tc>
        <w:tc>
          <w:tcPr>
            <w:tcW w:w="708" w:type="dxa"/>
            <w:vAlign w:val="top"/>
          </w:tcPr>
          <w:p w14:paraId="4A69058D">
            <w:pPr>
              <w:rPr>
                <w:rFonts w:ascii="Arial"/>
                <w:sz w:val="21"/>
              </w:rPr>
            </w:pPr>
          </w:p>
        </w:tc>
        <w:tc>
          <w:tcPr>
            <w:tcW w:w="922" w:type="dxa"/>
            <w:vAlign w:val="top"/>
          </w:tcPr>
          <w:p w14:paraId="10A73284">
            <w:pPr>
              <w:rPr>
                <w:rFonts w:ascii="Arial"/>
                <w:sz w:val="21"/>
              </w:rPr>
            </w:pPr>
          </w:p>
        </w:tc>
        <w:tc>
          <w:tcPr>
            <w:tcW w:w="1138" w:type="dxa"/>
            <w:vAlign w:val="top"/>
          </w:tcPr>
          <w:p w14:paraId="616E5A40">
            <w:pPr>
              <w:rPr>
                <w:rFonts w:ascii="Arial"/>
                <w:sz w:val="21"/>
              </w:rPr>
            </w:pPr>
          </w:p>
        </w:tc>
        <w:tc>
          <w:tcPr>
            <w:tcW w:w="795" w:type="dxa"/>
            <w:vAlign w:val="top"/>
          </w:tcPr>
          <w:p w14:paraId="5134667C">
            <w:pPr>
              <w:rPr>
                <w:rFonts w:ascii="Arial"/>
                <w:sz w:val="21"/>
              </w:rPr>
            </w:pPr>
          </w:p>
        </w:tc>
        <w:tc>
          <w:tcPr>
            <w:tcW w:w="924" w:type="dxa"/>
            <w:vAlign w:val="top"/>
          </w:tcPr>
          <w:p w14:paraId="63E17EFF">
            <w:pPr>
              <w:rPr>
                <w:rFonts w:ascii="Arial"/>
                <w:sz w:val="21"/>
              </w:rPr>
            </w:pPr>
          </w:p>
        </w:tc>
      </w:tr>
      <w:tr w14:paraId="051F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7D04B15A">
            <w:pPr>
              <w:rPr>
                <w:rFonts w:ascii="Arial"/>
                <w:sz w:val="21"/>
              </w:rPr>
            </w:pPr>
          </w:p>
        </w:tc>
        <w:tc>
          <w:tcPr>
            <w:tcW w:w="1249" w:type="dxa"/>
            <w:vAlign w:val="top"/>
          </w:tcPr>
          <w:p w14:paraId="4B1D0E9E">
            <w:pPr>
              <w:rPr>
                <w:rFonts w:ascii="Arial"/>
                <w:sz w:val="21"/>
              </w:rPr>
            </w:pPr>
          </w:p>
        </w:tc>
        <w:tc>
          <w:tcPr>
            <w:tcW w:w="1016" w:type="dxa"/>
            <w:vAlign w:val="top"/>
          </w:tcPr>
          <w:p w14:paraId="20F58EB7">
            <w:pPr>
              <w:rPr>
                <w:rFonts w:ascii="Arial"/>
                <w:sz w:val="21"/>
              </w:rPr>
            </w:pPr>
          </w:p>
        </w:tc>
        <w:tc>
          <w:tcPr>
            <w:tcW w:w="809" w:type="dxa"/>
            <w:vAlign w:val="top"/>
          </w:tcPr>
          <w:p w14:paraId="2420D7E4">
            <w:pPr>
              <w:rPr>
                <w:rFonts w:ascii="Arial"/>
                <w:sz w:val="21"/>
              </w:rPr>
            </w:pPr>
          </w:p>
        </w:tc>
        <w:tc>
          <w:tcPr>
            <w:tcW w:w="708" w:type="dxa"/>
            <w:vAlign w:val="top"/>
          </w:tcPr>
          <w:p w14:paraId="21FC961F">
            <w:pPr>
              <w:rPr>
                <w:rFonts w:ascii="Arial"/>
                <w:sz w:val="21"/>
              </w:rPr>
            </w:pPr>
          </w:p>
        </w:tc>
        <w:tc>
          <w:tcPr>
            <w:tcW w:w="922" w:type="dxa"/>
            <w:vAlign w:val="top"/>
          </w:tcPr>
          <w:p w14:paraId="23C14EC7">
            <w:pPr>
              <w:rPr>
                <w:rFonts w:ascii="Arial"/>
                <w:sz w:val="21"/>
              </w:rPr>
            </w:pPr>
          </w:p>
        </w:tc>
        <w:tc>
          <w:tcPr>
            <w:tcW w:w="1138" w:type="dxa"/>
            <w:vAlign w:val="top"/>
          </w:tcPr>
          <w:p w14:paraId="0F835504">
            <w:pPr>
              <w:rPr>
                <w:rFonts w:ascii="Arial"/>
                <w:sz w:val="21"/>
              </w:rPr>
            </w:pPr>
          </w:p>
        </w:tc>
        <w:tc>
          <w:tcPr>
            <w:tcW w:w="795" w:type="dxa"/>
            <w:vAlign w:val="top"/>
          </w:tcPr>
          <w:p w14:paraId="575BA962">
            <w:pPr>
              <w:rPr>
                <w:rFonts w:ascii="Arial"/>
                <w:sz w:val="21"/>
              </w:rPr>
            </w:pPr>
          </w:p>
        </w:tc>
        <w:tc>
          <w:tcPr>
            <w:tcW w:w="924" w:type="dxa"/>
            <w:vAlign w:val="top"/>
          </w:tcPr>
          <w:p w14:paraId="0E442510">
            <w:pPr>
              <w:rPr>
                <w:rFonts w:ascii="Arial"/>
                <w:sz w:val="21"/>
              </w:rPr>
            </w:pPr>
          </w:p>
        </w:tc>
      </w:tr>
      <w:tr w14:paraId="1961D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604702B6">
            <w:pPr>
              <w:rPr>
                <w:rFonts w:ascii="Arial"/>
                <w:sz w:val="21"/>
              </w:rPr>
            </w:pPr>
          </w:p>
        </w:tc>
        <w:tc>
          <w:tcPr>
            <w:tcW w:w="1249" w:type="dxa"/>
            <w:vAlign w:val="top"/>
          </w:tcPr>
          <w:p w14:paraId="71123C59">
            <w:pPr>
              <w:rPr>
                <w:rFonts w:ascii="Arial"/>
                <w:sz w:val="21"/>
              </w:rPr>
            </w:pPr>
          </w:p>
        </w:tc>
        <w:tc>
          <w:tcPr>
            <w:tcW w:w="1016" w:type="dxa"/>
            <w:vAlign w:val="top"/>
          </w:tcPr>
          <w:p w14:paraId="3A495AA5">
            <w:pPr>
              <w:rPr>
                <w:rFonts w:ascii="Arial"/>
                <w:sz w:val="21"/>
              </w:rPr>
            </w:pPr>
          </w:p>
        </w:tc>
        <w:tc>
          <w:tcPr>
            <w:tcW w:w="809" w:type="dxa"/>
            <w:vAlign w:val="top"/>
          </w:tcPr>
          <w:p w14:paraId="18193355">
            <w:pPr>
              <w:rPr>
                <w:rFonts w:ascii="Arial"/>
                <w:sz w:val="21"/>
              </w:rPr>
            </w:pPr>
          </w:p>
        </w:tc>
        <w:tc>
          <w:tcPr>
            <w:tcW w:w="708" w:type="dxa"/>
            <w:vAlign w:val="top"/>
          </w:tcPr>
          <w:p w14:paraId="723905CA">
            <w:pPr>
              <w:rPr>
                <w:rFonts w:ascii="Arial"/>
                <w:sz w:val="21"/>
              </w:rPr>
            </w:pPr>
          </w:p>
        </w:tc>
        <w:tc>
          <w:tcPr>
            <w:tcW w:w="922" w:type="dxa"/>
            <w:vAlign w:val="top"/>
          </w:tcPr>
          <w:p w14:paraId="7375A6CE">
            <w:pPr>
              <w:rPr>
                <w:rFonts w:ascii="Arial"/>
                <w:sz w:val="21"/>
              </w:rPr>
            </w:pPr>
          </w:p>
        </w:tc>
        <w:tc>
          <w:tcPr>
            <w:tcW w:w="1138" w:type="dxa"/>
            <w:vAlign w:val="top"/>
          </w:tcPr>
          <w:p w14:paraId="64378FDF">
            <w:pPr>
              <w:rPr>
                <w:rFonts w:ascii="Arial"/>
                <w:sz w:val="21"/>
              </w:rPr>
            </w:pPr>
          </w:p>
        </w:tc>
        <w:tc>
          <w:tcPr>
            <w:tcW w:w="795" w:type="dxa"/>
            <w:vAlign w:val="top"/>
          </w:tcPr>
          <w:p w14:paraId="6CC782EF">
            <w:pPr>
              <w:rPr>
                <w:rFonts w:ascii="Arial"/>
                <w:sz w:val="21"/>
              </w:rPr>
            </w:pPr>
          </w:p>
        </w:tc>
        <w:tc>
          <w:tcPr>
            <w:tcW w:w="924" w:type="dxa"/>
            <w:vAlign w:val="top"/>
          </w:tcPr>
          <w:p w14:paraId="12E6FDE7">
            <w:pPr>
              <w:rPr>
                <w:rFonts w:ascii="Arial"/>
                <w:sz w:val="21"/>
              </w:rPr>
            </w:pPr>
          </w:p>
        </w:tc>
      </w:tr>
      <w:tr w14:paraId="138BA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8" w:type="dxa"/>
            <w:vAlign w:val="top"/>
          </w:tcPr>
          <w:p w14:paraId="4CA4003E">
            <w:pPr>
              <w:rPr>
                <w:rFonts w:ascii="Arial"/>
                <w:sz w:val="21"/>
              </w:rPr>
            </w:pPr>
          </w:p>
        </w:tc>
        <w:tc>
          <w:tcPr>
            <w:tcW w:w="1249" w:type="dxa"/>
            <w:vAlign w:val="top"/>
          </w:tcPr>
          <w:p w14:paraId="2CA87183">
            <w:pPr>
              <w:rPr>
                <w:rFonts w:ascii="Arial"/>
                <w:sz w:val="21"/>
              </w:rPr>
            </w:pPr>
          </w:p>
        </w:tc>
        <w:tc>
          <w:tcPr>
            <w:tcW w:w="1016" w:type="dxa"/>
            <w:vAlign w:val="top"/>
          </w:tcPr>
          <w:p w14:paraId="71175EB9">
            <w:pPr>
              <w:rPr>
                <w:rFonts w:ascii="Arial"/>
                <w:sz w:val="21"/>
              </w:rPr>
            </w:pPr>
          </w:p>
        </w:tc>
        <w:tc>
          <w:tcPr>
            <w:tcW w:w="809" w:type="dxa"/>
            <w:vAlign w:val="top"/>
          </w:tcPr>
          <w:p w14:paraId="6A9946D2">
            <w:pPr>
              <w:rPr>
                <w:rFonts w:ascii="Arial"/>
                <w:sz w:val="21"/>
              </w:rPr>
            </w:pPr>
          </w:p>
        </w:tc>
        <w:tc>
          <w:tcPr>
            <w:tcW w:w="708" w:type="dxa"/>
            <w:vAlign w:val="top"/>
          </w:tcPr>
          <w:p w14:paraId="79ED364E">
            <w:pPr>
              <w:rPr>
                <w:rFonts w:ascii="Arial"/>
                <w:sz w:val="21"/>
              </w:rPr>
            </w:pPr>
          </w:p>
        </w:tc>
        <w:tc>
          <w:tcPr>
            <w:tcW w:w="922" w:type="dxa"/>
            <w:vAlign w:val="top"/>
          </w:tcPr>
          <w:p w14:paraId="5AC3B4A9">
            <w:pPr>
              <w:rPr>
                <w:rFonts w:ascii="Arial"/>
                <w:sz w:val="21"/>
              </w:rPr>
            </w:pPr>
          </w:p>
        </w:tc>
        <w:tc>
          <w:tcPr>
            <w:tcW w:w="1138" w:type="dxa"/>
            <w:vAlign w:val="top"/>
          </w:tcPr>
          <w:p w14:paraId="6BE7CEEB">
            <w:pPr>
              <w:rPr>
                <w:rFonts w:ascii="Arial"/>
                <w:sz w:val="21"/>
              </w:rPr>
            </w:pPr>
          </w:p>
        </w:tc>
        <w:tc>
          <w:tcPr>
            <w:tcW w:w="795" w:type="dxa"/>
            <w:vAlign w:val="top"/>
          </w:tcPr>
          <w:p w14:paraId="3519711D">
            <w:pPr>
              <w:rPr>
                <w:rFonts w:ascii="Arial"/>
                <w:sz w:val="21"/>
              </w:rPr>
            </w:pPr>
          </w:p>
        </w:tc>
        <w:tc>
          <w:tcPr>
            <w:tcW w:w="924" w:type="dxa"/>
            <w:vAlign w:val="top"/>
          </w:tcPr>
          <w:p w14:paraId="6616276C">
            <w:pPr>
              <w:rPr>
                <w:rFonts w:ascii="Arial"/>
                <w:sz w:val="21"/>
              </w:rPr>
            </w:pPr>
          </w:p>
        </w:tc>
      </w:tr>
    </w:tbl>
    <w:p w14:paraId="14994C76">
      <w:pPr>
        <w:pStyle w:val="2"/>
      </w:pPr>
    </w:p>
    <w:p w14:paraId="0F23EB3A">
      <w:pPr>
        <w:sectPr>
          <w:footerReference r:id="rId5" w:type="default"/>
          <w:pgSz w:w="11906" w:h="16839"/>
          <w:pgMar w:top="400" w:right="1623" w:bottom="1420" w:left="1621" w:header="0" w:footer="1184" w:gutter="0"/>
          <w:cols w:space="720" w:num="1"/>
        </w:sectPr>
      </w:pPr>
    </w:p>
    <w:p w14:paraId="7C085F13">
      <w:pPr>
        <w:spacing w:before="91" w:line="220" w:lineRule="auto"/>
        <w:ind w:left="24"/>
        <w:rPr>
          <w:rFonts w:ascii="宋体" w:hAnsi="宋体" w:eastAsia="宋体" w:cs="宋体"/>
          <w:sz w:val="28"/>
          <w:szCs w:val="28"/>
        </w:rPr>
      </w:pPr>
      <w:r>
        <w:rPr>
          <w:rFonts w:ascii="宋体" w:hAnsi="宋体" w:eastAsia="宋体" w:cs="宋体"/>
          <w:b/>
          <w:bCs/>
          <w:spacing w:val="-6"/>
          <w:sz w:val="28"/>
          <w:szCs w:val="28"/>
        </w:rPr>
        <w:t>附件</w:t>
      </w:r>
      <w:r>
        <w:rPr>
          <w:rFonts w:hint="eastAsia" w:ascii="宋体" w:hAnsi="宋体" w:eastAsia="宋体" w:cs="宋体"/>
          <w:b/>
          <w:bCs/>
          <w:spacing w:val="-6"/>
          <w:sz w:val="28"/>
          <w:szCs w:val="28"/>
          <w:lang w:val="en-US" w:eastAsia="zh-CN"/>
        </w:rPr>
        <w:t>4</w:t>
      </w:r>
      <w:r>
        <w:rPr>
          <w:rFonts w:ascii="宋体" w:hAnsi="宋体" w:eastAsia="宋体" w:cs="宋体"/>
          <w:b/>
          <w:bCs/>
          <w:spacing w:val="-6"/>
          <w:sz w:val="28"/>
          <w:szCs w:val="28"/>
        </w:rPr>
        <w:t>：工程质量保修书</w:t>
      </w:r>
    </w:p>
    <w:p w14:paraId="1E32CA83">
      <w:pPr>
        <w:spacing w:before="148" w:line="226" w:lineRule="auto"/>
        <w:ind w:left="2035"/>
        <w:rPr>
          <w:rFonts w:ascii="黑体" w:hAnsi="黑体" w:eastAsia="黑体" w:cs="黑体"/>
          <w:sz w:val="31"/>
          <w:szCs w:val="31"/>
        </w:rPr>
      </w:pPr>
      <w:r>
        <w:rPr>
          <w:rFonts w:ascii="黑体" w:hAnsi="黑体" w:eastAsia="黑体" w:cs="黑体"/>
          <w:b/>
          <w:bCs/>
          <w:spacing w:val="6"/>
          <w:sz w:val="31"/>
          <w:szCs w:val="31"/>
        </w:rPr>
        <w:t>工程质量保修书（房屋建筑工程）</w:t>
      </w:r>
    </w:p>
    <w:p w14:paraId="545E21B5">
      <w:pPr>
        <w:spacing w:before="231" w:line="229" w:lineRule="auto"/>
        <w:ind w:left="423"/>
        <w:rPr>
          <w:rFonts w:ascii="宋体" w:hAnsi="宋体" w:eastAsia="宋体" w:cs="宋体"/>
          <w:sz w:val="20"/>
          <w:szCs w:val="20"/>
        </w:rPr>
      </w:pPr>
      <w:r>
        <w:rPr>
          <w:rFonts w:ascii="宋体" w:hAnsi="宋体" w:eastAsia="宋体" w:cs="宋体"/>
          <w:spacing w:val="7"/>
          <w:sz w:val="20"/>
          <w:szCs w:val="20"/>
        </w:rPr>
        <w:t>发包人（全称</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4EE51FCE">
      <w:pPr>
        <w:spacing w:before="112" w:line="228" w:lineRule="auto"/>
        <w:ind w:left="420"/>
        <w:rPr>
          <w:rFonts w:ascii="宋体" w:hAnsi="宋体" w:eastAsia="宋体" w:cs="宋体"/>
          <w:sz w:val="20"/>
          <w:szCs w:val="20"/>
        </w:rPr>
      </w:pPr>
      <w:r>
        <w:rPr>
          <w:rFonts w:ascii="宋体" w:hAnsi="宋体" w:eastAsia="宋体" w:cs="宋体"/>
          <w:spacing w:val="8"/>
          <w:sz w:val="20"/>
          <w:szCs w:val="20"/>
        </w:rPr>
        <w:t>承包人（全称</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179266E1">
      <w:pPr>
        <w:pStyle w:val="2"/>
        <w:spacing w:line="405" w:lineRule="auto"/>
      </w:pPr>
    </w:p>
    <w:p w14:paraId="7D92DA71">
      <w:pPr>
        <w:spacing w:before="66" w:line="332" w:lineRule="auto"/>
        <w:ind w:left="1" w:firstLine="421"/>
        <w:rPr>
          <w:rFonts w:ascii="宋体" w:hAnsi="宋体" w:eastAsia="宋体" w:cs="宋体"/>
          <w:sz w:val="20"/>
          <w:szCs w:val="20"/>
        </w:rPr>
      </w:pPr>
      <w:r>
        <w:rPr>
          <w:rFonts w:ascii="宋体" w:hAnsi="宋体" w:eastAsia="宋体" w:cs="宋体"/>
          <w:spacing w:val="11"/>
          <w:sz w:val="20"/>
          <w:szCs w:val="20"/>
        </w:rPr>
        <w:t>发包人和承包人根据《中华人民共和国建筑法》和《建设工程质量管理条例》，经协商一致</w:t>
      </w:r>
      <w:r>
        <w:rPr>
          <w:rFonts w:ascii="宋体" w:hAnsi="宋体" w:eastAsia="宋体" w:cs="宋体"/>
          <w:spacing w:val="7"/>
          <w:sz w:val="20"/>
          <w:szCs w:val="20"/>
        </w:rPr>
        <w:t>就</w:t>
      </w:r>
      <w:r>
        <w:rPr>
          <w:rFonts w:ascii="宋体" w:hAnsi="宋体" w:eastAsia="宋体" w:cs="宋体"/>
          <w:spacing w:val="85"/>
          <w:sz w:val="20"/>
          <w:szCs w:val="20"/>
          <w:u w:val="single" w:color="auto"/>
        </w:rPr>
        <w:t xml:space="preserve"> </w:t>
      </w:r>
      <w:r>
        <w:rPr>
          <w:rFonts w:hint="eastAsia" w:ascii="宋体" w:hAnsi="宋体" w:eastAsia="宋体" w:cs="宋体"/>
          <w:spacing w:val="7"/>
          <w:sz w:val="20"/>
          <w:szCs w:val="20"/>
          <w:u w:val="single" w:color="auto"/>
          <w:lang w:eastAsia="zh-CN"/>
        </w:rPr>
        <w:t>岑溪市梨木镇梨木社区农产品交易中心建设项目</w:t>
      </w:r>
      <w:r>
        <w:rPr>
          <w:rFonts w:ascii="宋体" w:hAnsi="宋体" w:eastAsia="宋体" w:cs="宋体"/>
          <w:spacing w:val="7"/>
          <w:sz w:val="20"/>
          <w:szCs w:val="20"/>
          <w:u w:val="single" w:color="auto"/>
        </w:rPr>
        <w:t>（</w:t>
      </w:r>
      <w:r>
        <w:rPr>
          <w:rFonts w:ascii="宋体" w:hAnsi="宋体" w:eastAsia="宋体" w:cs="宋体"/>
          <w:spacing w:val="-57"/>
          <w:sz w:val="20"/>
          <w:szCs w:val="20"/>
          <w:u w:val="single" w:color="auto"/>
        </w:rPr>
        <w:t xml:space="preserve"> </w:t>
      </w:r>
      <w:r>
        <w:rPr>
          <w:rFonts w:ascii="宋体" w:hAnsi="宋体" w:eastAsia="宋体" w:cs="宋体"/>
          <w:spacing w:val="7"/>
          <w:sz w:val="20"/>
          <w:szCs w:val="20"/>
        </w:rPr>
        <w:t>工程全称）签订工程质量保修书。</w:t>
      </w:r>
    </w:p>
    <w:p w14:paraId="2A2CB4C6">
      <w:pPr>
        <w:spacing w:before="1" w:line="229" w:lineRule="auto"/>
        <w:ind w:left="423"/>
        <w:rPr>
          <w:rFonts w:ascii="黑体" w:hAnsi="黑体" w:eastAsia="黑体" w:cs="黑体"/>
          <w:sz w:val="20"/>
          <w:szCs w:val="20"/>
        </w:rPr>
      </w:pPr>
      <w:r>
        <w:rPr>
          <w:rFonts w:ascii="黑体" w:hAnsi="黑体" w:eastAsia="黑体" w:cs="黑体"/>
          <w:spacing w:val="9"/>
          <w:sz w:val="20"/>
          <w:szCs w:val="20"/>
        </w:rPr>
        <w:t>一、工程质量保修范围和内容</w:t>
      </w:r>
    </w:p>
    <w:p w14:paraId="73500366">
      <w:pPr>
        <w:spacing w:before="111" w:line="228" w:lineRule="auto"/>
        <w:ind w:left="420"/>
        <w:rPr>
          <w:rFonts w:ascii="宋体" w:hAnsi="宋体" w:eastAsia="宋体" w:cs="宋体"/>
          <w:sz w:val="20"/>
          <w:szCs w:val="20"/>
        </w:rPr>
      </w:pPr>
      <w:r>
        <w:rPr>
          <w:rFonts w:ascii="宋体" w:hAnsi="宋体" w:eastAsia="宋体" w:cs="宋体"/>
          <w:spacing w:val="9"/>
          <w:sz w:val="20"/>
          <w:szCs w:val="20"/>
        </w:rPr>
        <w:t>承包人在质量保修期内，按照有关法律规定和合同约定，承担工程质量保修责任。</w:t>
      </w:r>
    </w:p>
    <w:p w14:paraId="6862B5B2">
      <w:pPr>
        <w:spacing w:before="114" w:line="332" w:lineRule="auto"/>
        <w:ind w:firstLine="420"/>
        <w:rPr>
          <w:rFonts w:ascii="宋体" w:hAnsi="宋体" w:eastAsia="宋体" w:cs="宋体"/>
          <w:sz w:val="20"/>
          <w:szCs w:val="20"/>
        </w:rPr>
      </w:pPr>
      <w:r>
        <w:rPr>
          <w:rFonts w:ascii="宋体" w:hAnsi="宋体" w:eastAsia="宋体" w:cs="宋体"/>
          <w:spacing w:val="11"/>
          <w:sz w:val="20"/>
          <w:szCs w:val="20"/>
        </w:rPr>
        <w:t>质量保修范围包括地基基础工程、主体结构工程，屋面防水工程、有防水要求的卫生间、房间和外墙面的防渗漏，供热与供冷系统，电气管线、给排水管道、设备安装和装修工程，以及双</w:t>
      </w:r>
      <w:r>
        <w:rPr>
          <w:rFonts w:ascii="宋体" w:hAnsi="宋体" w:eastAsia="宋体" w:cs="宋体"/>
          <w:spacing w:val="7"/>
          <w:sz w:val="20"/>
          <w:szCs w:val="20"/>
        </w:rPr>
        <w:t>方约定的其他项目。具体保修的内容，双方约定如下：</w:t>
      </w:r>
      <w:r>
        <w:rPr>
          <w:rFonts w:ascii="Times New Roman" w:hAnsi="Times New Roman" w:eastAsia="Times New Roman" w:cs="Times New Roman"/>
          <w:spacing w:val="7"/>
          <w:sz w:val="20"/>
          <w:szCs w:val="20"/>
          <w:u w:val="single" w:color="auto"/>
        </w:rPr>
        <w:t xml:space="preserve">    /    </w:t>
      </w:r>
      <w:r>
        <w:rPr>
          <w:rFonts w:ascii="宋体" w:hAnsi="宋体" w:eastAsia="宋体" w:cs="宋体"/>
          <w:spacing w:val="7"/>
          <w:sz w:val="20"/>
          <w:szCs w:val="20"/>
        </w:rPr>
        <w:t>。</w:t>
      </w:r>
    </w:p>
    <w:p w14:paraId="11F22620">
      <w:pPr>
        <w:spacing w:before="1" w:line="229" w:lineRule="auto"/>
        <w:ind w:left="423"/>
        <w:rPr>
          <w:rFonts w:ascii="黑体" w:hAnsi="黑体" w:eastAsia="黑体" w:cs="黑体"/>
          <w:sz w:val="20"/>
          <w:szCs w:val="20"/>
        </w:rPr>
      </w:pPr>
      <w:r>
        <w:rPr>
          <w:rFonts w:ascii="黑体" w:hAnsi="黑体" w:eastAsia="黑体" w:cs="黑体"/>
          <w:spacing w:val="8"/>
          <w:sz w:val="20"/>
          <w:szCs w:val="20"/>
        </w:rPr>
        <w:t>二、质量保修期</w:t>
      </w:r>
    </w:p>
    <w:p w14:paraId="1FCF304A">
      <w:pPr>
        <w:spacing w:before="111" w:line="228" w:lineRule="auto"/>
        <w:ind w:left="420"/>
        <w:rPr>
          <w:rFonts w:ascii="宋体" w:hAnsi="宋体" w:eastAsia="宋体" w:cs="宋体"/>
          <w:sz w:val="20"/>
          <w:szCs w:val="20"/>
        </w:rPr>
      </w:pPr>
      <w:r>
        <w:rPr>
          <w:rFonts w:ascii="宋体" w:hAnsi="宋体" w:eastAsia="宋体" w:cs="宋体"/>
          <w:spacing w:val="9"/>
          <w:sz w:val="20"/>
          <w:szCs w:val="20"/>
        </w:rPr>
        <w:t>根据《建设工程质量管理条例》及有关规定，工程的质量保修期如下：</w:t>
      </w:r>
    </w:p>
    <w:p w14:paraId="3F46D498">
      <w:pPr>
        <w:spacing w:before="82" w:line="274" w:lineRule="exact"/>
        <w:ind w:left="436"/>
        <w:rPr>
          <w:rFonts w:ascii="宋体" w:hAnsi="宋体" w:eastAsia="宋体" w:cs="宋体"/>
          <w:sz w:val="20"/>
          <w:szCs w:val="20"/>
        </w:rPr>
      </w:pPr>
      <w:r>
        <w:rPr>
          <w:rFonts w:ascii="Times New Roman" w:hAnsi="Times New Roman" w:eastAsia="Times New Roman" w:cs="Times New Roman"/>
          <w:spacing w:val="9"/>
          <w:position w:val="1"/>
          <w:sz w:val="20"/>
          <w:szCs w:val="20"/>
        </w:rPr>
        <w:t>1</w:t>
      </w:r>
      <w:r>
        <w:rPr>
          <w:rFonts w:ascii="宋体" w:hAnsi="宋体" w:eastAsia="宋体" w:cs="宋体"/>
          <w:spacing w:val="9"/>
          <w:position w:val="1"/>
          <w:sz w:val="20"/>
          <w:szCs w:val="20"/>
        </w:rPr>
        <w:t>．地基基础工程和主体结构工程为设计文件规</w:t>
      </w:r>
      <w:r>
        <w:rPr>
          <w:rFonts w:ascii="宋体" w:hAnsi="宋体" w:eastAsia="宋体" w:cs="宋体"/>
          <w:spacing w:val="8"/>
          <w:position w:val="1"/>
          <w:sz w:val="20"/>
          <w:szCs w:val="20"/>
        </w:rPr>
        <w:t>定的工程合理使用年限；</w:t>
      </w:r>
    </w:p>
    <w:p w14:paraId="04BE6FA2">
      <w:pPr>
        <w:spacing w:before="86" w:line="288" w:lineRule="auto"/>
        <w:ind w:left="416"/>
        <w:rPr>
          <w:rFonts w:ascii="宋体" w:hAnsi="宋体" w:eastAsia="宋体" w:cs="宋体"/>
          <w:sz w:val="20"/>
          <w:szCs w:val="20"/>
        </w:rPr>
      </w:pPr>
      <w:r>
        <w:rPr>
          <w:rFonts w:ascii="Times New Roman" w:hAnsi="Times New Roman" w:eastAsia="Times New Roman" w:cs="Times New Roman"/>
          <w:spacing w:val="9"/>
          <w:sz w:val="20"/>
          <w:szCs w:val="20"/>
        </w:rPr>
        <w:t>2</w:t>
      </w:r>
      <w:r>
        <w:rPr>
          <w:rFonts w:ascii="宋体" w:hAnsi="宋体" w:eastAsia="宋体" w:cs="宋体"/>
          <w:spacing w:val="9"/>
          <w:sz w:val="20"/>
          <w:szCs w:val="20"/>
        </w:rPr>
        <w:t>．屋面防水工程、有防水要求的卫生间、房</w:t>
      </w:r>
      <w:r>
        <w:rPr>
          <w:rFonts w:ascii="宋体" w:hAnsi="宋体" w:eastAsia="宋体" w:cs="宋体"/>
          <w:spacing w:val="8"/>
          <w:sz w:val="20"/>
          <w:szCs w:val="20"/>
        </w:rPr>
        <w:t>间和外墙面的防渗为</w:t>
      </w:r>
      <w:r>
        <w:rPr>
          <w:rFonts w:ascii="宋体" w:hAnsi="宋体" w:eastAsia="宋体" w:cs="宋体"/>
          <w:spacing w:val="8"/>
          <w:sz w:val="20"/>
          <w:szCs w:val="20"/>
          <w:u w:val="single" w:color="auto"/>
        </w:rPr>
        <w:t xml:space="preserve">  伍  </w:t>
      </w:r>
      <w:r>
        <w:rPr>
          <w:rFonts w:ascii="宋体" w:hAnsi="宋体" w:eastAsia="宋体" w:cs="宋体"/>
          <w:spacing w:val="-90"/>
          <w:sz w:val="20"/>
          <w:szCs w:val="20"/>
        </w:rPr>
        <w:t xml:space="preserve"> </w:t>
      </w:r>
      <w:r>
        <w:rPr>
          <w:rFonts w:ascii="宋体" w:hAnsi="宋体" w:eastAsia="宋体" w:cs="宋体"/>
          <w:spacing w:val="8"/>
          <w:sz w:val="20"/>
          <w:szCs w:val="20"/>
        </w:rPr>
        <w:t>年；</w:t>
      </w:r>
    </w:p>
    <w:p w14:paraId="29ED8CB6">
      <w:pPr>
        <w:spacing w:before="48" w:line="287" w:lineRule="auto"/>
        <w:ind w:left="420"/>
        <w:rPr>
          <w:rFonts w:ascii="宋体" w:hAnsi="宋体" w:eastAsia="宋体" w:cs="宋体"/>
          <w:sz w:val="20"/>
          <w:szCs w:val="20"/>
        </w:rPr>
      </w:pPr>
      <w:r>
        <w:rPr>
          <w:rFonts w:ascii="Times New Roman" w:hAnsi="Times New Roman" w:eastAsia="Times New Roman" w:cs="Times New Roman"/>
          <w:spacing w:val="6"/>
          <w:sz w:val="20"/>
          <w:szCs w:val="20"/>
        </w:rPr>
        <w:t>3</w:t>
      </w:r>
      <w:r>
        <w:rPr>
          <w:rFonts w:ascii="宋体" w:hAnsi="宋体" w:eastAsia="宋体" w:cs="宋体"/>
          <w:spacing w:val="6"/>
          <w:sz w:val="20"/>
          <w:szCs w:val="20"/>
        </w:rPr>
        <w:t>．装修工程为</w:t>
      </w:r>
      <w:r>
        <w:rPr>
          <w:rFonts w:ascii="宋体" w:hAnsi="宋体" w:eastAsia="宋体" w:cs="宋体"/>
          <w:spacing w:val="6"/>
          <w:sz w:val="20"/>
          <w:szCs w:val="20"/>
          <w:u w:val="single" w:color="auto"/>
        </w:rPr>
        <w:t xml:space="preserve">   贰   </w:t>
      </w:r>
      <w:r>
        <w:rPr>
          <w:rFonts w:ascii="宋体" w:hAnsi="宋体" w:eastAsia="宋体" w:cs="宋体"/>
          <w:spacing w:val="-91"/>
          <w:sz w:val="20"/>
          <w:szCs w:val="20"/>
        </w:rPr>
        <w:t xml:space="preserve"> </w:t>
      </w:r>
      <w:r>
        <w:rPr>
          <w:rFonts w:ascii="宋体" w:hAnsi="宋体" w:eastAsia="宋体" w:cs="宋体"/>
          <w:spacing w:val="6"/>
          <w:sz w:val="20"/>
          <w:szCs w:val="20"/>
        </w:rPr>
        <w:t>年；</w:t>
      </w:r>
    </w:p>
    <w:p w14:paraId="6894A5E1">
      <w:pPr>
        <w:spacing w:before="49" w:line="287" w:lineRule="auto"/>
        <w:ind w:left="41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宋体" w:hAnsi="宋体" w:eastAsia="宋体" w:cs="宋体"/>
          <w:spacing w:val="6"/>
          <w:sz w:val="20"/>
          <w:szCs w:val="20"/>
        </w:rPr>
        <w:t>．</w:t>
      </w:r>
      <w:r>
        <w:rPr>
          <w:rFonts w:ascii="宋体" w:hAnsi="宋体" w:eastAsia="宋体" w:cs="宋体"/>
          <w:spacing w:val="-45"/>
          <w:sz w:val="20"/>
          <w:szCs w:val="20"/>
        </w:rPr>
        <w:t xml:space="preserve"> </w:t>
      </w:r>
      <w:r>
        <w:rPr>
          <w:rFonts w:ascii="宋体" w:hAnsi="宋体" w:eastAsia="宋体" w:cs="宋体"/>
          <w:spacing w:val="6"/>
          <w:sz w:val="20"/>
          <w:szCs w:val="20"/>
        </w:rPr>
        <w:t>电气管线、给排水管道、设备安装工程为</w:t>
      </w:r>
      <w:r>
        <w:rPr>
          <w:rFonts w:ascii="宋体" w:hAnsi="宋体" w:eastAsia="宋体" w:cs="宋体"/>
          <w:spacing w:val="6"/>
          <w:sz w:val="20"/>
          <w:szCs w:val="20"/>
          <w:u w:val="single" w:color="auto"/>
        </w:rPr>
        <w:t xml:space="preserve">   贰   </w:t>
      </w:r>
      <w:r>
        <w:rPr>
          <w:rFonts w:ascii="宋体" w:hAnsi="宋体" w:eastAsia="宋体" w:cs="宋体"/>
          <w:spacing w:val="-90"/>
          <w:sz w:val="20"/>
          <w:szCs w:val="20"/>
        </w:rPr>
        <w:t xml:space="preserve"> </w:t>
      </w:r>
      <w:r>
        <w:rPr>
          <w:rFonts w:ascii="宋体" w:hAnsi="宋体" w:eastAsia="宋体" w:cs="宋体"/>
          <w:spacing w:val="6"/>
          <w:sz w:val="20"/>
          <w:szCs w:val="20"/>
        </w:rPr>
        <w:t>年；</w:t>
      </w:r>
    </w:p>
    <w:p w14:paraId="62286018">
      <w:pPr>
        <w:spacing w:before="79" w:line="228" w:lineRule="auto"/>
        <w:ind w:left="421"/>
        <w:rPr>
          <w:rFonts w:ascii="宋体" w:hAnsi="宋体" w:eastAsia="宋体" w:cs="宋体"/>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pacing w:val="-14"/>
          <w:sz w:val="20"/>
          <w:szCs w:val="20"/>
        </w:rPr>
        <w:t xml:space="preserve"> </w:t>
      </w:r>
      <w:r>
        <w:rPr>
          <w:rFonts w:ascii="宋体" w:hAnsi="宋体" w:eastAsia="宋体" w:cs="宋体"/>
          <w:spacing w:val="6"/>
          <w:sz w:val="20"/>
          <w:szCs w:val="20"/>
        </w:rPr>
        <w:t>．供热与供冷系统为</w:t>
      </w:r>
      <w:r>
        <w:rPr>
          <w:rFonts w:ascii="宋体" w:hAnsi="宋体" w:eastAsia="宋体" w:cs="宋体"/>
          <w:spacing w:val="6"/>
          <w:sz w:val="20"/>
          <w:szCs w:val="20"/>
          <w:u w:val="single" w:color="auto"/>
        </w:rPr>
        <w:t xml:space="preserve">   贰   </w:t>
      </w:r>
      <w:r>
        <w:rPr>
          <w:rFonts w:ascii="宋体" w:hAnsi="宋体" w:eastAsia="宋体" w:cs="宋体"/>
          <w:spacing w:val="-91"/>
          <w:sz w:val="20"/>
          <w:szCs w:val="20"/>
        </w:rPr>
        <w:t xml:space="preserve"> </w:t>
      </w:r>
      <w:r>
        <w:rPr>
          <w:rFonts w:ascii="宋体" w:hAnsi="宋体" w:eastAsia="宋体" w:cs="宋体"/>
          <w:spacing w:val="6"/>
          <w:sz w:val="20"/>
          <w:szCs w:val="20"/>
        </w:rPr>
        <w:t>个采暖期、供冷期；</w:t>
      </w:r>
    </w:p>
    <w:p w14:paraId="641EFBED">
      <w:pPr>
        <w:spacing w:before="83" w:line="287" w:lineRule="auto"/>
        <w:ind w:left="420"/>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．住宅小区内的给排水设施、道路等配套工程为</w:t>
      </w:r>
      <w:r>
        <w:rPr>
          <w:rFonts w:ascii="宋体" w:hAnsi="宋体" w:eastAsia="宋体" w:cs="宋体"/>
          <w:spacing w:val="8"/>
          <w:sz w:val="20"/>
          <w:szCs w:val="20"/>
          <w:u w:val="single" w:color="auto"/>
        </w:rPr>
        <w:t xml:space="preserve">  贰  </w:t>
      </w:r>
      <w:r>
        <w:rPr>
          <w:rFonts w:ascii="宋体" w:hAnsi="宋体" w:eastAsia="宋体" w:cs="宋体"/>
          <w:spacing w:val="-88"/>
          <w:sz w:val="20"/>
          <w:szCs w:val="20"/>
        </w:rPr>
        <w:t xml:space="preserve"> </w:t>
      </w:r>
      <w:r>
        <w:rPr>
          <w:rFonts w:ascii="宋体" w:hAnsi="宋体" w:eastAsia="宋体" w:cs="宋体"/>
          <w:spacing w:val="8"/>
          <w:sz w:val="20"/>
          <w:szCs w:val="20"/>
        </w:rPr>
        <w:t>年；</w:t>
      </w:r>
    </w:p>
    <w:p w14:paraId="3FC7FE42">
      <w:pPr>
        <w:keepNext w:val="0"/>
        <w:keepLines w:val="0"/>
        <w:widowControl/>
        <w:suppressLineNumbers w:val="0"/>
        <w:ind w:firstLine="424" w:firstLineChars="200"/>
        <w:jc w:val="left"/>
      </w:pPr>
      <w:r>
        <w:rPr>
          <w:rFonts w:ascii="Times New Roman" w:hAnsi="Times New Roman" w:eastAsia="Times New Roman" w:cs="Times New Roman"/>
          <w:spacing w:val="6"/>
          <w:sz w:val="20"/>
          <w:szCs w:val="20"/>
        </w:rPr>
        <w:t>7</w:t>
      </w:r>
      <w:r>
        <w:rPr>
          <w:rFonts w:ascii="Times New Roman" w:hAnsi="Times New Roman" w:eastAsia="Times New Roman" w:cs="Times New Roman"/>
          <w:spacing w:val="-15"/>
          <w:sz w:val="20"/>
          <w:szCs w:val="20"/>
        </w:rPr>
        <w:t xml:space="preserve"> </w:t>
      </w:r>
      <w:r>
        <w:rPr>
          <w:rFonts w:ascii="宋体" w:hAnsi="宋体" w:eastAsia="宋体" w:cs="宋体"/>
          <w:spacing w:val="6"/>
          <w:sz w:val="20"/>
          <w:szCs w:val="20"/>
        </w:rPr>
        <w:t>．其他项目保修期限约定如下：</w:t>
      </w:r>
      <w:r>
        <w:rPr>
          <w:rFonts w:hint="eastAsia" w:ascii="宋体" w:hAnsi="宋体" w:eastAsia="宋体" w:cs="宋体"/>
          <w:color w:val="000000"/>
          <w:kern w:val="0"/>
          <w:sz w:val="20"/>
          <w:szCs w:val="20"/>
          <w:u w:val="single"/>
          <w:lang w:val="en-US" w:eastAsia="zh-CN" w:bidi="ar"/>
        </w:rPr>
        <w:t xml:space="preserve">不少于壹年 </w:t>
      </w:r>
      <w:r>
        <w:rPr>
          <w:rFonts w:hint="eastAsia" w:ascii="宋体" w:hAnsi="宋体" w:eastAsia="宋体" w:cs="宋体"/>
          <w:color w:val="000000"/>
          <w:kern w:val="0"/>
          <w:sz w:val="20"/>
          <w:szCs w:val="20"/>
          <w:lang w:val="en-US" w:eastAsia="zh-CN" w:bidi="ar"/>
        </w:rPr>
        <w:t>，质量保修期自工程竣工验收合格之日起计算。</w:t>
      </w:r>
    </w:p>
    <w:p w14:paraId="3AC5953C">
      <w:pPr>
        <w:spacing w:before="113" w:line="229" w:lineRule="auto"/>
        <w:ind w:left="424"/>
        <w:rPr>
          <w:rFonts w:ascii="黑体" w:hAnsi="黑体" w:eastAsia="黑体" w:cs="黑体"/>
          <w:sz w:val="20"/>
          <w:szCs w:val="20"/>
        </w:rPr>
      </w:pPr>
      <w:r>
        <w:rPr>
          <w:rFonts w:ascii="黑体" w:hAnsi="黑体" w:eastAsia="黑体" w:cs="黑体"/>
          <w:spacing w:val="8"/>
          <w:sz w:val="20"/>
          <w:szCs w:val="20"/>
        </w:rPr>
        <w:t>三、缺陷责任期</w:t>
      </w:r>
    </w:p>
    <w:p w14:paraId="74DD6DA9">
      <w:pPr>
        <w:spacing w:before="82" w:line="328" w:lineRule="auto"/>
        <w:ind w:firstLine="422"/>
        <w:rPr>
          <w:rFonts w:ascii="宋体" w:hAnsi="宋体" w:eastAsia="宋体" w:cs="宋体"/>
          <w:sz w:val="20"/>
          <w:szCs w:val="20"/>
        </w:rPr>
      </w:pPr>
      <w:r>
        <w:rPr>
          <w:rFonts w:ascii="宋体" w:hAnsi="宋体" w:eastAsia="宋体" w:cs="宋体"/>
          <w:spacing w:val="11"/>
          <w:sz w:val="20"/>
          <w:szCs w:val="20"/>
        </w:rPr>
        <w:t>工程缺陷责任期为</w:t>
      </w:r>
      <w:r>
        <w:rPr>
          <w:rFonts w:ascii="宋体" w:hAnsi="宋体" w:eastAsia="宋体" w:cs="宋体"/>
          <w:spacing w:val="-44"/>
          <w:sz w:val="20"/>
          <w:szCs w:val="20"/>
        </w:rPr>
        <w:t xml:space="preserve"> </w:t>
      </w:r>
      <w:r>
        <w:rPr>
          <w:rFonts w:ascii="Times New Roman" w:hAnsi="Times New Roman" w:eastAsia="Times New Roman" w:cs="Times New Roman"/>
          <w:spacing w:val="-25"/>
          <w:sz w:val="20"/>
          <w:szCs w:val="20"/>
          <w:u w:val="single" w:color="auto"/>
        </w:rPr>
        <w:t xml:space="preserve"> </w:t>
      </w:r>
      <w:r>
        <w:rPr>
          <w:rFonts w:ascii="Times New Roman" w:hAnsi="Times New Roman" w:eastAsia="Times New Roman" w:cs="Times New Roman"/>
          <w:spacing w:val="11"/>
          <w:sz w:val="20"/>
          <w:szCs w:val="20"/>
          <w:u w:val="single" w:color="auto"/>
        </w:rPr>
        <w:t>12</w:t>
      </w:r>
      <w:r>
        <w:rPr>
          <w:rFonts w:ascii="宋体" w:hAnsi="宋体" w:eastAsia="宋体" w:cs="宋体"/>
          <w:spacing w:val="11"/>
          <w:sz w:val="20"/>
          <w:szCs w:val="20"/>
        </w:rPr>
        <w:t>个月（最长不超过</w:t>
      </w:r>
      <w:r>
        <w:rPr>
          <w:rFonts w:ascii="宋体" w:hAnsi="宋体" w:eastAsia="宋体" w:cs="宋体"/>
          <w:spacing w:val="-41"/>
          <w:sz w:val="20"/>
          <w:szCs w:val="20"/>
        </w:rPr>
        <w:t xml:space="preserve"> </w:t>
      </w:r>
      <w:r>
        <w:rPr>
          <w:rFonts w:ascii="Times New Roman" w:hAnsi="Times New Roman" w:eastAsia="Times New Roman" w:cs="Times New Roman"/>
          <w:spacing w:val="11"/>
          <w:sz w:val="20"/>
          <w:szCs w:val="20"/>
        </w:rPr>
        <w:t xml:space="preserve">24 </w:t>
      </w:r>
      <w:r>
        <w:rPr>
          <w:rFonts w:ascii="宋体" w:hAnsi="宋体" w:eastAsia="宋体" w:cs="宋体"/>
          <w:spacing w:val="10"/>
          <w:sz w:val="20"/>
          <w:szCs w:val="20"/>
        </w:rPr>
        <w:t>个月</w:t>
      </w:r>
      <w:r>
        <w:rPr>
          <w:rFonts w:ascii="宋体" w:hAnsi="宋体" w:eastAsia="宋体" w:cs="宋体"/>
          <w:spacing w:val="17"/>
          <w:sz w:val="20"/>
          <w:szCs w:val="20"/>
        </w:rPr>
        <w:t>），</w:t>
      </w:r>
      <w:r>
        <w:rPr>
          <w:rFonts w:ascii="宋体" w:hAnsi="宋体" w:eastAsia="宋体" w:cs="宋体"/>
          <w:spacing w:val="10"/>
          <w:sz w:val="20"/>
          <w:szCs w:val="20"/>
        </w:rPr>
        <w:t>缺陷责任期自工程竣工验收合格之日起计算。单位工程先于全部工程进行验收，单</w:t>
      </w:r>
      <w:r>
        <w:rPr>
          <w:rFonts w:ascii="宋体" w:hAnsi="宋体" w:eastAsia="宋体" w:cs="宋体"/>
          <w:spacing w:val="9"/>
          <w:sz w:val="20"/>
          <w:szCs w:val="20"/>
        </w:rPr>
        <w:t>位工程缺陷责任期自单位工程验收合格之日起算。</w:t>
      </w:r>
    </w:p>
    <w:p w14:paraId="32F2A69A">
      <w:pPr>
        <w:spacing w:before="40" w:line="228" w:lineRule="auto"/>
        <w:ind w:left="420"/>
        <w:rPr>
          <w:rFonts w:ascii="宋体" w:hAnsi="宋体" w:eastAsia="宋体" w:cs="宋体"/>
          <w:sz w:val="20"/>
          <w:szCs w:val="20"/>
        </w:rPr>
      </w:pPr>
      <w:r>
        <w:rPr>
          <w:rFonts w:ascii="宋体" w:hAnsi="宋体" w:eastAsia="宋体" w:cs="宋体"/>
          <w:spacing w:val="8"/>
          <w:sz w:val="20"/>
          <w:szCs w:val="20"/>
        </w:rPr>
        <w:t>缺陷责任期</w:t>
      </w:r>
      <w:r>
        <w:rPr>
          <w:rFonts w:ascii="宋体" w:hAnsi="宋体" w:eastAsia="宋体" w:cs="宋体"/>
          <w:spacing w:val="8"/>
          <w:sz w:val="20"/>
          <w:szCs w:val="20"/>
          <w:u w:val="single" w:color="auto"/>
        </w:rPr>
        <w:t>满</w:t>
      </w:r>
      <w:r>
        <w:rPr>
          <w:rFonts w:ascii="宋体" w:hAnsi="宋体" w:eastAsia="宋体" w:cs="宋体"/>
          <w:spacing w:val="8"/>
          <w:sz w:val="20"/>
          <w:szCs w:val="20"/>
        </w:rPr>
        <w:t>之日起</w:t>
      </w:r>
      <w:r>
        <w:rPr>
          <w:rFonts w:ascii="仿宋" w:hAnsi="仿宋" w:eastAsia="仿宋" w:cs="仿宋"/>
          <w:spacing w:val="8"/>
          <w:sz w:val="20"/>
          <w:szCs w:val="20"/>
          <w:u w:val="single" w:color="auto"/>
        </w:rPr>
        <w:t xml:space="preserve"> 15</w:t>
      </w:r>
      <w:r>
        <w:rPr>
          <w:rFonts w:ascii="仿宋" w:hAnsi="仿宋" w:eastAsia="仿宋" w:cs="仿宋"/>
          <w:spacing w:val="-33"/>
          <w:sz w:val="20"/>
          <w:szCs w:val="20"/>
          <w:u w:val="single" w:color="auto"/>
        </w:rPr>
        <w:t xml:space="preserve"> </w:t>
      </w:r>
      <w:r>
        <w:rPr>
          <w:rFonts w:ascii="宋体" w:hAnsi="宋体" w:eastAsia="宋体" w:cs="宋体"/>
          <w:spacing w:val="8"/>
          <w:sz w:val="20"/>
          <w:szCs w:val="20"/>
        </w:rPr>
        <w:t>天</w:t>
      </w:r>
      <w:r>
        <w:rPr>
          <w:rFonts w:ascii="宋体" w:hAnsi="宋体" w:eastAsia="宋体" w:cs="宋体"/>
          <w:spacing w:val="8"/>
          <w:sz w:val="20"/>
          <w:szCs w:val="20"/>
          <w:u w:val="single" w:color="auto"/>
        </w:rPr>
        <w:t>（按合同约定期限</w:t>
      </w:r>
      <w:r>
        <w:rPr>
          <w:rFonts w:ascii="宋体" w:hAnsi="宋体" w:eastAsia="宋体" w:cs="宋体"/>
          <w:spacing w:val="20"/>
          <w:sz w:val="20"/>
          <w:szCs w:val="20"/>
          <w:u w:val="single" w:color="auto"/>
        </w:rPr>
        <w:t>），</w:t>
      </w:r>
      <w:r>
        <w:rPr>
          <w:rFonts w:ascii="宋体" w:hAnsi="宋体" w:eastAsia="宋体" w:cs="宋体"/>
          <w:spacing w:val="8"/>
          <w:sz w:val="20"/>
          <w:szCs w:val="20"/>
        </w:rPr>
        <w:t>发包人应退还剩余的质量保证金。</w:t>
      </w:r>
    </w:p>
    <w:p w14:paraId="436A8CD5">
      <w:pPr>
        <w:spacing w:before="112" w:line="229" w:lineRule="auto"/>
        <w:ind w:left="432"/>
        <w:rPr>
          <w:rFonts w:ascii="黑体" w:hAnsi="黑体" w:eastAsia="黑体" w:cs="黑体"/>
          <w:sz w:val="20"/>
          <w:szCs w:val="20"/>
        </w:rPr>
      </w:pPr>
      <w:r>
        <w:rPr>
          <w:rFonts w:ascii="黑体" w:hAnsi="黑体" w:eastAsia="黑体" w:cs="黑体"/>
          <w:spacing w:val="7"/>
          <w:sz w:val="20"/>
          <w:szCs w:val="20"/>
        </w:rPr>
        <w:t>四、质量保修责任</w:t>
      </w:r>
    </w:p>
    <w:p w14:paraId="5101C9BE">
      <w:pPr>
        <w:spacing w:before="82" w:line="328" w:lineRule="auto"/>
        <w:ind w:left="107" w:firstLine="44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．属于保修范围、内容的项目，承包人应当在接到保修通知之日起</w:t>
      </w:r>
      <w:r>
        <w:rPr>
          <w:rFonts w:ascii="Times New Roman" w:hAnsi="Times New Roman" w:eastAsia="Times New Roman" w:cs="Times New Roman"/>
          <w:spacing w:val="7"/>
          <w:sz w:val="20"/>
          <w:szCs w:val="20"/>
          <w:u w:val="single" w:color="auto"/>
        </w:rPr>
        <w:t xml:space="preserve">  3  </w:t>
      </w:r>
      <w:r>
        <w:rPr>
          <w:rFonts w:ascii="宋体" w:hAnsi="宋体" w:eastAsia="宋体" w:cs="宋体"/>
          <w:spacing w:val="7"/>
          <w:sz w:val="20"/>
          <w:szCs w:val="20"/>
        </w:rPr>
        <w:t>天内派人保修。承包</w:t>
      </w:r>
      <w:r>
        <w:rPr>
          <w:rFonts w:ascii="宋体" w:hAnsi="宋体" w:eastAsia="宋体" w:cs="宋体"/>
          <w:spacing w:val="9"/>
          <w:sz w:val="20"/>
          <w:szCs w:val="20"/>
        </w:rPr>
        <w:t>人不在约定期限内派人保修的，发包人可以委托他人修理，修理费用从质量保证金内扣除。</w:t>
      </w:r>
    </w:p>
    <w:p w14:paraId="25641B29">
      <w:pPr>
        <w:spacing w:before="9" w:line="274" w:lineRule="exact"/>
        <w:ind w:left="416"/>
        <w:rPr>
          <w:rFonts w:ascii="宋体" w:hAnsi="宋体" w:eastAsia="宋体" w:cs="宋体"/>
          <w:sz w:val="20"/>
          <w:szCs w:val="20"/>
        </w:rPr>
      </w:pPr>
      <w:r>
        <w:rPr>
          <w:rFonts w:ascii="Times New Roman" w:hAnsi="Times New Roman" w:eastAsia="Times New Roman" w:cs="Times New Roman"/>
          <w:spacing w:val="9"/>
          <w:position w:val="1"/>
          <w:sz w:val="20"/>
          <w:szCs w:val="20"/>
        </w:rPr>
        <w:t>2</w:t>
      </w:r>
      <w:r>
        <w:rPr>
          <w:rFonts w:ascii="宋体" w:hAnsi="宋体" w:eastAsia="宋体" w:cs="宋体"/>
          <w:spacing w:val="9"/>
          <w:position w:val="1"/>
          <w:sz w:val="20"/>
          <w:szCs w:val="20"/>
        </w:rPr>
        <w:t>．发生紧急事故需抢修的，承包人在接到事故通知后，应当立即到达事故现场抢修。</w:t>
      </w:r>
    </w:p>
    <w:p w14:paraId="76B5C3F4">
      <w:pPr>
        <w:spacing w:before="65" w:line="228" w:lineRule="auto"/>
        <w:ind w:left="11" w:firstLine="436" w:firstLineChars="200"/>
        <w:rPr>
          <w:rFonts w:ascii="宋体" w:hAnsi="宋体" w:eastAsia="宋体" w:cs="宋体"/>
          <w:sz w:val="20"/>
          <w:szCs w:val="20"/>
        </w:rPr>
      </w:pPr>
      <w:bookmarkStart w:id="461" w:name="_GoBack"/>
      <w:bookmarkEnd w:id="461"/>
      <w:r>
        <w:rPr>
          <w:rFonts w:ascii="Times New Roman" w:hAnsi="Times New Roman" w:eastAsia="Times New Roman" w:cs="Times New Roman"/>
          <w:spacing w:val="9"/>
          <w:sz w:val="20"/>
          <w:szCs w:val="20"/>
        </w:rPr>
        <w:t>3</w:t>
      </w:r>
      <w:r>
        <w:rPr>
          <w:rFonts w:ascii="宋体" w:hAnsi="宋体" w:eastAsia="宋体" w:cs="宋体"/>
          <w:spacing w:val="9"/>
          <w:sz w:val="20"/>
          <w:szCs w:val="20"/>
        </w:rPr>
        <w:t>．对于涉及结构安全的质量问题，应当按照</w:t>
      </w:r>
      <w:r>
        <w:rPr>
          <w:rFonts w:ascii="宋体" w:hAnsi="宋体" w:eastAsia="宋体" w:cs="宋体"/>
          <w:spacing w:val="8"/>
          <w:sz w:val="20"/>
          <w:szCs w:val="20"/>
        </w:rPr>
        <w:t>《建设工程质量管理条例》的规定，立即向当地</w:t>
      </w:r>
      <w:r>
        <w:rPr>
          <w:rFonts w:ascii="宋体" w:hAnsi="宋体" w:eastAsia="宋体" w:cs="宋体"/>
          <w:spacing w:val="11"/>
          <w:sz w:val="20"/>
          <w:szCs w:val="20"/>
        </w:rPr>
        <w:t>建设行政主管部门和有关部门报告，采取安全防范措施，并由原设计人或者具有相应资质等级的</w:t>
      </w:r>
      <w:r>
        <w:rPr>
          <w:rFonts w:ascii="宋体" w:hAnsi="宋体" w:eastAsia="宋体" w:cs="宋体"/>
          <w:spacing w:val="8"/>
          <w:sz w:val="20"/>
          <w:szCs w:val="20"/>
        </w:rPr>
        <w:t>设计人提出保修方案，承包人实施保修。</w:t>
      </w:r>
    </w:p>
    <w:p w14:paraId="510894EF">
      <w:pPr>
        <w:spacing w:before="81" w:line="275" w:lineRule="exact"/>
        <w:ind w:left="423"/>
        <w:rPr>
          <w:rFonts w:ascii="宋体" w:hAnsi="宋体" w:eastAsia="宋体" w:cs="宋体"/>
          <w:sz w:val="20"/>
          <w:szCs w:val="20"/>
        </w:rPr>
      </w:pPr>
      <w:r>
        <w:rPr>
          <w:rFonts w:ascii="Times New Roman" w:hAnsi="Times New Roman" w:eastAsia="Times New Roman" w:cs="Times New Roman"/>
          <w:spacing w:val="9"/>
          <w:position w:val="1"/>
          <w:sz w:val="20"/>
          <w:szCs w:val="20"/>
        </w:rPr>
        <w:t>4</w:t>
      </w:r>
      <w:r>
        <w:rPr>
          <w:rFonts w:ascii="宋体" w:hAnsi="宋体" w:eastAsia="宋体" w:cs="宋体"/>
          <w:spacing w:val="9"/>
          <w:position w:val="1"/>
          <w:sz w:val="20"/>
          <w:szCs w:val="20"/>
        </w:rPr>
        <w:t>．质量保修完成后，由发包人组织验收。</w:t>
      </w:r>
    </w:p>
    <w:p w14:paraId="66F6768E">
      <w:pPr>
        <w:spacing w:before="116" w:line="230" w:lineRule="auto"/>
        <w:ind w:left="434"/>
        <w:rPr>
          <w:rFonts w:ascii="黑体" w:hAnsi="黑体" w:eastAsia="黑体" w:cs="黑体"/>
          <w:sz w:val="20"/>
          <w:szCs w:val="20"/>
        </w:rPr>
      </w:pPr>
      <w:r>
        <w:rPr>
          <w:rFonts w:ascii="黑体" w:hAnsi="黑体" w:eastAsia="黑体" w:cs="黑体"/>
          <w:spacing w:val="7"/>
          <w:sz w:val="20"/>
          <w:szCs w:val="20"/>
        </w:rPr>
        <w:t>五、保修费用</w:t>
      </w:r>
    </w:p>
    <w:p w14:paraId="6CD5CF27">
      <w:pPr>
        <w:spacing w:before="111" w:line="228" w:lineRule="auto"/>
        <w:ind w:left="429"/>
        <w:rPr>
          <w:rFonts w:ascii="宋体" w:hAnsi="宋体" w:eastAsia="宋体" w:cs="宋体"/>
          <w:sz w:val="20"/>
          <w:szCs w:val="20"/>
        </w:rPr>
      </w:pPr>
      <w:r>
        <w:rPr>
          <w:rFonts w:ascii="宋体" w:hAnsi="宋体" w:eastAsia="宋体" w:cs="宋体"/>
          <w:spacing w:val="8"/>
          <w:sz w:val="20"/>
          <w:szCs w:val="20"/>
        </w:rPr>
        <w:t>保修费用由造成质量缺陷的责任方承担。</w:t>
      </w:r>
    </w:p>
    <w:p w14:paraId="7C18D83A">
      <w:pPr>
        <w:spacing w:before="112" w:line="229" w:lineRule="auto"/>
        <w:ind w:left="435"/>
        <w:rPr>
          <w:rFonts w:ascii="黑体" w:hAnsi="黑体" w:eastAsia="黑体" w:cs="黑体"/>
          <w:sz w:val="20"/>
          <w:szCs w:val="20"/>
        </w:rPr>
      </w:pPr>
      <w:r>
        <w:rPr>
          <w:rFonts w:ascii="黑体" w:hAnsi="黑体" w:eastAsia="黑体" w:cs="黑体"/>
          <w:spacing w:val="8"/>
          <w:sz w:val="20"/>
          <w:szCs w:val="20"/>
        </w:rPr>
        <w:t>六、双方约定的其他工程质量保修事项：</w:t>
      </w:r>
    </w:p>
    <w:p w14:paraId="4EED610D">
      <w:pPr>
        <w:pStyle w:val="2"/>
        <w:spacing w:line="268" w:lineRule="auto"/>
      </w:pPr>
    </w:p>
    <w:p w14:paraId="6190E237">
      <w:pPr>
        <w:pStyle w:val="2"/>
        <w:spacing w:line="268" w:lineRule="auto"/>
      </w:pPr>
      <w:r>
        <mc:AlternateContent>
          <mc:Choice Requires="wps">
            <w:drawing>
              <wp:anchor distT="0" distB="0" distL="114300" distR="114300" simplePos="0" relativeHeight="251663360" behindDoc="0" locked="0" layoutInCell="1" allowOverlap="1">
                <wp:simplePos x="0" y="0"/>
                <wp:positionH relativeFrom="column">
                  <wp:posOffset>269240</wp:posOffset>
                </wp:positionH>
                <wp:positionV relativeFrom="paragraph">
                  <wp:posOffset>29210</wp:posOffset>
                </wp:positionV>
                <wp:extent cx="533400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334000" cy="6350"/>
                        </a:xfrm>
                        <a:custGeom>
                          <a:avLst/>
                          <a:gdLst/>
                          <a:ahLst/>
                          <a:cxnLst/>
                          <a:pathLst>
                            <a:path w="8400" h="10">
                              <a:moveTo>
                                <a:pt x="0" y="4"/>
                              </a:moveTo>
                              <a:lnTo>
                                <a:pt x="84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2pt;margin-top:2.3pt;height:0.5pt;width:420pt;z-index:251663360;mso-width-relative:page;mso-height-relative:page;" filled="f" stroked="t" coordsize="8400,10" o:gfxdata="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Noly9UAAAAGAQAADwAAAAAAAAABACAAAAAiAAAAZHJzL2Rvd25y&#10;ZXYueG1sUEsBAhQAFAAAAAgAh07iQPxWkmE6AgAAlgQAAA4AAAAAAAAAAQAgAAAAJAEAAGRycy9l&#10;Mm9Eb2MueG1sUEsFBgAAAAAGAAYAWQEAANAFAAAAAA==&#10;" path="m0,4l8400,4e">
                <v:fill on="f" focussize="0,0"/>
                <v:stroke weight="0.48pt" color="#000000" joinstyle="bevel"/>
                <v:imagedata o:title=""/>
                <o:lock v:ext="edit" aspectratio="f"/>
              </v:shape>
            </w:pict>
          </mc:Fallback>
        </mc:AlternateContent>
      </w:r>
    </w:p>
    <w:p w14:paraId="19A27B2C">
      <w:pPr>
        <w:spacing w:before="65" w:line="47" w:lineRule="exact"/>
        <w:ind w:left="8114"/>
        <w:rPr>
          <w:rFonts w:ascii="宋体" w:hAnsi="宋体" w:eastAsia="宋体" w:cs="宋体"/>
          <w:sz w:val="20"/>
          <w:szCs w:val="20"/>
        </w:rPr>
      </w:pPr>
      <w: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-50800</wp:posOffset>
                </wp:positionV>
                <wp:extent cx="5662930" cy="8350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62930" cy="835025"/>
                        </a:xfrm>
                        <a:prstGeom prst="rect">
                          <a:avLst/>
                        </a:prstGeom>
                        <a:noFill/>
                        <a:ln>
                          <a:noFill/>
                        </a:ln>
                      </wps:spPr>
                      <wps:txbx>
                        <w:txbxContent>
                          <w:p w14:paraId="5E1F5EEB">
                            <w:pPr>
                              <w:pStyle w:val="2"/>
                              <w:tabs>
                                <w:tab w:val="left" w:pos="8105"/>
                              </w:tabs>
                              <w:spacing w:before="20"/>
                              <w:ind w:left="20"/>
                            </w:pPr>
                            <w:r>
                              <w:rPr>
                                <w:u w:val="single" w:color="auto"/>
                              </w:rPr>
                              <w:tab/>
                            </w:r>
                          </w:p>
                          <w:p w14:paraId="1A6C90C5">
                            <w:pPr>
                              <w:spacing w:before="111" w:line="332" w:lineRule="auto"/>
                              <w:ind w:left="31" w:right="20" w:firstLine="398"/>
                              <w:rPr>
                                <w:rFonts w:ascii="宋体" w:hAnsi="宋体" w:eastAsia="宋体" w:cs="宋体"/>
                                <w:sz w:val="20"/>
                                <w:szCs w:val="20"/>
                              </w:rPr>
                            </w:pPr>
                            <w:r>
                              <w:rPr>
                                <w:rFonts w:ascii="宋体" w:hAnsi="宋体" w:eastAsia="宋体" w:cs="宋体"/>
                                <w:spacing w:val="12"/>
                                <w:sz w:val="20"/>
                                <w:szCs w:val="20"/>
                              </w:rPr>
                              <w:t>工程质量保修书由发包人、承包人在工程竣工验收前共同签署</w:t>
                            </w:r>
                            <w:r>
                              <w:rPr>
                                <w:rFonts w:ascii="宋体" w:hAnsi="宋体" w:eastAsia="宋体" w:cs="宋体"/>
                                <w:spacing w:val="11"/>
                                <w:sz w:val="20"/>
                                <w:szCs w:val="20"/>
                              </w:rPr>
                              <w:t>，作为施工合同附件，其有效</w:t>
                            </w:r>
                            <w:r>
                              <w:rPr>
                                <w:rFonts w:ascii="宋体" w:hAnsi="宋体" w:eastAsia="宋体" w:cs="宋体"/>
                                <w:spacing w:val="7"/>
                                <w:sz w:val="20"/>
                                <w:szCs w:val="20"/>
                              </w:rPr>
                              <w:t>期限至保修期满。</w:t>
                            </w:r>
                          </w:p>
                        </w:txbxContent>
                      </wps:txbx>
                      <wps:bodyPr lIns="0" tIns="0" rIns="0" bIns="0" upright="1"/>
                    </wps:wsp>
                  </a:graphicData>
                </a:graphic>
              </wp:anchor>
            </w:drawing>
          </mc:Choice>
          <mc:Fallback>
            <w:pict>
              <v:shape id="_x0000_s1026" o:spid="_x0000_s1026" o:spt="202" type="#_x0000_t202" style="position:absolute;left:0pt;margin-left:-1pt;margin-top:-4pt;height:65.75pt;width:445.9pt;z-index:251662336;mso-width-relative:page;mso-height-relative:page;" filled="f" stroked="f" coordsize="21600,21600" o:gfxdata="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73fGbXAAAACQEAAA8AAAAAAAAAAQAgAAAAIgAAAGRycy9kb3ducmV2LnhtbFBLAQIU&#10;ABQAAAAIAIdO4kB6lN1LuwEAAHIDAAAOAAAAAAAAAAEAIAAAACYBAABkcnMvZTJvRG9jLnhtbFBL&#10;BQYAAAAABgAGAFkBAABTBQAAAAA=&#10;">
                <v:fill on="f" focussize="0,0"/>
                <v:stroke on="f"/>
                <v:imagedata o:title=""/>
                <o:lock v:ext="edit" aspectratio="f"/>
                <v:textbox inset="0mm,0mm,0mm,0mm">
                  <w:txbxContent>
                    <w:p w14:paraId="5E1F5EEB">
                      <w:pPr>
                        <w:pStyle w:val="2"/>
                        <w:tabs>
                          <w:tab w:val="left" w:pos="8105"/>
                        </w:tabs>
                        <w:spacing w:before="20"/>
                        <w:ind w:left="20"/>
                      </w:pPr>
                      <w:r>
                        <w:rPr>
                          <w:u w:val="single" w:color="auto"/>
                        </w:rPr>
                        <w:tab/>
                      </w:r>
                    </w:p>
                    <w:p w14:paraId="1A6C90C5">
                      <w:pPr>
                        <w:spacing w:before="111" w:line="332" w:lineRule="auto"/>
                        <w:ind w:left="31" w:right="20" w:firstLine="398"/>
                        <w:rPr>
                          <w:rFonts w:ascii="宋体" w:hAnsi="宋体" w:eastAsia="宋体" w:cs="宋体"/>
                          <w:sz w:val="20"/>
                          <w:szCs w:val="20"/>
                        </w:rPr>
                      </w:pPr>
                      <w:r>
                        <w:rPr>
                          <w:rFonts w:ascii="宋体" w:hAnsi="宋体" w:eastAsia="宋体" w:cs="宋体"/>
                          <w:spacing w:val="12"/>
                          <w:sz w:val="20"/>
                          <w:szCs w:val="20"/>
                        </w:rPr>
                        <w:t>工程质量保修书由发包人、承包人在工程竣工验收前共同签署</w:t>
                      </w:r>
                      <w:r>
                        <w:rPr>
                          <w:rFonts w:ascii="宋体" w:hAnsi="宋体" w:eastAsia="宋体" w:cs="宋体"/>
                          <w:spacing w:val="11"/>
                          <w:sz w:val="20"/>
                          <w:szCs w:val="20"/>
                        </w:rPr>
                        <w:t>，作为施工合同附件，其有效</w:t>
                      </w:r>
                      <w:r>
                        <w:rPr>
                          <w:rFonts w:ascii="宋体" w:hAnsi="宋体" w:eastAsia="宋体" w:cs="宋体"/>
                          <w:spacing w:val="7"/>
                          <w:sz w:val="20"/>
                          <w:szCs w:val="20"/>
                        </w:rPr>
                        <w:t>期限至保修期满。</w:t>
                      </w:r>
                    </w:p>
                  </w:txbxContent>
                </v:textbox>
              </v:shape>
            </w:pict>
          </mc:Fallback>
        </mc:AlternateContent>
      </w:r>
      <w:r>
        <w:rPr>
          <w:rFonts w:ascii="宋体" w:hAnsi="宋体" w:eastAsia="宋体" w:cs="宋体"/>
          <w:position w:val="-1"/>
          <w:sz w:val="20"/>
          <w:szCs w:val="20"/>
        </w:rPr>
        <w:t>。</w:t>
      </w:r>
    </w:p>
    <w:p w14:paraId="3767BB81">
      <w:pPr>
        <w:pStyle w:val="2"/>
        <w:spacing w:line="271" w:lineRule="auto"/>
      </w:pPr>
    </w:p>
    <w:p w14:paraId="41606DB4">
      <w:pPr>
        <w:pStyle w:val="2"/>
        <w:spacing w:line="272" w:lineRule="auto"/>
      </w:pPr>
    </w:p>
    <w:p w14:paraId="388A41A2">
      <w:pPr>
        <w:pStyle w:val="2"/>
        <w:spacing w:line="272" w:lineRule="auto"/>
      </w:pPr>
    </w:p>
    <w:p w14:paraId="7B0D44AC">
      <w:pPr>
        <w:pStyle w:val="2"/>
        <w:spacing w:line="272" w:lineRule="auto"/>
      </w:pPr>
    </w:p>
    <w:p w14:paraId="645A475E">
      <w:pPr>
        <w:pStyle w:val="2"/>
        <w:spacing w:line="272" w:lineRule="auto"/>
      </w:pPr>
    </w:p>
    <w:p w14:paraId="2D4EF973">
      <w:pPr>
        <w:pStyle w:val="2"/>
        <w:spacing w:line="272" w:lineRule="auto"/>
      </w:pPr>
    </w:p>
    <w:p w14:paraId="7DD48F6E">
      <w:pPr>
        <w:spacing w:before="65" w:line="228" w:lineRule="auto"/>
        <w:ind w:left="11"/>
        <w:rPr>
          <w:rFonts w:ascii="宋体" w:hAnsi="宋体" w:eastAsia="宋体" w:cs="宋体"/>
          <w:sz w:val="20"/>
          <w:szCs w:val="20"/>
        </w:rPr>
      </w:pPr>
      <w:r>
        <w:rPr>
          <w:rFonts w:ascii="宋体" w:hAnsi="宋体" w:eastAsia="宋体" w:cs="宋体"/>
          <w:spacing w:val="5"/>
          <w:sz w:val="20"/>
          <w:szCs w:val="20"/>
        </w:rPr>
        <w:t>发包人：</w:t>
      </w:r>
      <w:r>
        <w:rPr>
          <w:rFonts w:hint="eastAsia" w:ascii="宋体" w:hAnsi="宋体" w:eastAsia="宋体" w:cs="宋体"/>
          <w:spacing w:val="5"/>
          <w:sz w:val="20"/>
          <w:szCs w:val="20"/>
          <w:u w:val="single" w:color="auto"/>
          <w:lang w:eastAsia="zh-CN"/>
        </w:rPr>
        <w:t>岑溪市梨木镇人民政府</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 xml:space="preserve">               </w:t>
      </w:r>
      <w:r>
        <w:rPr>
          <w:rFonts w:ascii="宋体" w:hAnsi="宋体" w:eastAsia="宋体" w:cs="宋体"/>
          <w:spacing w:val="5"/>
          <w:sz w:val="20"/>
          <w:szCs w:val="20"/>
        </w:rPr>
        <w:t>承包人：</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 xml:space="preserve">           </w:t>
      </w:r>
    </w:p>
    <w:p w14:paraId="28DAA13B">
      <w:pPr>
        <w:spacing w:before="113" w:line="228" w:lineRule="auto"/>
        <w:ind w:left="1698"/>
        <w:rPr>
          <w:rFonts w:ascii="宋体" w:hAnsi="宋体" w:eastAsia="宋体" w:cs="宋体"/>
          <w:sz w:val="20"/>
          <w:szCs w:val="20"/>
        </w:rPr>
      </w:pPr>
      <w:r>
        <w:rPr>
          <w:rFonts w:ascii="宋体" w:hAnsi="宋体" w:eastAsia="宋体" w:cs="宋体"/>
          <w:spacing w:val="9"/>
          <w:sz w:val="20"/>
          <w:szCs w:val="20"/>
        </w:rPr>
        <w:t>（公章</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12"/>
          <w:sz w:val="20"/>
          <w:szCs w:val="20"/>
        </w:rPr>
        <w:t>（</w:t>
      </w:r>
      <w:r>
        <w:rPr>
          <w:rFonts w:ascii="宋体" w:hAnsi="宋体" w:eastAsia="宋体" w:cs="宋体"/>
          <w:spacing w:val="9"/>
          <w:sz w:val="20"/>
          <w:szCs w:val="20"/>
        </w:rPr>
        <w:t>公章）</w:t>
      </w:r>
    </w:p>
    <w:p w14:paraId="04561EE0">
      <w:pPr>
        <w:spacing w:before="113" w:line="228" w:lineRule="auto"/>
        <w:ind w:left="9"/>
        <w:rPr>
          <w:rFonts w:ascii="宋体" w:hAnsi="宋体" w:eastAsia="宋体" w:cs="宋体"/>
          <w:sz w:val="20"/>
          <w:szCs w:val="20"/>
        </w:rPr>
      </w:pPr>
      <w:r>
        <w:rPr>
          <w:rFonts w:ascii="宋体" w:hAnsi="宋体" w:eastAsia="宋体" w:cs="宋体"/>
          <w:spacing w:val="7"/>
          <w:sz w:val="20"/>
          <w:szCs w:val="20"/>
        </w:rPr>
        <w:t>法定代表人或其委托代理人：                    法定代表人或其委托代理人：</w:t>
      </w:r>
    </w:p>
    <w:p w14:paraId="5E517766">
      <w:pPr>
        <w:spacing w:before="113" w:line="228" w:lineRule="auto"/>
        <w:ind w:left="438"/>
        <w:rPr>
          <w:rFonts w:ascii="宋体" w:hAnsi="宋体" w:eastAsia="宋体" w:cs="宋体"/>
          <w:sz w:val="20"/>
          <w:szCs w:val="20"/>
        </w:rPr>
      </w:pPr>
      <w:r>
        <w:rPr>
          <w:rFonts w:ascii="宋体" w:hAnsi="宋体" w:eastAsia="宋体" w:cs="宋体"/>
          <w:spacing w:val="10"/>
          <w:sz w:val="20"/>
          <w:szCs w:val="20"/>
        </w:rPr>
        <w:t>（签字或盖章</w:t>
      </w:r>
      <w:r>
        <w:rPr>
          <w:rFonts w:ascii="宋体" w:hAnsi="宋体" w:eastAsia="宋体" w:cs="宋体"/>
          <w:spacing w:val="-14"/>
          <w:sz w:val="20"/>
          <w:szCs w:val="20"/>
        </w:rPr>
        <w:t>）</w:t>
      </w:r>
      <w:r>
        <w:rPr>
          <w:rFonts w:ascii="宋体" w:hAnsi="宋体" w:eastAsia="宋体" w:cs="宋体"/>
          <w:spacing w:val="2"/>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签字或盖章）</w:t>
      </w:r>
    </w:p>
    <w:p w14:paraId="56675311">
      <w:pPr>
        <w:spacing w:before="113" w:line="228" w:lineRule="auto"/>
        <w:ind w:left="11"/>
        <w:rPr>
          <w:rFonts w:ascii="宋体" w:hAnsi="宋体" w:eastAsia="宋体" w:cs="宋体"/>
          <w:sz w:val="20"/>
          <w:szCs w:val="20"/>
        </w:rPr>
      </w:pPr>
      <w:r>
        <w:rPr>
          <w:rFonts w:ascii="宋体" w:hAnsi="宋体" w:eastAsia="宋体" w:cs="宋体"/>
          <w:spacing w:val="4"/>
          <w:sz w:val="20"/>
          <w:szCs w:val="20"/>
        </w:rPr>
        <w:t>组织机构代码：</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组织机构代码：</w:t>
      </w:r>
      <w:r>
        <w:rPr>
          <w:rFonts w:ascii="宋体" w:hAnsi="宋体" w:eastAsia="宋体" w:cs="宋体"/>
          <w:spacing w:val="4"/>
          <w:sz w:val="20"/>
          <w:szCs w:val="20"/>
          <w:u w:val="single" w:color="auto"/>
        </w:rPr>
        <w:t xml:space="preserve">                 </w:t>
      </w:r>
    </w:p>
    <w:p w14:paraId="5BB71B05">
      <w:pPr>
        <w:spacing w:before="113" w:line="238" w:lineRule="auto"/>
        <w:ind w:left="8"/>
        <w:rPr>
          <w:rFonts w:ascii="宋体" w:hAnsi="宋体" w:eastAsia="宋体" w:cs="宋体"/>
          <w:sz w:val="20"/>
          <w:szCs w:val="20"/>
        </w:rPr>
      </w:pPr>
      <w:r>
        <w:rPr>
          <w:rFonts w:ascii="宋体" w:hAnsi="宋体" w:eastAsia="宋体" w:cs="宋体"/>
          <w:spacing w:val="7"/>
          <w:sz w:val="20"/>
          <w:szCs w:val="20"/>
        </w:rPr>
        <w:t>地址：</w:t>
      </w:r>
      <w:r>
        <w:rPr>
          <w:rFonts w:ascii="宋体" w:hAnsi="宋体" w:eastAsia="宋体" w:cs="宋体"/>
          <w:spacing w:val="1"/>
          <w:sz w:val="20"/>
          <w:szCs w:val="20"/>
          <w:u w:val="single" w:color="auto"/>
        </w:rPr>
        <w:t xml:space="preserve">                              </w:t>
      </w:r>
      <w:r>
        <w:rPr>
          <w:rFonts w:ascii="宋体" w:hAnsi="宋体" w:eastAsia="宋体" w:cs="宋体"/>
          <w:spacing w:val="7"/>
          <w:sz w:val="20"/>
          <w:szCs w:val="20"/>
        </w:rPr>
        <w:t xml:space="preserve">          地址：</w:t>
      </w:r>
      <w:r>
        <w:rPr>
          <w:rFonts w:ascii="宋体" w:hAnsi="宋体" w:eastAsia="宋体" w:cs="宋体"/>
          <w:sz w:val="20"/>
          <w:szCs w:val="20"/>
          <w:u w:val="single" w:color="auto"/>
        </w:rPr>
        <w:t xml:space="preserve">                     </w:t>
      </w:r>
    </w:p>
    <w:p w14:paraId="38C49400">
      <w:pPr>
        <w:spacing w:before="103" w:line="228" w:lineRule="auto"/>
        <w:ind w:left="24"/>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4"/>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14:paraId="6B4D5B9C">
      <w:pPr>
        <w:spacing w:before="113" w:line="228" w:lineRule="auto"/>
        <w:ind w:left="9"/>
        <w:rPr>
          <w:rFonts w:ascii="宋体" w:hAnsi="宋体" w:eastAsia="宋体" w:cs="宋体"/>
          <w:sz w:val="20"/>
          <w:szCs w:val="20"/>
        </w:rPr>
      </w:pPr>
      <w:r>
        <w:rPr>
          <w:rFonts w:ascii="宋体" w:hAnsi="宋体" w:eastAsia="宋体" w:cs="宋体"/>
          <w:spacing w:val="4"/>
          <w:sz w:val="20"/>
          <w:szCs w:val="20"/>
        </w:rPr>
        <w:t>法定代表人：</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法定代表人：</w:t>
      </w:r>
      <w:r>
        <w:rPr>
          <w:rFonts w:ascii="宋体" w:hAnsi="宋体" w:eastAsia="宋体" w:cs="宋体"/>
          <w:spacing w:val="4"/>
          <w:sz w:val="20"/>
          <w:szCs w:val="20"/>
          <w:u w:val="single" w:color="auto"/>
        </w:rPr>
        <w:t xml:space="preserve">              </w:t>
      </w:r>
    </w:p>
    <w:p w14:paraId="27ED39A2">
      <w:pPr>
        <w:spacing w:before="113" w:line="228" w:lineRule="auto"/>
        <w:ind w:left="7"/>
        <w:rPr>
          <w:rFonts w:ascii="宋体" w:hAnsi="宋体" w:eastAsia="宋体" w:cs="宋体"/>
          <w:sz w:val="20"/>
          <w:szCs w:val="20"/>
        </w:rPr>
      </w:pPr>
      <w:r>
        <w:rPr>
          <w:rFonts w:ascii="宋体" w:hAnsi="宋体" w:eastAsia="宋体" w:cs="宋体"/>
          <w:spacing w:val="6"/>
          <w:sz w:val="20"/>
          <w:szCs w:val="20"/>
        </w:rPr>
        <w:t>委托代理人：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14:paraId="17CA70AA">
      <w:pPr>
        <w:spacing w:before="112" w:line="231" w:lineRule="auto"/>
        <w:ind w:left="33"/>
        <w:rPr>
          <w:rFonts w:ascii="宋体" w:hAnsi="宋体" w:eastAsia="宋体" w:cs="宋体"/>
          <w:sz w:val="20"/>
          <w:szCs w:val="20"/>
        </w:rPr>
      </w:pPr>
      <w:r>
        <w:rPr>
          <w:rFonts w:ascii="宋体" w:hAnsi="宋体" w:eastAsia="宋体" w:cs="宋体"/>
          <w:spacing w:val="-2"/>
          <w:sz w:val="20"/>
          <w:szCs w:val="20"/>
        </w:rPr>
        <w:t>电话：</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 xml:space="preserve">                          </w:t>
      </w:r>
      <w:r>
        <w:rPr>
          <w:rFonts w:ascii="宋体" w:hAnsi="宋体" w:eastAsia="宋体" w:cs="宋体"/>
          <w:spacing w:val="-2"/>
          <w:sz w:val="20"/>
          <w:szCs w:val="20"/>
        </w:rPr>
        <w:t>电话：</w:t>
      </w:r>
      <w:r>
        <w:rPr>
          <w:rFonts w:ascii="宋体" w:hAnsi="宋体" w:eastAsia="宋体" w:cs="宋体"/>
          <w:spacing w:val="-2"/>
          <w:sz w:val="20"/>
          <w:szCs w:val="20"/>
          <w:u w:val="single" w:color="auto"/>
        </w:rPr>
        <w:t xml:space="preserve">                </w:t>
      </w:r>
    </w:p>
    <w:p w14:paraId="5346DC8F">
      <w:pPr>
        <w:spacing w:before="110" w:line="228" w:lineRule="auto"/>
        <w:ind w:left="6"/>
        <w:rPr>
          <w:rFonts w:ascii="宋体" w:hAnsi="宋体" w:eastAsia="宋体" w:cs="宋体"/>
          <w:sz w:val="20"/>
          <w:szCs w:val="20"/>
        </w:rPr>
      </w:pPr>
      <w:r>
        <w:rPr>
          <w:rFonts w:ascii="宋体" w:hAnsi="宋体" w:eastAsia="宋体" w:cs="宋体"/>
          <w:spacing w:val="5"/>
          <w:sz w:val="20"/>
          <w:szCs w:val="20"/>
        </w:rPr>
        <w:t>传真：</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5"/>
          <w:sz w:val="20"/>
          <w:szCs w:val="20"/>
        </w:rPr>
        <w:t>传真：</w:t>
      </w:r>
      <w:r>
        <w:rPr>
          <w:rFonts w:ascii="宋体" w:hAnsi="宋体" w:eastAsia="宋体" w:cs="宋体"/>
          <w:sz w:val="20"/>
          <w:szCs w:val="20"/>
          <w:u w:val="single" w:color="auto"/>
        </w:rPr>
        <w:t xml:space="preserve">                </w:t>
      </w:r>
    </w:p>
    <w:p w14:paraId="07C1EB23">
      <w:pPr>
        <w:spacing w:before="113" w:line="228" w:lineRule="auto"/>
        <w:ind w:left="33"/>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14:paraId="26608DEE">
      <w:pPr>
        <w:spacing w:before="113" w:line="229" w:lineRule="auto"/>
        <w:ind w:left="9"/>
        <w:rPr>
          <w:rFonts w:ascii="宋体" w:hAnsi="宋体" w:eastAsia="宋体" w:cs="宋体"/>
          <w:sz w:val="20"/>
          <w:szCs w:val="20"/>
        </w:rPr>
      </w:pPr>
      <w:r>
        <w:rPr>
          <w:rFonts w:ascii="宋体" w:hAnsi="宋体" w:eastAsia="宋体" w:cs="宋体"/>
          <w:spacing w:val="7"/>
          <w:sz w:val="20"/>
          <w:szCs w:val="20"/>
        </w:rPr>
        <w:t>开户银行：</w:t>
      </w:r>
      <w:r>
        <w:rPr>
          <w:rFonts w:ascii="宋体" w:hAnsi="宋体" w:eastAsia="宋体" w:cs="宋体"/>
          <w:spacing w:val="2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3"/>
          <w:sz w:val="20"/>
          <w:szCs w:val="20"/>
        </w:rPr>
        <w:t xml:space="preserve">                 </w:t>
      </w:r>
      <w:r>
        <w:rPr>
          <w:rFonts w:ascii="宋体" w:hAnsi="宋体" w:eastAsia="宋体" w:cs="宋体"/>
          <w:spacing w:val="7"/>
          <w:sz w:val="20"/>
          <w:szCs w:val="20"/>
        </w:rPr>
        <w:t>开户银行：</w:t>
      </w:r>
      <w:r>
        <w:rPr>
          <w:rFonts w:ascii="宋体" w:hAnsi="宋体" w:eastAsia="宋体" w:cs="宋体"/>
          <w:sz w:val="20"/>
          <w:szCs w:val="20"/>
          <w:u w:val="single" w:color="auto"/>
        </w:rPr>
        <w:t xml:space="preserve">                </w:t>
      </w:r>
    </w:p>
    <w:p w14:paraId="1904516E">
      <w:pPr>
        <w:spacing w:before="66" w:line="230" w:lineRule="auto"/>
        <w:ind w:left="11"/>
        <w:outlineLvl w:val="1"/>
        <w:rPr>
          <w:rFonts w:ascii="宋体" w:hAnsi="宋体" w:eastAsia="宋体" w:cs="宋体"/>
          <w:sz w:val="20"/>
          <w:szCs w:val="20"/>
        </w:rPr>
      </w:pPr>
      <w:r>
        <w:rPr>
          <w:rFonts w:ascii="宋体" w:hAnsi="宋体" w:eastAsia="宋体" w:cs="宋体"/>
          <w:spacing w:val="6"/>
          <w:sz w:val="20"/>
          <w:szCs w:val="20"/>
        </w:rPr>
        <w:t>账号：</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 xml:space="preserve">            </w:t>
      </w:r>
      <w:r>
        <w:rPr>
          <w:rFonts w:hint="eastAsia" w:ascii="宋体" w:hAnsi="宋体" w:cs="宋体"/>
          <w:spacing w:val="3"/>
          <w:sz w:val="20"/>
          <w:szCs w:val="20"/>
          <w:lang w:val="en-US" w:eastAsia="zh-CN"/>
        </w:rPr>
        <w:t xml:space="preserve"> </w:t>
      </w:r>
      <w:r>
        <w:rPr>
          <w:rFonts w:ascii="宋体" w:hAnsi="宋体" w:eastAsia="宋体" w:cs="宋体"/>
          <w:spacing w:val="6"/>
          <w:sz w:val="20"/>
          <w:szCs w:val="20"/>
        </w:rPr>
        <w:t>账号：</w:t>
      </w:r>
      <w:r>
        <w:rPr>
          <w:rFonts w:ascii="宋体" w:hAnsi="宋体" w:eastAsia="宋体" w:cs="宋体"/>
          <w:sz w:val="20"/>
          <w:szCs w:val="20"/>
          <w:u w:val="single" w:color="auto"/>
        </w:rPr>
        <w:t xml:space="preserve">                    </w:t>
      </w:r>
    </w:p>
    <w:p w14:paraId="03175647">
      <w:pPr>
        <w:autoSpaceDE/>
        <w:autoSpaceDN/>
        <w:spacing w:before="0" w:after="0" w:line="360" w:lineRule="auto"/>
        <w:ind w:left="0" w:right="0" w:firstLine="392" w:firstLineChars="196"/>
        <w:jc w:val="both"/>
        <w:outlineLvl w:val="9"/>
        <w:rPr>
          <w:rFonts w:hint="eastAsia" w:ascii="宋体" w:hAnsi="宋体" w:eastAsia="宋体" w:cs="宋体"/>
          <w:color w:val="auto"/>
          <w:kern w:val="0"/>
          <w:sz w:val="20"/>
          <w:szCs w:val="20"/>
          <w:lang w:val="en-US" w:eastAsia="zh-CN"/>
        </w:rPr>
      </w:pPr>
    </w:p>
    <w:p w14:paraId="3253AEFC">
      <w:pPr>
        <w:spacing w:line="360" w:lineRule="auto"/>
        <w:ind w:firstLine="420" w:firstLineChars="200"/>
        <w:outlineLvl w:val="9"/>
        <w:rPr>
          <w:color w:val="auto"/>
        </w:rPr>
      </w:pPr>
    </w:p>
    <w:p w14:paraId="7E6EB0FB">
      <w:pPr>
        <w:spacing w:line="360" w:lineRule="auto"/>
        <w:outlineLvl w:val="9"/>
        <w:rPr>
          <w:rFonts w:ascii="宋体" w:hAnsi="宋体" w:cs="宋体"/>
          <w:color w:val="auto"/>
          <w:sz w:val="24"/>
          <w:highlight w:val="none"/>
        </w:rPr>
      </w:pPr>
    </w:p>
    <w:p w14:paraId="40C051F2"/>
    <w:sectPr>
      <w:headerReference r:id="rId7" w:type="first"/>
      <w:footerReference r:id="rId9" w:type="first"/>
      <w:headerReference r:id="rId6" w:type="default"/>
      <w:footerReference r:id="rId8" w:type="default"/>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083A">
    <w:pPr>
      <w:pStyle w:val="2"/>
      <w:spacing w:line="14" w:lineRule="auto"/>
      <w:ind w:left="0"/>
      <w:rPr>
        <w:sz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94A95F">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894A9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8948E">
    <w:pPr>
      <w:spacing w:line="226" w:lineRule="exact"/>
      <w:ind w:left="4358"/>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l40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19CE3">
    <w:pPr>
      <w:spacing w:line="226" w:lineRule="exact"/>
      <w:ind w:left="429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l42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5123">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7ACFB6">
                          <w:pPr>
                            <w:pStyle w:val="3"/>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7ACFB6">
                    <w:pPr>
                      <w:pStyle w:val="3"/>
                    </w:pPr>
                    <w:r>
                      <w:fldChar w:fldCharType="begin"/>
                    </w:r>
                    <w:r>
                      <w:instrText xml:space="preserve"> PAGE  \* MERGEFORMAT </w:instrText>
                    </w:r>
                    <w:r>
                      <w:fldChar w:fldCharType="separate"/>
                    </w:r>
                    <w:r>
                      <w:t>70</w:t>
                    </w:r>
                    <w:r>
                      <w:fldChar w:fldCharType="end"/>
                    </w:r>
                  </w:p>
                </w:txbxContent>
              </v:textbox>
            </v:shape>
          </w:pict>
        </mc:Fallback>
      </mc:AlternateContent>
    </w:r>
  </w:p>
  <w:p w14:paraId="22DE07C2">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3F16">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661D5">
                          <w:pPr>
                            <w:pStyle w:val="3"/>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36661D5">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7B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3E2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259B0"/>
    <w:rsid w:val="05C23886"/>
    <w:rsid w:val="0C0258DC"/>
    <w:rsid w:val="162E6AF4"/>
    <w:rsid w:val="278C7E6E"/>
    <w:rsid w:val="3772660A"/>
    <w:rsid w:val="3C3C7D06"/>
    <w:rsid w:val="4A38723F"/>
    <w:rsid w:val="54CD7D80"/>
    <w:rsid w:val="60B625CF"/>
    <w:rsid w:val="616259B0"/>
    <w:rsid w:val="79DA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next w:val="1"/>
    <w:unhideWhenUsed/>
    <w:qFormat/>
    <w:uiPriority w:val="99"/>
    <w:pPr>
      <w:tabs>
        <w:tab w:val="center" w:pos="4153"/>
        <w:tab w:val="right" w:pos="8306"/>
      </w:tabs>
      <w:snapToGrid w:val="0"/>
      <w:jc w:val="left"/>
    </w:pPr>
    <w:rPr>
      <w:kern w:val="0"/>
      <w:sz w:val="18"/>
      <w:szCs w:val="18"/>
    </w:rPr>
  </w:style>
  <w:style w:type="paragraph" w:styleId="4">
    <w:name w:val="Title"/>
    <w:basedOn w:val="1"/>
    <w:qFormat/>
    <w:uiPriority w:val="0"/>
    <w:pPr>
      <w:spacing w:before="240" w:after="60"/>
      <w:jc w:val="center"/>
      <w:outlineLvl w:val="0"/>
    </w:pPr>
    <w:rPr>
      <w:rFonts w:ascii="Cambria" w:hAnsi="Cambria"/>
      <w:b/>
      <w:bCs/>
      <w:sz w:val="32"/>
      <w:szCs w:val="32"/>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33640</Words>
  <Characters>34950</Characters>
  <Lines>0</Lines>
  <Paragraphs>0</Paragraphs>
  <TotalTime>2</TotalTime>
  <ScaleCrop>false</ScaleCrop>
  <LinksUpToDate>false</LinksUpToDate>
  <CharactersWithSpaces>35994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2026-07-21T09:33:00Z</dcterms:created>
  <dc:creator>admin</dc:creator>
  <cp:lastModifiedBy>admin</cp:lastModifiedBy>
  <dcterms:modified xsi:type="dcterms:W3CDTF">2026-07-21T09:55:22Z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5103D2FA53BA4A8BA21A487A93CBA3A4_11</vt:lpwstr>
  </property>
  <property fmtid="{D5CDD505-2E9C-101B-9397-08002B2CF9AE}" pid="4" name="KSOTemplateDocerSaveRecord">
    <vt:lpwstr>eyJoZGlkIjoiY2ViYWUyMWZhNDQ4Y2IxMzEyNWM5MTVhODQ3MWJlNjYiLCJ1c2VySWQiOiI2NzAxNTc0MDAifQ==</vt:lpwstr>
  </property>
</Properties>
</file>