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F7C4ED">
      <w:pPr>
        <w:jc w:val="center"/>
        <w:rPr>
          <w:rFonts w:hint="eastAsia" w:ascii="仿宋_GB2312" w:hAnsi="宋体" w:eastAsia="仿宋_GB2312"/>
          <w:color w:val="auto"/>
          <w:sz w:val="32"/>
          <w:szCs w:val="32"/>
          <w:highlight w:val="none"/>
        </w:rPr>
      </w:pPr>
      <w:r>
        <w:rPr>
          <w:rFonts w:hint="eastAsia" w:cs="宋体" w:asciiTheme="minorEastAsia" w:hAnsiTheme="minorEastAsia"/>
          <w:b/>
          <w:color w:val="auto"/>
          <w:sz w:val="48"/>
          <w:szCs w:val="48"/>
          <w:highlight w:val="none"/>
        </w:rPr>
        <w:t xml:space="preserve"> </w:t>
      </w:r>
      <w:r>
        <w:rPr>
          <w:rFonts w:ascii="仿宋_GB2312" w:hAnsi="宋体" w:eastAsia="仿宋_GB2312"/>
          <w:color w:val="auto"/>
          <w:sz w:val="32"/>
          <w:szCs w:val="32"/>
          <w:highlight w:val="none"/>
        </w:rPr>
        <w:drawing>
          <wp:inline distT="0" distB="0" distL="114300" distR="114300">
            <wp:extent cx="5238750" cy="2581275"/>
            <wp:effectExtent l="0" t="0" r="0" b="9525"/>
            <wp:docPr id="6" name="图片 1" descr="9cbcad4d6e02db1f65fa23ea7abf5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9cbcad4d6e02db1f65fa23ea7abf56d"/>
                    <pic:cNvPicPr>
                      <a:picLocks noChangeAspect="1"/>
                    </pic:cNvPicPr>
                  </pic:nvPicPr>
                  <pic:blipFill>
                    <a:blip r:embed="rId18"/>
                    <a:stretch>
                      <a:fillRect/>
                    </a:stretch>
                  </pic:blipFill>
                  <pic:spPr>
                    <a:xfrm>
                      <a:off x="0" y="0"/>
                      <a:ext cx="5238750" cy="2581275"/>
                    </a:xfrm>
                    <a:prstGeom prst="rect">
                      <a:avLst/>
                    </a:prstGeom>
                    <a:noFill/>
                    <a:ln>
                      <a:noFill/>
                    </a:ln>
                  </pic:spPr>
                </pic:pic>
              </a:graphicData>
            </a:graphic>
          </wp:inline>
        </w:drawing>
      </w:r>
    </w:p>
    <w:p w14:paraId="1415D8E8">
      <w:pPr>
        <w:rPr>
          <w:rFonts w:hint="eastAsia"/>
          <w:color w:val="auto"/>
          <w:highlight w:val="none"/>
        </w:rPr>
      </w:pPr>
      <w:r>
        <w:rPr>
          <w:color w:val="auto"/>
          <w:sz w:val="44"/>
          <w:szCs w:val="44"/>
          <w:highlight w:val="none"/>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5934075" cy="0"/>
                <wp:effectExtent l="0" t="28575" r="9525" b="28575"/>
                <wp:wrapNone/>
                <wp:docPr id="2" name="直接连接符 2"/>
                <wp:cNvGraphicFramePr/>
                <a:graphic xmlns:a="http://schemas.openxmlformats.org/drawingml/2006/main">
                  <a:graphicData uri="http://schemas.microsoft.com/office/word/2010/wordprocessingShape">
                    <wps:wsp>
                      <wps:cNvCnPr/>
                      <wps:spPr>
                        <a:xfrm>
                          <a:off x="0" y="0"/>
                          <a:ext cx="5934075" cy="0"/>
                        </a:xfrm>
                        <a:prstGeom prst="line">
                          <a:avLst/>
                        </a:prstGeom>
                        <a:ln w="57150" cap="flat" cmpd="thinThick">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pt;height:0pt;width:467.25pt;z-index:251663360;mso-width-relative:page;mso-height-relative:page;" filled="f" stroked="t" coordsize="21600,21600" o:gfxdata="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InbGztUAAAACAQAADwAAAAAAAAABACAAAAAiAAAAZHJzL2Rvd25yZXYueG1s&#10;UEsBAhQAFAAAAAgAh07iQFjHIv37AQAA6wMAAA4AAAAAAAAAAQAgAAAAJAEAAGRycy9lMm9Eb2Mu&#10;eG1sUEsFBgAAAAAGAAYAWQEAAJEFAAAAAA==&#10;">
                <v:fill on="f" focussize="0,0"/>
                <v:stroke weight="4.5pt" color="#000000" linestyle="thinThick" joinstyle="round"/>
                <v:imagedata o:title=""/>
                <o:lock v:ext="edit" aspectratio="f"/>
              </v:line>
            </w:pict>
          </mc:Fallback>
        </mc:AlternateContent>
      </w:r>
    </w:p>
    <w:p w14:paraId="65AB06FD">
      <w:pPr>
        <w:rPr>
          <w:rFonts w:hint="eastAsia"/>
          <w:color w:val="auto"/>
          <w:highlight w:val="none"/>
        </w:rPr>
      </w:pPr>
    </w:p>
    <w:p w14:paraId="188DB222">
      <w:pPr>
        <w:rPr>
          <w:rFonts w:hint="eastAsia"/>
          <w:color w:val="auto"/>
          <w:highlight w:val="none"/>
        </w:rPr>
      </w:pPr>
    </w:p>
    <w:p w14:paraId="56D9869B">
      <w:pPr>
        <w:pStyle w:val="16"/>
        <w:jc w:val="center"/>
        <w:rPr>
          <w:rFonts w:hint="eastAsia" w:hAnsi="宋体"/>
          <w:bCs/>
          <w:color w:val="auto"/>
          <w:sz w:val="96"/>
          <w:szCs w:val="96"/>
          <w:highlight w:val="none"/>
          <w14:shadow w14:blurRad="50800" w14:dist="38100" w14:dir="2700000" w14:sx="100000" w14:sy="100000" w14:kx="0" w14:ky="0" w14:algn="tl">
            <w14:srgbClr w14:val="000000">
              <w14:alpha w14:val="60000"/>
            </w14:srgbClr>
          </w14:shadow>
        </w:rPr>
      </w:pPr>
      <w:r>
        <w:rPr>
          <w:rFonts w:hint="eastAsia" w:hAnsi="宋体"/>
          <w:bCs/>
          <w:color w:val="auto"/>
          <w:sz w:val="96"/>
          <w:szCs w:val="96"/>
          <w:highlight w:val="none"/>
          <w14:shadow w14:blurRad="50800" w14:dist="38100" w14:dir="2700000" w14:sx="100000" w14:sy="100000" w14:kx="0" w14:ky="0" w14:algn="tl">
            <w14:srgbClr w14:val="000000">
              <w14:alpha w14:val="60000"/>
            </w14:srgbClr>
          </w14:shadow>
        </w:rPr>
        <w:t>竞争性磋商文件</w:t>
      </w:r>
    </w:p>
    <w:p w14:paraId="37129253">
      <w:pPr>
        <w:pStyle w:val="16"/>
        <w:jc w:val="center"/>
        <w:rPr>
          <w:rFonts w:hint="eastAsia" w:hAnsi="宋体"/>
          <w:b/>
          <w:color w:val="auto"/>
          <w:sz w:val="96"/>
          <w:szCs w:val="96"/>
          <w:highlight w:val="none"/>
        </w:rPr>
      </w:pPr>
    </w:p>
    <w:p w14:paraId="5A472A18">
      <w:pPr>
        <w:spacing w:line="480" w:lineRule="auto"/>
        <w:ind w:left="0" w:leftChars="-95" w:hanging="199" w:hangingChars="62"/>
        <w:jc w:val="center"/>
        <w:rPr>
          <w:rFonts w:hint="eastAsia" w:ascii="宋体" w:hAnsi="宋体" w:eastAsiaTheme="minorEastAsia"/>
          <w:b/>
          <w:color w:val="auto"/>
          <w:sz w:val="32"/>
          <w:szCs w:val="32"/>
          <w:highlight w:val="none"/>
          <w:lang w:val="en-US" w:eastAsia="zh-CN"/>
        </w:rPr>
      </w:pPr>
      <w:r>
        <w:rPr>
          <w:rFonts w:hint="eastAsia" w:hAnsi="宋体"/>
          <w:b/>
          <w:color w:val="auto"/>
          <w:sz w:val="32"/>
          <w:szCs w:val="32"/>
          <w:highlight w:val="none"/>
          <w:lang w:val="en-US" w:eastAsia="zh-CN"/>
        </w:rPr>
        <w:t xml:space="preserve">     </w:t>
      </w:r>
      <w:r>
        <w:rPr>
          <w:rFonts w:hint="eastAsia" w:hAnsi="宋体"/>
          <w:b/>
          <w:color w:val="auto"/>
          <w:sz w:val="32"/>
          <w:szCs w:val="32"/>
          <w:highlight w:val="none"/>
        </w:rPr>
        <w:t>项目名称: 梧州市城东镇中心小学新建运动场</w:t>
      </w:r>
    </w:p>
    <w:p w14:paraId="4E4D8CEB">
      <w:pPr>
        <w:spacing w:line="480" w:lineRule="auto"/>
        <w:ind w:left="0" w:leftChars="-95" w:hanging="199" w:hangingChars="62"/>
        <w:jc w:val="center"/>
        <w:rPr>
          <w:rFonts w:hint="eastAsia" w:hAnsi="宋体" w:eastAsiaTheme="minorEastAsia"/>
          <w:b/>
          <w:color w:val="auto"/>
          <w:sz w:val="32"/>
          <w:szCs w:val="32"/>
          <w:highlight w:val="none"/>
          <w:lang w:val="en-US" w:eastAsia="zh-CN"/>
        </w:rPr>
      </w:pPr>
      <w:r>
        <w:rPr>
          <w:rFonts w:hint="eastAsia" w:hAnsi="宋体"/>
          <w:b/>
          <w:color w:val="auto"/>
          <w:sz w:val="32"/>
          <w:szCs w:val="32"/>
          <w:highlight w:val="none"/>
        </w:rPr>
        <w:t>项目编号：WZZC2026-C2-030012-GXDR</w:t>
      </w:r>
    </w:p>
    <w:p w14:paraId="4BBAFE27">
      <w:pPr>
        <w:rPr>
          <w:rFonts w:hint="eastAsia" w:hAnsi="宋体" w:cs="宋体"/>
          <w:b/>
          <w:color w:val="auto"/>
          <w:sz w:val="32"/>
          <w:szCs w:val="32"/>
          <w:highlight w:val="none"/>
        </w:rPr>
      </w:pPr>
      <w:r>
        <w:rPr>
          <w:rFonts w:hint="eastAsia"/>
          <w:color w:val="auto"/>
          <w:sz w:val="32"/>
          <w:szCs w:val="32"/>
          <w:highlight w:val="none"/>
        </w:rPr>
        <w:t xml:space="preserve">                                                            </w:t>
      </w:r>
    </w:p>
    <w:p w14:paraId="0DB6F6DE">
      <w:pPr>
        <w:rPr>
          <w:rFonts w:hint="eastAsia" w:hAnsi="宋体" w:cs="宋体"/>
          <w:b/>
          <w:color w:val="auto"/>
          <w:sz w:val="32"/>
          <w:szCs w:val="32"/>
          <w:highlight w:val="none"/>
        </w:rPr>
      </w:pPr>
    </w:p>
    <w:p w14:paraId="547F57DA">
      <w:pPr>
        <w:rPr>
          <w:rFonts w:hint="eastAsia" w:hAnsi="宋体" w:cs="宋体"/>
          <w:b/>
          <w:color w:val="auto"/>
          <w:sz w:val="32"/>
          <w:szCs w:val="32"/>
          <w:highlight w:val="none"/>
        </w:rPr>
      </w:pPr>
    </w:p>
    <w:p w14:paraId="33F1713A">
      <w:pPr>
        <w:spacing w:line="560" w:lineRule="exact"/>
        <w:jc w:val="center"/>
        <w:rPr>
          <w:rFonts w:hint="eastAsia" w:hAnsi="宋体" w:eastAsia="宋体" w:cs="宋体"/>
          <w:b/>
          <w:color w:val="auto"/>
          <w:sz w:val="32"/>
          <w:szCs w:val="32"/>
          <w:highlight w:val="none"/>
          <w:lang w:eastAsia="zh-CN"/>
        </w:rPr>
      </w:pPr>
      <w:r>
        <w:rPr>
          <w:rFonts w:hAnsi="宋体" w:cs="宋体"/>
          <w:b/>
          <w:color w:val="auto"/>
          <w:sz w:val="32"/>
          <w:szCs w:val="32"/>
          <w:highlight w:val="none"/>
        </w:rPr>
        <mc:AlternateContent>
          <mc:Choice Requires="wps">
            <w:drawing>
              <wp:anchor distT="0" distB="0" distL="114300" distR="114300" simplePos="0" relativeHeight="251664384" behindDoc="0" locked="0" layoutInCell="1" allowOverlap="1">
                <wp:simplePos x="0" y="0"/>
                <wp:positionH relativeFrom="column">
                  <wp:posOffset>114300</wp:posOffset>
                </wp:positionH>
                <wp:positionV relativeFrom="paragraph">
                  <wp:posOffset>0</wp:posOffset>
                </wp:positionV>
                <wp:extent cx="5934075" cy="0"/>
                <wp:effectExtent l="0" t="28575" r="9525" b="28575"/>
                <wp:wrapNone/>
                <wp:docPr id="7" name="直接连接符 7"/>
                <wp:cNvGraphicFramePr/>
                <a:graphic xmlns:a="http://schemas.openxmlformats.org/drawingml/2006/main">
                  <a:graphicData uri="http://schemas.microsoft.com/office/word/2010/wordprocessingShape">
                    <wps:wsp>
                      <wps:cNvCnPr/>
                      <wps:spPr>
                        <a:xfrm>
                          <a:off x="0" y="0"/>
                          <a:ext cx="5934075" cy="0"/>
                        </a:xfrm>
                        <a:prstGeom prst="line">
                          <a:avLst/>
                        </a:prstGeom>
                        <a:ln w="57150" cap="flat" cmpd="thinThick">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9pt;margin-top:0pt;height:0pt;width:467.25pt;z-index:251664384;mso-width-relative:page;mso-height-relative:page;" filled="f" stroked="t" coordsize="21600,21600" o:gfxdata="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qSqH1dUAAAAEAQAADwAAAAAAAAABACAAAAAiAAAAZHJzL2Rvd25yZXYueG1s&#10;UEsBAhQAFAAAAAgAh07iQCgL1OL7AQAA6wMAAA4AAAAAAAAAAQAgAAAAJAEAAGRycy9lMm9Eb2Mu&#10;eG1sUEsFBgAAAAAGAAYAWQEAAJEFAAAAAA==&#10;">
                <v:fill on="f" focussize="0,0"/>
                <v:stroke weight="4.5pt" color="#000000" linestyle="thinThick" joinstyle="round"/>
                <v:imagedata o:title=""/>
                <o:lock v:ext="edit" aspectratio="f"/>
              </v:line>
            </w:pict>
          </mc:Fallback>
        </mc:AlternateContent>
      </w:r>
      <w:r>
        <w:rPr>
          <w:rFonts w:hint="eastAsia" w:hAnsi="宋体" w:cs="宋体"/>
          <w:b/>
          <w:color w:val="auto"/>
          <w:sz w:val="32"/>
          <w:szCs w:val="32"/>
          <w:highlight w:val="none"/>
        </w:rPr>
        <w:t>采购单位：梧州市城东镇中心小学</w:t>
      </w:r>
    </w:p>
    <w:p w14:paraId="766B4B2C">
      <w:pPr>
        <w:spacing w:line="560" w:lineRule="exact"/>
        <w:jc w:val="center"/>
        <w:rPr>
          <w:rFonts w:hint="eastAsia" w:hAnsi="宋体" w:cs="宋体"/>
          <w:b/>
          <w:color w:val="auto"/>
          <w:sz w:val="32"/>
          <w:szCs w:val="32"/>
          <w:highlight w:val="none"/>
        </w:rPr>
      </w:pPr>
      <w:r>
        <w:rPr>
          <w:rFonts w:hint="eastAsia" w:hAnsi="宋体" w:cs="宋体"/>
          <w:b/>
          <w:color w:val="auto"/>
          <w:sz w:val="32"/>
          <w:szCs w:val="32"/>
          <w:highlight w:val="none"/>
        </w:rPr>
        <w:t>采购代理机构：</w:t>
      </w:r>
      <w:r>
        <w:rPr>
          <w:rFonts w:hint="eastAsia" w:hAnsi="宋体" w:cs="宋体"/>
          <w:b/>
          <w:color w:val="auto"/>
          <w:sz w:val="32"/>
          <w:szCs w:val="32"/>
          <w:highlight w:val="none"/>
          <w:lang w:eastAsia="zh-CN"/>
        </w:rPr>
        <w:t>广西大融合工程咨询有限公司</w:t>
      </w:r>
    </w:p>
    <w:p w14:paraId="0709D93D">
      <w:pPr>
        <w:spacing w:line="560" w:lineRule="exact"/>
        <w:jc w:val="center"/>
        <w:rPr>
          <w:rFonts w:hint="eastAsia" w:hAnsi="宋体" w:cs="宋体"/>
          <w:b/>
          <w:color w:val="auto"/>
          <w:sz w:val="32"/>
          <w:szCs w:val="32"/>
          <w:highlight w:val="none"/>
        </w:rPr>
      </w:pPr>
      <w:r>
        <w:rPr>
          <w:rFonts w:hint="eastAsia" w:hAnsi="宋体" w:cs="宋体"/>
          <w:b/>
          <w:color w:val="auto"/>
          <w:sz w:val="32"/>
          <w:szCs w:val="32"/>
          <w:highlight w:val="none"/>
        </w:rPr>
        <w:t>二O</w:t>
      </w:r>
      <w:r>
        <w:rPr>
          <w:rFonts w:hint="eastAsia" w:hAnsi="宋体" w:cs="宋体"/>
          <w:b/>
          <w:color w:val="auto"/>
          <w:sz w:val="32"/>
          <w:szCs w:val="32"/>
          <w:highlight w:val="none"/>
          <w:lang w:val="en-US" w:eastAsia="zh-CN"/>
        </w:rPr>
        <w:t>二六</w:t>
      </w:r>
      <w:r>
        <w:rPr>
          <w:rFonts w:hint="eastAsia" w:hAnsi="宋体" w:cs="宋体"/>
          <w:b/>
          <w:color w:val="auto"/>
          <w:sz w:val="32"/>
          <w:szCs w:val="32"/>
          <w:highlight w:val="none"/>
        </w:rPr>
        <w:t>年</w:t>
      </w:r>
      <w:r>
        <w:rPr>
          <w:rFonts w:hint="eastAsia" w:hAnsi="宋体" w:cs="宋体"/>
          <w:b/>
          <w:color w:val="auto"/>
          <w:sz w:val="32"/>
          <w:szCs w:val="32"/>
          <w:highlight w:val="none"/>
          <w:lang w:val="en-US" w:eastAsia="zh-CN"/>
        </w:rPr>
        <w:t>七</w:t>
      </w:r>
      <w:r>
        <w:rPr>
          <w:rFonts w:hint="eastAsia" w:hAnsi="宋体" w:cs="宋体"/>
          <w:b/>
          <w:color w:val="auto"/>
          <w:sz w:val="32"/>
          <w:szCs w:val="32"/>
          <w:highlight w:val="none"/>
        </w:rPr>
        <w:t>月</w:t>
      </w:r>
    </w:p>
    <w:p w14:paraId="1D4FDCD4">
      <w:pPr>
        <w:spacing w:line="560" w:lineRule="exact"/>
        <w:jc w:val="center"/>
        <w:rPr>
          <w:rFonts w:hAnsi="宋体" w:cs="宋体"/>
          <w:b/>
          <w:color w:val="auto"/>
          <w:sz w:val="32"/>
          <w:szCs w:val="32"/>
          <w:highlight w:val="none"/>
        </w:rPr>
      </w:pPr>
    </w:p>
    <w:p w14:paraId="6E401473">
      <w:pPr>
        <w:jc w:val="distribute"/>
        <w:rPr>
          <w:rFonts w:asciiTheme="minorEastAsia" w:hAnsiTheme="minorEastAsia" w:cstheme="minorEastAsia"/>
          <w:b/>
          <w:color w:val="auto"/>
          <w:kern w:val="0"/>
          <w:sz w:val="36"/>
          <w:highlight w:val="none"/>
        </w:rPr>
        <w:sectPr>
          <w:headerReference r:id="rId3" w:type="default"/>
          <w:endnotePr>
            <w:numFmt w:val="decimal"/>
          </w:endnotePr>
          <w:pgSz w:w="11906" w:h="16838"/>
          <w:pgMar w:top="1134" w:right="1418" w:bottom="1134" w:left="1418" w:header="397" w:footer="680" w:gutter="0"/>
          <w:paperSrc w:first="7" w:other="7"/>
          <w:pgNumType w:start="0"/>
          <w:cols w:space="720" w:num="1"/>
          <w:titlePg/>
          <w:docGrid w:type="lines" w:linePitch="312" w:charSpace="0"/>
        </w:sectPr>
      </w:pPr>
    </w:p>
    <w:p w14:paraId="6A948C91">
      <w:pPr>
        <w:pStyle w:val="39"/>
        <w:spacing w:line="360" w:lineRule="auto"/>
        <w:jc w:val="center"/>
        <w:rPr>
          <w:rFonts w:asciiTheme="minorEastAsia" w:hAnsiTheme="minorEastAsia" w:cstheme="minorEastAsia"/>
          <w:b/>
          <w:color w:val="auto"/>
          <w:sz w:val="36"/>
          <w:szCs w:val="36"/>
          <w:highlight w:val="none"/>
        </w:rPr>
      </w:pPr>
      <w:r>
        <w:rPr>
          <w:rFonts w:hint="eastAsia" w:asciiTheme="minorEastAsia" w:hAnsiTheme="minorEastAsia" w:cstheme="minorEastAsia"/>
          <w:b/>
          <w:color w:val="auto"/>
          <w:sz w:val="36"/>
          <w:szCs w:val="36"/>
          <w:highlight w:val="none"/>
        </w:rPr>
        <w:t>目     录</w:t>
      </w:r>
    </w:p>
    <w:p w14:paraId="6CE97798">
      <w:pPr>
        <w:pStyle w:val="39"/>
        <w:spacing w:line="360" w:lineRule="auto"/>
        <w:rPr>
          <w:rFonts w:asciiTheme="minorEastAsia" w:hAnsiTheme="minorEastAsia" w:cstheme="minorEastAsia"/>
          <w:b/>
          <w:color w:val="auto"/>
          <w:sz w:val="28"/>
          <w:szCs w:val="24"/>
          <w:highlight w:val="none"/>
        </w:rPr>
      </w:pPr>
    </w:p>
    <w:p w14:paraId="18EFD287">
      <w:pPr>
        <w:pStyle w:val="23"/>
        <w:keepNext w:val="0"/>
        <w:keepLines w:val="0"/>
        <w:pageBreakBefore w:val="0"/>
        <w:widowControl/>
        <w:tabs>
          <w:tab w:val="right" w:leader="dot" w:pos="9070"/>
          <w:tab w:val="clear" w:pos="9060"/>
        </w:tabs>
        <w:kinsoku/>
        <w:wordWrap/>
        <w:overflowPunct/>
        <w:topLinePunct w:val="0"/>
        <w:autoSpaceDE/>
        <w:autoSpaceDN/>
        <w:bidi w:val="0"/>
        <w:adjustRightInd/>
        <w:snapToGrid/>
        <w:spacing w:line="480" w:lineRule="auto"/>
        <w:jc w:val="both"/>
        <w:textAlignment w:val="auto"/>
        <w:rPr>
          <w:color w:val="auto"/>
          <w:highlight w:val="none"/>
        </w:rPr>
      </w:pPr>
      <w:r>
        <w:rPr>
          <w:rFonts w:asciiTheme="minorEastAsia" w:hAnsiTheme="minorEastAsia" w:cstheme="minorEastAsia"/>
          <w:color w:val="auto"/>
          <w:szCs w:val="24"/>
          <w:highlight w:val="none"/>
        </w:rPr>
        <w:fldChar w:fldCharType="begin"/>
      </w:r>
      <w:r>
        <w:rPr>
          <w:rFonts w:asciiTheme="minorEastAsia" w:hAnsiTheme="minorEastAsia" w:cstheme="minorEastAsia"/>
          <w:color w:val="auto"/>
          <w:szCs w:val="24"/>
          <w:highlight w:val="none"/>
        </w:rPr>
        <w:instrText xml:space="preserve">TOC \o "1-1" \h \u </w:instrText>
      </w:r>
      <w:r>
        <w:rPr>
          <w:rFonts w:asciiTheme="minorEastAsia" w:hAnsiTheme="minorEastAsia" w:cstheme="minorEastAsia"/>
          <w:color w:val="auto"/>
          <w:szCs w:val="24"/>
          <w:highlight w:val="none"/>
        </w:rPr>
        <w:fldChar w:fldCharType="separate"/>
      </w:r>
      <w:r>
        <w:rPr>
          <w:rFonts w:asciiTheme="minorEastAsia" w:hAnsiTheme="minorEastAsia" w:cstheme="minorEastAsia"/>
          <w:color w:val="auto"/>
          <w:szCs w:val="24"/>
          <w:highlight w:val="none"/>
        </w:rPr>
        <w:fldChar w:fldCharType="begin"/>
      </w:r>
      <w:r>
        <w:rPr>
          <w:rFonts w:asciiTheme="minorEastAsia" w:hAnsiTheme="minorEastAsia" w:cstheme="minorEastAsia"/>
          <w:color w:val="auto"/>
          <w:szCs w:val="24"/>
          <w:highlight w:val="none"/>
        </w:rPr>
        <w:instrText xml:space="preserve"> HYPERLINK \l _Toc9290 </w:instrText>
      </w:r>
      <w:r>
        <w:rPr>
          <w:rFonts w:asciiTheme="minorEastAsia" w:hAnsiTheme="minorEastAsia" w:cstheme="minorEastAsia"/>
          <w:color w:val="auto"/>
          <w:szCs w:val="24"/>
          <w:highlight w:val="none"/>
        </w:rPr>
        <w:fldChar w:fldCharType="separate"/>
      </w:r>
      <w:r>
        <w:rPr>
          <w:rFonts w:hint="eastAsia" w:asciiTheme="minorEastAsia" w:hAnsiTheme="minorEastAsia" w:cstheme="minorEastAsia"/>
          <w:color w:val="auto"/>
          <w:highlight w:val="none"/>
        </w:rPr>
        <w:t>第一章  磋商须知及磋商须知前附表</w:t>
      </w:r>
      <w:r>
        <w:rPr>
          <w:color w:val="auto"/>
          <w:highlight w:val="none"/>
        </w:rPr>
        <w:tab/>
      </w:r>
      <w:r>
        <w:rPr>
          <w:color w:val="auto"/>
          <w:highlight w:val="none"/>
        </w:rPr>
        <w:fldChar w:fldCharType="begin"/>
      </w:r>
      <w:r>
        <w:rPr>
          <w:color w:val="auto"/>
          <w:highlight w:val="none"/>
        </w:rPr>
        <w:instrText xml:space="preserve"> PAGEREF _Toc9290 \h </w:instrText>
      </w:r>
      <w:r>
        <w:rPr>
          <w:color w:val="auto"/>
          <w:highlight w:val="none"/>
        </w:rPr>
        <w:fldChar w:fldCharType="separate"/>
      </w:r>
      <w:r>
        <w:rPr>
          <w:color w:val="auto"/>
          <w:highlight w:val="none"/>
        </w:rPr>
        <w:t>5</w:t>
      </w:r>
      <w:r>
        <w:rPr>
          <w:color w:val="auto"/>
          <w:highlight w:val="none"/>
        </w:rPr>
        <w:fldChar w:fldCharType="end"/>
      </w:r>
      <w:r>
        <w:rPr>
          <w:rFonts w:asciiTheme="minorEastAsia" w:hAnsiTheme="minorEastAsia" w:cstheme="minorEastAsia"/>
          <w:color w:val="auto"/>
          <w:szCs w:val="24"/>
          <w:highlight w:val="none"/>
        </w:rPr>
        <w:fldChar w:fldCharType="end"/>
      </w:r>
    </w:p>
    <w:p w14:paraId="2790912F">
      <w:pPr>
        <w:pStyle w:val="23"/>
        <w:keepNext w:val="0"/>
        <w:keepLines w:val="0"/>
        <w:pageBreakBefore w:val="0"/>
        <w:widowControl/>
        <w:tabs>
          <w:tab w:val="right" w:leader="dot" w:pos="9070"/>
          <w:tab w:val="clear" w:pos="9060"/>
        </w:tabs>
        <w:kinsoku/>
        <w:wordWrap/>
        <w:overflowPunct/>
        <w:topLinePunct w:val="0"/>
        <w:autoSpaceDE/>
        <w:autoSpaceDN/>
        <w:bidi w:val="0"/>
        <w:adjustRightInd/>
        <w:snapToGrid/>
        <w:spacing w:line="480" w:lineRule="auto"/>
        <w:jc w:val="both"/>
        <w:textAlignment w:val="auto"/>
        <w:rPr>
          <w:color w:val="auto"/>
          <w:highlight w:val="none"/>
        </w:rPr>
      </w:pPr>
      <w:r>
        <w:rPr>
          <w:rFonts w:asciiTheme="minorEastAsia" w:hAnsiTheme="minorEastAsia" w:cstheme="minorEastAsia"/>
          <w:color w:val="auto"/>
          <w:szCs w:val="24"/>
          <w:highlight w:val="none"/>
        </w:rPr>
        <w:fldChar w:fldCharType="begin"/>
      </w:r>
      <w:r>
        <w:rPr>
          <w:rFonts w:asciiTheme="minorEastAsia" w:hAnsiTheme="minorEastAsia" w:cstheme="minorEastAsia"/>
          <w:color w:val="auto"/>
          <w:szCs w:val="24"/>
          <w:highlight w:val="none"/>
        </w:rPr>
        <w:instrText xml:space="preserve"> HYPERLINK \l _Toc17575 </w:instrText>
      </w:r>
      <w:r>
        <w:rPr>
          <w:rFonts w:asciiTheme="minorEastAsia" w:hAnsiTheme="minorEastAsia" w:cstheme="minorEastAsia"/>
          <w:color w:val="auto"/>
          <w:szCs w:val="24"/>
          <w:highlight w:val="none"/>
        </w:rPr>
        <w:fldChar w:fldCharType="separate"/>
      </w:r>
      <w:r>
        <w:rPr>
          <w:rFonts w:hint="eastAsia" w:asciiTheme="minorEastAsia" w:hAnsiTheme="minorEastAsia" w:cstheme="minorEastAsia"/>
          <w:color w:val="auto"/>
          <w:highlight w:val="none"/>
        </w:rPr>
        <w:t>第二章  合同条款及格式</w:t>
      </w:r>
      <w:r>
        <w:rPr>
          <w:color w:val="auto"/>
          <w:highlight w:val="none"/>
        </w:rPr>
        <w:tab/>
      </w:r>
      <w:r>
        <w:rPr>
          <w:color w:val="auto"/>
          <w:highlight w:val="none"/>
        </w:rPr>
        <w:fldChar w:fldCharType="begin"/>
      </w:r>
      <w:r>
        <w:rPr>
          <w:color w:val="auto"/>
          <w:highlight w:val="none"/>
        </w:rPr>
        <w:instrText xml:space="preserve"> PAGEREF _Toc17575 \h </w:instrText>
      </w:r>
      <w:r>
        <w:rPr>
          <w:color w:val="auto"/>
          <w:highlight w:val="none"/>
        </w:rPr>
        <w:fldChar w:fldCharType="separate"/>
      </w:r>
      <w:r>
        <w:rPr>
          <w:color w:val="auto"/>
          <w:highlight w:val="none"/>
        </w:rPr>
        <w:t>27</w:t>
      </w:r>
      <w:r>
        <w:rPr>
          <w:color w:val="auto"/>
          <w:highlight w:val="none"/>
        </w:rPr>
        <w:fldChar w:fldCharType="end"/>
      </w:r>
      <w:r>
        <w:rPr>
          <w:rFonts w:asciiTheme="minorEastAsia" w:hAnsiTheme="minorEastAsia" w:cstheme="minorEastAsia"/>
          <w:color w:val="auto"/>
          <w:szCs w:val="24"/>
          <w:highlight w:val="none"/>
        </w:rPr>
        <w:fldChar w:fldCharType="end"/>
      </w:r>
    </w:p>
    <w:p w14:paraId="559E3AF4">
      <w:pPr>
        <w:pStyle w:val="23"/>
        <w:keepNext w:val="0"/>
        <w:keepLines w:val="0"/>
        <w:pageBreakBefore w:val="0"/>
        <w:widowControl/>
        <w:tabs>
          <w:tab w:val="right" w:leader="dot" w:pos="9070"/>
          <w:tab w:val="clear" w:pos="9060"/>
        </w:tabs>
        <w:kinsoku/>
        <w:wordWrap/>
        <w:overflowPunct/>
        <w:topLinePunct w:val="0"/>
        <w:autoSpaceDE/>
        <w:autoSpaceDN/>
        <w:bidi w:val="0"/>
        <w:adjustRightInd/>
        <w:snapToGrid/>
        <w:spacing w:line="480" w:lineRule="auto"/>
        <w:jc w:val="both"/>
        <w:textAlignment w:val="auto"/>
        <w:rPr>
          <w:color w:val="auto"/>
          <w:highlight w:val="none"/>
        </w:rPr>
      </w:pPr>
      <w:r>
        <w:rPr>
          <w:rFonts w:asciiTheme="minorEastAsia" w:hAnsiTheme="minorEastAsia" w:cstheme="minorEastAsia"/>
          <w:color w:val="auto"/>
          <w:szCs w:val="24"/>
          <w:highlight w:val="none"/>
        </w:rPr>
        <w:fldChar w:fldCharType="begin"/>
      </w:r>
      <w:r>
        <w:rPr>
          <w:rFonts w:asciiTheme="minorEastAsia" w:hAnsiTheme="minorEastAsia" w:cstheme="minorEastAsia"/>
          <w:color w:val="auto"/>
          <w:szCs w:val="24"/>
          <w:highlight w:val="none"/>
        </w:rPr>
        <w:instrText xml:space="preserve"> HYPERLINK \l _Toc18047 </w:instrText>
      </w:r>
      <w:r>
        <w:rPr>
          <w:rFonts w:asciiTheme="minorEastAsia" w:hAnsiTheme="minorEastAsia" w:cstheme="minorEastAsia"/>
          <w:color w:val="auto"/>
          <w:szCs w:val="24"/>
          <w:highlight w:val="none"/>
        </w:rPr>
        <w:fldChar w:fldCharType="separate"/>
      </w:r>
      <w:r>
        <w:rPr>
          <w:rFonts w:hint="eastAsia" w:asciiTheme="minorEastAsia" w:hAnsiTheme="minorEastAsia" w:cstheme="minorEastAsia"/>
          <w:color w:val="auto"/>
          <w:highlight w:val="none"/>
        </w:rPr>
        <w:t>第三章  工程技术标准和要求</w:t>
      </w:r>
      <w:r>
        <w:rPr>
          <w:color w:val="auto"/>
          <w:highlight w:val="none"/>
        </w:rPr>
        <w:tab/>
      </w:r>
      <w:r>
        <w:rPr>
          <w:color w:val="auto"/>
          <w:highlight w:val="none"/>
        </w:rPr>
        <w:fldChar w:fldCharType="begin"/>
      </w:r>
      <w:r>
        <w:rPr>
          <w:color w:val="auto"/>
          <w:highlight w:val="none"/>
        </w:rPr>
        <w:instrText xml:space="preserve"> PAGEREF _Toc18047 \h </w:instrText>
      </w:r>
      <w:r>
        <w:rPr>
          <w:color w:val="auto"/>
          <w:highlight w:val="none"/>
        </w:rPr>
        <w:fldChar w:fldCharType="separate"/>
      </w:r>
      <w:r>
        <w:rPr>
          <w:color w:val="auto"/>
          <w:highlight w:val="none"/>
        </w:rPr>
        <w:t>68</w:t>
      </w:r>
      <w:r>
        <w:rPr>
          <w:color w:val="auto"/>
          <w:highlight w:val="none"/>
        </w:rPr>
        <w:fldChar w:fldCharType="end"/>
      </w:r>
      <w:r>
        <w:rPr>
          <w:rFonts w:asciiTheme="minorEastAsia" w:hAnsiTheme="minorEastAsia" w:cstheme="minorEastAsia"/>
          <w:color w:val="auto"/>
          <w:szCs w:val="24"/>
          <w:highlight w:val="none"/>
        </w:rPr>
        <w:fldChar w:fldCharType="end"/>
      </w:r>
    </w:p>
    <w:p w14:paraId="345CCA89">
      <w:pPr>
        <w:pStyle w:val="23"/>
        <w:keepNext w:val="0"/>
        <w:keepLines w:val="0"/>
        <w:pageBreakBefore w:val="0"/>
        <w:widowControl/>
        <w:tabs>
          <w:tab w:val="right" w:leader="dot" w:pos="9070"/>
          <w:tab w:val="clear" w:pos="9060"/>
        </w:tabs>
        <w:kinsoku/>
        <w:wordWrap/>
        <w:overflowPunct/>
        <w:topLinePunct w:val="0"/>
        <w:autoSpaceDE/>
        <w:autoSpaceDN/>
        <w:bidi w:val="0"/>
        <w:adjustRightInd/>
        <w:snapToGrid/>
        <w:spacing w:line="480" w:lineRule="auto"/>
        <w:jc w:val="both"/>
        <w:textAlignment w:val="auto"/>
        <w:rPr>
          <w:color w:val="auto"/>
          <w:highlight w:val="none"/>
        </w:rPr>
      </w:pPr>
      <w:r>
        <w:rPr>
          <w:rFonts w:asciiTheme="minorEastAsia" w:hAnsiTheme="minorEastAsia" w:cstheme="minorEastAsia"/>
          <w:color w:val="auto"/>
          <w:szCs w:val="24"/>
          <w:highlight w:val="none"/>
        </w:rPr>
        <w:fldChar w:fldCharType="begin"/>
      </w:r>
      <w:r>
        <w:rPr>
          <w:rFonts w:asciiTheme="minorEastAsia" w:hAnsiTheme="minorEastAsia" w:cstheme="minorEastAsia"/>
          <w:color w:val="auto"/>
          <w:szCs w:val="24"/>
          <w:highlight w:val="none"/>
        </w:rPr>
        <w:instrText xml:space="preserve"> HYPERLINK \l _Toc28029 </w:instrText>
      </w:r>
      <w:r>
        <w:rPr>
          <w:rFonts w:asciiTheme="minorEastAsia" w:hAnsiTheme="minorEastAsia" w:cstheme="minorEastAsia"/>
          <w:color w:val="auto"/>
          <w:szCs w:val="24"/>
          <w:highlight w:val="none"/>
        </w:rPr>
        <w:fldChar w:fldCharType="separate"/>
      </w:r>
      <w:r>
        <w:rPr>
          <w:rFonts w:hint="eastAsia" w:asciiTheme="minorEastAsia" w:hAnsiTheme="minorEastAsia" w:cstheme="minorEastAsia"/>
          <w:color w:val="auto"/>
          <w:highlight w:val="none"/>
        </w:rPr>
        <w:t>第四章 图纸</w:t>
      </w:r>
      <w:r>
        <w:rPr>
          <w:color w:val="auto"/>
          <w:highlight w:val="none"/>
        </w:rPr>
        <w:tab/>
      </w:r>
      <w:r>
        <w:rPr>
          <w:color w:val="auto"/>
          <w:highlight w:val="none"/>
        </w:rPr>
        <w:fldChar w:fldCharType="begin"/>
      </w:r>
      <w:r>
        <w:rPr>
          <w:color w:val="auto"/>
          <w:highlight w:val="none"/>
        </w:rPr>
        <w:instrText xml:space="preserve"> PAGEREF _Toc28029 \h </w:instrText>
      </w:r>
      <w:r>
        <w:rPr>
          <w:color w:val="auto"/>
          <w:highlight w:val="none"/>
        </w:rPr>
        <w:fldChar w:fldCharType="separate"/>
      </w:r>
      <w:r>
        <w:rPr>
          <w:color w:val="auto"/>
          <w:highlight w:val="none"/>
        </w:rPr>
        <w:t>68</w:t>
      </w:r>
      <w:r>
        <w:rPr>
          <w:color w:val="auto"/>
          <w:highlight w:val="none"/>
        </w:rPr>
        <w:fldChar w:fldCharType="end"/>
      </w:r>
      <w:r>
        <w:rPr>
          <w:rFonts w:asciiTheme="minorEastAsia" w:hAnsiTheme="minorEastAsia" w:cstheme="minorEastAsia"/>
          <w:color w:val="auto"/>
          <w:szCs w:val="24"/>
          <w:highlight w:val="none"/>
        </w:rPr>
        <w:fldChar w:fldCharType="end"/>
      </w:r>
    </w:p>
    <w:p w14:paraId="45D4A221">
      <w:pPr>
        <w:pStyle w:val="23"/>
        <w:keepNext w:val="0"/>
        <w:keepLines w:val="0"/>
        <w:pageBreakBefore w:val="0"/>
        <w:widowControl/>
        <w:tabs>
          <w:tab w:val="right" w:leader="dot" w:pos="9070"/>
          <w:tab w:val="clear" w:pos="9060"/>
        </w:tabs>
        <w:kinsoku/>
        <w:wordWrap/>
        <w:overflowPunct/>
        <w:topLinePunct w:val="0"/>
        <w:autoSpaceDE/>
        <w:autoSpaceDN/>
        <w:bidi w:val="0"/>
        <w:adjustRightInd/>
        <w:snapToGrid/>
        <w:spacing w:line="480" w:lineRule="auto"/>
        <w:jc w:val="both"/>
        <w:textAlignment w:val="auto"/>
        <w:rPr>
          <w:color w:val="auto"/>
          <w:highlight w:val="none"/>
        </w:rPr>
      </w:pPr>
      <w:r>
        <w:rPr>
          <w:rFonts w:asciiTheme="minorEastAsia" w:hAnsiTheme="minorEastAsia" w:cstheme="minorEastAsia"/>
          <w:color w:val="auto"/>
          <w:szCs w:val="24"/>
          <w:highlight w:val="none"/>
        </w:rPr>
        <w:fldChar w:fldCharType="begin"/>
      </w:r>
      <w:r>
        <w:rPr>
          <w:rFonts w:asciiTheme="minorEastAsia" w:hAnsiTheme="minorEastAsia" w:cstheme="minorEastAsia"/>
          <w:color w:val="auto"/>
          <w:szCs w:val="24"/>
          <w:highlight w:val="none"/>
        </w:rPr>
        <w:instrText xml:space="preserve"> HYPERLINK \l _Toc19412 </w:instrText>
      </w:r>
      <w:r>
        <w:rPr>
          <w:rFonts w:asciiTheme="minorEastAsia" w:hAnsiTheme="minorEastAsia" w:cstheme="minorEastAsia"/>
          <w:color w:val="auto"/>
          <w:szCs w:val="24"/>
          <w:highlight w:val="none"/>
        </w:rPr>
        <w:fldChar w:fldCharType="separate"/>
      </w:r>
      <w:r>
        <w:rPr>
          <w:rFonts w:hint="eastAsia" w:asciiTheme="minorEastAsia" w:hAnsiTheme="minorEastAsia" w:cstheme="minorEastAsia"/>
          <w:color w:val="auto"/>
          <w:highlight w:val="none"/>
        </w:rPr>
        <w:t>第五章 工程量清单</w:t>
      </w:r>
      <w:r>
        <w:rPr>
          <w:color w:val="auto"/>
          <w:highlight w:val="none"/>
        </w:rPr>
        <w:tab/>
      </w:r>
      <w:bookmarkStart w:id="1513" w:name="_GoBack"/>
      <w:bookmarkEnd w:id="1513"/>
      <w:r>
        <w:rPr>
          <w:color w:val="auto"/>
          <w:highlight w:val="none"/>
        </w:rPr>
        <w:fldChar w:fldCharType="begin"/>
      </w:r>
      <w:r>
        <w:rPr>
          <w:color w:val="auto"/>
          <w:highlight w:val="none"/>
        </w:rPr>
        <w:instrText xml:space="preserve"> PAGEREF _Toc19412 \h </w:instrText>
      </w:r>
      <w:r>
        <w:rPr>
          <w:color w:val="auto"/>
          <w:highlight w:val="none"/>
        </w:rPr>
        <w:fldChar w:fldCharType="separate"/>
      </w:r>
      <w:r>
        <w:rPr>
          <w:color w:val="auto"/>
          <w:highlight w:val="none"/>
        </w:rPr>
        <w:t>68</w:t>
      </w:r>
      <w:r>
        <w:rPr>
          <w:color w:val="auto"/>
          <w:highlight w:val="none"/>
        </w:rPr>
        <w:fldChar w:fldCharType="end"/>
      </w:r>
      <w:r>
        <w:rPr>
          <w:rFonts w:asciiTheme="minorEastAsia" w:hAnsiTheme="minorEastAsia" w:cstheme="minorEastAsia"/>
          <w:color w:val="auto"/>
          <w:szCs w:val="24"/>
          <w:highlight w:val="none"/>
        </w:rPr>
        <w:fldChar w:fldCharType="end"/>
      </w:r>
    </w:p>
    <w:p w14:paraId="6FEA010E">
      <w:pPr>
        <w:pStyle w:val="23"/>
        <w:keepNext w:val="0"/>
        <w:keepLines w:val="0"/>
        <w:pageBreakBefore w:val="0"/>
        <w:widowControl/>
        <w:tabs>
          <w:tab w:val="right" w:leader="dot" w:pos="9070"/>
          <w:tab w:val="clear" w:pos="9060"/>
        </w:tabs>
        <w:kinsoku/>
        <w:wordWrap/>
        <w:overflowPunct/>
        <w:topLinePunct w:val="0"/>
        <w:autoSpaceDE/>
        <w:autoSpaceDN/>
        <w:bidi w:val="0"/>
        <w:adjustRightInd/>
        <w:snapToGrid/>
        <w:spacing w:line="480" w:lineRule="auto"/>
        <w:jc w:val="both"/>
        <w:textAlignment w:val="auto"/>
        <w:rPr>
          <w:color w:val="auto"/>
          <w:highlight w:val="none"/>
        </w:rPr>
      </w:pPr>
      <w:r>
        <w:rPr>
          <w:rFonts w:asciiTheme="minorEastAsia" w:hAnsiTheme="minorEastAsia" w:cstheme="minorEastAsia"/>
          <w:color w:val="auto"/>
          <w:szCs w:val="24"/>
          <w:highlight w:val="none"/>
        </w:rPr>
        <w:fldChar w:fldCharType="begin"/>
      </w:r>
      <w:r>
        <w:rPr>
          <w:rFonts w:asciiTheme="minorEastAsia" w:hAnsiTheme="minorEastAsia" w:cstheme="minorEastAsia"/>
          <w:color w:val="auto"/>
          <w:szCs w:val="24"/>
          <w:highlight w:val="none"/>
        </w:rPr>
        <w:instrText xml:space="preserve"> HYPERLINK \l _Toc4887 </w:instrText>
      </w:r>
      <w:r>
        <w:rPr>
          <w:rFonts w:asciiTheme="minorEastAsia" w:hAnsiTheme="minorEastAsia" w:cstheme="minorEastAsia"/>
          <w:color w:val="auto"/>
          <w:szCs w:val="24"/>
          <w:highlight w:val="none"/>
        </w:rPr>
        <w:fldChar w:fldCharType="separate"/>
      </w:r>
      <w:r>
        <w:rPr>
          <w:rFonts w:hint="eastAsia" w:asciiTheme="minorEastAsia" w:hAnsiTheme="minorEastAsia" w:cstheme="minorEastAsia"/>
          <w:color w:val="auto"/>
          <w:highlight w:val="none"/>
        </w:rPr>
        <w:t>第六章  响应文件格式</w:t>
      </w:r>
      <w:r>
        <w:rPr>
          <w:color w:val="auto"/>
          <w:highlight w:val="none"/>
        </w:rPr>
        <w:tab/>
      </w:r>
      <w:r>
        <w:rPr>
          <w:color w:val="auto"/>
          <w:highlight w:val="none"/>
        </w:rPr>
        <w:fldChar w:fldCharType="begin"/>
      </w:r>
      <w:r>
        <w:rPr>
          <w:color w:val="auto"/>
          <w:highlight w:val="none"/>
        </w:rPr>
        <w:instrText xml:space="preserve"> PAGEREF _Toc4887 \h </w:instrText>
      </w:r>
      <w:r>
        <w:rPr>
          <w:color w:val="auto"/>
          <w:highlight w:val="none"/>
        </w:rPr>
        <w:fldChar w:fldCharType="separate"/>
      </w:r>
      <w:r>
        <w:rPr>
          <w:color w:val="auto"/>
          <w:highlight w:val="none"/>
        </w:rPr>
        <w:t>69</w:t>
      </w:r>
      <w:r>
        <w:rPr>
          <w:color w:val="auto"/>
          <w:highlight w:val="none"/>
        </w:rPr>
        <w:fldChar w:fldCharType="end"/>
      </w:r>
      <w:r>
        <w:rPr>
          <w:rFonts w:asciiTheme="minorEastAsia" w:hAnsiTheme="minorEastAsia" w:cstheme="minorEastAsia"/>
          <w:color w:val="auto"/>
          <w:szCs w:val="24"/>
          <w:highlight w:val="none"/>
        </w:rPr>
        <w:fldChar w:fldCharType="end"/>
      </w:r>
    </w:p>
    <w:p w14:paraId="45F0224B">
      <w:pPr>
        <w:pStyle w:val="23"/>
        <w:keepNext w:val="0"/>
        <w:keepLines w:val="0"/>
        <w:pageBreakBefore w:val="0"/>
        <w:widowControl/>
        <w:tabs>
          <w:tab w:val="right" w:leader="dot" w:pos="9070"/>
          <w:tab w:val="clear" w:pos="9060"/>
        </w:tabs>
        <w:kinsoku/>
        <w:wordWrap/>
        <w:overflowPunct/>
        <w:topLinePunct w:val="0"/>
        <w:autoSpaceDE/>
        <w:autoSpaceDN/>
        <w:bidi w:val="0"/>
        <w:adjustRightInd/>
        <w:snapToGrid/>
        <w:spacing w:line="480" w:lineRule="auto"/>
        <w:jc w:val="both"/>
        <w:textAlignment w:val="auto"/>
        <w:rPr>
          <w:color w:val="auto"/>
          <w:highlight w:val="none"/>
        </w:rPr>
      </w:pPr>
      <w:r>
        <w:rPr>
          <w:rFonts w:asciiTheme="minorEastAsia" w:hAnsiTheme="minorEastAsia" w:cstheme="minorEastAsia"/>
          <w:color w:val="auto"/>
          <w:szCs w:val="24"/>
          <w:highlight w:val="none"/>
        </w:rPr>
        <w:fldChar w:fldCharType="begin"/>
      </w:r>
      <w:r>
        <w:rPr>
          <w:rFonts w:asciiTheme="minorEastAsia" w:hAnsiTheme="minorEastAsia" w:cstheme="minorEastAsia"/>
          <w:color w:val="auto"/>
          <w:szCs w:val="24"/>
          <w:highlight w:val="none"/>
        </w:rPr>
        <w:instrText xml:space="preserve"> HYPERLINK \l _Toc20117 </w:instrText>
      </w:r>
      <w:r>
        <w:rPr>
          <w:rFonts w:asciiTheme="minorEastAsia" w:hAnsiTheme="minorEastAsia" w:cstheme="minorEastAsia"/>
          <w:color w:val="auto"/>
          <w:szCs w:val="24"/>
          <w:highlight w:val="none"/>
        </w:rPr>
        <w:fldChar w:fldCharType="separate"/>
      </w:r>
      <w:r>
        <w:rPr>
          <w:rFonts w:hint="eastAsia" w:cs="黑体" w:asciiTheme="minorEastAsia" w:hAnsiTheme="minorEastAsia"/>
          <w:color w:val="auto"/>
          <w:highlight w:val="none"/>
        </w:rPr>
        <w:t>第七章</w:t>
      </w:r>
      <w:r>
        <w:rPr>
          <w:rFonts w:hint="eastAsia" w:asciiTheme="minorEastAsia" w:hAnsiTheme="minorEastAsia" w:cstheme="minorEastAsia"/>
          <w:color w:val="auto"/>
          <w:highlight w:val="none"/>
        </w:rPr>
        <w:t xml:space="preserve"> </w:t>
      </w:r>
      <w:r>
        <w:rPr>
          <w:rFonts w:hint="eastAsia" w:cs="黑体" w:asciiTheme="minorEastAsia" w:hAnsiTheme="minorEastAsia"/>
          <w:color w:val="auto"/>
          <w:highlight w:val="none"/>
        </w:rPr>
        <w:t>评标办法（综合评估法）</w:t>
      </w:r>
      <w:r>
        <w:rPr>
          <w:color w:val="auto"/>
          <w:highlight w:val="none"/>
        </w:rPr>
        <w:tab/>
      </w:r>
      <w:r>
        <w:rPr>
          <w:color w:val="auto"/>
          <w:highlight w:val="none"/>
        </w:rPr>
        <w:fldChar w:fldCharType="begin"/>
      </w:r>
      <w:r>
        <w:rPr>
          <w:color w:val="auto"/>
          <w:highlight w:val="none"/>
        </w:rPr>
        <w:instrText xml:space="preserve"> PAGEREF _Toc20117 \h </w:instrText>
      </w:r>
      <w:r>
        <w:rPr>
          <w:color w:val="auto"/>
          <w:highlight w:val="none"/>
        </w:rPr>
        <w:fldChar w:fldCharType="separate"/>
      </w:r>
      <w:r>
        <w:rPr>
          <w:color w:val="auto"/>
          <w:highlight w:val="none"/>
        </w:rPr>
        <w:t>93</w:t>
      </w:r>
      <w:r>
        <w:rPr>
          <w:color w:val="auto"/>
          <w:highlight w:val="none"/>
        </w:rPr>
        <w:fldChar w:fldCharType="end"/>
      </w:r>
      <w:r>
        <w:rPr>
          <w:rFonts w:asciiTheme="minorEastAsia" w:hAnsiTheme="minorEastAsia" w:cstheme="minorEastAsia"/>
          <w:color w:val="auto"/>
          <w:szCs w:val="24"/>
          <w:highlight w:val="none"/>
        </w:rPr>
        <w:fldChar w:fldCharType="end"/>
      </w:r>
    </w:p>
    <w:p w14:paraId="037AAE12">
      <w:pPr>
        <w:pStyle w:val="23"/>
        <w:tabs>
          <w:tab w:val="right" w:leader="dot" w:pos="9070"/>
          <w:tab w:val="clear" w:pos="9060"/>
        </w:tabs>
        <w:rPr>
          <w:color w:val="auto"/>
          <w:highlight w:val="none"/>
        </w:rPr>
      </w:pPr>
    </w:p>
    <w:p w14:paraId="2272DE20">
      <w:pPr>
        <w:pStyle w:val="23"/>
        <w:rPr>
          <w:rFonts w:asciiTheme="minorEastAsia" w:hAnsiTheme="minorEastAsia" w:cstheme="minorEastAsia"/>
          <w:color w:val="auto"/>
          <w:szCs w:val="24"/>
          <w:highlight w:val="none"/>
        </w:rPr>
        <w:sectPr>
          <w:headerReference r:id="rId4" w:type="default"/>
          <w:footerReference r:id="rId5" w:type="default"/>
          <w:endnotePr>
            <w:numFmt w:val="decimal"/>
          </w:endnotePr>
          <w:pgSz w:w="11906" w:h="16838"/>
          <w:pgMar w:top="1134" w:right="1418" w:bottom="1134" w:left="1418" w:header="567" w:footer="567" w:gutter="0"/>
          <w:pgNumType w:start="1"/>
          <w:cols w:space="720" w:num="1"/>
          <w:docGrid w:type="lines" w:linePitch="312" w:charSpace="0"/>
        </w:sectPr>
      </w:pPr>
      <w:r>
        <w:rPr>
          <w:rFonts w:asciiTheme="minorEastAsia" w:hAnsiTheme="minorEastAsia" w:cstheme="minorEastAsia"/>
          <w:color w:val="auto"/>
          <w:szCs w:val="24"/>
          <w:highlight w:val="none"/>
        </w:rPr>
        <w:fldChar w:fldCharType="end"/>
      </w:r>
    </w:p>
    <w:p w14:paraId="33A0CE58">
      <w:pPr>
        <w:jc w:val="center"/>
        <w:rPr>
          <w:rStyle w:val="55"/>
          <w:rFonts w:cs="宋体" w:asciiTheme="minorEastAsia" w:hAnsiTheme="minorEastAsia"/>
          <w:b/>
          <w:bCs/>
          <w:color w:val="auto"/>
          <w:sz w:val="28"/>
          <w:szCs w:val="28"/>
          <w:highlight w:val="none"/>
        </w:rPr>
      </w:pPr>
      <w:bookmarkStart w:id="0" w:name="_Toc243584222"/>
      <w:r>
        <w:rPr>
          <w:rStyle w:val="55"/>
          <w:rFonts w:hint="eastAsia" w:cs="宋体" w:asciiTheme="minorEastAsia" w:hAnsiTheme="minorEastAsia"/>
          <w:b/>
          <w:bCs/>
          <w:color w:val="auto"/>
          <w:sz w:val="28"/>
          <w:szCs w:val="28"/>
          <w:highlight w:val="none"/>
          <w:lang w:eastAsia="zh-CN"/>
        </w:rPr>
        <w:t>广西大融合工程咨询有限公司</w:t>
      </w:r>
      <w:r>
        <w:rPr>
          <w:rStyle w:val="55"/>
          <w:rFonts w:hint="eastAsia" w:cs="宋体" w:asciiTheme="minorEastAsia" w:hAnsiTheme="minorEastAsia"/>
          <w:b/>
          <w:bCs/>
          <w:color w:val="auto"/>
          <w:sz w:val="28"/>
          <w:szCs w:val="28"/>
          <w:highlight w:val="none"/>
        </w:rPr>
        <w:t xml:space="preserve"> </w:t>
      </w:r>
    </w:p>
    <w:p w14:paraId="6C6144C7">
      <w:pPr>
        <w:jc w:val="center"/>
        <w:rPr>
          <w:rStyle w:val="55"/>
          <w:rFonts w:hint="eastAsia" w:eastAsia="宋体" w:cs="宋体" w:asciiTheme="minorEastAsia" w:hAnsiTheme="minorEastAsia"/>
          <w:b/>
          <w:bCs/>
          <w:color w:val="auto"/>
          <w:sz w:val="28"/>
          <w:szCs w:val="28"/>
          <w:highlight w:val="none"/>
          <w:lang w:val="en-US" w:eastAsia="zh-CN"/>
        </w:rPr>
      </w:pPr>
      <w:r>
        <w:rPr>
          <w:rStyle w:val="55"/>
          <w:rFonts w:hint="eastAsia" w:eastAsia="宋体" w:cs="宋体" w:asciiTheme="minorEastAsia" w:hAnsiTheme="minorEastAsia"/>
          <w:b/>
          <w:bCs/>
          <w:color w:val="auto"/>
          <w:sz w:val="28"/>
          <w:szCs w:val="28"/>
          <w:highlight w:val="none"/>
          <w:lang w:eastAsia="zh-CN"/>
        </w:rPr>
        <w:t>梧州市城东镇中心小学新建运动场（</w:t>
      </w:r>
      <w:r>
        <w:rPr>
          <w:rStyle w:val="55"/>
          <w:rFonts w:hint="eastAsia" w:eastAsia="宋体" w:cs="宋体" w:asciiTheme="minorEastAsia" w:hAnsiTheme="minorEastAsia"/>
          <w:b/>
          <w:bCs/>
          <w:color w:val="auto"/>
          <w:sz w:val="28"/>
          <w:szCs w:val="28"/>
          <w:highlight w:val="none"/>
          <w:lang w:val="en-US" w:eastAsia="zh-CN"/>
        </w:rPr>
        <w:t>项目编号：WZZC2026-C2-030012-GXDR</w:t>
      </w:r>
      <w:r>
        <w:rPr>
          <w:rStyle w:val="55"/>
          <w:rFonts w:hint="eastAsia" w:eastAsia="宋体" w:cs="宋体" w:asciiTheme="minorEastAsia" w:hAnsiTheme="minorEastAsia"/>
          <w:b/>
          <w:bCs/>
          <w:color w:val="auto"/>
          <w:sz w:val="28"/>
          <w:szCs w:val="28"/>
          <w:highlight w:val="none"/>
          <w:lang w:eastAsia="zh-CN"/>
        </w:rPr>
        <w:t>）</w:t>
      </w:r>
    </w:p>
    <w:p w14:paraId="1F78CBE6">
      <w:pPr>
        <w:jc w:val="center"/>
        <w:rPr>
          <w:rStyle w:val="55"/>
          <w:rFonts w:eastAsia="宋体" w:cs="宋体" w:asciiTheme="minorEastAsia" w:hAnsiTheme="minorEastAsia"/>
          <w:b/>
          <w:bCs/>
          <w:color w:val="auto"/>
          <w:sz w:val="28"/>
          <w:szCs w:val="28"/>
          <w:highlight w:val="none"/>
        </w:rPr>
      </w:pPr>
      <w:r>
        <w:rPr>
          <w:rStyle w:val="55"/>
          <w:rFonts w:hint="eastAsia" w:eastAsia="宋体" w:cs="宋体" w:asciiTheme="minorEastAsia" w:hAnsiTheme="minorEastAsia"/>
          <w:b/>
          <w:bCs/>
          <w:color w:val="auto"/>
          <w:sz w:val="28"/>
          <w:szCs w:val="28"/>
          <w:highlight w:val="none"/>
        </w:rPr>
        <w:t>竞争性磋商公告</w:t>
      </w:r>
    </w:p>
    <w:tbl>
      <w:tblPr>
        <w:tblStyle w:val="28"/>
        <w:tblW w:w="984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40"/>
      </w:tblGrid>
      <w:tr w14:paraId="1EDD5E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2" w:hRule="atLeast"/>
        </w:trPr>
        <w:tc>
          <w:tcPr>
            <w:tcW w:w="9840" w:type="dxa"/>
            <w:tcBorders>
              <w:top w:val="single" w:color="000000" w:sz="4" w:space="0"/>
              <w:left w:val="single" w:color="000000" w:sz="4" w:space="0"/>
              <w:bottom w:val="single" w:color="000000" w:sz="4" w:space="0"/>
              <w:right w:val="single" w:color="000000" w:sz="4" w:space="0"/>
            </w:tcBorders>
          </w:tcPr>
          <w:p w14:paraId="358F05E3">
            <w:pPr>
              <w:spacing w:line="360" w:lineRule="auto"/>
              <w:rPr>
                <w:rStyle w:val="55"/>
                <w:rFonts w:asciiTheme="minorEastAsia" w:hAnsiTheme="minorEastAsia"/>
                <w:b/>
                <w:color w:val="auto"/>
                <w:sz w:val="24"/>
                <w:szCs w:val="24"/>
                <w:highlight w:val="none"/>
              </w:rPr>
            </w:pPr>
            <w:r>
              <w:rPr>
                <w:rStyle w:val="55"/>
                <w:rFonts w:asciiTheme="minorEastAsia" w:hAnsiTheme="minorEastAsia"/>
                <w:b/>
                <w:color w:val="auto"/>
                <w:sz w:val="24"/>
                <w:szCs w:val="24"/>
                <w:highlight w:val="none"/>
              </w:rPr>
              <w:t>项目概况</w:t>
            </w:r>
          </w:p>
          <w:p w14:paraId="2A41F612">
            <w:pPr>
              <w:spacing w:line="360" w:lineRule="auto"/>
              <w:ind w:left="210" w:leftChars="100" w:firstLine="240" w:firstLineChars="100"/>
              <w:rPr>
                <w:rStyle w:val="55"/>
                <w:rFonts w:asciiTheme="minorEastAsia" w:hAnsiTheme="minorEastAsia"/>
                <w:color w:val="auto"/>
                <w:sz w:val="24"/>
                <w:szCs w:val="24"/>
                <w:highlight w:val="none"/>
              </w:rPr>
            </w:pPr>
            <w:r>
              <w:rPr>
                <w:rStyle w:val="55"/>
                <w:rFonts w:hint="eastAsia" w:asciiTheme="minorEastAsia" w:hAnsiTheme="minorEastAsia"/>
                <w:color w:val="auto"/>
                <w:sz w:val="24"/>
                <w:szCs w:val="24"/>
                <w:highlight w:val="none"/>
                <w:u w:val="single"/>
                <w:lang w:eastAsia="zh-CN"/>
              </w:rPr>
              <w:t>梧州市城东镇中心小学新建运动场</w:t>
            </w:r>
            <w:r>
              <w:rPr>
                <w:rStyle w:val="55"/>
                <w:rFonts w:asciiTheme="minorEastAsia" w:hAnsiTheme="minorEastAsia"/>
                <w:color w:val="auto"/>
                <w:sz w:val="24"/>
                <w:szCs w:val="24"/>
                <w:highlight w:val="none"/>
              </w:rPr>
              <w:t>的潜在供应商应在</w:t>
            </w:r>
            <w:r>
              <w:rPr>
                <w:rStyle w:val="55"/>
                <w:rFonts w:hint="eastAsia" w:asciiTheme="minorEastAsia" w:hAnsiTheme="minorEastAsia"/>
                <w:color w:val="auto"/>
                <w:sz w:val="24"/>
                <w:szCs w:val="24"/>
                <w:highlight w:val="none"/>
                <w:u w:val="single"/>
              </w:rPr>
              <w:t>广西政府采购云平台（</w:t>
            </w:r>
            <w:r>
              <w:rPr>
                <w:color w:val="auto"/>
                <w:highlight w:val="none"/>
              </w:rPr>
              <w:fldChar w:fldCharType="begin"/>
            </w:r>
            <w:r>
              <w:rPr>
                <w:color w:val="auto"/>
                <w:highlight w:val="none"/>
              </w:rPr>
              <w:instrText xml:space="preserve"> HYPERLINK "http://www.zcygov.cn）获取采购文件，并于2022年7月" </w:instrText>
            </w:r>
            <w:r>
              <w:rPr>
                <w:color w:val="auto"/>
                <w:highlight w:val="none"/>
              </w:rPr>
              <w:fldChar w:fldCharType="separate"/>
            </w:r>
            <w:r>
              <w:rPr>
                <w:rStyle w:val="33"/>
                <w:rFonts w:hint="eastAsia" w:eastAsia="宋体" w:cs="Times New Roman" w:asciiTheme="minorEastAsia" w:hAnsiTheme="minorEastAsia"/>
                <w:color w:val="auto"/>
                <w:sz w:val="24"/>
                <w:szCs w:val="24"/>
                <w:highlight w:val="none"/>
              </w:rPr>
              <w:t>https://www.gcy.zfcg.gxzf.gov.cn/）获取竞争性磋商文件</w:t>
            </w:r>
            <w:r>
              <w:rPr>
                <w:rStyle w:val="33"/>
                <w:rFonts w:eastAsia="宋体" w:cs="Times New Roman" w:asciiTheme="minorEastAsia" w:hAnsiTheme="minorEastAsia"/>
                <w:color w:val="auto"/>
                <w:sz w:val="24"/>
                <w:szCs w:val="24"/>
                <w:highlight w:val="none"/>
              </w:rPr>
              <w:t>，并于</w:t>
            </w:r>
            <w:r>
              <w:rPr>
                <w:rStyle w:val="33"/>
                <w:rFonts w:hint="eastAsia" w:eastAsia="宋体" w:cs="Times New Roman" w:asciiTheme="minorEastAsia" w:hAnsiTheme="minorEastAsia"/>
                <w:color w:val="auto"/>
                <w:sz w:val="24"/>
                <w:szCs w:val="24"/>
                <w:highlight w:val="none"/>
                <w:lang w:val="en-US" w:eastAsia="zh-CN"/>
              </w:rPr>
              <w:t>2026</w:t>
            </w:r>
            <w:r>
              <w:rPr>
                <w:rStyle w:val="33"/>
                <w:rFonts w:eastAsia="宋体" w:cs="Times New Roman" w:asciiTheme="minorEastAsia" w:hAnsiTheme="minorEastAsia"/>
                <w:color w:val="auto"/>
                <w:sz w:val="24"/>
                <w:szCs w:val="24"/>
                <w:highlight w:val="none"/>
              </w:rPr>
              <w:t>年</w:t>
            </w:r>
            <w:r>
              <w:rPr>
                <w:rStyle w:val="33"/>
                <w:rFonts w:hint="eastAsia" w:eastAsia="宋体" w:cs="Times New Roman" w:asciiTheme="minorEastAsia" w:hAnsiTheme="minorEastAsia"/>
                <w:color w:val="auto"/>
                <w:sz w:val="24"/>
                <w:szCs w:val="24"/>
                <w:highlight w:val="none"/>
                <w:lang w:val="en-US" w:eastAsia="zh-CN"/>
              </w:rPr>
              <w:t>7</w:t>
            </w:r>
            <w:r>
              <w:rPr>
                <w:rStyle w:val="33"/>
                <w:rFonts w:eastAsia="宋体" w:cs="Times New Roman" w:asciiTheme="minorEastAsia" w:hAnsiTheme="minorEastAsia"/>
                <w:color w:val="auto"/>
                <w:sz w:val="24"/>
                <w:szCs w:val="24"/>
                <w:highlight w:val="none"/>
              </w:rPr>
              <w:t>月</w:t>
            </w:r>
            <w:r>
              <w:rPr>
                <w:rStyle w:val="33"/>
                <w:rFonts w:eastAsia="宋体" w:cs="Times New Roman" w:asciiTheme="minorEastAsia" w:hAnsiTheme="minorEastAsia"/>
                <w:color w:val="auto"/>
                <w:sz w:val="24"/>
                <w:szCs w:val="24"/>
                <w:highlight w:val="none"/>
              </w:rPr>
              <w:fldChar w:fldCharType="end"/>
            </w:r>
            <w:r>
              <w:rPr>
                <w:rStyle w:val="33"/>
                <w:rFonts w:hint="eastAsia" w:eastAsia="宋体" w:cs="Times New Roman" w:asciiTheme="minorEastAsia" w:hAnsiTheme="minorEastAsia"/>
                <w:color w:val="auto"/>
                <w:sz w:val="24"/>
                <w:szCs w:val="24"/>
                <w:highlight w:val="none"/>
                <w:lang w:val="en-US" w:eastAsia="zh-CN"/>
              </w:rPr>
              <w:t>28日上午09</w:t>
            </w:r>
            <w:r>
              <w:rPr>
                <w:rStyle w:val="33"/>
                <w:rFonts w:eastAsia="宋体" w:cs="Times New Roman" w:asciiTheme="minorEastAsia" w:hAnsiTheme="minorEastAsia"/>
                <w:color w:val="auto"/>
                <w:sz w:val="24"/>
                <w:szCs w:val="24"/>
                <w:highlight w:val="none"/>
              </w:rPr>
              <w:t>时</w:t>
            </w:r>
            <w:r>
              <w:rPr>
                <w:rStyle w:val="33"/>
                <w:rFonts w:hint="eastAsia" w:eastAsia="宋体" w:cs="Times New Roman" w:asciiTheme="minorEastAsia" w:hAnsiTheme="minorEastAsia"/>
                <w:color w:val="auto"/>
                <w:sz w:val="24"/>
                <w:szCs w:val="24"/>
                <w:highlight w:val="none"/>
                <w:lang w:val="en-US" w:eastAsia="zh-CN"/>
              </w:rPr>
              <w:t>00分</w:t>
            </w:r>
            <w:r>
              <w:rPr>
                <w:rStyle w:val="33"/>
                <w:rFonts w:eastAsia="宋体" w:cs="Times New Roman" w:asciiTheme="minorEastAsia" w:hAnsiTheme="minorEastAsia"/>
                <w:color w:val="auto"/>
                <w:sz w:val="24"/>
                <w:szCs w:val="24"/>
                <w:highlight w:val="none"/>
              </w:rPr>
              <w:t>（</w:t>
            </w:r>
            <w:r>
              <w:rPr>
                <w:rStyle w:val="55"/>
                <w:rFonts w:asciiTheme="minorEastAsia" w:hAnsiTheme="minorEastAsia"/>
                <w:color w:val="auto"/>
                <w:sz w:val="24"/>
                <w:szCs w:val="24"/>
                <w:highlight w:val="none"/>
              </w:rPr>
              <w:t>北京时间）前递交响应文件。</w:t>
            </w:r>
          </w:p>
        </w:tc>
      </w:tr>
    </w:tbl>
    <w:p w14:paraId="57ACAAA3">
      <w:pPr>
        <w:spacing w:line="450" w:lineRule="atLeast"/>
        <w:rPr>
          <w:rFonts w:cs="宋体" w:asciiTheme="minorEastAsia" w:hAnsiTheme="minorEastAsia"/>
          <w:b/>
          <w:bCs/>
          <w:color w:val="auto"/>
          <w:kern w:val="0"/>
          <w:sz w:val="24"/>
          <w:szCs w:val="24"/>
          <w:highlight w:val="none"/>
        </w:rPr>
      </w:pPr>
      <w:r>
        <w:rPr>
          <w:rFonts w:cs="宋体" w:asciiTheme="minorEastAsia" w:hAnsiTheme="minorEastAsia"/>
          <w:b/>
          <w:bCs/>
          <w:color w:val="auto"/>
          <w:kern w:val="0"/>
          <w:sz w:val="24"/>
          <w:szCs w:val="24"/>
          <w:highlight w:val="none"/>
        </w:rPr>
        <w:t>一、项目基本情况</w:t>
      </w:r>
    </w:p>
    <w:p w14:paraId="1A940060">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项目编号：              </w:t>
      </w:r>
    </w:p>
    <w:p w14:paraId="3689C3D1">
      <w:pPr>
        <w:spacing w:line="360" w:lineRule="auto"/>
        <w:ind w:firstLine="480" w:firstLineChars="200"/>
        <w:rPr>
          <w:rFonts w:hint="eastAsia" w:ascii="宋体" w:cs="宋体" w:eastAsiaTheme="minorEastAsia"/>
          <w:color w:val="auto"/>
          <w:sz w:val="24"/>
          <w:szCs w:val="24"/>
          <w:highlight w:val="none"/>
          <w:lang w:eastAsia="zh-CN"/>
        </w:rPr>
      </w:pPr>
      <w:r>
        <w:rPr>
          <w:rFonts w:hint="eastAsia" w:ascii="宋体" w:hAnsi="宋体" w:cs="宋体"/>
          <w:color w:val="auto"/>
          <w:sz w:val="24"/>
          <w:szCs w:val="24"/>
          <w:highlight w:val="none"/>
        </w:rPr>
        <w:t>项目名称：</w:t>
      </w:r>
      <w:r>
        <w:rPr>
          <w:rFonts w:hint="eastAsia" w:ascii="宋体" w:hAnsi="宋体" w:cs="宋体"/>
          <w:color w:val="auto"/>
          <w:sz w:val="24"/>
          <w:szCs w:val="24"/>
          <w:highlight w:val="none"/>
          <w:lang w:eastAsia="zh-CN"/>
        </w:rPr>
        <w:t>梧州市城东镇中心小学新建运动场</w:t>
      </w:r>
    </w:p>
    <w:p w14:paraId="57232E77">
      <w:pPr>
        <w:spacing w:line="360" w:lineRule="auto"/>
        <w:ind w:firstLine="480" w:firstLineChars="200"/>
        <w:rPr>
          <w:rFonts w:ascii="宋体" w:cs="宋体"/>
          <w:color w:val="auto"/>
          <w:sz w:val="24"/>
          <w:szCs w:val="24"/>
          <w:highlight w:val="none"/>
        </w:rPr>
      </w:pPr>
      <w:r>
        <w:rPr>
          <w:rFonts w:hint="eastAsia" w:ascii="宋体" w:hAnsi="宋体" w:cs="宋体"/>
          <w:color w:val="auto"/>
          <w:sz w:val="24"/>
          <w:szCs w:val="24"/>
          <w:highlight w:val="none"/>
        </w:rPr>
        <w:t>采购方式：竞争性磋商</w:t>
      </w:r>
    </w:p>
    <w:p w14:paraId="34B6DE1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上限控制价</w:t>
      </w:r>
      <w:r>
        <w:rPr>
          <w:rFonts w:hint="eastAsia" w:ascii="宋体" w:hAnsi="宋体" w:cs="宋体"/>
          <w:color w:val="auto"/>
          <w:sz w:val="24"/>
          <w:szCs w:val="24"/>
          <w:highlight w:val="none"/>
        </w:rPr>
        <w:t>：柒拾玖万玖仟零柒拾伍元肆角柒分（￥799,075.47元）</w:t>
      </w:r>
    </w:p>
    <w:p w14:paraId="31E6CAC0">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简要规格描述或项目基本概况介绍用途：新建运动场2780平方，及毛石挡土墙</w:t>
      </w:r>
      <w:r>
        <w:rPr>
          <w:rFonts w:hint="eastAsia" w:ascii="宋体" w:hAnsi="宋体" w:eastAsia="宋体" w:cs="宋体"/>
          <w:color w:val="auto"/>
          <w:sz w:val="24"/>
          <w:szCs w:val="24"/>
          <w:highlight w:val="none"/>
          <w:lang w:val="en-US" w:eastAsia="zh-CN"/>
        </w:rPr>
        <w:t>等</w:t>
      </w:r>
      <w:r>
        <w:rPr>
          <w:rFonts w:hint="eastAsia" w:ascii="宋体" w:hAnsi="宋体" w:eastAsia="宋体" w:cs="宋体"/>
          <w:color w:val="auto"/>
          <w:sz w:val="24"/>
          <w:szCs w:val="24"/>
          <w:highlight w:val="none"/>
        </w:rPr>
        <w:t>。如需进一步了解详细内容，详见磋商文件及工程量清单、图纸。</w:t>
      </w:r>
    </w:p>
    <w:p w14:paraId="33BA1904">
      <w:pPr>
        <w:spacing w:line="360" w:lineRule="auto"/>
        <w:ind w:left="0" w:leftChars="0"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合同履约期限：从本项目开工之日起</w:t>
      </w:r>
      <w:r>
        <w:rPr>
          <w:rFonts w:hint="eastAsia" w:ascii="宋体" w:hAnsi="宋体" w:cs="宋体"/>
          <w:color w:val="auto"/>
          <w:sz w:val="24"/>
          <w:szCs w:val="24"/>
          <w:highlight w:val="none"/>
          <w:lang w:val="en-US" w:eastAsia="zh-CN"/>
        </w:rPr>
        <w:t>60</w:t>
      </w:r>
      <w:r>
        <w:rPr>
          <w:rFonts w:hint="eastAsia" w:ascii="宋体" w:hAnsi="宋体" w:cs="宋体"/>
          <w:color w:val="auto"/>
          <w:sz w:val="24"/>
          <w:szCs w:val="24"/>
          <w:highlight w:val="none"/>
        </w:rPr>
        <w:t>个日历天内完成（具体开工时间由采购人另外约定）。</w:t>
      </w:r>
    </w:p>
    <w:p w14:paraId="79395384">
      <w:pPr>
        <w:spacing w:line="360" w:lineRule="auto"/>
        <w:rPr>
          <w:rFonts w:cs="宋体" w:asciiTheme="minorEastAsia" w:hAnsiTheme="minorEastAsia"/>
          <w:b/>
          <w:bCs/>
          <w:color w:val="auto"/>
          <w:kern w:val="0"/>
          <w:sz w:val="24"/>
          <w:szCs w:val="24"/>
          <w:highlight w:val="none"/>
        </w:rPr>
      </w:pPr>
      <w:r>
        <w:rPr>
          <w:rFonts w:cs="宋体" w:asciiTheme="minorEastAsia" w:hAnsiTheme="minorEastAsia"/>
          <w:b/>
          <w:bCs/>
          <w:color w:val="auto"/>
          <w:kern w:val="0"/>
          <w:sz w:val="24"/>
          <w:szCs w:val="24"/>
          <w:highlight w:val="none"/>
        </w:rPr>
        <w:t>二、</w:t>
      </w:r>
      <w:r>
        <w:rPr>
          <w:rFonts w:hint="eastAsia" w:cs="宋体" w:asciiTheme="minorEastAsia" w:hAnsiTheme="minorEastAsia"/>
          <w:b/>
          <w:bCs/>
          <w:color w:val="auto"/>
          <w:kern w:val="0"/>
          <w:sz w:val="24"/>
          <w:szCs w:val="24"/>
          <w:highlight w:val="none"/>
        </w:rPr>
        <w:t>磋商供应商</w:t>
      </w:r>
      <w:r>
        <w:rPr>
          <w:rFonts w:cs="宋体" w:asciiTheme="minorEastAsia" w:hAnsiTheme="minorEastAsia"/>
          <w:b/>
          <w:bCs/>
          <w:color w:val="auto"/>
          <w:kern w:val="0"/>
          <w:sz w:val="24"/>
          <w:szCs w:val="24"/>
          <w:highlight w:val="none"/>
        </w:rPr>
        <w:t>的资格要求：</w:t>
      </w:r>
    </w:p>
    <w:p w14:paraId="6356BAB8">
      <w:pPr>
        <w:spacing w:line="360" w:lineRule="auto"/>
        <w:ind w:firstLine="480" w:firstLineChars="200"/>
        <w:rPr>
          <w:rFonts w:cs="宋体" w:asciiTheme="minorEastAsia" w:hAnsiTheme="minorEastAsia"/>
          <w:bCs/>
          <w:color w:val="auto"/>
          <w:kern w:val="0"/>
          <w:sz w:val="24"/>
          <w:szCs w:val="24"/>
          <w:highlight w:val="none"/>
        </w:rPr>
      </w:pPr>
      <w:r>
        <w:rPr>
          <w:rFonts w:hint="eastAsia" w:cs="宋体" w:asciiTheme="minorEastAsia" w:hAnsiTheme="minorEastAsia"/>
          <w:bCs/>
          <w:color w:val="auto"/>
          <w:kern w:val="0"/>
          <w:sz w:val="24"/>
          <w:szCs w:val="24"/>
          <w:highlight w:val="none"/>
        </w:rPr>
        <w:t xml:space="preserve">1、必须在中华人民共和国境内注册，具有独立法人资格，同时具备建设行政主管部门颁发建筑工程施工总承包三级以上(含三级)资质的施工企业； </w:t>
      </w:r>
    </w:p>
    <w:p w14:paraId="30852C67">
      <w:pPr>
        <w:spacing w:line="360" w:lineRule="auto"/>
        <w:ind w:firstLine="480" w:firstLineChars="200"/>
        <w:rPr>
          <w:rFonts w:cs="宋体" w:asciiTheme="minorEastAsia" w:hAnsiTheme="minorEastAsia"/>
          <w:bCs/>
          <w:color w:val="auto"/>
          <w:kern w:val="0"/>
          <w:sz w:val="24"/>
          <w:szCs w:val="24"/>
          <w:highlight w:val="none"/>
        </w:rPr>
      </w:pPr>
      <w:r>
        <w:rPr>
          <w:rFonts w:hint="eastAsia" w:cs="宋体" w:asciiTheme="minorEastAsia" w:hAnsiTheme="minorEastAsia"/>
          <w:bCs/>
          <w:color w:val="auto"/>
          <w:kern w:val="0"/>
          <w:sz w:val="24"/>
          <w:szCs w:val="24"/>
          <w:highlight w:val="none"/>
        </w:rPr>
        <w:t>2、磋商供应商拟派项目经理须具备建筑工程贰级以上（含贰级）注册建造师执业资格；</w:t>
      </w:r>
    </w:p>
    <w:p w14:paraId="2292DC16">
      <w:pPr>
        <w:spacing w:line="360" w:lineRule="auto"/>
        <w:ind w:firstLine="480" w:firstLineChars="200"/>
        <w:rPr>
          <w:rFonts w:cs="宋体" w:asciiTheme="minorEastAsia" w:hAnsiTheme="minorEastAsia"/>
          <w:bCs/>
          <w:color w:val="auto"/>
          <w:kern w:val="0"/>
          <w:sz w:val="24"/>
          <w:szCs w:val="24"/>
          <w:highlight w:val="none"/>
        </w:rPr>
      </w:pPr>
      <w:r>
        <w:rPr>
          <w:rFonts w:hint="eastAsia" w:cs="宋体" w:asciiTheme="minorEastAsia" w:hAnsiTheme="minorEastAsia"/>
          <w:bCs/>
          <w:color w:val="auto"/>
          <w:kern w:val="0"/>
          <w:sz w:val="24"/>
          <w:szCs w:val="24"/>
          <w:highlight w:val="none"/>
        </w:rPr>
        <w:t>3、符合《中华人民共和国政府采购法》第二十二条的规定；</w:t>
      </w:r>
    </w:p>
    <w:p w14:paraId="365EDF35">
      <w:pPr>
        <w:spacing w:line="360" w:lineRule="auto"/>
        <w:ind w:firstLine="480" w:firstLineChars="200"/>
        <w:rPr>
          <w:rFonts w:cs="宋体" w:asciiTheme="minorEastAsia" w:hAnsiTheme="minorEastAsia"/>
          <w:bCs/>
          <w:color w:val="auto"/>
          <w:kern w:val="0"/>
          <w:sz w:val="24"/>
          <w:szCs w:val="24"/>
          <w:highlight w:val="none"/>
        </w:rPr>
      </w:pPr>
      <w:r>
        <w:rPr>
          <w:rFonts w:hint="eastAsia" w:cs="宋体" w:asciiTheme="minorEastAsia" w:hAnsiTheme="minorEastAsia"/>
          <w:bCs/>
          <w:color w:val="auto"/>
          <w:kern w:val="0"/>
          <w:sz w:val="24"/>
          <w:szCs w:val="24"/>
          <w:highlight w:val="none"/>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2D08811">
      <w:pPr>
        <w:spacing w:line="360" w:lineRule="auto"/>
        <w:ind w:firstLine="480" w:firstLineChars="200"/>
        <w:rPr>
          <w:rFonts w:cs="宋体" w:asciiTheme="minorEastAsia" w:hAnsiTheme="minorEastAsia"/>
          <w:bCs/>
          <w:color w:val="auto"/>
          <w:kern w:val="0"/>
          <w:sz w:val="24"/>
          <w:szCs w:val="24"/>
          <w:highlight w:val="none"/>
        </w:rPr>
      </w:pPr>
      <w:r>
        <w:rPr>
          <w:rFonts w:hint="eastAsia" w:cs="宋体" w:asciiTheme="minorEastAsia" w:hAnsiTheme="minorEastAsia"/>
          <w:bCs/>
          <w:color w:val="auto"/>
          <w:kern w:val="0"/>
          <w:sz w:val="24"/>
          <w:szCs w:val="24"/>
          <w:highlight w:val="none"/>
        </w:rPr>
        <w:t>5、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32A5C77B">
      <w:pPr>
        <w:spacing w:line="360" w:lineRule="auto"/>
        <w:ind w:firstLine="480" w:firstLineChars="200"/>
        <w:rPr>
          <w:rFonts w:cs="宋体" w:asciiTheme="minorEastAsia" w:hAnsiTheme="minorEastAsia"/>
          <w:bCs/>
          <w:color w:val="auto"/>
          <w:kern w:val="0"/>
          <w:sz w:val="24"/>
          <w:szCs w:val="24"/>
          <w:highlight w:val="none"/>
        </w:rPr>
      </w:pPr>
      <w:r>
        <w:rPr>
          <w:rFonts w:hint="eastAsia" w:cs="宋体" w:asciiTheme="minorEastAsia" w:hAnsiTheme="minorEastAsia"/>
          <w:bCs/>
          <w:color w:val="auto"/>
          <w:kern w:val="0"/>
          <w:sz w:val="24"/>
          <w:szCs w:val="24"/>
          <w:highlight w:val="none"/>
        </w:rPr>
        <w:t>6、本项目不接受联合体参加磋商；</w:t>
      </w:r>
    </w:p>
    <w:p w14:paraId="347EB975">
      <w:pPr>
        <w:spacing w:line="360" w:lineRule="auto"/>
        <w:ind w:firstLine="480" w:firstLineChars="200"/>
        <w:rPr>
          <w:rFonts w:cs="宋体" w:asciiTheme="minorEastAsia" w:hAnsiTheme="minorEastAsia"/>
          <w:bCs/>
          <w:color w:val="auto"/>
          <w:kern w:val="0"/>
          <w:sz w:val="24"/>
          <w:szCs w:val="24"/>
          <w:highlight w:val="none"/>
        </w:rPr>
      </w:pPr>
      <w:r>
        <w:rPr>
          <w:rFonts w:hint="eastAsia" w:cs="宋体" w:asciiTheme="minorEastAsia" w:hAnsiTheme="minorEastAsia"/>
          <w:bCs/>
          <w:color w:val="auto"/>
          <w:kern w:val="0"/>
          <w:sz w:val="24"/>
          <w:szCs w:val="24"/>
          <w:highlight w:val="none"/>
        </w:rPr>
        <w:t>7、本项目为专门面向</w:t>
      </w:r>
      <w:r>
        <w:rPr>
          <w:rFonts w:hint="eastAsia" w:cs="宋体" w:asciiTheme="minorEastAsia" w:hAnsiTheme="minorEastAsia"/>
          <w:bCs/>
          <w:color w:val="auto"/>
          <w:kern w:val="0"/>
          <w:sz w:val="24"/>
          <w:szCs w:val="24"/>
          <w:highlight w:val="none"/>
          <w:lang w:val="en-US" w:eastAsia="zh-CN"/>
        </w:rPr>
        <w:t>中小</w:t>
      </w:r>
      <w:r>
        <w:rPr>
          <w:rFonts w:hint="eastAsia" w:cs="宋体" w:asciiTheme="minorEastAsia" w:hAnsiTheme="minorEastAsia"/>
          <w:bCs/>
          <w:color w:val="auto"/>
          <w:kern w:val="0"/>
          <w:sz w:val="24"/>
          <w:szCs w:val="24"/>
          <w:highlight w:val="none"/>
        </w:rPr>
        <w:t>企业采购，不再执行价格评审的优惠政策。供应商必须为</w:t>
      </w:r>
      <w:r>
        <w:rPr>
          <w:rFonts w:hint="eastAsia" w:cs="宋体" w:asciiTheme="minorEastAsia" w:hAnsiTheme="minorEastAsia"/>
          <w:bCs/>
          <w:color w:val="auto"/>
          <w:kern w:val="0"/>
          <w:sz w:val="24"/>
          <w:szCs w:val="24"/>
          <w:highlight w:val="none"/>
          <w:lang w:val="en-US" w:eastAsia="zh-CN"/>
        </w:rPr>
        <w:t>中小</w:t>
      </w:r>
      <w:r>
        <w:rPr>
          <w:rFonts w:hint="eastAsia" w:cs="宋体" w:asciiTheme="minorEastAsia" w:hAnsiTheme="minorEastAsia"/>
          <w:bCs/>
          <w:color w:val="auto"/>
          <w:kern w:val="0"/>
          <w:sz w:val="24"/>
          <w:szCs w:val="24"/>
          <w:highlight w:val="none"/>
        </w:rPr>
        <w:t>企业。</w:t>
      </w:r>
    </w:p>
    <w:p w14:paraId="03D24E47">
      <w:pPr>
        <w:spacing w:line="360" w:lineRule="auto"/>
        <w:rPr>
          <w:rFonts w:cs="宋体" w:asciiTheme="minorEastAsia" w:hAnsiTheme="minorEastAsia"/>
          <w:b/>
          <w:bCs/>
          <w:color w:val="auto"/>
          <w:kern w:val="0"/>
          <w:sz w:val="24"/>
          <w:szCs w:val="24"/>
          <w:highlight w:val="none"/>
        </w:rPr>
      </w:pPr>
      <w:r>
        <w:rPr>
          <w:rFonts w:cs="宋体" w:asciiTheme="minorEastAsia" w:hAnsiTheme="minorEastAsia"/>
          <w:b/>
          <w:bCs/>
          <w:color w:val="auto"/>
          <w:kern w:val="0"/>
          <w:sz w:val="24"/>
          <w:szCs w:val="24"/>
          <w:highlight w:val="none"/>
        </w:rPr>
        <w:t>三、获取采购文件</w:t>
      </w:r>
    </w:p>
    <w:p w14:paraId="1848283F">
      <w:pPr>
        <w:spacing w:line="360" w:lineRule="auto"/>
        <w:ind w:firstLine="240" w:firstLineChars="100"/>
        <w:rPr>
          <w:rFonts w:cs="宋体" w:asciiTheme="minorEastAsia" w:hAnsiTheme="minorEastAsia"/>
          <w:bCs/>
          <w:color w:val="auto"/>
          <w:kern w:val="0"/>
          <w:sz w:val="24"/>
          <w:szCs w:val="24"/>
          <w:highlight w:val="none"/>
        </w:rPr>
      </w:pPr>
      <w:r>
        <w:rPr>
          <w:rFonts w:hint="eastAsia" w:cs="宋体" w:asciiTheme="minorEastAsia" w:hAnsiTheme="minorEastAsia"/>
          <w:bCs/>
          <w:color w:val="auto"/>
          <w:kern w:val="0"/>
          <w:sz w:val="24"/>
          <w:szCs w:val="24"/>
          <w:highlight w:val="none"/>
        </w:rPr>
        <w:t>时间：</w:t>
      </w:r>
      <w:r>
        <w:rPr>
          <w:rFonts w:hint="eastAsia" w:cs="宋体" w:asciiTheme="minorEastAsia" w:hAnsiTheme="minorEastAsia"/>
          <w:bCs/>
          <w:color w:val="auto"/>
          <w:kern w:val="0"/>
          <w:sz w:val="24"/>
          <w:szCs w:val="24"/>
          <w:highlight w:val="none"/>
          <w:u w:val="single"/>
        </w:rPr>
        <w:t>202</w:t>
      </w:r>
      <w:r>
        <w:rPr>
          <w:rFonts w:hint="eastAsia" w:cs="宋体" w:asciiTheme="minorEastAsia" w:hAnsiTheme="minorEastAsia"/>
          <w:bCs/>
          <w:color w:val="auto"/>
          <w:kern w:val="0"/>
          <w:sz w:val="24"/>
          <w:szCs w:val="24"/>
          <w:highlight w:val="none"/>
          <w:u w:val="single"/>
          <w:lang w:val="en-US" w:eastAsia="zh-CN"/>
        </w:rPr>
        <w:t>6</w:t>
      </w:r>
      <w:r>
        <w:rPr>
          <w:rFonts w:hint="eastAsia" w:cs="宋体" w:asciiTheme="minorEastAsia" w:hAnsiTheme="minorEastAsia"/>
          <w:bCs/>
          <w:color w:val="auto"/>
          <w:kern w:val="0"/>
          <w:sz w:val="24"/>
          <w:szCs w:val="24"/>
          <w:highlight w:val="none"/>
          <w:u w:val="single"/>
        </w:rPr>
        <w:t>年</w:t>
      </w:r>
      <w:r>
        <w:rPr>
          <w:rFonts w:hint="eastAsia" w:cs="宋体" w:asciiTheme="minorEastAsia" w:hAnsiTheme="minorEastAsia"/>
          <w:bCs/>
          <w:color w:val="auto"/>
          <w:kern w:val="0"/>
          <w:sz w:val="24"/>
          <w:szCs w:val="24"/>
          <w:highlight w:val="none"/>
          <w:u w:val="single"/>
          <w:lang w:val="en-US" w:eastAsia="zh-CN"/>
        </w:rPr>
        <w:t>7</w:t>
      </w:r>
      <w:r>
        <w:rPr>
          <w:rFonts w:hint="eastAsia" w:cs="宋体" w:asciiTheme="minorEastAsia" w:hAnsiTheme="minorEastAsia"/>
          <w:bCs/>
          <w:color w:val="auto"/>
          <w:kern w:val="0"/>
          <w:sz w:val="24"/>
          <w:szCs w:val="24"/>
          <w:highlight w:val="none"/>
          <w:u w:val="single"/>
        </w:rPr>
        <w:t>月</w:t>
      </w:r>
      <w:r>
        <w:rPr>
          <w:rFonts w:hint="eastAsia" w:cs="宋体" w:asciiTheme="minorEastAsia" w:hAnsiTheme="minorEastAsia"/>
          <w:bCs/>
          <w:color w:val="auto"/>
          <w:kern w:val="0"/>
          <w:sz w:val="24"/>
          <w:szCs w:val="24"/>
          <w:highlight w:val="none"/>
          <w:u w:val="single"/>
          <w:lang w:val="en-US" w:eastAsia="zh-CN"/>
        </w:rPr>
        <w:t>16</w:t>
      </w:r>
      <w:r>
        <w:rPr>
          <w:rFonts w:hint="eastAsia" w:cs="宋体" w:asciiTheme="minorEastAsia" w:hAnsiTheme="minorEastAsia"/>
          <w:bCs/>
          <w:color w:val="auto"/>
          <w:kern w:val="0"/>
          <w:sz w:val="24"/>
          <w:szCs w:val="24"/>
          <w:highlight w:val="none"/>
          <w:u w:val="single"/>
        </w:rPr>
        <w:t>日</w:t>
      </w:r>
      <w:r>
        <w:rPr>
          <w:rFonts w:hint="eastAsia" w:cs="宋体" w:asciiTheme="minorEastAsia" w:hAnsiTheme="minorEastAsia"/>
          <w:bCs/>
          <w:color w:val="auto"/>
          <w:kern w:val="0"/>
          <w:sz w:val="24"/>
          <w:szCs w:val="24"/>
          <w:highlight w:val="none"/>
        </w:rPr>
        <w:t>至</w:t>
      </w:r>
      <w:r>
        <w:rPr>
          <w:rFonts w:hint="eastAsia" w:cs="宋体" w:asciiTheme="minorEastAsia" w:hAnsiTheme="minorEastAsia"/>
          <w:bCs/>
          <w:color w:val="auto"/>
          <w:kern w:val="0"/>
          <w:sz w:val="24"/>
          <w:szCs w:val="24"/>
          <w:highlight w:val="none"/>
          <w:u w:val="single"/>
        </w:rPr>
        <w:t>202</w:t>
      </w:r>
      <w:r>
        <w:rPr>
          <w:rFonts w:hint="eastAsia" w:cs="宋体" w:asciiTheme="minorEastAsia" w:hAnsiTheme="minorEastAsia"/>
          <w:bCs/>
          <w:color w:val="auto"/>
          <w:kern w:val="0"/>
          <w:sz w:val="24"/>
          <w:szCs w:val="24"/>
          <w:highlight w:val="none"/>
          <w:u w:val="single"/>
          <w:lang w:val="en-US" w:eastAsia="zh-CN"/>
        </w:rPr>
        <w:t>6</w:t>
      </w:r>
      <w:r>
        <w:rPr>
          <w:rFonts w:hint="eastAsia" w:cs="宋体" w:asciiTheme="minorEastAsia" w:hAnsiTheme="minorEastAsia"/>
          <w:bCs/>
          <w:color w:val="auto"/>
          <w:kern w:val="0"/>
          <w:sz w:val="24"/>
          <w:szCs w:val="24"/>
          <w:highlight w:val="none"/>
          <w:u w:val="single"/>
        </w:rPr>
        <w:t>年</w:t>
      </w:r>
      <w:r>
        <w:rPr>
          <w:rFonts w:hint="eastAsia" w:cs="宋体" w:asciiTheme="minorEastAsia" w:hAnsiTheme="minorEastAsia"/>
          <w:bCs/>
          <w:color w:val="auto"/>
          <w:kern w:val="0"/>
          <w:sz w:val="24"/>
          <w:szCs w:val="24"/>
          <w:highlight w:val="none"/>
          <w:u w:val="single"/>
          <w:lang w:val="en-US" w:eastAsia="zh-CN"/>
        </w:rPr>
        <w:t>7</w:t>
      </w:r>
      <w:r>
        <w:rPr>
          <w:rFonts w:hint="eastAsia" w:cs="宋体" w:asciiTheme="minorEastAsia" w:hAnsiTheme="minorEastAsia"/>
          <w:bCs/>
          <w:color w:val="auto"/>
          <w:kern w:val="0"/>
          <w:sz w:val="24"/>
          <w:szCs w:val="24"/>
          <w:highlight w:val="none"/>
          <w:u w:val="single"/>
        </w:rPr>
        <w:t>月</w:t>
      </w:r>
      <w:r>
        <w:rPr>
          <w:rFonts w:hint="eastAsia" w:cs="宋体" w:asciiTheme="minorEastAsia" w:hAnsiTheme="minorEastAsia"/>
          <w:bCs/>
          <w:color w:val="auto"/>
          <w:kern w:val="0"/>
          <w:sz w:val="24"/>
          <w:szCs w:val="24"/>
          <w:highlight w:val="none"/>
          <w:u w:val="single"/>
          <w:lang w:val="en-US" w:eastAsia="zh-CN"/>
        </w:rPr>
        <w:t>23</w:t>
      </w:r>
      <w:r>
        <w:rPr>
          <w:rFonts w:hint="eastAsia" w:cs="宋体" w:asciiTheme="minorEastAsia" w:hAnsiTheme="minorEastAsia"/>
          <w:bCs/>
          <w:color w:val="auto"/>
          <w:kern w:val="0"/>
          <w:sz w:val="24"/>
          <w:szCs w:val="24"/>
          <w:highlight w:val="none"/>
          <w:u w:val="single"/>
        </w:rPr>
        <w:t>日</w:t>
      </w:r>
      <w:r>
        <w:rPr>
          <w:rFonts w:hint="eastAsia" w:cs="宋体" w:asciiTheme="minorEastAsia" w:hAnsiTheme="minorEastAsia"/>
          <w:bCs/>
          <w:color w:val="auto"/>
          <w:kern w:val="0"/>
          <w:sz w:val="24"/>
          <w:szCs w:val="24"/>
          <w:highlight w:val="none"/>
        </w:rPr>
        <w:t>，每天上午00:00至12:00，下午12:00至23:59（北京时间，法定节假日除外）；</w:t>
      </w:r>
    </w:p>
    <w:p w14:paraId="2F3EF350">
      <w:pPr>
        <w:spacing w:line="360" w:lineRule="auto"/>
        <w:ind w:firstLine="240" w:firstLineChars="100"/>
        <w:rPr>
          <w:rFonts w:cs="宋体" w:asciiTheme="minorEastAsia" w:hAnsiTheme="minorEastAsia"/>
          <w:bCs/>
          <w:color w:val="auto"/>
          <w:kern w:val="0"/>
          <w:sz w:val="24"/>
          <w:szCs w:val="24"/>
          <w:highlight w:val="none"/>
        </w:rPr>
      </w:pPr>
      <w:r>
        <w:rPr>
          <w:rFonts w:hint="eastAsia" w:cs="宋体" w:asciiTheme="minorEastAsia" w:hAnsiTheme="minorEastAsia"/>
          <w:bCs/>
          <w:color w:val="auto"/>
          <w:kern w:val="0"/>
          <w:sz w:val="24"/>
          <w:szCs w:val="24"/>
          <w:highlight w:val="none"/>
        </w:rPr>
        <w:t xml:space="preserve">地点：广西政府采购云平台线上获取。   </w:t>
      </w:r>
    </w:p>
    <w:p w14:paraId="7E5DF5AF">
      <w:pPr>
        <w:spacing w:line="360" w:lineRule="auto"/>
        <w:ind w:firstLine="240" w:firstLineChars="100"/>
        <w:rPr>
          <w:rFonts w:cs="宋体" w:asciiTheme="minorEastAsia" w:hAnsiTheme="minorEastAsia"/>
          <w:bCs/>
          <w:color w:val="auto"/>
          <w:kern w:val="0"/>
          <w:sz w:val="24"/>
          <w:szCs w:val="24"/>
          <w:highlight w:val="none"/>
        </w:rPr>
      </w:pPr>
      <w:r>
        <w:rPr>
          <w:rFonts w:cs="宋体" w:asciiTheme="minorEastAsia" w:hAnsiTheme="minorEastAsia"/>
          <w:bCs/>
          <w:color w:val="auto"/>
          <w:kern w:val="0"/>
          <w:sz w:val="24"/>
          <w:szCs w:val="24"/>
          <w:highlight w:val="none"/>
        </w:rPr>
        <w:t>售价：0</w:t>
      </w:r>
    </w:p>
    <w:p w14:paraId="171848E9">
      <w:pPr>
        <w:spacing w:line="360" w:lineRule="auto"/>
        <w:ind w:firstLine="240" w:firstLineChars="100"/>
        <w:rPr>
          <w:rFonts w:cs="宋体" w:asciiTheme="minorEastAsia" w:hAnsiTheme="minorEastAsia"/>
          <w:bCs/>
          <w:color w:val="auto"/>
          <w:kern w:val="0"/>
          <w:sz w:val="24"/>
          <w:szCs w:val="24"/>
          <w:highlight w:val="none"/>
        </w:rPr>
      </w:pPr>
      <w:r>
        <w:rPr>
          <w:rFonts w:cs="宋体" w:asciiTheme="minorEastAsia" w:hAnsiTheme="minorEastAsia"/>
          <w:bCs/>
          <w:color w:val="auto"/>
          <w:kern w:val="0"/>
          <w:sz w:val="24"/>
          <w:szCs w:val="24"/>
          <w:highlight w:val="none"/>
        </w:rPr>
        <w:t>方式：</w:t>
      </w:r>
      <w:r>
        <w:rPr>
          <w:rFonts w:hint="eastAsia" w:cs="宋体" w:asciiTheme="minorEastAsia" w:hAnsiTheme="minorEastAsia"/>
          <w:bCs/>
          <w:color w:val="auto"/>
          <w:kern w:val="0"/>
          <w:sz w:val="24"/>
          <w:szCs w:val="24"/>
          <w:highlight w:val="none"/>
        </w:rPr>
        <w:t>网上下载。本项目不发放纸质采购文件，供应商登录广西政府采购云平台https://www.gcy.zfcg.gxzf.gov.cn/在线申请获取采购文件（进入“项目采购”应用，在获取采购文件菜单中选择项目，申请获取采购文件，咨询电话：95763）。 提示：供应商只有在“广西政府采购云平台”完成获取采购文件申请并下载了采购文件后才视作依法获取采购文件（法律法规所指的供应商获取采购文件时间以供应商完成获取采购文件申请后下载采购文件的时间为准。</w:t>
      </w:r>
    </w:p>
    <w:p w14:paraId="4A6036D5">
      <w:pPr>
        <w:spacing w:line="360" w:lineRule="auto"/>
        <w:rPr>
          <w:rFonts w:cs="宋体" w:asciiTheme="minorEastAsia" w:hAnsiTheme="minorEastAsia"/>
          <w:b/>
          <w:bCs/>
          <w:color w:val="auto"/>
          <w:kern w:val="0"/>
          <w:sz w:val="24"/>
          <w:szCs w:val="24"/>
          <w:highlight w:val="none"/>
        </w:rPr>
      </w:pPr>
      <w:r>
        <w:rPr>
          <w:rFonts w:cs="宋体" w:asciiTheme="minorEastAsia" w:hAnsiTheme="minorEastAsia"/>
          <w:b/>
          <w:bCs/>
          <w:color w:val="auto"/>
          <w:kern w:val="0"/>
          <w:sz w:val="24"/>
          <w:szCs w:val="24"/>
          <w:highlight w:val="none"/>
        </w:rPr>
        <w:t>四、响应文件提交</w:t>
      </w:r>
    </w:p>
    <w:p w14:paraId="7E4B1EA5">
      <w:pPr>
        <w:spacing w:line="360" w:lineRule="auto"/>
        <w:ind w:firstLine="480" w:firstLineChars="200"/>
        <w:rPr>
          <w:rFonts w:ascii="宋体" w:hAnsi="宋体" w:cs="宋体"/>
          <w:color w:val="auto"/>
          <w:sz w:val="24"/>
          <w:szCs w:val="24"/>
          <w:highlight w:val="none"/>
          <w:u w:val="single"/>
        </w:rPr>
      </w:pPr>
      <w:r>
        <w:rPr>
          <w:rFonts w:hint="eastAsia" w:ascii="宋体" w:hAnsi="宋体"/>
          <w:color w:val="auto"/>
          <w:sz w:val="24"/>
          <w:szCs w:val="24"/>
          <w:highlight w:val="none"/>
        </w:rPr>
        <w:t>1、首次响应文件提交截止时间</w:t>
      </w:r>
      <w:r>
        <w:rPr>
          <w:rFonts w:hint="eastAsia" w:ascii="宋体" w:hAnsi="宋体"/>
          <w:bCs/>
          <w:color w:val="auto"/>
          <w:sz w:val="24"/>
          <w:szCs w:val="24"/>
          <w:highlight w:val="none"/>
        </w:rPr>
        <w:t>（北京时间）：</w:t>
      </w:r>
      <w:bookmarkStart w:id="1" w:name="PO_3000001868_PM015"/>
      <w:r>
        <w:rPr>
          <w:rFonts w:hint="eastAsia" w:cs="宋体" w:asciiTheme="minorEastAsia" w:hAnsiTheme="minorEastAsia"/>
          <w:bCs/>
          <w:color w:val="auto"/>
          <w:kern w:val="0"/>
          <w:sz w:val="24"/>
          <w:szCs w:val="24"/>
          <w:highlight w:val="none"/>
          <w:u w:val="single"/>
        </w:rPr>
        <w:t>202</w:t>
      </w:r>
      <w:r>
        <w:rPr>
          <w:rFonts w:hint="eastAsia" w:cs="宋体" w:asciiTheme="minorEastAsia" w:hAnsiTheme="minorEastAsia"/>
          <w:bCs/>
          <w:color w:val="auto"/>
          <w:kern w:val="0"/>
          <w:sz w:val="24"/>
          <w:szCs w:val="24"/>
          <w:highlight w:val="none"/>
          <w:u w:val="single"/>
          <w:lang w:val="en-US" w:eastAsia="zh-CN"/>
        </w:rPr>
        <w:t>6</w:t>
      </w:r>
      <w:r>
        <w:rPr>
          <w:rFonts w:hint="eastAsia" w:cs="宋体" w:asciiTheme="minorEastAsia" w:hAnsiTheme="minorEastAsia"/>
          <w:bCs/>
          <w:color w:val="auto"/>
          <w:kern w:val="0"/>
          <w:sz w:val="24"/>
          <w:szCs w:val="24"/>
          <w:highlight w:val="none"/>
          <w:u w:val="single"/>
        </w:rPr>
        <w:t>年</w:t>
      </w:r>
      <w:r>
        <w:rPr>
          <w:rFonts w:hint="eastAsia" w:cs="宋体" w:asciiTheme="minorEastAsia" w:hAnsiTheme="minorEastAsia"/>
          <w:bCs/>
          <w:color w:val="auto"/>
          <w:kern w:val="0"/>
          <w:sz w:val="24"/>
          <w:szCs w:val="24"/>
          <w:highlight w:val="none"/>
          <w:u w:val="single"/>
          <w:lang w:val="en-US" w:eastAsia="zh-CN"/>
        </w:rPr>
        <w:t>7</w:t>
      </w:r>
      <w:r>
        <w:rPr>
          <w:rFonts w:hint="eastAsia" w:cs="宋体" w:asciiTheme="minorEastAsia" w:hAnsiTheme="minorEastAsia"/>
          <w:bCs/>
          <w:color w:val="auto"/>
          <w:kern w:val="0"/>
          <w:sz w:val="24"/>
          <w:szCs w:val="24"/>
          <w:highlight w:val="none"/>
          <w:u w:val="single"/>
        </w:rPr>
        <w:t>月</w:t>
      </w:r>
      <w:r>
        <w:rPr>
          <w:rFonts w:hint="eastAsia" w:cs="宋体" w:asciiTheme="minorEastAsia" w:hAnsiTheme="minorEastAsia"/>
          <w:bCs/>
          <w:color w:val="auto"/>
          <w:kern w:val="0"/>
          <w:sz w:val="24"/>
          <w:szCs w:val="24"/>
          <w:highlight w:val="none"/>
          <w:u w:val="single"/>
          <w:lang w:val="en-US" w:eastAsia="zh-CN"/>
        </w:rPr>
        <w:t>28</w:t>
      </w:r>
      <w:r>
        <w:rPr>
          <w:rFonts w:hint="eastAsia" w:cs="宋体" w:asciiTheme="minorEastAsia" w:hAnsiTheme="minorEastAsia"/>
          <w:bCs/>
          <w:color w:val="auto"/>
          <w:kern w:val="0"/>
          <w:sz w:val="24"/>
          <w:szCs w:val="24"/>
          <w:highlight w:val="none"/>
          <w:u w:val="single"/>
        </w:rPr>
        <w:t>日</w:t>
      </w:r>
      <w:r>
        <w:rPr>
          <w:rStyle w:val="33"/>
          <w:rFonts w:hint="eastAsia" w:eastAsia="宋体" w:cs="Times New Roman" w:asciiTheme="minorEastAsia" w:hAnsiTheme="minorEastAsia"/>
          <w:color w:val="auto"/>
          <w:sz w:val="24"/>
          <w:szCs w:val="24"/>
          <w:highlight w:val="none"/>
          <w:lang w:val="en-US" w:eastAsia="zh-CN"/>
        </w:rPr>
        <w:t>上午</w:t>
      </w:r>
      <w:r>
        <w:rPr>
          <w:rFonts w:hint="eastAsia" w:ascii="宋体" w:hAnsi="宋体" w:cs="宋体"/>
          <w:bCs/>
          <w:color w:val="auto"/>
          <w:sz w:val="24"/>
          <w:szCs w:val="24"/>
          <w:highlight w:val="none"/>
          <w:u w:val="single"/>
          <w:lang w:val="en-US" w:eastAsia="zh-CN"/>
        </w:rPr>
        <w:t>09</w:t>
      </w:r>
      <w:r>
        <w:rPr>
          <w:rFonts w:hint="eastAsia" w:ascii="宋体" w:hAnsi="宋体" w:cs="宋体"/>
          <w:bCs/>
          <w:color w:val="auto"/>
          <w:sz w:val="24"/>
          <w:szCs w:val="24"/>
          <w:highlight w:val="none"/>
          <w:u w:val="single"/>
        </w:rPr>
        <w:t>点</w:t>
      </w:r>
      <w:bookmarkEnd w:id="1"/>
      <w:r>
        <w:rPr>
          <w:rFonts w:hint="eastAsia" w:ascii="宋体" w:hAnsi="宋体" w:cs="宋体"/>
          <w:bCs/>
          <w:color w:val="auto"/>
          <w:sz w:val="24"/>
          <w:szCs w:val="24"/>
          <w:highlight w:val="none"/>
          <w:u w:val="single"/>
          <w:lang w:val="en-US" w:eastAsia="zh-CN"/>
        </w:rPr>
        <w:t>00分</w:t>
      </w:r>
      <w:r>
        <w:rPr>
          <w:rFonts w:hint="eastAsia" w:ascii="宋体" w:hAnsi="宋体" w:cs="宋体"/>
          <w:color w:val="auto"/>
          <w:sz w:val="24"/>
          <w:szCs w:val="24"/>
          <w:highlight w:val="none"/>
          <w:u w:val="single"/>
        </w:rPr>
        <w:t>（从磋商文件开始发出之日起至供应商提交首次响应文件截止之日止不得少于10日）</w:t>
      </w:r>
    </w:p>
    <w:p w14:paraId="69F396F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2、首次响应文件提交地点：（1）响应文件提交方式：本项目为全流程电子化项目，通过</w:t>
      </w:r>
      <w:r>
        <w:rPr>
          <w:rFonts w:hint="eastAsia" w:cs="宋体" w:asciiTheme="minorEastAsia" w:hAnsiTheme="minorEastAsia"/>
          <w:bCs/>
          <w:color w:val="auto"/>
          <w:kern w:val="0"/>
          <w:sz w:val="24"/>
          <w:szCs w:val="24"/>
          <w:highlight w:val="none"/>
        </w:rPr>
        <w:t>广西政府采购云平台https://www.gcy.zfcg.gxzf.gov.cn/</w:t>
      </w:r>
      <w:r>
        <w:rPr>
          <w:rFonts w:hint="eastAsia" w:ascii="宋体" w:hAnsi="宋体"/>
          <w:color w:val="auto"/>
          <w:sz w:val="24"/>
          <w:szCs w:val="24"/>
          <w:highlight w:val="none"/>
        </w:rPr>
        <w:t>实行在线电子响应，供应商应先安装“政采云电子交易客户端”（请自行前往“</w:t>
      </w:r>
      <w:r>
        <w:rPr>
          <w:rFonts w:hint="eastAsia" w:cs="宋体" w:asciiTheme="minorEastAsia" w:hAnsiTheme="minorEastAsia"/>
          <w:bCs/>
          <w:color w:val="auto"/>
          <w:kern w:val="0"/>
          <w:sz w:val="24"/>
          <w:szCs w:val="24"/>
          <w:highlight w:val="none"/>
        </w:rPr>
        <w:t>广西政府采购云平台”</w:t>
      </w:r>
      <w:r>
        <w:rPr>
          <w:rFonts w:hint="eastAsia" w:ascii="宋体" w:hAnsi="宋体"/>
          <w:color w:val="auto"/>
          <w:sz w:val="24"/>
          <w:szCs w:val="24"/>
          <w:highlight w:val="none"/>
        </w:rPr>
        <w:t>进行下载），并按照本项目采购文件和广西政府采购云平台的要求编制、加密后在投标截止时间前通过网络上传至广西政府采购云平台，供应商在</w:t>
      </w:r>
      <w:r>
        <w:rPr>
          <w:rFonts w:hint="eastAsia" w:cs="宋体" w:asciiTheme="minorEastAsia" w:hAnsiTheme="minorEastAsia"/>
          <w:bCs/>
          <w:color w:val="auto"/>
          <w:kern w:val="0"/>
          <w:sz w:val="24"/>
          <w:szCs w:val="24"/>
          <w:highlight w:val="none"/>
        </w:rPr>
        <w:t>广西政府采购云平台</w:t>
      </w:r>
      <w:r>
        <w:rPr>
          <w:rFonts w:hint="eastAsia" w:ascii="宋体" w:hAnsi="宋体"/>
          <w:color w:val="auto"/>
          <w:sz w:val="24"/>
          <w:szCs w:val="24"/>
          <w:highlight w:val="none"/>
        </w:rPr>
        <w:t>提交电子版响应文件时，请填写参加远程采购活动经办人联系方式</w:t>
      </w:r>
      <w:r>
        <w:rPr>
          <w:rFonts w:hint="eastAsia" w:ascii="宋体" w:hAnsi="宋体"/>
          <w:bCs/>
          <w:color w:val="auto"/>
          <w:sz w:val="24"/>
          <w:szCs w:val="24"/>
          <w:highlight w:val="none"/>
        </w:rPr>
        <w:t>。</w:t>
      </w:r>
    </w:p>
    <w:p w14:paraId="3751A39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（2）未进行网上注册并办理数字证书（CA认证）的供应商将无法参与本项目政府采购活动，潜在供应商应当在投标截止时间前，完成电子交易平台上的CA数字证书办理及响应文件的提交。</w:t>
      </w:r>
    </w:p>
    <w:p w14:paraId="5DA7F33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（3）为确保网上操作合法、有效和安全，请供应商确保在电子响应过程中能够对相关数据电文进行加密和使用电子签章，妥善保管C</w:t>
      </w:r>
      <w:r>
        <w:rPr>
          <w:rFonts w:ascii="宋体" w:hAnsi="宋体"/>
          <w:color w:val="auto"/>
          <w:sz w:val="24"/>
          <w:szCs w:val="24"/>
          <w:highlight w:val="none"/>
        </w:rPr>
        <w:t>A</w:t>
      </w:r>
      <w:r>
        <w:rPr>
          <w:rFonts w:hint="eastAsia" w:ascii="宋体" w:hAnsi="宋体"/>
          <w:color w:val="auto"/>
          <w:sz w:val="24"/>
          <w:szCs w:val="24"/>
          <w:highlight w:val="none"/>
        </w:rPr>
        <w:t>数字证书并使用有效的CA数字证书参与整个采购活动。</w:t>
      </w:r>
    </w:p>
    <w:p w14:paraId="6669B664">
      <w:pPr>
        <w:spacing w:line="360" w:lineRule="auto"/>
        <w:ind w:firstLine="480" w:firstLineChars="200"/>
        <w:rPr>
          <w:rFonts w:ascii="宋体" w:hAnsi="宋体"/>
          <w:bCs/>
          <w:color w:val="auto"/>
          <w:sz w:val="24"/>
          <w:szCs w:val="24"/>
          <w:highlight w:val="none"/>
          <w:u w:val="single"/>
        </w:rPr>
      </w:pPr>
      <w:r>
        <w:rPr>
          <w:rFonts w:hint="eastAsia" w:ascii="宋体" w:hAnsi="宋体"/>
          <w:bCs/>
          <w:color w:val="auto"/>
          <w:sz w:val="24"/>
          <w:szCs w:val="24"/>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78F33AAA">
      <w:pPr>
        <w:numPr>
          <w:ilvl w:val="0"/>
          <w:numId w:val="1"/>
        </w:numPr>
        <w:snapToGrid w:val="0"/>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CA证书在线解密：首次响应文件开启时，须要供应商携带制作响应文件时用来加密的有效数字证书（CA认证）登录广西政府采购云平台电子开标大厅现场按规定时间对加密的响应文件进行解密，否则后果自负。</w:t>
      </w:r>
    </w:p>
    <w:p w14:paraId="2FFDCEDB">
      <w:pPr>
        <w:snapToGrid w:val="0"/>
        <w:spacing w:line="360" w:lineRule="auto"/>
        <w:ind w:firstLine="480" w:firstLineChars="200"/>
        <w:rPr>
          <w:rFonts w:cs="宋体" w:asciiTheme="minorEastAsia" w:hAnsiTheme="minorEastAsia"/>
          <w:bCs/>
          <w:color w:val="auto"/>
          <w:kern w:val="0"/>
          <w:sz w:val="24"/>
          <w:szCs w:val="24"/>
          <w:highlight w:val="none"/>
        </w:rPr>
      </w:pPr>
      <w:r>
        <w:rPr>
          <w:rFonts w:hint="eastAsia" w:ascii="宋体" w:hAnsi="宋体" w:cs="宋体"/>
          <w:color w:val="auto"/>
          <w:kern w:val="0"/>
          <w:sz w:val="24"/>
          <w:szCs w:val="24"/>
          <w:highlight w:val="none"/>
        </w:rPr>
        <w:t>4、供应商需要在具备有摄像头及语音功能且互联网网络状况良好的电脑登录广西政府采购云平台远程开标大厅参与本次磋商，否则后果自负。</w:t>
      </w:r>
    </w:p>
    <w:p w14:paraId="437D2494">
      <w:pPr>
        <w:spacing w:line="360" w:lineRule="auto"/>
        <w:rPr>
          <w:rFonts w:cs="宋体" w:asciiTheme="minorEastAsia" w:hAnsiTheme="minorEastAsia"/>
          <w:b/>
          <w:bCs/>
          <w:color w:val="auto"/>
          <w:kern w:val="0"/>
          <w:sz w:val="24"/>
          <w:szCs w:val="24"/>
          <w:highlight w:val="none"/>
        </w:rPr>
      </w:pPr>
      <w:r>
        <w:rPr>
          <w:rFonts w:cs="宋体" w:asciiTheme="minorEastAsia" w:hAnsiTheme="minorEastAsia"/>
          <w:b/>
          <w:bCs/>
          <w:color w:val="auto"/>
          <w:kern w:val="0"/>
          <w:sz w:val="24"/>
          <w:szCs w:val="24"/>
          <w:highlight w:val="none"/>
        </w:rPr>
        <w:t>五、开启</w:t>
      </w:r>
    </w:p>
    <w:p w14:paraId="5FAE7D83">
      <w:pPr>
        <w:spacing w:line="360" w:lineRule="auto"/>
        <w:ind w:firstLine="240" w:firstLineChars="100"/>
        <w:rPr>
          <w:rFonts w:cs="宋体" w:asciiTheme="minorEastAsia" w:hAnsiTheme="minorEastAsia"/>
          <w:bCs/>
          <w:color w:val="auto"/>
          <w:kern w:val="0"/>
          <w:sz w:val="24"/>
          <w:szCs w:val="24"/>
          <w:highlight w:val="none"/>
        </w:rPr>
      </w:pPr>
      <w:r>
        <w:rPr>
          <w:rFonts w:cs="宋体" w:asciiTheme="minorEastAsia" w:hAnsiTheme="minorEastAsia"/>
          <w:bCs/>
          <w:color w:val="auto"/>
          <w:kern w:val="0"/>
          <w:sz w:val="24"/>
          <w:szCs w:val="24"/>
          <w:highlight w:val="none"/>
        </w:rPr>
        <w:t>时间：</w:t>
      </w:r>
      <w:r>
        <w:rPr>
          <w:rFonts w:hint="eastAsia" w:cs="宋体" w:asciiTheme="minorEastAsia" w:hAnsiTheme="minorEastAsia"/>
          <w:bCs/>
          <w:color w:val="auto"/>
          <w:kern w:val="0"/>
          <w:sz w:val="24"/>
          <w:szCs w:val="24"/>
          <w:highlight w:val="none"/>
          <w:u w:val="single"/>
        </w:rPr>
        <w:t>202</w:t>
      </w:r>
      <w:r>
        <w:rPr>
          <w:rFonts w:hint="eastAsia" w:cs="宋体" w:asciiTheme="minorEastAsia" w:hAnsiTheme="minorEastAsia"/>
          <w:bCs/>
          <w:color w:val="auto"/>
          <w:kern w:val="0"/>
          <w:sz w:val="24"/>
          <w:szCs w:val="24"/>
          <w:highlight w:val="none"/>
          <w:u w:val="single"/>
          <w:lang w:val="en-US" w:eastAsia="zh-CN"/>
        </w:rPr>
        <w:t>6</w:t>
      </w:r>
      <w:r>
        <w:rPr>
          <w:rFonts w:hint="eastAsia" w:cs="宋体" w:asciiTheme="minorEastAsia" w:hAnsiTheme="minorEastAsia"/>
          <w:bCs/>
          <w:color w:val="auto"/>
          <w:kern w:val="0"/>
          <w:sz w:val="24"/>
          <w:szCs w:val="24"/>
          <w:highlight w:val="none"/>
          <w:u w:val="single"/>
        </w:rPr>
        <w:t>年</w:t>
      </w:r>
      <w:r>
        <w:rPr>
          <w:rFonts w:hint="eastAsia" w:cs="宋体" w:asciiTheme="minorEastAsia" w:hAnsiTheme="minorEastAsia"/>
          <w:bCs/>
          <w:color w:val="auto"/>
          <w:kern w:val="0"/>
          <w:sz w:val="24"/>
          <w:szCs w:val="24"/>
          <w:highlight w:val="none"/>
          <w:u w:val="single"/>
          <w:lang w:val="en-US" w:eastAsia="zh-CN"/>
        </w:rPr>
        <w:t>7</w:t>
      </w:r>
      <w:r>
        <w:rPr>
          <w:rFonts w:hint="eastAsia" w:cs="宋体" w:asciiTheme="minorEastAsia" w:hAnsiTheme="minorEastAsia"/>
          <w:bCs/>
          <w:color w:val="auto"/>
          <w:kern w:val="0"/>
          <w:sz w:val="24"/>
          <w:szCs w:val="24"/>
          <w:highlight w:val="none"/>
          <w:u w:val="single"/>
        </w:rPr>
        <w:t>月</w:t>
      </w:r>
      <w:r>
        <w:rPr>
          <w:rFonts w:hint="eastAsia" w:cs="宋体" w:asciiTheme="minorEastAsia" w:hAnsiTheme="minorEastAsia"/>
          <w:bCs/>
          <w:color w:val="auto"/>
          <w:kern w:val="0"/>
          <w:sz w:val="24"/>
          <w:szCs w:val="24"/>
          <w:highlight w:val="none"/>
          <w:u w:val="single"/>
          <w:lang w:val="en-US" w:eastAsia="zh-CN"/>
        </w:rPr>
        <w:t>28</w:t>
      </w:r>
      <w:r>
        <w:rPr>
          <w:rFonts w:hint="eastAsia" w:cs="宋体" w:asciiTheme="minorEastAsia" w:hAnsiTheme="minorEastAsia"/>
          <w:bCs/>
          <w:color w:val="auto"/>
          <w:kern w:val="0"/>
          <w:sz w:val="24"/>
          <w:szCs w:val="24"/>
          <w:highlight w:val="none"/>
          <w:u w:val="single"/>
        </w:rPr>
        <w:t>日</w:t>
      </w:r>
      <w:r>
        <w:rPr>
          <w:rStyle w:val="33"/>
          <w:rFonts w:hint="eastAsia" w:eastAsia="宋体" w:cs="Times New Roman" w:asciiTheme="minorEastAsia" w:hAnsiTheme="minorEastAsia"/>
          <w:color w:val="auto"/>
          <w:sz w:val="24"/>
          <w:szCs w:val="24"/>
          <w:highlight w:val="none"/>
          <w:lang w:val="en-US" w:eastAsia="zh-CN"/>
        </w:rPr>
        <w:t>上午</w:t>
      </w:r>
      <w:r>
        <w:rPr>
          <w:rFonts w:hint="eastAsia" w:ascii="宋体" w:hAnsi="宋体" w:cs="宋体"/>
          <w:bCs/>
          <w:color w:val="auto"/>
          <w:sz w:val="24"/>
          <w:szCs w:val="24"/>
          <w:highlight w:val="none"/>
          <w:u w:val="single"/>
          <w:lang w:val="en-US" w:eastAsia="zh-CN"/>
        </w:rPr>
        <w:t>09</w:t>
      </w:r>
      <w:r>
        <w:rPr>
          <w:rFonts w:hint="eastAsia" w:ascii="宋体" w:hAnsi="宋体" w:cs="宋体"/>
          <w:bCs/>
          <w:color w:val="auto"/>
          <w:sz w:val="24"/>
          <w:szCs w:val="24"/>
          <w:highlight w:val="none"/>
          <w:u w:val="single"/>
        </w:rPr>
        <w:t>点</w:t>
      </w:r>
      <w:r>
        <w:rPr>
          <w:rFonts w:hint="eastAsia" w:ascii="宋体" w:hAnsi="宋体" w:cs="宋体"/>
          <w:bCs/>
          <w:color w:val="auto"/>
          <w:sz w:val="24"/>
          <w:szCs w:val="24"/>
          <w:highlight w:val="none"/>
          <w:u w:val="single"/>
          <w:lang w:val="en-US" w:eastAsia="zh-CN"/>
        </w:rPr>
        <w:t>00分</w:t>
      </w:r>
      <w:r>
        <w:rPr>
          <w:rFonts w:cs="宋体" w:asciiTheme="minorEastAsia" w:hAnsiTheme="minorEastAsia"/>
          <w:bCs/>
          <w:color w:val="auto"/>
          <w:kern w:val="0"/>
          <w:sz w:val="24"/>
          <w:szCs w:val="24"/>
          <w:highlight w:val="none"/>
        </w:rPr>
        <w:t>（北京时间）</w:t>
      </w:r>
    </w:p>
    <w:p w14:paraId="59F6864B">
      <w:pPr>
        <w:spacing w:line="360" w:lineRule="auto"/>
        <w:ind w:firstLine="240" w:firstLineChars="100"/>
        <w:rPr>
          <w:rFonts w:cs="宋体" w:asciiTheme="minorEastAsia" w:hAnsiTheme="minorEastAsia"/>
          <w:bCs/>
          <w:color w:val="auto"/>
          <w:kern w:val="0"/>
          <w:sz w:val="24"/>
          <w:szCs w:val="24"/>
          <w:highlight w:val="none"/>
        </w:rPr>
      </w:pPr>
      <w:r>
        <w:rPr>
          <w:rFonts w:cs="宋体" w:asciiTheme="minorEastAsia" w:hAnsiTheme="minorEastAsia"/>
          <w:bCs/>
          <w:color w:val="auto"/>
          <w:kern w:val="0"/>
          <w:sz w:val="24"/>
          <w:szCs w:val="24"/>
          <w:highlight w:val="none"/>
        </w:rPr>
        <w:t>地点：</w:t>
      </w:r>
      <w:r>
        <w:rPr>
          <w:rFonts w:hint="eastAsia" w:cs="宋体" w:asciiTheme="minorEastAsia" w:hAnsiTheme="minorEastAsia"/>
          <w:bCs/>
          <w:color w:val="auto"/>
          <w:kern w:val="0"/>
          <w:sz w:val="24"/>
          <w:szCs w:val="24"/>
          <w:highlight w:val="none"/>
        </w:rPr>
        <w:t>通过广西政府采购云平台远程开标大厅实行在线解密开启。</w:t>
      </w:r>
    </w:p>
    <w:p w14:paraId="024319E5">
      <w:pPr>
        <w:spacing w:line="360" w:lineRule="auto"/>
        <w:rPr>
          <w:rFonts w:cs="宋体" w:asciiTheme="minorEastAsia" w:hAnsiTheme="minorEastAsia"/>
          <w:b/>
          <w:bCs/>
          <w:color w:val="auto"/>
          <w:kern w:val="0"/>
          <w:sz w:val="24"/>
          <w:szCs w:val="24"/>
          <w:highlight w:val="none"/>
        </w:rPr>
      </w:pPr>
      <w:r>
        <w:rPr>
          <w:rFonts w:cs="宋体" w:asciiTheme="minorEastAsia" w:hAnsiTheme="minorEastAsia"/>
          <w:b/>
          <w:bCs/>
          <w:color w:val="auto"/>
          <w:kern w:val="0"/>
          <w:sz w:val="24"/>
          <w:szCs w:val="24"/>
          <w:highlight w:val="none"/>
        </w:rPr>
        <w:t>六、公告期限</w:t>
      </w:r>
    </w:p>
    <w:p w14:paraId="4CA308CD">
      <w:pPr>
        <w:spacing w:line="360" w:lineRule="auto"/>
        <w:ind w:firstLine="240" w:firstLineChars="100"/>
        <w:rPr>
          <w:rFonts w:cs="宋体" w:asciiTheme="minorEastAsia" w:hAnsiTheme="minorEastAsia"/>
          <w:bCs/>
          <w:color w:val="auto"/>
          <w:kern w:val="0"/>
          <w:sz w:val="24"/>
          <w:szCs w:val="24"/>
          <w:highlight w:val="none"/>
        </w:rPr>
      </w:pPr>
      <w:r>
        <w:rPr>
          <w:rFonts w:cs="宋体" w:asciiTheme="minorEastAsia" w:hAnsiTheme="minorEastAsia"/>
          <w:bCs/>
          <w:color w:val="auto"/>
          <w:kern w:val="0"/>
          <w:sz w:val="24"/>
          <w:szCs w:val="24"/>
          <w:highlight w:val="none"/>
        </w:rPr>
        <w:t>自本公告发布之日起</w:t>
      </w:r>
      <w:r>
        <w:rPr>
          <w:rFonts w:hint="eastAsia" w:cs="宋体" w:asciiTheme="minorEastAsia" w:hAnsiTheme="minorEastAsia"/>
          <w:bCs/>
          <w:color w:val="auto"/>
          <w:kern w:val="0"/>
          <w:sz w:val="24"/>
          <w:szCs w:val="24"/>
          <w:highlight w:val="none"/>
        </w:rPr>
        <w:t>5</w:t>
      </w:r>
      <w:r>
        <w:rPr>
          <w:rFonts w:cs="宋体" w:asciiTheme="minorEastAsia" w:hAnsiTheme="minorEastAsia"/>
          <w:bCs/>
          <w:color w:val="auto"/>
          <w:kern w:val="0"/>
          <w:sz w:val="24"/>
          <w:szCs w:val="24"/>
          <w:highlight w:val="none"/>
        </w:rPr>
        <w:t>个工作日。</w:t>
      </w:r>
    </w:p>
    <w:p w14:paraId="0F7068BC">
      <w:pPr>
        <w:spacing w:line="360" w:lineRule="auto"/>
        <w:rPr>
          <w:rFonts w:cs="宋体" w:asciiTheme="minorEastAsia" w:hAnsiTheme="minorEastAsia"/>
          <w:b/>
          <w:bCs/>
          <w:color w:val="auto"/>
          <w:kern w:val="0"/>
          <w:sz w:val="24"/>
          <w:szCs w:val="24"/>
          <w:highlight w:val="none"/>
        </w:rPr>
      </w:pPr>
      <w:r>
        <w:rPr>
          <w:rFonts w:cs="宋体" w:asciiTheme="minorEastAsia" w:hAnsiTheme="minorEastAsia"/>
          <w:b/>
          <w:bCs/>
          <w:color w:val="auto"/>
          <w:kern w:val="0"/>
          <w:sz w:val="24"/>
          <w:szCs w:val="24"/>
          <w:highlight w:val="none"/>
        </w:rPr>
        <w:t>七、其他补充事宜：</w:t>
      </w:r>
    </w:p>
    <w:p w14:paraId="458081D2">
      <w:pPr>
        <w:snapToGrid w:val="0"/>
        <w:spacing w:line="360" w:lineRule="auto"/>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olor w:val="auto"/>
          <w:sz w:val="24"/>
          <w:szCs w:val="24"/>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971BD84">
      <w:pPr>
        <w:snapToGrid w:val="0"/>
        <w:spacing w:line="360" w:lineRule="auto"/>
        <w:ind w:firstLine="480" w:firstLineChars="200"/>
        <w:rPr>
          <w:rFonts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2、</w:t>
      </w:r>
      <w:r>
        <w:rPr>
          <w:rFonts w:hint="eastAsia" w:ascii="宋体" w:hAnsi="宋体" w:eastAsia="宋体" w:cs="宋体"/>
          <w:color w:val="auto"/>
          <w:kern w:val="0"/>
          <w:sz w:val="24"/>
          <w:szCs w:val="24"/>
          <w:highlight w:val="none"/>
        </w:rPr>
        <w:t>磋商保证金：</w:t>
      </w:r>
      <w:r>
        <w:rPr>
          <w:rFonts w:hint="eastAsia" w:ascii="宋体" w:hAnsi="宋体" w:eastAsia="宋体" w:cs="Times New Roman"/>
          <w:bCs/>
          <w:color w:val="auto"/>
          <w:sz w:val="24"/>
          <w:szCs w:val="24"/>
          <w:highlight w:val="none"/>
        </w:rPr>
        <w:t>本项目不需要缴纳保证金。</w:t>
      </w:r>
    </w:p>
    <w:p w14:paraId="749C28A6">
      <w:pPr>
        <w:snapToGrid w:val="0"/>
        <w:spacing w:line="360" w:lineRule="auto"/>
        <w:ind w:firstLine="480" w:firstLineChars="200"/>
        <w:rPr>
          <w:rFonts w:ascii="宋体" w:hAnsi="宋体"/>
          <w:color w:val="auto"/>
          <w:sz w:val="24"/>
          <w:szCs w:val="24"/>
          <w:highlight w:val="none"/>
        </w:rPr>
      </w:pPr>
      <w:r>
        <w:rPr>
          <w:rFonts w:hint="eastAsia" w:ascii="宋体" w:hAnsi="宋体" w:eastAsia="宋体" w:cs="宋体"/>
          <w:color w:val="auto"/>
          <w:kern w:val="0"/>
          <w:sz w:val="24"/>
          <w:szCs w:val="24"/>
          <w:highlight w:val="none"/>
        </w:rPr>
        <w:t>3、</w:t>
      </w:r>
      <w:r>
        <w:rPr>
          <w:rFonts w:hint="eastAsia" w:ascii="宋体" w:hAnsi="宋体" w:cs="宋体"/>
          <w:color w:val="auto"/>
          <w:kern w:val="1"/>
          <w:sz w:val="24"/>
          <w:szCs w:val="24"/>
          <w:highlight w:val="none"/>
        </w:rPr>
        <w:t>公告媒体</w:t>
      </w:r>
      <w:r>
        <w:rPr>
          <w:rFonts w:ascii="宋体" w:hAnsi="宋体" w:cs="宋体"/>
          <w:color w:val="auto"/>
          <w:kern w:val="1"/>
          <w:sz w:val="24"/>
          <w:szCs w:val="24"/>
          <w:highlight w:val="none"/>
        </w:rPr>
        <w:t>：</w:t>
      </w:r>
      <w:r>
        <w:rPr>
          <w:rFonts w:ascii="宋体" w:hAnsi="宋体"/>
          <w:color w:val="auto"/>
          <w:sz w:val="24"/>
          <w:szCs w:val="24"/>
          <w:highlight w:val="none"/>
        </w:rPr>
        <w:t>广西壮族自治区政府采购网</w:t>
      </w:r>
      <w:r>
        <w:rPr>
          <w:rFonts w:hint="eastAsia" w:ascii="宋体" w:hAnsi="宋体" w:cs="宋体"/>
          <w:bCs/>
          <w:color w:val="auto"/>
          <w:kern w:val="1"/>
          <w:sz w:val="24"/>
          <w:szCs w:val="24"/>
          <w:highlight w:val="none"/>
        </w:rPr>
        <w:t>、</w:t>
      </w:r>
      <w:r>
        <w:rPr>
          <w:rFonts w:ascii="宋体" w:hAnsi="宋体"/>
          <w:color w:val="auto"/>
          <w:sz w:val="24"/>
          <w:szCs w:val="24"/>
          <w:highlight w:val="none"/>
        </w:rPr>
        <w:t>中国政府采购网</w:t>
      </w:r>
      <w:r>
        <w:rPr>
          <w:rFonts w:hint="eastAsia" w:ascii="宋体" w:hAnsi="宋体" w:cs="宋体"/>
          <w:bCs/>
          <w:color w:val="auto"/>
          <w:kern w:val="1"/>
          <w:sz w:val="24"/>
          <w:szCs w:val="24"/>
          <w:highlight w:val="none"/>
        </w:rPr>
        <w:t>、梧州市政府采购网</w:t>
      </w:r>
      <w:r>
        <w:rPr>
          <w:rFonts w:hint="eastAsia" w:ascii="宋体" w:hAnsi="宋体"/>
          <w:color w:val="auto"/>
          <w:sz w:val="24"/>
          <w:szCs w:val="24"/>
          <w:highlight w:val="none"/>
        </w:rPr>
        <w:t>。</w:t>
      </w:r>
    </w:p>
    <w:p w14:paraId="41573AB7">
      <w:pPr>
        <w:snapToGrid w:val="0"/>
        <w:spacing w:line="360" w:lineRule="auto"/>
        <w:ind w:firstLine="480" w:firstLineChars="200"/>
        <w:rPr>
          <w:rFonts w:ascii="宋体" w:hAnsi="宋体" w:eastAsia="宋体" w:cs="宋体"/>
          <w:color w:val="auto"/>
          <w:kern w:val="0"/>
          <w:sz w:val="24"/>
          <w:szCs w:val="24"/>
          <w:highlight w:val="none"/>
        </w:rPr>
      </w:pPr>
      <w:r>
        <w:rPr>
          <w:rFonts w:hint="eastAsia" w:ascii="宋体" w:hAnsi="宋体" w:cs="宋体"/>
          <w:color w:val="auto"/>
          <w:kern w:val="0"/>
          <w:sz w:val="24"/>
          <w:szCs w:val="24"/>
          <w:highlight w:val="none"/>
        </w:rPr>
        <w:t>4、</w:t>
      </w:r>
      <w:r>
        <w:rPr>
          <w:rFonts w:hint="eastAsia" w:ascii="宋体" w:hAnsi="宋体" w:eastAsia="宋体" w:cs="宋体"/>
          <w:color w:val="auto"/>
          <w:kern w:val="0"/>
          <w:sz w:val="24"/>
          <w:szCs w:val="24"/>
          <w:highlight w:val="none"/>
        </w:rPr>
        <w:t>在线投标（网上投标）说明：</w:t>
      </w:r>
    </w:p>
    <w:p w14:paraId="4F5218C9">
      <w:pPr>
        <w:snapToGrid w:val="0"/>
        <w:spacing w:line="360" w:lineRule="auto"/>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 若对项目采购电子交易系统操作有疑问，可登录广西政府采购云平台（</w:t>
      </w:r>
      <w:r>
        <w:rPr>
          <w:rFonts w:hint="eastAsia" w:cs="宋体" w:asciiTheme="minorEastAsia" w:hAnsiTheme="minorEastAsia"/>
          <w:bCs/>
          <w:color w:val="auto"/>
          <w:kern w:val="0"/>
          <w:sz w:val="24"/>
          <w:szCs w:val="24"/>
          <w:highlight w:val="none"/>
        </w:rPr>
        <w:t>https://www.gcy.zfcg.gxzf.gov.cn/</w:t>
      </w:r>
      <w:r>
        <w:rPr>
          <w:rFonts w:hint="eastAsia" w:ascii="宋体" w:hAnsi="宋体" w:eastAsia="宋体" w:cs="宋体"/>
          <w:color w:val="auto"/>
          <w:kern w:val="0"/>
          <w:sz w:val="24"/>
          <w:szCs w:val="24"/>
          <w:highlight w:val="none"/>
        </w:rPr>
        <w:t xml:space="preserve">），点击右侧咨询小采，获取采小蜜智能服务管家帮助，或拨打政采云服务热线95763获取热线服务帮助。 </w:t>
      </w:r>
    </w:p>
    <w:p w14:paraId="1F4826A5">
      <w:pPr>
        <w:snapToGrid w:val="0"/>
        <w:spacing w:line="360" w:lineRule="auto"/>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（2）供应商应及时完成CA申领和绑定（见广西壮族自治区政府采购网—办事服务—下载专区-政采云CA证书办理操作指南）。</w:t>
      </w:r>
    </w:p>
    <w:p w14:paraId="6C186F0C">
      <w:pPr>
        <w:snapToGrid w:val="0"/>
        <w:spacing w:line="360" w:lineRule="auto"/>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（3）因未注册入库、未办理CA数字证书、CA证书故障、操作不当等原因造成无法投标或投标失败等后果由供应商自行承担。</w:t>
      </w:r>
    </w:p>
    <w:p w14:paraId="162C65BA">
      <w:pPr>
        <w:snapToGrid w:val="0"/>
        <w:spacing w:line="360" w:lineRule="auto"/>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（4）响应文件网上递交截止后，政采云（电子标系统）自动提取所有响应文件，各供应商须在开启程序开始后</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eastAsia="zh-CN"/>
        </w:rPr>
        <w:t>0分</w:t>
      </w:r>
      <w:r>
        <w:rPr>
          <w:rFonts w:hint="eastAsia" w:ascii="宋体" w:hAnsi="宋体" w:eastAsia="宋体" w:cs="宋体"/>
          <w:color w:val="auto"/>
          <w:kern w:val="0"/>
          <w:sz w:val="24"/>
          <w:szCs w:val="24"/>
          <w:highlight w:val="none"/>
        </w:rPr>
        <w:t>钟内对上传政采云的响应文件进行解密，所有供应商应在规定的解密时限内解密完成。解密时限结束后，我公司开启响应文件；供应商超过解密时限的，系统默认自动放弃。</w:t>
      </w:r>
    </w:p>
    <w:p w14:paraId="2FB489A4">
      <w:pPr>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6A66F25C">
      <w:pPr>
        <w:spacing w:line="360" w:lineRule="auto"/>
        <w:rPr>
          <w:rFonts w:cs="宋体" w:asciiTheme="minorEastAsia" w:hAnsiTheme="minorEastAsia"/>
          <w:b/>
          <w:bCs/>
          <w:color w:val="auto"/>
          <w:kern w:val="0"/>
          <w:sz w:val="24"/>
          <w:szCs w:val="24"/>
          <w:highlight w:val="none"/>
        </w:rPr>
      </w:pPr>
      <w:r>
        <w:rPr>
          <w:rFonts w:hint="eastAsia" w:cs="宋体" w:asciiTheme="minorEastAsia" w:hAnsiTheme="minorEastAsia"/>
          <w:b/>
          <w:bCs/>
          <w:color w:val="auto"/>
          <w:kern w:val="0"/>
          <w:sz w:val="24"/>
          <w:szCs w:val="24"/>
          <w:highlight w:val="none"/>
        </w:rPr>
        <w:t>八、</w:t>
      </w:r>
      <w:r>
        <w:rPr>
          <w:rFonts w:cs="宋体" w:asciiTheme="minorEastAsia" w:hAnsiTheme="minorEastAsia"/>
          <w:b/>
          <w:bCs/>
          <w:color w:val="auto"/>
          <w:kern w:val="0"/>
          <w:sz w:val="24"/>
          <w:szCs w:val="24"/>
          <w:highlight w:val="none"/>
        </w:rPr>
        <w:t>凡对本次采购提出询问，请按以下方式联系</w:t>
      </w:r>
    </w:p>
    <w:p w14:paraId="0534E86A">
      <w:pPr>
        <w:spacing w:line="360" w:lineRule="auto"/>
        <w:ind w:firstLine="240" w:firstLineChars="100"/>
        <w:rPr>
          <w:rFonts w:cs="宋体" w:asciiTheme="minorEastAsia" w:hAnsiTheme="minorEastAsia"/>
          <w:bCs/>
          <w:color w:val="auto"/>
          <w:kern w:val="0"/>
          <w:sz w:val="24"/>
          <w:szCs w:val="24"/>
          <w:highlight w:val="none"/>
        </w:rPr>
      </w:pPr>
      <w:r>
        <w:rPr>
          <w:rFonts w:cs="宋体" w:asciiTheme="minorEastAsia" w:hAnsiTheme="minorEastAsia"/>
          <w:bCs/>
          <w:color w:val="auto"/>
          <w:kern w:val="0"/>
          <w:sz w:val="24"/>
          <w:szCs w:val="24"/>
          <w:highlight w:val="none"/>
        </w:rPr>
        <w:t>1.采购人信息</w:t>
      </w:r>
    </w:p>
    <w:p w14:paraId="0AC14822">
      <w:pPr>
        <w:spacing w:line="360" w:lineRule="auto"/>
        <w:ind w:firstLine="240" w:firstLineChars="100"/>
        <w:rPr>
          <w:rFonts w:hint="eastAsia" w:cs="宋体" w:asciiTheme="minorEastAsia" w:hAnsiTheme="minorEastAsia"/>
          <w:bCs/>
          <w:color w:val="auto"/>
          <w:kern w:val="0"/>
          <w:sz w:val="24"/>
          <w:szCs w:val="24"/>
          <w:highlight w:val="none"/>
        </w:rPr>
      </w:pPr>
      <w:r>
        <w:rPr>
          <w:rFonts w:hint="eastAsia" w:cs="宋体" w:asciiTheme="minorEastAsia" w:hAnsiTheme="minorEastAsia"/>
          <w:bCs/>
          <w:color w:val="auto"/>
          <w:kern w:val="0"/>
          <w:sz w:val="24"/>
          <w:szCs w:val="24"/>
          <w:highlight w:val="none"/>
        </w:rPr>
        <w:t>采购人：梧州市城东镇中心小学</w:t>
      </w:r>
    </w:p>
    <w:p w14:paraId="67E98485">
      <w:pPr>
        <w:spacing w:line="360" w:lineRule="auto"/>
        <w:ind w:firstLine="240" w:firstLineChars="100"/>
        <w:rPr>
          <w:rFonts w:hint="eastAsia" w:cs="宋体" w:asciiTheme="minorEastAsia" w:hAnsiTheme="minorEastAsia"/>
          <w:bCs/>
          <w:color w:val="auto"/>
          <w:kern w:val="0"/>
          <w:sz w:val="24"/>
          <w:szCs w:val="24"/>
          <w:highlight w:val="none"/>
        </w:rPr>
      </w:pPr>
      <w:r>
        <w:rPr>
          <w:rFonts w:hint="eastAsia" w:cs="宋体" w:asciiTheme="minorEastAsia" w:hAnsiTheme="minorEastAsia"/>
          <w:bCs/>
          <w:color w:val="auto"/>
          <w:kern w:val="0"/>
          <w:sz w:val="24"/>
          <w:szCs w:val="24"/>
          <w:highlight w:val="none"/>
        </w:rPr>
        <w:t xml:space="preserve">联系人：钟老师     联系电话：0774-3953161 </w:t>
      </w:r>
    </w:p>
    <w:p w14:paraId="4FF4D442">
      <w:pPr>
        <w:spacing w:line="360" w:lineRule="auto"/>
        <w:ind w:firstLine="240" w:firstLineChars="100"/>
        <w:rPr>
          <w:rFonts w:cs="宋体" w:asciiTheme="minorEastAsia" w:hAnsiTheme="minorEastAsia"/>
          <w:bCs/>
          <w:color w:val="auto"/>
          <w:kern w:val="0"/>
          <w:sz w:val="24"/>
          <w:szCs w:val="24"/>
          <w:highlight w:val="none"/>
        </w:rPr>
      </w:pPr>
      <w:r>
        <w:rPr>
          <w:rFonts w:hint="eastAsia" w:cs="宋体" w:asciiTheme="minorEastAsia" w:hAnsiTheme="minorEastAsia"/>
          <w:bCs/>
          <w:color w:val="auto"/>
          <w:kern w:val="0"/>
          <w:sz w:val="24"/>
          <w:szCs w:val="24"/>
          <w:highlight w:val="none"/>
        </w:rPr>
        <w:t xml:space="preserve">地址：城东镇扶典村三组48号  </w:t>
      </w:r>
      <w:r>
        <w:rPr>
          <w:rFonts w:cs="宋体" w:asciiTheme="minorEastAsia" w:hAnsiTheme="minorEastAsia"/>
          <w:bCs/>
          <w:color w:val="auto"/>
          <w:kern w:val="0"/>
          <w:sz w:val="24"/>
          <w:szCs w:val="24"/>
          <w:highlight w:val="none"/>
        </w:rPr>
        <w:t xml:space="preserve"> </w:t>
      </w:r>
    </w:p>
    <w:p w14:paraId="7D3AB379">
      <w:pPr>
        <w:spacing w:line="360" w:lineRule="auto"/>
        <w:ind w:firstLine="240" w:firstLineChars="100"/>
        <w:rPr>
          <w:rFonts w:cs="宋体" w:asciiTheme="minorEastAsia" w:hAnsiTheme="minorEastAsia"/>
          <w:bCs/>
          <w:color w:val="auto"/>
          <w:kern w:val="0"/>
          <w:sz w:val="24"/>
          <w:szCs w:val="24"/>
          <w:highlight w:val="none"/>
        </w:rPr>
      </w:pPr>
      <w:r>
        <w:rPr>
          <w:rFonts w:cs="宋体" w:asciiTheme="minorEastAsia" w:hAnsiTheme="minorEastAsia"/>
          <w:bCs/>
          <w:color w:val="auto"/>
          <w:kern w:val="0"/>
          <w:sz w:val="24"/>
          <w:szCs w:val="24"/>
          <w:highlight w:val="none"/>
        </w:rPr>
        <w:t>2.采购代理机构信息</w:t>
      </w:r>
    </w:p>
    <w:p w14:paraId="32AD32C2">
      <w:pPr>
        <w:spacing w:line="360" w:lineRule="auto"/>
        <w:ind w:firstLine="240" w:firstLineChars="100"/>
        <w:rPr>
          <w:rFonts w:hint="eastAsia" w:cs="宋体" w:asciiTheme="minorEastAsia" w:hAnsiTheme="minorEastAsia" w:eastAsiaTheme="minorEastAsia"/>
          <w:bCs/>
          <w:color w:val="auto"/>
          <w:kern w:val="0"/>
          <w:sz w:val="24"/>
          <w:szCs w:val="24"/>
          <w:highlight w:val="none"/>
          <w:lang w:eastAsia="zh-CN"/>
        </w:rPr>
      </w:pPr>
      <w:r>
        <w:rPr>
          <w:rFonts w:cs="宋体" w:asciiTheme="minorEastAsia" w:hAnsiTheme="minorEastAsia"/>
          <w:bCs/>
          <w:color w:val="auto"/>
          <w:kern w:val="0"/>
          <w:sz w:val="24"/>
          <w:szCs w:val="24"/>
          <w:highlight w:val="none"/>
        </w:rPr>
        <w:t xml:space="preserve">名 </w:t>
      </w:r>
      <w:r>
        <w:rPr>
          <w:rFonts w:hint="eastAsia" w:cs="宋体" w:asciiTheme="minorEastAsia" w:hAnsiTheme="minorEastAsia"/>
          <w:bCs/>
          <w:color w:val="auto"/>
          <w:kern w:val="0"/>
          <w:sz w:val="24"/>
          <w:szCs w:val="24"/>
          <w:highlight w:val="none"/>
        </w:rPr>
        <w:t xml:space="preserve"> </w:t>
      </w:r>
      <w:r>
        <w:rPr>
          <w:rFonts w:cs="宋体" w:asciiTheme="minorEastAsia" w:hAnsiTheme="minorEastAsia"/>
          <w:bCs/>
          <w:color w:val="auto"/>
          <w:kern w:val="0"/>
          <w:sz w:val="24"/>
          <w:szCs w:val="24"/>
          <w:highlight w:val="none"/>
        </w:rPr>
        <w:t>称：</w:t>
      </w:r>
      <w:r>
        <w:rPr>
          <w:rFonts w:hint="eastAsia" w:cs="宋体" w:asciiTheme="minorEastAsia" w:hAnsiTheme="minorEastAsia"/>
          <w:bCs/>
          <w:color w:val="auto"/>
          <w:kern w:val="0"/>
          <w:sz w:val="24"/>
          <w:szCs w:val="24"/>
          <w:highlight w:val="none"/>
          <w:lang w:eastAsia="zh-CN"/>
        </w:rPr>
        <w:t>广西大融合工程咨询有限公司</w:t>
      </w:r>
    </w:p>
    <w:p w14:paraId="36155370">
      <w:pPr>
        <w:spacing w:line="360" w:lineRule="auto"/>
        <w:ind w:firstLine="240" w:firstLineChars="100"/>
        <w:rPr>
          <w:rFonts w:hint="default" w:cs="宋体" w:asciiTheme="minorEastAsia" w:hAnsiTheme="minorEastAsia" w:eastAsiaTheme="minorEastAsia"/>
          <w:bCs/>
          <w:color w:val="auto"/>
          <w:kern w:val="0"/>
          <w:sz w:val="24"/>
          <w:szCs w:val="24"/>
          <w:highlight w:val="none"/>
          <w:lang w:val="en-US" w:eastAsia="zh-CN"/>
        </w:rPr>
      </w:pPr>
      <w:r>
        <w:rPr>
          <w:rFonts w:cs="宋体" w:asciiTheme="minorEastAsia" w:hAnsiTheme="minorEastAsia"/>
          <w:bCs/>
          <w:color w:val="auto"/>
          <w:kern w:val="0"/>
          <w:sz w:val="24"/>
          <w:szCs w:val="24"/>
          <w:highlight w:val="none"/>
        </w:rPr>
        <w:t>地　址</w:t>
      </w:r>
      <w:r>
        <w:rPr>
          <w:rFonts w:hint="eastAsia" w:cs="宋体" w:asciiTheme="minorEastAsia" w:hAnsiTheme="minorEastAsia"/>
          <w:bCs/>
          <w:color w:val="auto"/>
          <w:kern w:val="0"/>
          <w:sz w:val="24"/>
          <w:szCs w:val="24"/>
          <w:highlight w:val="none"/>
        </w:rPr>
        <w:t>：</w:t>
      </w:r>
      <w:r>
        <w:rPr>
          <w:rFonts w:hint="eastAsia" w:cs="宋体" w:asciiTheme="minorEastAsia" w:hAnsiTheme="minorEastAsia"/>
          <w:bCs/>
          <w:color w:val="auto"/>
          <w:kern w:val="0"/>
          <w:sz w:val="24"/>
          <w:szCs w:val="24"/>
          <w:highlight w:val="none"/>
          <w:lang w:eastAsia="zh-CN"/>
        </w:rPr>
        <w:t>梧州市长洲区</w:t>
      </w:r>
      <w:r>
        <w:rPr>
          <w:rFonts w:hint="eastAsia" w:cs="宋体" w:asciiTheme="minorEastAsia" w:hAnsiTheme="minorEastAsia"/>
          <w:bCs/>
          <w:color w:val="auto"/>
          <w:kern w:val="0"/>
          <w:sz w:val="24"/>
          <w:szCs w:val="24"/>
          <w:highlight w:val="none"/>
          <w:lang w:val="en-US" w:eastAsia="zh-CN"/>
        </w:rPr>
        <w:t>西环路上段16号丰业山庄B区41幢</w:t>
      </w:r>
    </w:p>
    <w:p w14:paraId="67242965">
      <w:pPr>
        <w:spacing w:line="360" w:lineRule="auto"/>
        <w:ind w:firstLine="240" w:firstLineChars="100"/>
        <w:rPr>
          <w:rStyle w:val="55"/>
          <w:rFonts w:hint="default" w:asciiTheme="minorEastAsia" w:hAnsiTheme="minorEastAsia" w:eastAsiaTheme="minorEastAsia"/>
          <w:color w:val="auto"/>
          <w:sz w:val="24"/>
          <w:szCs w:val="24"/>
          <w:highlight w:val="none"/>
          <w:lang w:val="en-US" w:eastAsia="zh-CN"/>
        </w:rPr>
      </w:pPr>
      <w:r>
        <w:rPr>
          <w:rFonts w:cs="宋体" w:asciiTheme="minorEastAsia" w:hAnsiTheme="minorEastAsia"/>
          <w:bCs/>
          <w:color w:val="auto"/>
          <w:kern w:val="0"/>
          <w:sz w:val="24"/>
          <w:szCs w:val="24"/>
          <w:highlight w:val="none"/>
        </w:rPr>
        <w:t>项目联系人：</w:t>
      </w:r>
      <w:r>
        <w:rPr>
          <w:rFonts w:hint="eastAsia" w:cs="宋体" w:asciiTheme="minorEastAsia" w:hAnsiTheme="minorEastAsia"/>
          <w:bCs/>
          <w:color w:val="auto"/>
          <w:kern w:val="0"/>
          <w:sz w:val="24"/>
          <w:szCs w:val="24"/>
          <w:highlight w:val="none"/>
        </w:rPr>
        <w:t xml:space="preserve">李工              </w:t>
      </w:r>
      <w:r>
        <w:rPr>
          <w:rFonts w:cs="宋体" w:asciiTheme="minorEastAsia" w:hAnsiTheme="minorEastAsia"/>
          <w:bCs/>
          <w:color w:val="auto"/>
          <w:kern w:val="0"/>
          <w:sz w:val="24"/>
          <w:szCs w:val="24"/>
          <w:highlight w:val="none"/>
        </w:rPr>
        <w:t>项目联系方式：</w:t>
      </w:r>
      <w:r>
        <w:rPr>
          <w:rFonts w:hint="eastAsia" w:cs="宋体" w:asciiTheme="minorEastAsia" w:hAnsiTheme="minorEastAsia"/>
          <w:bCs/>
          <w:color w:val="auto"/>
          <w:kern w:val="0"/>
          <w:sz w:val="24"/>
          <w:szCs w:val="24"/>
          <w:highlight w:val="none"/>
        </w:rPr>
        <w:t>0774-</w:t>
      </w:r>
      <w:r>
        <w:rPr>
          <w:rFonts w:hint="eastAsia" w:cs="宋体" w:asciiTheme="minorEastAsia" w:hAnsiTheme="minorEastAsia"/>
          <w:bCs/>
          <w:color w:val="auto"/>
          <w:kern w:val="0"/>
          <w:sz w:val="24"/>
          <w:szCs w:val="24"/>
          <w:highlight w:val="none"/>
          <w:lang w:val="en-US" w:eastAsia="zh-CN"/>
        </w:rPr>
        <w:t>3888098</w:t>
      </w:r>
    </w:p>
    <w:p w14:paraId="50FA0E0C">
      <w:pPr>
        <w:spacing w:line="360" w:lineRule="auto"/>
        <w:rPr>
          <w:rStyle w:val="55"/>
          <w:rFonts w:asciiTheme="minorEastAsia" w:hAnsiTheme="minorEastAsia"/>
          <w:color w:val="auto"/>
          <w:sz w:val="24"/>
          <w:szCs w:val="24"/>
          <w:highlight w:val="none"/>
        </w:rPr>
      </w:pPr>
    </w:p>
    <w:p w14:paraId="371E8C75">
      <w:pPr>
        <w:spacing w:line="360" w:lineRule="auto"/>
        <w:jc w:val="right"/>
        <w:rPr>
          <w:rFonts w:hint="eastAsia" w:eastAsia="宋体"/>
          <w:color w:val="auto"/>
          <w:highlight w:val="none"/>
          <w:lang w:eastAsia="zh-CN"/>
        </w:rPr>
      </w:pPr>
      <w:r>
        <w:rPr>
          <w:rFonts w:hint="eastAsia" w:ascii="宋体" w:hAnsi="宋体" w:eastAsia="宋体" w:cs="宋体"/>
          <w:color w:val="auto"/>
          <w:sz w:val="24"/>
          <w:szCs w:val="24"/>
          <w:highlight w:val="none"/>
          <w:lang w:val="en-US" w:eastAsia="zh-CN"/>
        </w:rPr>
        <w:t xml:space="preserve">                                                     </w:t>
      </w:r>
      <w:r>
        <w:rPr>
          <w:rFonts w:hint="eastAsia" w:eastAsia="宋体" w:cs="宋体" w:asciiTheme="minorEastAsia" w:hAnsiTheme="minorEastAsia"/>
          <w:bCs/>
          <w:color w:val="auto"/>
          <w:kern w:val="0"/>
          <w:sz w:val="24"/>
          <w:szCs w:val="24"/>
          <w:highlight w:val="none"/>
          <w:lang w:eastAsia="zh-CN"/>
        </w:rPr>
        <w:t>梧州市城东镇中心小学</w:t>
      </w:r>
    </w:p>
    <w:p w14:paraId="5521501B">
      <w:pPr>
        <w:spacing w:line="360" w:lineRule="auto"/>
        <w:jc w:val="right"/>
        <w:rPr>
          <w:rFonts w:hint="eastAsia" w:eastAsiaTheme="minorEastAsia"/>
          <w:color w:val="auto"/>
          <w:highlight w:val="none"/>
          <w:lang w:eastAsia="zh-CN"/>
        </w:rPr>
      </w:pPr>
      <w:r>
        <w:rPr>
          <w:rStyle w:val="55"/>
          <w:rFonts w:hint="eastAsia" w:asciiTheme="minorEastAsia" w:hAnsiTheme="minorEastAsia"/>
          <w:color w:val="auto"/>
          <w:sz w:val="24"/>
          <w:szCs w:val="24"/>
          <w:highlight w:val="none"/>
          <w:lang w:eastAsia="zh-CN"/>
        </w:rPr>
        <w:t>广西大融合工程咨询有限公司</w:t>
      </w:r>
    </w:p>
    <w:p w14:paraId="17836A9E">
      <w:pPr>
        <w:spacing w:line="360" w:lineRule="auto"/>
        <w:jc w:val="right"/>
        <w:rPr>
          <w:rStyle w:val="55"/>
          <w:rFonts w:asciiTheme="minorEastAsia" w:hAnsiTheme="minorEastAsia"/>
          <w:color w:val="auto"/>
          <w:sz w:val="24"/>
          <w:szCs w:val="24"/>
          <w:highlight w:val="none"/>
          <w:u w:val="none"/>
        </w:rPr>
      </w:pPr>
      <w:r>
        <w:rPr>
          <w:rStyle w:val="55"/>
          <w:rFonts w:hint="eastAsia" w:asciiTheme="minorEastAsia" w:hAnsiTheme="minorEastAsia"/>
          <w:color w:val="auto"/>
          <w:sz w:val="24"/>
          <w:szCs w:val="24"/>
          <w:highlight w:val="none"/>
          <w:u w:val="none"/>
        </w:rPr>
        <w:t xml:space="preserve"> 2026年</w:t>
      </w:r>
      <w:r>
        <w:rPr>
          <w:rStyle w:val="55"/>
          <w:rFonts w:hint="eastAsia" w:asciiTheme="minorEastAsia" w:hAnsiTheme="minorEastAsia"/>
          <w:color w:val="auto"/>
          <w:sz w:val="24"/>
          <w:szCs w:val="24"/>
          <w:highlight w:val="none"/>
          <w:u w:val="none"/>
          <w:lang w:val="en-US" w:eastAsia="zh-CN"/>
        </w:rPr>
        <w:t>7</w:t>
      </w:r>
      <w:r>
        <w:rPr>
          <w:rStyle w:val="55"/>
          <w:rFonts w:hint="eastAsia" w:asciiTheme="minorEastAsia" w:hAnsiTheme="minorEastAsia"/>
          <w:color w:val="auto"/>
          <w:sz w:val="24"/>
          <w:szCs w:val="24"/>
          <w:highlight w:val="none"/>
          <w:u w:val="none"/>
        </w:rPr>
        <w:t>月</w:t>
      </w:r>
      <w:r>
        <w:rPr>
          <w:rStyle w:val="55"/>
          <w:rFonts w:hint="eastAsia" w:asciiTheme="minorEastAsia" w:hAnsiTheme="minorEastAsia"/>
          <w:color w:val="auto"/>
          <w:sz w:val="24"/>
          <w:szCs w:val="24"/>
          <w:highlight w:val="none"/>
          <w:u w:val="none"/>
          <w:lang w:val="en-US" w:eastAsia="zh-CN"/>
        </w:rPr>
        <w:t>16</w:t>
      </w:r>
      <w:r>
        <w:rPr>
          <w:rStyle w:val="55"/>
          <w:rFonts w:hint="eastAsia" w:asciiTheme="minorEastAsia" w:hAnsiTheme="minorEastAsia"/>
          <w:color w:val="auto"/>
          <w:sz w:val="24"/>
          <w:szCs w:val="24"/>
          <w:highlight w:val="none"/>
          <w:u w:val="none"/>
        </w:rPr>
        <w:t>日</w:t>
      </w:r>
    </w:p>
    <w:p w14:paraId="3B9D382E">
      <w:pPr>
        <w:spacing w:line="360" w:lineRule="auto"/>
        <w:jc w:val="right"/>
        <w:rPr>
          <w:rFonts w:asciiTheme="minorEastAsia" w:hAnsiTheme="minorEastAsia"/>
          <w:color w:val="auto"/>
          <w:sz w:val="36"/>
          <w:highlight w:val="none"/>
        </w:rPr>
        <w:sectPr>
          <w:footerReference r:id="rId6" w:type="default"/>
          <w:endnotePr>
            <w:numFmt w:val="decimal"/>
          </w:endnotePr>
          <w:pgSz w:w="11906" w:h="16838"/>
          <w:pgMar w:top="1134" w:right="1406" w:bottom="1440" w:left="1338" w:header="454" w:footer="680" w:gutter="0"/>
          <w:pgNumType w:start="1"/>
          <w:cols w:space="720" w:num="1"/>
          <w:docGrid w:type="lines" w:linePitch="312" w:charSpace="0"/>
        </w:sectPr>
      </w:pPr>
      <w:bookmarkStart w:id="2" w:name="_Toc22307"/>
    </w:p>
    <w:p w14:paraId="77C4D3B0">
      <w:pPr>
        <w:pStyle w:val="3"/>
        <w:spacing w:line="360" w:lineRule="auto"/>
        <w:jc w:val="center"/>
        <w:rPr>
          <w:rFonts w:asciiTheme="minorEastAsia" w:hAnsiTheme="minorEastAsia" w:cstheme="minorEastAsia"/>
          <w:color w:val="auto"/>
          <w:highlight w:val="none"/>
        </w:rPr>
      </w:pPr>
      <w:bookmarkStart w:id="3" w:name="_Toc26669"/>
      <w:bookmarkStart w:id="4" w:name="_Toc9290"/>
      <w:r>
        <w:rPr>
          <w:rFonts w:hint="eastAsia" w:asciiTheme="minorEastAsia" w:hAnsiTheme="minorEastAsia" w:cstheme="minorEastAsia"/>
          <w:color w:val="auto"/>
          <w:sz w:val="36"/>
          <w:highlight w:val="none"/>
        </w:rPr>
        <w:t>第一章  磋商须知及磋商须知前附表</w:t>
      </w:r>
      <w:bookmarkEnd w:id="0"/>
      <w:bookmarkEnd w:id="2"/>
      <w:bookmarkEnd w:id="3"/>
      <w:bookmarkEnd w:id="4"/>
      <w:bookmarkStart w:id="5" w:name="_Toc23046660"/>
      <w:bookmarkStart w:id="6" w:name="_Toc23152554"/>
      <w:bookmarkStart w:id="7" w:name="_Toc514238584"/>
    </w:p>
    <w:p w14:paraId="3252E3F3">
      <w:pPr>
        <w:pStyle w:val="4"/>
        <w:spacing w:line="360" w:lineRule="auto"/>
        <w:jc w:val="center"/>
        <w:rPr>
          <w:rFonts w:asciiTheme="minorEastAsia" w:hAnsiTheme="minorEastAsia" w:eastAsiaTheme="minorEastAsia" w:cstheme="minorEastAsia"/>
          <w:color w:val="auto"/>
          <w:kern w:val="0"/>
          <w:sz w:val="36"/>
          <w:szCs w:val="24"/>
          <w:highlight w:val="none"/>
        </w:rPr>
      </w:pPr>
      <w:bookmarkStart w:id="8" w:name="_Toc243584223"/>
      <w:bookmarkStart w:id="9" w:name="_Toc16327"/>
      <w:bookmarkStart w:id="10" w:name="_Toc74156182"/>
      <w:r>
        <w:rPr>
          <w:rFonts w:hint="eastAsia" w:asciiTheme="minorEastAsia" w:hAnsiTheme="minorEastAsia" w:eastAsiaTheme="minorEastAsia" w:cstheme="minorEastAsia"/>
          <w:color w:val="auto"/>
          <w:kern w:val="0"/>
          <w:sz w:val="36"/>
          <w:szCs w:val="24"/>
          <w:highlight w:val="none"/>
        </w:rPr>
        <w:t>一、磋商须知前附表</w:t>
      </w:r>
      <w:bookmarkEnd w:id="5"/>
      <w:bookmarkEnd w:id="6"/>
      <w:bookmarkEnd w:id="7"/>
      <w:bookmarkEnd w:id="8"/>
      <w:bookmarkEnd w:id="9"/>
      <w:bookmarkEnd w:id="10"/>
    </w:p>
    <w:tbl>
      <w:tblPr>
        <w:tblStyle w:val="28"/>
        <w:tblW w:w="9920" w:type="dxa"/>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4"/>
        <w:gridCol w:w="785"/>
        <w:gridCol w:w="1475"/>
        <w:gridCol w:w="7016"/>
      </w:tblGrid>
      <w:tr w14:paraId="614EB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9" w:hRule="atLeast"/>
        </w:trPr>
        <w:tc>
          <w:tcPr>
            <w:tcW w:w="644" w:type="dxa"/>
            <w:vAlign w:val="center"/>
          </w:tcPr>
          <w:p w14:paraId="635D9EBD">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项号</w:t>
            </w:r>
          </w:p>
        </w:tc>
        <w:tc>
          <w:tcPr>
            <w:tcW w:w="785" w:type="dxa"/>
            <w:vAlign w:val="center"/>
          </w:tcPr>
          <w:p w14:paraId="1751D0C3">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条款号</w:t>
            </w:r>
          </w:p>
        </w:tc>
        <w:tc>
          <w:tcPr>
            <w:tcW w:w="1475" w:type="dxa"/>
            <w:vAlign w:val="center"/>
          </w:tcPr>
          <w:p w14:paraId="35754304">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内容</w:t>
            </w:r>
          </w:p>
        </w:tc>
        <w:tc>
          <w:tcPr>
            <w:tcW w:w="7016" w:type="dxa"/>
            <w:vAlign w:val="center"/>
          </w:tcPr>
          <w:p w14:paraId="5E8660AE">
            <w:pPr>
              <w:keepNext w:val="0"/>
              <w:keepLines w:val="0"/>
              <w:pageBreakBefore w:val="0"/>
              <w:widowControl/>
              <w:kinsoku/>
              <w:wordWrap/>
              <w:overflowPunct/>
              <w:topLinePunct w:val="0"/>
              <w:bidi w:val="0"/>
              <w:spacing w:line="360" w:lineRule="auto"/>
              <w:ind w:left="0" w:leftChars="0" w:firstLine="482" w:firstLineChars="20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说明与要求</w:t>
            </w:r>
          </w:p>
        </w:tc>
      </w:tr>
      <w:tr w14:paraId="2B702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239" w:hRule="exact"/>
        </w:trPr>
        <w:tc>
          <w:tcPr>
            <w:tcW w:w="644" w:type="dxa"/>
            <w:vAlign w:val="center"/>
          </w:tcPr>
          <w:p w14:paraId="2463505F">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1</w:t>
            </w:r>
          </w:p>
        </w:tc>
        <w:tc>
          <w:tcPr>
            <w:tcW w:w="785" w:type="dxa"/>
            <w:vAlign w:val="center"/>
          </w:tcPr>
          <w:p w14:paraId="126BA10D">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1.1</w:t>
            </w:r>
          </w:p>
        </w:tc>
        <w:tc>
          <w:tcPr>
            <w:tcW w:w="1475" w:type="dxa"/>
            <w:vAlign w:val="center"/>
          </w:tcPr>
          <w:p w14:paraId="0F3B5379">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工程名称及</w:t>
            </w:r>
          </w:p>
          <w:p w14:paraId="70CC33F0">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采购编号</w:t>
            </w:r>
          </w:p>
        </w:tc>
        <w:tc>
          <w:tcPr>
            <w:tcW w:w="7016" w:type="dxa"/>
            <w:vAlign w:val="center"/>
          </w:tcPr>
          <w:p w14:paraId="0FE4AE73">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rPr>
              <w:t>工程名称：</w:t>
            </w:r>
            <w:r>
              <w:rPr>
                <w:rFonts w:hint="eastAsia" w:asciiTheme="minorEastAsia" w:hAnsiTheme="minorEastAsia" w:cstheme="minorEastAsia"/>
                <w:bCs/>
                <w:color w:val="auto"/>
                <w:sz w:val="24"/>
                <w:szCs w:val="24"/>
                <w:highlight w:val="none"/>
                <w:lang w:eastAsia="zh-CN"/>
              </w:rPr>
              <w:t>梧州市城东镇中心小学新建运动场</w:t>
            </w:r>
          </w:p>
          <w:p w14:paraId="72DA112D">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项目编号：WZZC2026-C2-030012-GXDR</w:t>
            </w:r>
          </w:p>
        </w:tc>
      </w:tr>
      <w:tr w14:paraId="232D6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3" w:hRule="exact"/>
        </w:trPr>
        <w:tc>
          <w:tcPr>
            <w:tcW w:w="644" w:type="dxa"/>
            <w:vAlign w:val="center"/>
          </w:tcPr>
          <w:p w14:paraId="5B3408C0">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2</w:t>
            </w:r>
          </w:p>
        </w:tc>
        <w:tc>
          <w:tcPr>
            <w:tcW w:w="785" w:type="dxa"/>
            <w:vAlign w:val="center"/>
          </w:tcPr>
          <w:p w14:paraId="1E38423A">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1.1</w:t>
            </w:r>
          </w:p>
        </w:tc>
        <w:tc>
          <w:tcPr>
            <w:tcW w:w="1475" w:type="dxa"/>
            <w:vAlign w:val="center"/>
          </w:tcPr>
          <w:p w14:paraId="458ADFF8">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建设地点</w:t>
            </w:r>
          </w:p>
        </w:tc>
        <w:tc>
          <w:tcPr>
            <w:tcW w:w="7016" w:type="dxa"/>
            <w:vAlign w:val="center"/>
          </w:tcPr>
          <w:p w14:paraId="7A1B6412">
            <w:pPr>
              <w:pStyle w:val="37"/>
              <w:keepNext w:val="0"/>
              <w:keepLines w:val="0"/>
              <w:pageBreakBefore w:val="0"/>
              <w:widowControl/>
              <w:kinsoku/>
              <w:wordWrap/>
              <w:overflowPunct/>
              <w:topLinePunct w:val="0"/>
              <w:bidi w:val="0"/>
              <w:spacing w:before="0" w:after="0" w:line="360" w:lineRule="auto"/>
              <w:ind w:left="0" w:leftChars="0" w:firstLine="520" w:firstLineChars="200"/>
              <w:jc w:val="both"/>
              <w:textAlignment w:val="auto"/>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bCs w:val="0"/>
                <w:color w:val="auto"/>
                <w:sz w:val="24"/>
                <w:szCs w:val="24"/>
                <w:highlight w:val="none"/>
              </w:rPr>
              <w:t>广西梧州市万秀区</w:t>
            </w:r>
          </w:p>
        </w:tc>
      </w:tr>
      <w:tr w14:paraId="39B8B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3" w:hRule="exact"/>
        </w:trPr>
        <w:tc>
          <w:tcPr>
            <w:tcW w:w="644" w:type="dxa"/>
            <w:vAlign w:val="center"/>
          </w:tcPr>
          <w:p w14:paraId="2C64F34B">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3</w:t>
            </w:r>
          </w:p>
        </w:tc>
        <w:tc>
          <w:tcPr>
            <w:tcW w:w="785" w:type="dxa"/>
            <w:vAlign w:val="center"/>
          </w:tcPr>
          <w:p w14:paraId="666CBBA0">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1.1</w:t>
            </w:r>
          </w:p>
        </w:tc>
        <w:tc>
          <w:tcPr>
            <w:tcW w:w="1475" w:type="dxa"/>
            <w:vAlign w:val="center"/>
          </w:tcPr>
          <w:p w14:paraId="56131020">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招标控制价</w:t>
            </w:r>
          </w:p>
        </w:tc>
        <w:tc>
          <w:tcPr>
            <w:tcW w:w="7016" w:type="dxa"/>
            <w:vAlign w:val="center"/>
          </w:tcPr>
          <w:p w14:paraId="04AE2A5E">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人民币（大写）柒拾玖万玖仟零柒拾伍元肆角柒分（￥799,075.47元）</w:t>
            </w:r>
          </w:p>
        </w:tc>
      </w:tr>
      <w:tr w14:paraId="451BD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8" w:hRule="exact"/>
        </w:trPr>
        <w:tc>
          <w:tcPr>
            <w:tcW w:w="644" w:type="dxa"/>
            <w:vAlign w:val="center"/>
          </w:tcPr>
          <w:p w14:paraId="7A2B79A5">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4</w:t>
            </w:r>
          </w:p>
        </w:tc>
        <w:tc>
          <w:tcPr>
            <w:tcW w:w="785" w:type="dxa"/>
            <w:vAlign w:val="center"/>
          </w:tcPr>
          <w:p w14:paraId="31EA1F22">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1.1</w:t>
            </w:r>
          </w:p>
        </w:tc>
        <w:tc>
          <w:tcPr>
            <w:tcW w:w="1475" w:type="dxa"/>
            <w:vAlign w:val="center"/>
          </w:tcPr>
          <w:p w14:paraId="58190387">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发包方式</w:t>
            </w:r>
          </w:p>
        </w:tc>
        <w:tc>
          <w:tcPr>
            <w:tcW w:w="7016" w:type="dxa"/>
            <w:vAlign w:val="center"/>
          </w:tcPr>
          <w:p w14:paraId="0DAF1BA8">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color w:val="auto"/>
                <w:sz w:val="24"/>
                <w:szCs w:val="24"/>
                <w:highlight w:val="none"/>
              </w:rPr>
              <w:t>包工包料，</w:t>
            </w:r>
            <w:r>
              <w:rPr>
                <w:rFonts w:hint="eastAsia" w:asciiTheme="minorEastAsia" w:hAnsiTheme="minorEastAsia" w:cstheme="minorEastAsia"/>
                <w:color w:val="auto"/>
                <w:sz w:val="24"/>
                <w:szCs w:val="24"/>
                <w:highlight w:val="none"/>
                <w:lang w:val="en-US" w:eastAsia="zh-CN"/>
              </w:rPr>
              <w:t>单价固定</w:t>
            </w:r>
            <w:r>
              <w:rPr>
                <w:rFonts w:hint="eastAsia" w:asciiTheme="minorEastAsia" w:hAnsiTheme="minorEastAsia" w:eastAsiaTheme="minorEastAsia" w:cstheme="minorEastAsia"/>
                <w:color w:val="auto"/>
                <w:sz w:val="24"/>
                <w:szCs w:val="24"/>
                <w:highlight w:val="none"/>
                <w:lang w:val="en-US" w:eastAsia="zh-CN"/>
              </w:rPr>
              <w:t>。</w:t>
            </w:r>
          </w:p>
        </w:tc>
      </w:tr>
      <w:tr w14:paraId="5E36A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5" w:hRule="exact"/>
        </w:trPr>
        <w:tc>
          <w:tcPr>
            <w:tcW w:w="644" w:type="dxa"/>
            <w:vAlign w:val="center"/>
          </w:tcPr>
          <w:p w14:paraId="5A6FC890">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5</w:t>
            </w:r>
          </w:p>
        </w:tc>
        <w:tc>
          <w:tcPr>
            <w:tcW w:w="785" w:type="dxa"/>
            <w:vAlign w:val="center"/>
          </w:tcPr>
          <w:p w14:paraId="0870C331">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1.1</w:t>
            </w:r>
          </w:p>
        </w:tc>
        <w:tc>
          <w:tcPr>
            <w:tcW w:w="1475" w:type="dxa"/>
            <w:vAlign w:val="center"/>
          </w:tcPr>
          <w:p w14:paraId="37B75FBD">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质量标准</w:t>
            </w:r>
          </w:p>
        </w:tc>
        <w:tc>
          <w:tcPr>
            <w:tcW w:w="7016" w:type="dxa"/>
            <w:vAlign w:val="center"/>
          </w:tcPr>
          <w:p w14:paraId="771D2D6F">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达到国家和行业颁发的施工及验收规程规范要求。</w:t>
            </w:r>
          </w:p>
        </w:tc>
      </w:tr>
      <w:tr w14:paraId="120F9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exact"/>
        </w:trPr>
        <w:tc>
          <w:tcPr>
            <w:tcW w:w="644" w:type="dxa"/>
            <w:vAlign w:val="center"/>
          </w:tcPr>
          <w:p w14:paraId="76995085">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6</w:t>
            </w:r>
          </w:p>
        </w:tc>
        <w:tc>
          <w:tcPr>
            <w:tcW w:w="785" w:type="dxa"/>
            <w:vAlign w:val="center"/>
          </w:tcPr>
          <w:p w14:paraId="4F28110F">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2.1</w:t>
            </w:r>
          </w:p>
        </w:tc>
        <w:tc>
          <w:tcPr>
            <w:tcW w:w="1475" w:type="dxa"/>
            <w:vAlign w:val="center"/>
          </w:tcPr>
          <w:p w14:paraId="55BA8D2D">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采购范围</w:t>
            </w:r>
          </w:p>
        </w:tc>
        <w:tc>
          <w:tcPr>
            <w:tcW w:w="7016" w:type="dxa"/>
            <w:vAlign w:val="center"/>
          </w:tcPr>
          <w:p w14:paraId="208C145B">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工程量清单范围内包含的工程施工。</w:t>
            </w:r>
          </w:p>
        </w:tc>
      </w:tr>
      <w:tr w14:paraId="30D21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1" w:hRule="exact"/>
        </w:trPr>
        <w:tc>
          <w:tcPr>
            <w:tcW w:w="644" w:type="dxa"/>
            <w:vAlign w:val="center"/>
          </w:tcPr>
          <w:p w14:paraId="59EB92E0">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7</w:t>
            </w:r>
          </w:p>
        </w:tc>
        <w:tc>
          <w:tcPr>
            <w:tcW w:w="785" w:type="dxa"/>
            <w:vAlign w:val="center"/>
          </w:tcPr>
          <w:p w14:paraId="7DF58060">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2.2</w:t>
            </w:r>
          </w:p>
        </w:tc>
        <w:tc>
          <w:tcPr>
            <w:tcW w:w="1475" w:type="dxa"/>
            <w:vAlign w:val="center"/>
          </w:tcPr>
          <w:p w14:paraId="72CAB3BF">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项目工期</w:t>
            </w:r>
          </w:p>
        </w:tc>
        <w:tc>
          <w:tcPr>
            <w:tcW w:w="7016" w:type="dxa"/>
            <w:vAlign w:val="center"/>
          </w:tcPr>
          <w:p w14:paraId="4ED50CE5">
            <w:pPr>
              <w:keepNext w:val="0"/>
              <w:keepLines w:val="0"/>
              <w:pageBreakBefore w:val="0"/>
              <w:widowControl/>
              <w:kinsoku/>
              <w:wordWrap/>
              <w:overflowPunct/>
              <w:topLinePunct w:val="0"/>
              <w:bidi w:val="0"/>
              <w:snapToGrid w:val="0"/>
              <w:spacing w:line="360" w:lineRule="auto"/>
              <w:ind w:left="0" w:leftChars="0" w:firstLine="480" w:firstLineChars="200"/>
              <w:jc w:val="both"/>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kern w:val="0"/>
                <w:sz w:val="24"/>
                <w:szCs w:val="24"/>
                <w:highlight w:val="none"/>
              </w:rPr>
              <w:t>从本项目开工之日起</w:t>
            </w:r>
            <w:r>
              <w:rPr>
                <w:rFonts w:hint="eastAsia" w:asciiTheme="minorEastAsia" w:hAnsiTheme="minorEastAsia" w:cstheme="minorEastAsia"/>
                <w:bCs/>
                <w:color w:val="auto"/>
                <w:kern w:val="0"/>
                <w:sz w:val="24"/>
                <w:szCs w:val="24"/>
                <w:highlight w:val="none"/>
                <w:lang w:val="en-US" w:eastAsia="zh-CN"/>
              </w:rPr>
              <w:t>60</w:t>
            </w:r>
            <w:r>
              <w:rPr>
                <w:rFonts w:hint="eastAsia" w:asciiTheme="minorEastAsia" w:hAnsiTheme="minorEastAsia" w:eastAsiaTheme="minorEastAsia" w:cstheme="minorEastAsia"/>
                <w:bCs/>
                <w:color w:val="auto"/>
                <w:kern w:val="0"/>
                <w:sz w:val="24"/>
                <w:szCs w:val="24"/>
                <w:highlight w:val="none"/>
              </w:rPr>
              <w:t>个日历天内完成（具体开工时间由采购人另外约定）。</w:t>
            </w:r>
          </w:p>
        </w:tc>
      </w:tr>
      <w:tr w14:paraId="7918A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exact"/>
        </w:trPr>
        <w:tc>
          <w:tcPr>
            <w:tcW w:w="644" w:type="dxa"/>
            <w:vAlign w:val="center"/>
          </w:tcPr>
          <w:p w14:paraId="40073BB5">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8</w:t>
            </w:r>
          </w:p>
        </w:tc>
        <w:tc>
          <w:tcPr>
            <w:tcW w:w="785" w:type="dxa"/>
            <w:vAlign w:val="center"/>
          </w:tcPr>
          <w:p w14:paraId="35719806">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3.1</w:t>
            </w:r>
          </w:p>
        </w:tc>
        <w:tc>
          <w:tcPr>
            <w:tcW w:w="1475" w:type="dxa"/>
            <w:vAlign w:val="center"/>
          </w:tcPr>
          <w:p w14:paraId="17DFEBEF">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资金来源</w:t>
            </w:r>
          </w:p>
        </w:tc>
        <w:tc>
          <w:tcPr>
            <w:tcW w:w="7016" w:type="dxa"/>
            <w:vAlign w:val="center"/>
          </w:tcPr>
          <w:p w14:paraId="4D88AEAF">
            <w:pPr>
              <w:pStyle w:val="26"/>
              <w:keepNext w:val="0"/>
              <w:keepLines w:val="0"/>
              <w:pageBreakBefore w:val="0"/>
              <w:widowControl/>
              <w:kinsoku/>
              <w:wordWrap/>
              <w:overflowPunct/>
              <w:topLinePunct w:val="0"/>
              <w:bidi w:val="0"/>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bCs/>
                <w:color w:val="auto"/>
                <w:kern w:val="2"/>
                <w:sz w:val="24"/>
                <w:szCs w:val="24"/>
                <w:highlight w:val="none"/>
              </w:rPr>
            </w:pPr>
            <w:r>
              <w:rPr>
                <w:rFonts w:hint="eastAsia" w:asciiTheme="minorEastAsia" w:hAnsiTheme="minorEastAsia" w:eastAsiaTheme="minorEastAsia" w:cstheme="minorEastAsia"/>
                <w:bCs/>
                <w:color w:val="auto"/>
                <w:kern w:val="2"/>
                <w:sz w:val="24"/>
                <w:szCs w:val="24"/>
                <w:highlight w:val="none"/>
              </w:rPr>
              <w:t>财政资金</w:t>
            </w:r>
          </w:p>
        </w:tc>
      </w:tr>
      <w:tr w14:paraId="50B65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8" w:hRule="atLeast"/>
        </w:trPr>
        <w:tc>
          <w:tcPr>
            <w:tcW w:w="644" w:type="dxa"/>
            <w:vAlign w:val="center"/>
          </w:tcPr>
          <w:p w14:paraId="264A3DCF">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9</w:t>
            </w:r>
          </w:p>
        </w:tc>
        <w:tc>
          <w:tcPr>
            <w:tcW w:w="785" w:type="dxa"/>
            <w:vAlign w:val="center"/>
          </w:tcPr>
          <w:p w14:paraId="3053DF58">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4.1</w:t>
            </w:r>
          </w:p>
        </w:tc>
        <w:tc>
          <w:tcPr>
            <w:tcW w:w="1475" w:type="dxa"/>
            <w:vAlign w:val="center"/>
          </w:tcPr>
          <w:p w14:paraId="03EBF590">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供应商资质</w:t>
            </w:r>
          </w:p>
          <w:p w14:paraId="75B85656">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等级要求</w:t>
            </w:r>
          </w:p>
        </w:tc>
        <w:tc>
          <w:tcPr>
            <w:tcW w:w="7016" w:type="dxa"/>
            <w:vAlign w:val="center"/>
          </w:tcPr>
          <w:p w14:paraId="299B1B93">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 xml:space="preserve">1、必须在中华人民共和国境内注册，具有独立法人资格，同时具备建设行政主管部门颁发建筑工程施工总承包三级以上(含三级)资质的施工企业； </w:t>
            </w:r>
          </w:p>
          <w:p w14:paraId="15A80016">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2、磋商供应商拟派项目经理须具备建筑工程贰级以上（含贰级）注册建造师执业资格；</w:t>
            </w:r>
          </w:p>
          <w:p w14:paraId="1FF67BC0">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3、符合《中华人民共和国政府采购法》第二十二条的规定；</w:t>
            </w:r>
          </w:p>
          <w:p w14:paraId="0A4ECD68">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B88AB7F">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5、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59411768">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6、本项目不接受联合体参加磋商；</w:t>
            </w:r>
          </w:p>
          <w:p w14:paraId="543A8CD8">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kern w:val="0"/>
                <w:sz w:val="24"/>
                <w:szCs w:val="24"/>
                <w:highlight w:val="none"/>
              </w:rPr>
              <w:t>7、本项目为专门面向</w:t>
            </w:r>
            <w:r>
              <w:rPr>
                <w:rFonts w:hint="eastAsia" w:asciiTheme="minorEastAsia" w:hAnsiTheme="minorEastAsia" w:cstheme="minorEastAsia"/>
                <w:bCs/>
                <w:color w:val="auto"/>
                <w:kern w:val="0"/>
                <w:sz w:val="24"/>
                <w:szCs w:val="24"/>
                <w:highlight w:val="none"/>
                <w:lang w:val="en-US" w:eastAsia="zh-CN"/>
              </w:rPr>
              <w:t>中小</w:t>
            </w:r>
            <w:r>
              <w:rPr>
                <w:rFonts w:hint="eastAsia" w:asciiTheme="minorEastAsia" w:hAnsiTheme="minorEastAsia" w:eastAsiaTheme="minorEastAsia" w:cstheme="minorEastAsia"/>
                <w:bCs/>
                <w:color w:val="auto"/>
                <w:kern w:val="0"/>
                <w:sz w:val="24"/>
                <w:szCs w:val="24"/>
                <w:highlight w:val="none"/>
              </w:rPr>
              <w:t>企业采购，不再执行价格评审的优惠政策。供应商必须为</w:t>
            </w:r>
            <w:r>
              <w:rPr>
                <w:rFonts w:hint="eastAsia" w:asciiTheme="minorEastAsia" w:hAnsiTheme="minorEastAsia" w:cstheme="minorEastAsia"/>
                <w:bCs/>
                <w:color w:val="auto"/>
                <w:kern w:val="0"/>
                <w:sz w:val="24"/>
                <w:szCs w:val="24"/>
                <w:highlight w:val="none"/>
                <w:lang w:val="en-US" w:eastAsia="zh-CN"/>
              </w:rPr>
              <w:t>中小</w:t>
            </w:r>
            <w:r>
              <w:rPr>
                <w:rFonts w:hint="eastAsia" w:asciiTheme="minorEastAsia" w:hAnsiTheme="minorEastAsia" w:eastAsiaTheme="minorEastAsia" w:cstheme="minorEastAsia"/>
                <w:bCs/>
                <w:color w:val="auto"/>
                <w:kern w:val="0"/>
                <w:sz w:val="24"/>
                <w:szCs w:val="24"/>
                <w:highlight w:val="none"/>
              </w:rPr>
              <w:t>企业。</w:t>
            </w:r>
          </w:p>
        </w:tc>
      </w:tr>
      <w:tr w14:paraId="4504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trPr>
        <w:tc>
          <w:tcPr>
            <w:tcW w:w="644" w:type="dxa"/>
            <w:vAlign w:val="center"/>
          </w:tcPr>
          <w:p w14:paraId="55BDF3CE">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10</w:t>
            </w:r>
          </w:p>
        </w:tc>
        <w:tc>
          <w:tcPr>
            <w:tcW w:w="785" w:type="dxa"/>
            <w:vAlign w:val="center"/>
          </w:tcPr>
          <w:p w14:paraId="07C0AFEA">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4.2</w:t>
            </w:r>
          </w:p>
        </w:tc>
        <w:tc>
          <w:tcPr>
            <w:tcW w:w="1475" w:type="dxa"/>
            <w:vAlign w:val="center"/>
          </w:tcPr>
          <w:p w14:paraId="6350EFD3">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资格审查方式</w:t>
            </w:r>
          </w:p>
        </w:tc>
        <w:tc>
          <w:tcPr>
            <w:tcW w:w="7016" w:type="dxa"/>
            <w:vAlign w:val="center"/>
          </w:tcPr>
          <w:p w14:paraId="768E6EA3">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资格后审</w:t>
            </w:r>
          </w:p>
        </w:tc>
      </w:tr>
      <w:tr w14:paraId="4A0ED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3" w:hRule="atLeast"/>
        </w:trPr>
        <w:tc>
          <w:tcPr>
            <w:tcW w:w="644" w:type="dxa"/>
            <w:vAlign w:val="center"/>
          </w:tcPr>
          <w:p w14:paraId="66C221E2">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11</w:t>
            </w:r>
          </w:p>
        </w:tc>
        <w:tc>
          <w:tcPr>
            <w:tcW w:w="785" w:type="dxa"/>
            <w:vAlign w:val="center"/>
          </w:tcPr>
          <w:p w14:paraId="3E949508">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13.1</w:t>
            </w:r>
          </w:p>
        </w:tc>
        <w:tc>
          <w:tcPr>
            <w:tcW w:w="1475" w:type="dxa"/>
            <w:vAlign w:val="center"/>
          </w:tcPr>
          <w:p w14:paraId="5B7A97BE">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工程计价方式</w:t>
            </w:r>
          </w:p>
        </w:tc>
        <w:tc>
          <w:tcPr>
            <w:tcW w:w="7016" w:type="dxa"/>
            <w:vAlign w:val="center"/>
          </w:tcPr>
          <w:p w14:paraId="2AEC7476">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一、工程名称：梧州市城东镇中心小学新建运动场 二</w:t>
            </w:r>
          </w:p>
          <w:p w14:paraId="6542F259">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二、建设地点：梧州市城东镇中心小学</w:t>
            </w:r>
          </w:p>
          <w:p w14:paraId="46A05091">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三、依据业主提供的预算及施工设计图纸进行计算</w:t>
            </w:r>
          </w:p>
          <w:p w14:paraId="669CABF8">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四、编制依据：</w:t>
            </w:r>
          </w:p>
          <w:p w14:paraId="76211ADA">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1、《建设工程工程量清单计价规范》（GB50500-2013）及广西壮族自治区实施细则；</w:t>
            </w:r>
          </w:p>
          <w:p w14:paraId="072C3D1A">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2、《建设工程工程量清单计算规范》（GB50854～50862-2013）及广西壮族自治区实施细则；</w:t>
            </w:r>
          </w:p>
          <w:p w14:paraId="6067843D">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3、2024年版《广西壮族自治区建筑装饰工程消耗量定额》；</w:t>
            </w:r>
          </w:p>
          <w:p w14:paraId="46974DC7">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4、2023年版《广西壮族自治区拆除消耗量定额》；</w:t>
            </w:r>
          </w:p>
          <w:p w14:paraId="1156E844">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5、桂建标[2018]14号《自治区住房城乡建设厅关于调整建设工程计价增值税税率的通知》；</w:t>
            </w:r>
          </w:p>
          <w:p w14:paraId="424743A6">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6、桂建标[2019]12号《关于调整建设工程计价增值税税率的通知》；</w:t>
            </w:r>
          </w:p>
          <w:p w14:paraId="49893978">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7、桂建标[2023]7号《自治区住房城乡建设厅关于调整建设工程定额人工费及有关费率的通知》；</w:t>
            </w:r>
          </w:p>
          <w:p w14:paraId="7AB0A728">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8、现行的有关配套文件。</w:t>
            </w:r>
          </w:p>
          <w:p w14:paraId="7CC58AE5">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9、材料价格依据：材料信息价采用2026年4月发布的《梧州建设工程造价信息》信息价计算，信息价没有的部分材料采用市场价格</w:t>
            </w:r>
          </w:p>
          <w:p w14:paraId="3A368E98">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计算。</w:t>
            </w:r>
          </w:p>
          <w:p w14:paraId="4C1F4E91">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10、计税方法：采用一般计税方法。</w:t>
            </w:r>
          </w:p>
        </w:tc>
      </w:tr>
      <w:tr w14:paraId="35349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 w:hRule="atLeast"/>
        </w:trPr>
        <w:tc>
          <w:tcPr>
            <w:tcW w:w="644" w:type="dxa"/>
            <w:vAlign w:val="center"/>
          </w:tcPr>
          <w:p w14:paraId="750A9133">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12</w:t>
            </w:r>
          </w:p>
        </w:tc>
        <w:tc>
          <w:tcPr>
            <w:tcW w:w="785" w:type="dxa"/>
            <w:vAlign w:val="center"/>
          </w:tcPr>
          <w:p w14:paraId="285DFBBF">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15.1</w:t>
            </w:r>
          </w:p>
        </w:tc>
        <w:tc>
          <w:tcPr>
            <w:tcW w:w="1475" w:type="dxa"/>
            <w:vAlign w:val="center"/>
          </w:tcPr>
          <w:p w14:paraId="2A48DD60">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磋商有效期</w:t>
            </w:r>
          </w:p>
        </w:tc>
        <w:tc>
          <w:tcPr>
            <w:tcW w:w="7016" w:type="dxa"/>
            <w:vAlign w:val="center"/>
          </w:tcPr>
          <w:p w14:paraId="78F56BC1">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60日（自提交响应文件截止之日算起）</w:t>
            </w:r>
          </w:p>
        </w:tc>
      </w:tr>
      <w:tr w14:paraId="144F8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trPr>
        <w:tc>
          <w:tcPr>
            <w:tcW w:w="644" w:type="dxa"/>
            <w:vAlign w:val="center"/>
          </w:tcPr>
          <w:p w14:paraId="56BD1BBB">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13</w:t>
            </w:r>
          </w:p>
        </w:tc>
        <w:tc>
          <w:tcPr>
            <w:tcW w:w="785" w:type="dxa"/>
            <w:vAlign w:val="center"/>
          </w:tcPr>
          <w:p w14:paraId="68E3DD3F">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16.1</w:t>
            </w:r>
          </w:p>
        </w:tc>
        <w:tc>
          <w:tcPr>
            <w:tcW w:w="1475" w:type="dxa"/>
            <w:vAlign w:val="center"/>
          </w:tcPr>
          <w:p w14:paraId="6822B0B8">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磋商保证金</w:t>
            </w:r>
          </w:p>
        </w:tc>
        <w:tc>
          <w:tcPr>
            <w:tcW w:w="7016" w:type="dxa"/>
            <w:vAlign w:val="center"/>
          </w:tcPr>
          <w:p w14:paraId="24AFC510">
            <w:pPr>
              <w:pStyle w:val="37"/>
              <w:keepNext w:val="0"/>
              <w:keepLines w:val="0"/>
              <w:pageBreakBefore w:val="0"/>
              <w:widowControl/>
              <w:kinsoku/>
              <w:wordWrap/>
              <w:overflowPunct/>
              <w:topLinePunct w:val="0"/>
              <w:bidi w:val="0"/>
              <w:spacing w:before="0" w:after="0" w:line="360" w:lineRule="auto"/>
              <w:ind w:left="0" w:leftChars="0" w:firstLine="480" w:firstLineChars="200"/>
              <w:jc w:val="both"/>
              <w:textAlignment w:val="auto"/>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bCs w:val="0"/>
                <w:color w:val="auto"/>
                <w:spacing w:val="0"/>
                <w:kern w:val="2"/>
                <w:sz w:val="24"/>
                <w:szCs w:val="24"/>
                <w:highlight w:val="none"/>
              </w:rPr>
              <w:t>无</w:t>
            </w:r>
          </w:p>
        </w:tc>
      </w:tr>
      <w:tr w14:paraId="229CE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trPr>
        <w:tc>
          <w:tcPr>
            <w:tcW w:w="644" w:type="dxa"/>
            <w:vAlign w:val="center"/>
          </w:tcPr>
          <w:p w14:paraId="7FACCC81">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14</w:t>
            </w:r>
          </w:p>
        </w:tc>
        <w:tc>
          <w:tcPr>
            <w:tcW w:w="785" w:type="dxa"/>
            <w:vAlign w:val="center"/>
          </w:tcPr>
          <w:p w14:paraId="2C3E4C4E">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5.1</w:t>
            </w:r>
          </w:p>
        </w:tc>
        <w:tc>
          <w:tcPr>
            <w:tcW w:w="1475" w:type="dxa"/>
            <w:vAlign w:val="center"/>
          </w:tcPr>
          <w:p w14:paraId="0611B849">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踏勘现场</w:t>
            </w:r>
          </w:p>
        </w:tc>
        <w:tc>
          <w:tcPr>
            <w:tcW w:w="7016" w:type="dxa"/>
            <w:vAlign w:val="center"/>
          </w:tcPr>
          <w:p w14:paraId="18700322">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不组织</w:t>
            </w:r>
          </w:p>
        </w:tc>
      </w:tr>
      <w:tr w14:paraId="49BA4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2" w:hRule="atLeast"/>
        </w:trPr>
        <w:tc>
          <w:tcPr>
            <w:tcW w:w="644" w:type="dxa"/>
            <w:vAlign w:val="center"/>
          </w:tcPr>
          <w:p w14:paraId="40587BE8">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15</w:t>
            </w:r>
          </w:p>
        </w:tc>
        <w:tc>
          <w:tcPr>
            <w:tcW w:w="785" w:type="dxa"/>
            <w:vAlign w:val="center"/>
          </w:tcPr>
          <w:p w14:paraId="72DF5803">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18.1</w:t>
            </w:r>
          </w:p>
        </w:tc>
        <w:tc>
          <w:tcPr>
            <w:tcW w:w="1475" w:type="dxa"/>
            <w:vAlign w:val="center"/>
          </w:tcPr>
          <w:p w14:paraId="488DC460">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响应文件份数</w:t>
            </w:r>
          </w:p>
        </w:tc>
        <w:tc>
          <w:tcPr>
            <w:tcW w:w="7016" w:type="dxa"/>
            <w:vAlign w:val="center"/>
          </w:tcPr>
          <w:p w14:paraId="74F4DF9D">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响应文件：电子版一份；</w:t>
            </w:r>
          </w:p>
        </w:tc>
      </w:tr>
      <w:tr w14:paraId="339E8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9" w:hRule="atLeast"/>
        </w:trPr>
        <w:tc>
          <w:tcPr>
            <w:tcW w:w="644" w:type="dxa"/>
            <w:vAlign w:val="center"/>
          </w:tcPr>
          <w:p w14:paraId="7AD8C857">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16</w:t>
            </w:r>
          </w:p>
        </w:tc>
        <w:tc>
          <w:tcPr>
            <w:tcW w:w="785" w:type="dxa"/>
            <w:vAlign w:val="center"/>
          </w:tcPr>
          <w:p w14:paraId="730FDEE9">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p>
        </w:tc>
        <w:tc>
          <w:tcPr>
            <w:tcW w:w="1475" w:type="dxa"/>
            <w:vAlign w:val="center"/>
          </w:tcPr>
          <w:p w14:paraId="0E3FFB5E">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响应文件提交地点及截止时间</w:t>
            </w:r>
          </w:p>
        </w:tc>
        <w:tc>
          <w:tcPr>
            <w:tcW w:w="7016" w:type="dxa"/>
            <w:vAlign w:val="center"/>
          </w:tcPr>
          <w:p w14:paraId="1A77A0CE">
            <w:pPr>
              <w:keepNext w:val="0"/>
              <w:keepLines w:val="0"/>
              <w:pageBreakBefore w:val="0"/>
              <w:widowControl/>
              <w:kinsoku/>
              <w:wordWrap/>
              <w:overflowPunct/>
              <w:topLinePunct w:val="0"/>
              <w:bidi w:val="0"/>
              <w:snapToGrid w:val="0"/>
              <w:spacing w:line="360" w:lineRule="auto"/>
              <w:ind w:left="0" w:leftChars="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开标时间：</w:t>
            </w:r>
            <w:r>
              <w:rPr>
                <w:rFonts w:hint="eastAsia" w:cs="宋体" w:asciiTheme="minorEastAsia" w:hAnsiTheme="minorEastAsia"/>
                <w:bCs/>
                <w:color w:val="auto"/>
                <w:kern w:val="0"/>
                <w:sz w:val="24"/>
                <w:szCs w:val="24"/>
                <w:highlight w:val="none"/>
                <w:u w:val="single"/>
              </w:rPr>
              <w:t>202</w:t>
            </w:r>
            <w:r>
              <w:rPr>
                <w:rFonts w:hint="eastAsia" w:cs="宋体" w:asciiTheme="minorEastAsia" w:hAnsiTheme="minorEastAsia"/>
                <w:bCs/>
                <w:color w:val="auto"/>
                <w:kern w:val="0"/>
                <w:sz w:val="24"/>
                <w:szCs w:val="24"/>
                <w:highlight w:val="none"/>
                <w:u w:val="single"/>
                <w:lang w:val="en-US" w:eastAsia="zh-CN"/>
              </w:rPr>
              <w:t>6</w:t>
            </w:r>
            <w:r>
              <w:rPr>
                <w:rFonts w:hint="eastAsia" w:cs="宋体" w:asciiTheme="minorEastAsia" w:hAnsiTheme="minorEastAsia"/>
                <w:bCs/>
                <w:color w:val="auto"/>
                <w:kern w:val="0"/>
                <w:sz w:val="24"/>
                <w:szCs w:val="24"/>
                <w:highlight w:val="none"/>
                <w:u w:val="single"/>
              </w:rPr>
              <w:t>年</w:t>
            </w:r>
            <w:r>
              <w:rPr>
                <w:rFonts w:hint="eastAsia" w:cs="宋体" w:asciiTheme="minorEastAsia" w:hAnsiTheme="minorEastAsia"/>
                <w:bCs/>
                <w:color w:val="auto"/>
                <w:kern w:val="0"/>
                <w:sz w:val="24"/>
                <w:szCs w:val="24"/>
                <w:highlight w:val="none"/>
                <w:u w:val="single"/>
                <w:lang w:val="en-US" w:eastAsia="zh-CN"/>
              </w:rPr>
              <w:t>7</w:t>
            </w:r>
            <w:r>
              <w:rPr>
                <w:rFonts w:hint="eastAsia" w:cs="宋体" w:asciiTheme="minorEastAsia" w:hAnsiTheme="minorEastAsia"/>
                <w:bCs/>
                <w:color w:val="auto"/>
                <w:kern w:val="0"/>
                <w:sz w:val="24"/>
                <w:szCs w:val="24"/>
                <w:highlight w:val="none"/>
                <w:u w:val="single"/>
              </w:rPr>
              <w:t>月</w:t>
            </w:r>
            <w:r>
              <w:rPr>
                <w:rFonts w:hint="eastAsia" w:cs="宋体" w:asciiTheme="minorEastAsia" w:hAnsiTheme="minorEastAsia"/>
                <w:bCs/>
                <w:color w:val="auto"/>
                <w:kern w:val="0"/>
                <w:sz w:val="24"/>
                <w:szCs w:val="24"/>
                <w:highlight w:val="none"/>
                <w:u w:val="single"/>
                <w:lang w:val="en-US" w:eastAsia="zh-CN"/>
              </w:rPr>
              <w:t>28</w:t>
            </w:r>
            <w:r>
              <w:rPr>
                <w:rFonts w:hint="eastAsia" w:cs="宋体" w:asciiTheme="minorEastAsia" w:hAnsiTheme="minorEastAsia"/>
                <w:bCs/>
                <w:color w:val="auto"/>
                <w:kern w:val="0"/>
                <w:sz w:val="24"/>
                <w:szCs w:val="24"/>
                <w:highlight w:val="none"/>
                <w:u w:val="single"/>
              </w:rPr>
              <w:t>日</w:t>
            </w:r>
            <w:r>
              <w:rPr>
                <w:rStyle w:val="33"/>
                <w:rFonts w:hint="eastAsia" w:eastAsia="宋体" w:cs="Times New Roman" w:asciiTheme="minorEastAsia" w:hAnsiTheme="minorEastAsia"/>
                <w:color w:val="auto"/>
                <w:sz w:val="24"/>
                <w:szCs w:val="24"/>
                <w:highlight w:val="none"/>
                <w:lang w:val="en-US" w:eastAsia="zh-CN"/>
              </w:rPr>
              <w:t>上午</w:t>
            </w:r>
            <w:r>
              <w:rPr>
                <w:rFonts w:hint="eastAsia" w:asciiTheme="minorEastAsia" w:hAnsiTheme="minorEastAsia" w:eastAsiaTheme="minorEastAsia" w:cstheme="minorEastAsia"/>
                <w:color w:val="auto"/>
                <w:sz w:val="24"/>
                <w:szCs w:val="24"/>
                <w:highlight w:val="none"/>
                <w:u w:val="single"/>
                <w:lang w:val="en-US" w:eastAsia="zh-CN"/>
              </w:rPr>
              <w:t>09</w:t>
            </w:r>
            <w:r>
              <w:rPr>
                <w:rFonts w:hint="eastAsia" w:asciiTheme="minorEastAsia" w:hAnsiTheme="minorEastAsia" w:eastAsiaTheme="minorEastAsia" w:cstheme="minorEastAsia"/>
                <w:color w:val="auto"/>
                <w:sz w:val="24"/>
                <w:szCs w:val="24"/>
                <w:highlight w:val="none"/>
                <w:u w:val="single"/>
              </w:rPr>
              <w:t>时</w:t>
            </w:r>
            <w:r>
              <w:rPr>
                <w:rFonts w:hint="eastAsia" w:asciiTheme="minorEastAsia" w:hAnsiTheme="minorEastAsia" w:eastAsiaTheme="minorEastAsia" w:cstheme="minorEastAsia"/>
                <w:color w:val="auto"/>
                <w:sz w:val="24"/>
                <w:szCs w:val="24"/>
                <w:highlight w:val="none"/>
                <w:u w:val="single"/>
                <w:lang w:val="en-US" w:eastAsia="zh-CN"/>
              </w:rPr>
              <w:t>00分</w:t>
            </w:r>
            <w:r>
              <w:rPr>
                <w:rFonts w:hint="eastAsia" w:asciiTheme="minorEastAsia" w:hAnsiTheme="minorEastAsia" w:eastAsiaTheme="minorEastAsia" w:cstheme="minorEastAsia"/>
                <w:color w:val="auto"/>
                <w:sz w:val="24"/>
                <w:szCs w:val="24"/>
                <w:highlight w:val="none"/>
              </w:rPr>
              <w:t>（北京时间）</w:t>
            </w:r>
          </w:p>
          <w:p w14:paraId="2475CD78">
            <w:pPr>
              <w:pStyle w:val="13"/>
              <w:keepNext w:val="0"/>
              <w:keepLines w:val="0"/>
              <w:pageBreakBefore w:val="0"/>
              <w:widowControl/>
              <w:kinsoku/>
              <w:wordWrap/>
              <w:overflowPunct/>
              <w:topLinePunct w:val="0"/>
              <w:bidi w:val="0"/>
              <w:snapToGrid w:val="0"/>
              <w:spacing w:line="360" w:lineRule="auto"/>
              <w:ind w:left="0" w:leftChars="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2"/>
                <w:sz w:val="24"/>
                <w:szCs w:val="24"/>
                <w:highlight w:val="none"/>
              </w:rPr>
              <w:t>响应文件递交地点（网址）：广西政府采购云平台（</w:t>
            </w:r>
            <w:r>
              <w:rPr>
                <w:rFonts w:hint="eastAsia" w:asciiTheme="minorEastAsia" w:hAnsiTheme="minorEastAsia" w:eastAsiaTheme="minorEastAsia" w:cstheme="minorEastAsia"/>
                <w:bCs/>
                <w:color w:val="auto"/>
                <w:sz w:val="24"/>
                <w:szCs w:val="24"/>
                <w:highlight w:val="none"/>
              </w:rPr>
              <w:t>https://www.gcy.zfcg.gxzf.gov.cn/</w:t>
            </w:r>
            <w:r>
              <w:rPr>
                <w:rFonts w:hint="eastAsia" w:asciiTheme="minorEastAsia" w:hAnsiTheme="minorEastAsia" w:eastAsiaTheme="minorEastAsia" w:cstheme="minorEastAsia"/>
                <w:color w:val="auto"/>
                <w:kern w:val="2"/>
                <w:sz w:val="24"/>
                <w:szCs w:val="24"/>
                <w:highlight w:val="none"/>
              </w:rPr>
              <w:t>）（本项目不要求供应商到达开标现场，但供应商应派法定代表（负责人）或委托代理人准时在线出席电子开评标会议，随时关注开标进度，如在开标过程中有电子询标，应在规定的时间内电子询标进行澄清回复。）</w:t>
            </w:r>
          </w:p>
          <w:p w14:paraId="43C86AF0">
            <w:pPr>
              <w:keepNext w:val="0"/>
              <w:keepLines w:val="0"/>
              <w:pageBreakBefore w:val="0"/>
              <w:widowControl/>
              <w:kinsoku/>
              <w:wordWrap/>
              <w:overflowPunct/>
              <w:topLinePunct w:val="0"/>
              <w:bidi w:val="0"/>
              <w:snapToGrid w:val="0"/>
              <w:spacing w:line="360" w:lineRule="auto"/>
              <w:ind w:left="0" w:leftChars="0" w:firstLine="480" w:firstLineChars="200"/>
              <w:jc w:val="both"/>
              <w:textAlignment w:val="auto"/>
              <w:rPr>
                <w:rFonts w:hint="eastAsia" w:asciiTheme="minorEastAsia" w:hAnsiTheme="minorEastAsia" w:eastAsiaTheme="minorEastAsia" w:cstheme="minorEastAsia"/>
                <w:color w:val="auto"/>
                <w:kern w:val="0"/>
                <w:sz w:val="24"/>
                <w:szCs w:val="24"/>
                <w:highlight w:val="none"/>
                <w:u w:val="single"/>
              </w:rPr>
            </w:pPr>
            <w:r>
              <w:rPr>
                <w:rFonts w:hint="eastAsia" w:asciiTheme="minorEastAsia" w:hAnsiTheme="minorEastAsia" w:eastAsiaTheme="minorEastAsia" w:cstheme="minorEastAsia"/>
                <w:color w:val="auto"/>
                <w:sz w:val="24"/>
                <w:szCs w:val="24"/>
                <w:highlight w:val="none"/>
              </w:rPr>
              <w:t>响应文件递交截止时间：</w:t>
            </w:r>
            <w:r>
              <w:rPr>
                <w:rFonts w:hint="eastAsia" w:cs="宋体" w:asciiTheme="minorEastAsia" w:hAnsiTheme="minorEastAsia"/>
                <w:bCs/>
                <w:color w:val="auto"/>
                <w:kern w:val="0"/>
                <w:sz w:val="24"/>
                <w:szCs w:val="24"/>
                <w:highlight w:val="none"/>
                <w:u w:val="single"/>
              </w:rPr>
              <w:t>202</w:t>
            </w:r>
            <w:r>
              <w:rPr>
                <w:rFonts w:hint="eastAsia" w:cs="宋体" w:asciiTheme="minorEastAsia" w:hAnsiTheme="minorEastAsia"/>
                <w:bCs/>
                <w:color w:val="auto"/>
                <w:kern w:val="0"/>
                <w:sz w:val="24"/>
                <w:szCs w:val="24"/>
                <w:highlight w:val="none"/>
                <w:u w:val="single"/>
                <w:lang w:val="en-US" w:eastAsia="zh-CN"/>
              </w:rPr>
              <w:t>6</w:t>
            </w:r>
            <w:r>
              <w:rPr>
                <w:rFonts w:hint="eastAsia" w:cs="宋体" w:asciiTheme="minorEastAsia" w:hAnsiTheme="minorEastAsia"/>
                <w:bCs/>
                <w:color w:val="auto"/>
                <w:kern w:val="0"/>
                <w:sz w:val="24"/>
                <w:szCs w:val="24"/>
                <w:highlight w:val="none"/>
                <w:u w:val="single"/>
              </w:rPr>
              <w:t>年</w:t>
            </w:r>
            <w:r>
              <w:rPr>
                <w:rFonts w:hint="eastAsia" w:cs="宋体" w:asciiTheme="minorEastAsia" w:hAnsiTheme="minorEastAsia"/>
                <w:bCs/>
                <w:color w:val="auto"/>
                <w:kern w:val="0"/>
                <w:sz w:val="24"/>
                <w:szCs w:val="24"/>
                <w:highlight w:val="none"/>
                <w:u w:val="single"/>
                <w:lang w:val="en-US" w:eastAsia="zh-CN"/>
              </w:rPr>
              <w:t>7</w:t>
            </w:r>
            <w:r>
              <w:rPr>
                <w:rFonts w:hint="eastAsia" w:cs="宋体" w:asciiTheme="minorEastAsia" w:hAnsiTheme="minorEastAsia"/>
                <w:bCs/>
                <w:color w:val="auto"/>
                <w:kern w:val="0"/>
                <w:sz w:val="24"/>
                <w:szCs w:val="24"/>
                <w:highlight w:val="none"/>
                <w:u w:val="single"/>
              </w:rPr>
              <w:t>月</w:t>
            </w:r>
            <w:r>
              <w:rPr>
                <w:rFonts w:hint="eastAsia" w:cs="宋体" w:asciiTheme="minorEastAsia" w:hAnsiTheme="minorEastAsia"/>
                <w:bCs/>
                <w:color w:val="auto"/>
                <w:kern w:val="0"/>
                <w:sz w:val="24"/>
                <w:szCs w:val="24"/>
                <w:highlight w:val="none"/>
                <w:u w:val="single"/>
                <w:lang w:val="en-US" w:eastAsia="zh-CN"/>
              </w:rPr>
              <w:t>28</w:t>
            </w:r>
            <w:r>
              <w:rPr>
                <w:rFonts w:hint="eastAsia" w:cs="宋体" w:asciiTheme="minorEastAsia" w:hAnsiTheme="minorEastAsia"/>
                <w:bCs/>
                <w:color w:val="auto"/>
                <w:kern w:val="0"/>
                <w:sz w:val="24"/>
                <w:szCs w:val="24"/>
                <w:highlight w:val="none"/>
                <w:u w:val="single"/>
              </w:rPr>
              <w:t>日</w:t>
            </w:r>
            <w:r>
              <w:rPr>
                <w:rStyle w:val="33"/>
                <w:rFonts w:hint="eastAsia" w:eastAsia="宋体" w:cs="Times New Roman" w:asciiTheme="minorEastAsia" w:hAnsiTheme="minorEastAsia"/>
                <w:color w:val="auto"/>
                <w:sz w:val="24"/>
                <w:szCs w:val="24"/>
                <w:highlight w:val="none"/>
                <w:lang w:val="en-US" w:eastAsia="zh-CN"/>
              </w:rPr>
              <w:t>上午</w:t>
            </w:r>
            <w:r>
              <w:rPr>
                <w:rFonts w:hint="eastAsia" w:asciiTheme="minorEastAsia" w:hAnsiTheme="minorEastAsia" w:eastAsiaTheme="minorEastAsia" w:cstheme="minorEastAsia"/>
                <w:color w:val="auto"/>
                <w:sz w:val="24"/>
                <w:szCs w:val="24"/>
                <w:highlight w:val="none"/>
                <w:u w:val="single"/>
                <w:lang w:val="en-US" w:eastAsia="zh-CN"/>
              </w:rPr>
              <w:t>09</w:t>
            </w:r>
            <w:r>
              <w:rPr>
                <w:rFonts w:hint="eastAsia" w:asciiTheme="minorEastAsia" w:hAnsiTheme="minorEastAsia" w:eastAsiaTheme="minorEastAsia" w:cstheme="minorEastAsia"/>
                <w:color w:val="auto"/>
                <w:sz w:val="24"/>
                <w:szCs w:val="24"/>
                <w:highlight w:val="none"/>
                <w:u w:val="single"/>
              </w:rPr>
              <w:t>时</w:t>
            </w:r>
            <w:r>
              <w:rPr>
                <w:rFonts w:hint="eastAsia" w:asciiTheme="minorEastAsia" w:hAnsiTheme="minorEastAsia" w:eastAsiaTheme="minorEastAsia" w:cstheme="minorEastAsia"/>
                <w:color w:val="auto"/>
                <w:sz w:val="24"/>
                <w:szCs w:val="24"/>
                <w:highlight w:val="none"/>
                <w:u w:val="single"/>
                <w:lang w:val="en-US" w:eastAsia="zh-CN"/>
              </w:rPr>
              <w:t>00分</w:t>
            </w:r>
            <w:r>
              <w:rPr>
                <w:rFonts w:hint="eastAsia" w:asciiTheme="minorEastAsia" w:hAnsiTheme="minorEastAsia" w:eastAsiaTheme="minorEastAsia" w:cstheme="minorEastAsia"/>
                <w:color w:val="auto"/>
                <w:sz w:val="24"/>
                <w:szCs w:val="24"/>
                <w:highlight w:val="none"/>
              </w:rPr>
              <w:t>之前将电子磋商响应文件上传到广西政府采购云平台。应按照本项目竞争性磋商文件和广西政府采购云平台的要求编制、加密传输磋商响应文件。供应商在使用系统进行投标的过程中遇到涉及平台使用的任何问题，可致电广西政府采购云平台技术支持热线咨询，联系方式：95763。</w:t>
            </w:r>
          </w:p>
        </w:tc>
      </w:tr>
      <w:tr w14:paraId="2D1F7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0" w:hRule="atLeast"/>
        </w:trPr>
        <w:tc>
          <w:tcPr>
            <w:tcW w:w="644" w:type="dxa"/>
            <w:vAlign w:val="center"/>
          </w:tcPr>
          <w:p w14:paraId="7F900DFF">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17</w:t>
            </w:r>
          </w:p>
        </w:tc>
        <w:tc>
          <w:tcPr>
            <w:tcW w:w="785" w:type="dxa"/>
            <w:vAlign w:val="center"/>
          </w:tcPr>
          <w:p w14:paraId="3A8F57B3">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24.1</w:t>
            </w:r>
          </w:p>
        </w:tc>
        <w:tc>
          <w:tcPr>
            <w:tcW w:w="1475" w:type="dxa"/>
            <w:vAlign w:val="center"/>
          </w:tcPr>
          <w:p w14:paraId="7B07DFC5">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磋商地点</w:t>
            </w:r>
          </w:p>
          <w:p w14:paraId="095F0813">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及时间</w:t>
            </w:r>
          </w:p>
        </w:tc>
        <w:tc>
          <w:tcPr>
            <w:tcW w:w="7016" w:type="dxa"/>
            <w:vAlign w:val="center"/>
          </w:tcPr>
          <w:p w14:paraId="7C704A71">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磋商时间：</w:t>
            </w:r>
            <w:r>
              <w:rPr>
                <w:rFonts w:hint="eastAsia" w:cs="宋体" w:asciiTheme="minorEastAsia" w:hAnsiTheme="minorEastAsia"/>
                <w:bCs/>
                <w:color w:val="auto"/>
                <w:kern w:val="0"/>
                <w:sz w:val="24"/>
                <w:szCs w:val="24"/>
                <w:highlight w:val="none"/>
                <w:u w:val="single"/>
              </w:rPr>
              <w:t>202</w:t>
            </w:r>
            <w:r>
              <w:rPr>
                <w:rFonts w:hint="eastAsia" w:cs="宋体" w:asciiTheme="minorEastAsia" w:hAnsiTheme="minorEastAsia"/>
                <w:bCs/>
                <w:color w:val="auto"/>
                <w:kern w:val="0"/>
                <w:sz w:val="24"/>
                <w:szCs w:val="24"/>
                <w:highlight w:val="none"/>
                <w:u w:val="single"/>
                <w:lang w:val="en-US" w:eastAsia="zh-CN"/>
              </w:rPr>
              <w:t>6</w:t>
            </w:r>
            <w:r>
              <w:rPr>
                <w:rFonts w:hint="eastAsia" w:cs="宋体" w:asciiTheme="minorEastAsia" w:hAnsiTheme="minorEastAsia"/>
                <w:bCs/>
                <w:color w:val="auto"/>
                <w:kern w:val="0"/>
                <w:sz w:val="24"/>
                <w:szCs w:val="24"/>
                <w:highlight w:val="none"/>
                <w:u w:val="single"/>
              </w:rPr>
              <w:t>年</w:t>
            </w:r>
            <w:r>
              <w:rPr>
                <w:rFonts w:hint="eastAsia" w:cs="宋体" w:asciiTheme="minorEastAsia" w:hAnsiTheme="minorEastAsia"/>
                <w:bCs/>
                <w:color w:val="auto"/>
                <w:kern w:val="0"/>
                <w:sz w:val="24"/>
                <w:szCs w:val="24"/>
                <w:highlight w:val="none"/>
                <w:u w:val="single"/>
                <w:lang w:val="en-US" w:eastAsia="zh-CN"/>
              </w:rPr>
              <w:t>7</w:t>
            </w:r>
            <w:r>
              <w:rPr>
                <w:rFonts w:hint="eastAsia" w:cs="宋体" w:asciiTheme="minorEastAsia" w:hAnsiTheme="minorEastAsia"/>
                <w:bCs/>
                <w:color w:val="auto"/>
                <w:kern w:val="0"/>
                <w:sz w:val="24"/>
                <w:szCs w:val="24"/>
                <w:highlight w:val="none"/>
                <w:u w:val="single"/>
              </w:rPr>
              <w:t>月</w:t>
            </w:r>
            <w:r>
              <w:rPr>
                <w:rFonts w:hint="eastAsia" w:cs="宋体" w:asciiTheme="minorEastAsia" w:hAnsiTheme="minorEastAsia"/>
                <w:bCs/>
                <w:color w:val="auto"/>
                <w:kern w:val="0"/>
                <w:sz w:val="24"/>
                <w:szCs w:val="24"/>
                <w:highlight w:val="none"/>
                <w:u w:val="single"/>
                <w:lang w:val="en-US" w:eastAsia="zh-CN"/>
              </w:rPr>
              <w:t>28</w:t>
            </w:r>
            <w:r>
              <w:rPr>
                <w:rFonts w:hint="eastAsia" w:cs="宋体" w:asciiTheme="minorEastAsia" w:hAnsiTheme="minorEastAsia"/>
                <w:bCs/>
                <w:color w:val="auto"/>
                <w:kern w:val="0"/>
                <w:sz w:val="24"/>
                <w:szCs w:val="24"/>
                <w:highlight w:val="none"/>
                <w:u w:val="single"/>
              </w:rPr>
              <w:t>日</w:t>
            </w:r>
            <w:r>
              <w:rPr>
                <w:rStyle w:val="33"/>
                <w:rFonts w:hint="eastAsia" w:eastAsia="宋体" w:cs="Times New Roman" w:asciiTheme="minorEastAsia" w:hAnsiTheme="minorEastAsia"/>
                <w:color w:val="auto"/>
                <w:sz w:val="24"/>
                <w:szCs w:val="24"/>
                <w:highlight w:val="none"/>
                <w:lang w:val="en-US" w:eastAsia="zh-CN"/>
              </w:rPr>
              <w:t>上午</w:t>
            </w:r>
            <w:r>
              <w:rPr>
                <w:rFonts w:hint="eastAsia" w:asciiTheme="minorEastAsia" w:hAnsiTheme="minorEastAsia" w:eastAsiaTheme="minorEastAsia" w:cstheme="minorEastAsia"/>
                <w:color w:val="auto"/>
                <w:sz w:val="24"/>
                <w:szCs w:val="24"/>
                <w:highlight w:val="none"/>
                <w:u w:val="single"/>
                <w:lang w:val="en-US" w:eastAsia="zh-CN"/>
              </w:rPr>
              <w:t>09</w:t>
            </w:r>
            <w:r>
              <w:rPr>
                <w:rFonts w:hint="eastAsia" w:asciiTheme="minorEastAsia" w:hAnsiTheme="minorEastAsia" w:eastAsiaTheme="minorEastAsia" w:cstheme="minorEastAsia"/>
                <w:color w:val="auto"/>
                <w:sz w:val="24"/>
                <w:szCs w:val="24"/>
                <w:highlight w:val="none"/>
                <w:u w:val="single"/>
              </w:rPr>
              <w:t>时</w:t>
            </w:r>
            <w:r>
              <w:rPr>
                <w:rFonts w:hint="eastAsia" w:asciiTheme="minorEastAsia" w:hAnsiTheme="minorEastAsia" w:eastAsiaTheme="minorEastAsia" w:cstheme="minorEastAsia"/>
                <w:color w:val="auto"/>
                <w:sz w:val="24"/>
                <w:szCs w:val="24"/>
                <w:highlight w:val="none"/>
                <w:u w:val="single"/>
                <w:lang w:val="en-US" w:eastAsia="zh-CN"/>
              </w:rPr>
              <w:t>00分</w:t>
            </w:r>
            <w:r>
              <w:rPr>
                <w:rFonts w:hint="eastAsia" w:asciiTheme="minorEastAsia" w:hAnsiTheme="minorEastAsia" w:eastAsiaTheme="minorEastAsia" w:cstheme="minorEastAsia"/>
                <w:color w:val="auto"/>
                <w:kern w:val="0"/>
                <w:sz w:val="24"/>
                <w:szCs w:val="24"/>
                <w:highlight w:val="none"/>
              </w:rPr>
              <w:t>截标后</w:t>
            </w:r>
          </w:p>
          <w:p w14:paraId="5181F60A">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磋商地点：通过广西政府采购云平台实行在线解密开启及在线磋商。</w:t>
            </w:r>
          </w:p>
        </w:tc>
      </w:tr>
      <w:tr w14:paraId="6DF58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trPr>
        <w:tc>
          <w:tcPr>
            <w:tcW w:w="644" w:type="dxa"/>
            <w:vAlign w:val="center"/>
          </w:tcPr>
          <w:p w14:paraId="17204EED">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18</w:t>
            </w:r>
          </w:p>
        </w:tc>
        <w:tc>
          <w:tcPr>
            <w:tcW w:w="785" w:type="dxa"/>
            <w:vAlign w:val="center"/>
          </w:tcPr>
          <w:p w14:paraId="255D84CB">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24.8</w:t>
            </w:r>
          </w:p>
        </w:tc>
        <w:tc>
          <w:tcPr>
            <w:tcW w:w="1475" w:type="dxa"/>
            <w:vAlign w:val="center"/>
          </w:tcPr>
          <w:p w14:paraId="2F09B257">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评标方法</w:t>
            </w:r>
          </w:p>
        </w:tc>
        <w:tc>
          <w:tcPr>
            <w:tcW w:w="7016" w:type="dxa"/>
            <w:vAlign w:val="center"/>
          </w:tcPr>
          <w:p w14:paraId="333E5224">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综合评分法</w:t>
            </w:r>
          </w:p>
        </w:tc>
      </w:tr>
      <w:tr w14:paraId="36FA8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5" w:hRule="atLeast"/>
        </w:trPr>
        <w:tc>
          <w:tcPr>
            <w:tcW w:w="644" w:type="dxa"/>
            <w:vAlign w:val="center"/>
          </w:tcPr>
          <w:p w14:paraId="2ABF59A8">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19</w:t>
            </w:r>
          </w:p>
        </w:tc>
        <w:tc>
          <w:tcPr>
            <w:tcW w:w="785" w:type="dxa"/>
            <w:vAlign w:val="center"/>
          </w:tcPr>
          <w:p w14:paraId="3F42FDB8">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28</w:t>
            </w:r>
          </w:p>
        </w:tc>
        <w:tc>
          <w:tcPr>
            <w:tcW w:w="1475" w:type="dxa"/>
            <w:vAlign w:val="center"/>
          </w:tcPr>
          <w:p w14:paraId="33E7C67D">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lang w:val="en-US" w:eastAsia="zh-CN"/>
              </w:rPr>
              <w:t>履约</w:t>
            </w:r>
            <w:r>
              <w:rPr>
                <w:rFonts w:hint="eastAsia" w:asciiTheme="minorEastAsia" w:hAnsiTheme="minorEastAsia" w:eastAsiaTheme="minorEastAsia" w:cstheme="minorEastAsia"/>
                <w:b/>
                <w:color w:val="auto"/>
                <w:kern w:val="0"/>
                <w:sz w:val="24"/>
                <w:szCs w:val="24"/>
                <w:highlight w:val="none"/>
              </w:rPr>
              <w:t>保证金</w:t>
            </w:r>
          </w:p>
        </w:tc>
        <w:tc>
          <w:tcPr>
            <w:tcW w:w="7016" w:type="dxa"/>
            <w:vAlign w:val="center"/>
          </w:tcPr>
          <w:p w14:paraId="0B902D0E">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无</w:t>
            </w:r>
          </w:p>
        </w:tc>
      </w:tr>
      <w:tr w14:paraId="65E67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6" w:hRule="atLeast"/>
        </w:trPr>
        <w:tc>
          <w:tcPr>
            <w:tcW w:w="644" w:type="dxa"/>
            <w:vAlign w:val="center"/>
          </w:tcPr>
          <w:p w14:paraId="4B81B37C">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20</w:t>
            </w:r>
          </w:p>
        </w:tc>
        <w:tc>
          <w:tcPr>
            <w:tcW w:w="785" w:type="dxa"/>
            <w:vAlign w:val="center"/>
          </w:tcPr>
          <w:p w14:paraId="2FE288DB">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30</w:t>
            </w:r>
          </w:p>
        </w:tc>
        <w:tc>
          <w:tcPr>
            <w:tcW w:w="1475" w:type="dxa"/>
            <w:vAlign w:val="center"/>
          </w:tcPr>
          <w:p w14:paraId="7548E409">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采购代理服务费</w:t>
            </w:r>
          </w:p>
        </w:tc>
        <w:tc>
          <w:tcPr>
            <w:tcW w:w="7016" w:type="dxa"/>
            <w:vAlign w:val="center"/>
          </w:tcPr>
          <w:p w14:paraId="10AE772E">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b w:val="0"/>
                <w:bCs w:val="0"/>
                <w:color w:val="auto"/>
                <w:sz w:val="24"/>
                <w:szCs w:val="24"/>
                <w:highlight w:val="none"/>
                <w:u w:val="none"/>
                <w:lang w:val="zh-CN"/>
              </w:rPr>
            </w:pPr>
            <w:r>
              <w:rPr>
                <w:rFonts w:hint="eastAsia" w:asciiTheme="minorEastAsia" w:hAnsiTheme="minorEastAsia" w:eastAsiaTheme="minorEastAsia" w:cstheme="minorEastAsia"/>
                <w:b w:val="0"/>
                <w:bCs w:val="0"/>
                <w:color w:val="auto"/>
                <w:sz w:val="24"/>
                <w:szCs w:val="24"/>
                <w:highlight w:val="none"/>
                <w:u w:val="none"/>
                <w:lang w:val="zh-CN"/>
              </w:rPr>
              <w:t>本项目代理服务费：招标代理费按国家发改委发改价格【2011】534号的标准向成交人收取。领取成交通知书前，成交人应向采购代理机构一次付清成交服务费。</w:t>
            </w:r>
          </w:p>
          <w:p w14:paraId="70A00994">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b w:val="0"/>
                <w:bCs w:val="0"/>
                <w:color w:val="auto"/>
                <w:sz w:val="24"/>
                <w:szCs w:val="24"/>
                <w:highlight w:val="none"/>
                <w:u w:val="none"/>
                <w:lang w:val="zh-CN"/>
              </w:rPr>
            </w:pPr>
            <w:r>
              <w:rPr>
                <w:rFonts w:hint="eastAsia" w:asciiTheme="minorEastAsia" w:hAnsiTheme="minorEastAsia" w:eastAsiaTheme="minorEastAsia" w:cstheme="minorEastAsia"/>
                <w:b w:val="0"/>
                <w:bCs w:val="0"/>
                <w:color w:val="auto"/>
                <w:sz w:val="24"/>
                <w:szCs w:val="24"/>
                <w:highlight w:val="none"/>
                <w:u w:val="none"/>
                <w:lang w:val="zh-CN"/>
              </w:rPr>
              <w:t>代理服务费缴纳账户：</w:t>
            </w:r>
          </w:p>
          <w:p w14:paraId="11543D5B">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b w:val="0"/>
                <w:bCs w:val="0"/>
                <w:color w:val="auto"/>
                <w:sz w:val="24"/>
                <w:szCs w:val="24"/>
                <w:highlight w:val="none"/>
                <w:u w:val="none"/>
                <w:lang w:val="zh-CN"/>
              </w:rPr>
            </w:pPr>
            <w:r>
              <w:rPr>
                <w:rFonts w:hint="eastAsia" w:asciiTheme="minorEastAsia" w:hAnsiTheme="minorEastAsia" w:eastAsiaTheme="minorEastAsia" w:cstheme="minorEastAsia"/>
                <w:b w:val="0"/>
                <w:bCs w:val="0"/>
                <w:color w:val="auto"/>
                <w:sz w:val="24"/>
                <w:szCs w:val="24"/>
                <w:highlight w:val="none"/>
                <w:u w:val="none"/>
                <w:lang w:val="zh-CN"/>
              </w:rPr>
              <w:t>户  名：广西大融合工程咨询有限公司</w:t>
            </w:r>
          </w:p>
          <w:p w14:paraId="670750C4">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b w:val="0"/>
                <w:bCs w:val="0"/>
                <w:color w:val="auto"/>
                <w:sz w:val="24"/>
                <w:szCs w:val="24"/>
                <w:highlight w:val="none"/>
                <w:u w:val="none"/>
                <w:lang w:val="zh-CN"/>
              </w:rPr>
            </w:pPr>
            <w:r>
              <w:rPr>
                <w:rFonts w:hint="eastAsia" w:asciiTheme="minorEastAsia" w:hAnsiTheme="minorEastAsia" w:eastAsiaTheme="minorEastAsia" w:cstheme="minorEastAsia"/>
                <w:b w:val="0"/>
                <w:bCs w:val="0"/>
                <w:color w:val="auto"/>
                <w:sz w:val="24"/>
                <w:szCs w:val="24"/>
                <w:highlight w:val="none"/>
                <w:u w:val="none"/>
                <w:lang w:val="zh-CN"/>
              </w:rPr>
              <w:t>开户行：中国建设银行股份有限公司梧州新兴三路支行</w:t>
            </w:r>
          </w:p>
          <w:p w14:paraId="37F48F2B">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b/>
                <w:bCs/>
                <w:color w:val="auto"/>
                <w:sz w:val="24"/>
                <w:szCs w:val="24"/>
                <w:highlight w:val="none"/>
                <w:u w:val="single"/>
                <w:lang w:val="zh-CN"/>
              </w:rPr>
            </w:pPr>
            <w:r>
              <w:rPr>
                <w:rFonts w:hint="eastAsia" w:asciiTheme="minorEastAsia" w:hAnsiTheme="minorEastAsia" w:eastAsiaTheme="minorEastAsia" w:cstheme="minorEastAsia"/>
                <w:b w:val="0"/>
                <w:bCs w:val="0"/>
                <w:color w:val="auto"/>
                <w:sz w:val="24"/>
                <w:szCs w:val="24"/>
                <w:highlight w:val="none"/>
                <w:u w:val="none"/>
                <w:lang w:val="zh-CN"/>
              </w:rPr>
              <w:t xml:space="preserve">帐  号：45050 16486 55000 00943 </w:t>
            </w:r>
          </w:p>
        </w:tc>
      </w:tr>
      <w:tr w14:paraId="1B261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4" w:hRule="atLeast"/>
        </w:trPr>
        <w:tc>
          <w:tcPr>
            <w:tcW w:w="644" w:type="dxa"/>
            <w:vAlign w:val="center"/>
          </w:tcPr>
          <w:p w14:paraId="1EF86E99">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21</w:t>
            </w:r>
          </w:p>
        </w:tc>
        <w:tc>
          <w:tcPr>
            <w:tcW w:w="785" w:type="dxa"/>
            <w:vAlign w:val="center"/>
          </w:tcPr>
          <w:p w14:paraId="122A6CCD">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p>
        </w:tc>
        <w:tc>
          <w:tcPr>
            <w:tcW w:w="1475" w:type="dxa"/>
            <w:vAlign w:val="center"/>
          </w:tcPr>
          <w:p w14:paraId="5BDE1751">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kern w:val="0"/>
                <w:sz w:val="24"/>
                <w:szCs w:val="24"/>
                <w:highlight w:val="none"/>
              </w:rPr>
              <w:t>质疑递交部门</w:t>
            </w:r>
          </w:p>
          <w:p w14:paraId="5626C36A">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p>
        </w:tc>
        <w:tc>
          <w:tcPr>
            <w:tcW w:w="7016" w:type="dxa"/>
            <w:vAlign w:val="center"/>
          </w:tcPr>
          <w:p w14:paraId="7B066906">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代理机构名称：</w:t>
            </w:r>
            <w:r>
              <w:rPr>
                <w:rFonts w:hint="eastAsia" w:asciiTheme="minorEastAsia" w:hAnsiTheme="minorEastAsia" w:eastAsiaTheme="minorEastAsia" w:cstheme="minorEastAsia"/>
                <w:color w:val="auto"/>
                <w:sz w:val="24"/>
                <w:szCs w:val="24"/>
                <w:highlight w:val="none"/>
                <w:lang w:eastAsia="zh-CN"/>
              </w:rPr>
              <w:t>广西大融合工程咨询有限公司</w:t>
            </w:r>
          </w:p>
          <w:p w14:paraId="0AA26AFE">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bCs/>
                <w:color w:val="auto"/>
                <w:kern w:val="0"/>
                <w:sz w:val="24"/>
                <w:szCs w:val="24"/>
                <w:highlight w:val="none"/>
                <w:lang w:eastAsia="zh-CN"/>
              </w:rPr>
            </w:pPr>
            <w:r>
              <w:rPr>
                <w:rFonts w:hint="eastAsia" w:asciiTheme="minorEastAsia" w:hAnsiTheme="minorEastAsia" w:eastAsiaTheme="minorEastAsia" w:cstheme="minorEastAsia"/>
                <w:color w:val="auto"/>
                <w:sz w:val="24"/>
                <w:szCs w:val="24"/>
                <w:highlight w:val="none"/>
              </w:rPr>
              <w:t>地址：</w:t>
            </w:r>
            <w:r>
              <w:rPr>
                <w:rFonts w:hint="eastAsia" w:asciiTheme="minorEastAsia" w:hAnsiTheme="minorEastAsia" w:eastAsiaTheme="minorEastAsia" w:cstheme="minorEastAsia"/>
                <w:bCs/>
                <w:color w:val="auto"/>
                <w:kern w:val="0"/>
                <w:sz w:val="24"/>
                <w:szCs w:val="24"/>
                <w:highlight w:val="none"/>
                <w:lang w:eastAsia="zh-CN"/>
              </w:rPr>
              <w:t>梧州市长洲区</w:t>
            </w:r>
            <w:r>
              <w:rPr>
                <w:rFonts w:hint="eastAsia" w:asciiTheme="minorEastAsia" w:hAnsiTheme="minorEastAsia" w:eastAsiaTheme="minorEastAsia" w:cstheme="minorEastAsia"/>
                <w:bCs/>
                <w:color w:val="auto"/>
                <w:kern w:val="0"/>
                <w:sz w:val="24"/>
                <w:szCs w:val="24"/>
                <w:highlight w:val="none"/>
                <w:lang w:val="en-US" w:eastAsia="zh-CN"/>
              </w:rPr>
              <w:t>西环路上段16号丰业山庄B区41幢</w:t>
            </w:r>
          </w:p>
          <w:p w14:paraId="640DF731">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rPr>
              <w:t>联系人及联系方式：李工 0774-</w:t>
            </w:r>
            <w:r>
              <w:rPr>
                <w:rFonts w:hint="eastAsia" w:asciiTheme="minorEastAsia" w:hAnsiTheme="minorEastAsia" w:eastAsiaTheme="minorEastAsia" w:cstheme="minorEastAsia"/>
                <w:bCs/>
                <w:color w:val="auto"/>
                <w:kern w:val="0"/>
                <w:sz w:val="24"/>
                <w:szCs w:val="24"/>
                <w:highlight w:val="none"/>
                <w:lang w:val="en-US" w:eastAsia="zh-CN"/>
              </w:rPr>
              <w:t>3888098</w:t>
            </w:r>
          </w:p>
        </w:tc>
      </w:tr>
      <w:tr w14:paraId="27127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4" w:hRule="atLeast"/>
        </w:trPr>
        <w:tc>
          <w:tcPr>
            <w:tcW w:w="644" w:type="dxa"/>
            <w:vAlign w:val="center"/>
          </w:tcPr>
          <w:p w14:paraId="461E49A2">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p>
        </w:tc>
        <w:tc>
          <w:tcPr>
            <w:tcW w:w="2260" w:type="dxa"/>
            <w:gridSpan w:val="2"/>
            <w:vAlign w:val="center"/>
          </w:tcPr>
          <w:p w14:paraId="7E74AFC9">
            <w:pPr>
              <w:keepNext w:val="0"/>
              <w:keepLines w:val="0"/>
              <w:pageBreakBefore w:val="0"/>
              <w:widowControl/>
              <w:kinsoku/>
              <w:wordWrap/>
              <w:overflowPunct/>
              <w:topLinePunct w:val="0"/>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b/>
                <w:color w:val="auto"/>
                <w:kern w:val="0"/>
                <w:sz w:val="24"/>
                <w:szCs w:val="24"/>
                <w:highlight w:val="none"/>
                <w:lang w:val="en-US" w:eastAsia="zh-CN"/>
              </w:rPr>
            </w:pPr>
            <w:r>
              <w:rPr>
                <w:rFonts w:hint="eastAsia" w:asciiTheme="minorEastAsia" w:hAnsiTheme="minorEastAsia" w:cstheme="minorEastAsia"/>
                <w:b/>
                <w:color w:val="auto"/>
                <w:kern w:val="0"/>
                <w:sz w:val="24"/>
                <w:szCs w:val="24"/>
                <w:highlight w:val="none"/>
                <w:lang w:val="en-US" w:eastAsia="zh-CN"/>
              </w:rPr>
              <w:t>特别要求</w:t>
            </w:r>
          </w:p>
        </w:tc>
        <w:tc>
          <w:tcPr>
            <w:tcW w:w="7016" w:type="dxa"/>
            <w:vAlign w:val="center"/>
          </w:tcPr>
          <w:p w14:paraId="41413E97">
            <w:pPr>
              <w:keepNext w:val="0"/>
              <w:keepLines w:val="0"/>
              <w:pageBreakBefore w:val="0"/>
              <w:widowControl/>
              <w:kinsoku/>
              <w:wordWrap/>
              <w:overflowPunct/>
              <w:topLinePunct w:val="0"/>
              <w:bidi w:val="0"/>
              <w:spacing w:line="360" w:lineRule="auto"/>
              <w:ind w:left="0" w:leftChars="0" w:firstLine="482" w:firstLineChars="200"/>
              <w:jc w:val="both"/>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
                <w:bCs w:val="0"/>
                <w:color w:val="auto"/>
                <w:kern w:val="0"/>
                <w:sz w:val="24"/>
                <w:szCs w:val="24"/>
                <w:highlight w:val="none"/>
              </w:rPr>
              <w:t>中标方开展旧建筑物拆除工作，产生的旧建筑物报废残值由甲方委托第三方资质机构评估出具，中标方需将评估金额缴纳至甲方指定账户。</w:t>
            </w:r>
          </w:p>
        </w:tc>
      </w:tr>
      <w:tr w14:paraId="6303C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9" w:hRule="atLeast"/>
        </w:trPr>
        <w:tc>
          <w:tcPr>
            <w:tcW w:w="644" w:type="dxa"/>
            <w:vAlign w:val="center"/>
          </w:tcPr>
          <w:p w14:paraId="57613289">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both"/>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23</w:t>
            </w:r>
          </w:p>
        </w:tc>
        <w:tc>
          <w:tcPr>
            <w:tcW w:w="9276" w:type="dxa"/>
            <w:gridSpan w:val="3"/>
            <w:vAlign w:val="center"/>
          </w:tcPr>
          <w:p w14:paraId="772A4931">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both"/>
              <w:textAlignment w:val="auto"/>
              <w:rPr>
                <w:rFonts w:hint="eastAsia" w:asciiTheme="minorEastAsia" w:hAnsiTheme="minorEastAsia" w:eastAsiaTheme="minorEastAsia" w:cstheme="minorEastAsia"/>
                <w:color w:val="auto"/>
                <w:sz w:val="24"/>
                <w:szCs w:val="24"/>
                <w:highlight w:val="none"/>
                <w:lang w:val="zh-CN" w:bidi="zh-CN"/>
              </w:rPr>
            </w:pPr>
            <w:r>
              <w:rPr>
                <w:rFonts w:hint="eastAsia" w:asciiTheme="minorEastAsia" w:hAnsiTheme="minorEastAsia" w:eastAsiaTheme="minorEastAsia" w:cstheme="minorEastAsia"/>
                <w:color w:val="auto"/>
                <w:sz w:val="24"/>
                <w:szCs w:val="24"/>
                <w:highlight w:val="none"/>
                <w:lang w:val="zh-CN" w:bidi="zh-CN"/>
              </w:rPr>
              <w:t>磋商前准备：</w:t>
            </w:r>
          </w:p>
          <w:p w14:paraId="2E753B7A">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both"/>
              <w:textAlignment w:val="auto"/>
              <w:rPr>
                <w:rFonts w:hint="eastAsia" w:asciiTheme="minorEastAsia" w:hAnsiTheme="minorEastAsia" w:eastAsiaTheme="minorEastAsia" w:cstheme="minorEastAsia"/>
                <w:color w:val="auto"/>
                <w:sz w:val="24"/>
                <w:szCs w:val="24"/>
                <w:highlight w:val="none"/>
                <w:lang w:val="zh-CN" w:bidi="zh-CN"/>
              </w:rPr>
            </w:pPr>
            <w:r>
              <w:rPr>
                <w:rFonts w:hint="eastAsia" w:asciiTheme="minorEastAsia" w:hAnsiTheme="minorEastAsia" w:eastAsiaTheme="minorEastAsia" w:cstheme="minorEastAsia"/>
                <w:color w:val="auto"/>
                <w:sz w:val="24"/>
                <w:szCs w:val="24"/>
                <w:highlight w:val="none"/>
                <w:lang w:val="zh-CN" w:bidi="zh-CN"/>
              </w:rPr>
              <w:t>1、本项目实行网上磋商，采用电子磋商响应文件。若供应商参与磋商，自行承担磋商一切费用。</w:t>
            </w:r>
          </w:p>
          <w:p w14:paraId="73BBC86E">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both"/>
              <w:textAlignment w:val="auto"/>
              <w:rPr>
                <w:rFonts w:hint="eastAsia" w:asciiTheme="minorEastAsia" w:hAnsiTheme="minorEastAsia" w:eastAsiaTheme="minorEastAsia" w:cstheme="minorEastAsia"/>
                <w:color w:val="auto"/>
                <w:sz w:val="24"/>
                <w:szCs w:val="24"/>
                <w:highlight w:val="none"/>
                <w:lang w:val="zh-CN" w:bidi="zh-CN"/>
              </w:rPr>
            </w:pPr>
            <w:r>
              <w:rPr>
                <w:rFonts w:hint="eastAsia" w:asciiTheme="minorEastAsia" w:hAnsiTheme="minorEastAsia" w:eastAsiaTheme="minorEastAsia" w:cstheme="minorEastAsia"/>
                <w:color w:val="auto"/>
                <w:sz w:val="24"/>
                <w:szCs w:val="24"/>
                <w:highlight w:val="none"/>
                <w:lang w:val="zh-CN" w:bidi="zh-CN"/>
              </w:rPr>
              <w:t>2、各供应商应在截标前应确保成为广西政府采购云平台正式注册入库供应商，并完成CA数字证书申领。因未注册入库、未办理CA数字证书等原因造成无法磋商或磋商失败等后果由供应商自行承担。</w:t>
            </w:r>
          </w:p>
          <w:p w14:paraId="6EEB7AF4">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both"/>
              <w:textAlignment w:val="auto"/>
              <w:rPr>
                <w:rFonts w:hint="eastAsia" w:asciiTheme="minorEastAsia" w:hAnsiTheme="minorEastAsia" w:eastAsiaTheme="minorEastAsia" w:cstheme="minorEastAsia"/>
                <w:color w:val="auto"/>
                <w:sz w:val="24"/>
                <w:szCs w:val="24"/>
                <w:highlight w:val="none"/>
                <w:lang w:val="zh-CN" w:bidi="zh-CN"/>
              </w:rPr>
            </w:pPr>
            <w:r>
              <w:rPr>
                <w:rFonts w:hint="eastAsia" w:asciiTheme="minorEastAsia" w:hAnsiTheme="minorEastAsia" w:eastAsiaTheme="minorEastAsia" w:cstheme="minorEastAsia"/>
                <w:color w:val="auto"/>
                <w:sz w:val="24"/>
                <w:szCs w:val="24"/>
                <w:highlight w:val="none"/>
                <w:lang w:val="zh-CN" w:bidi="zh-CN"/>
              </w:rPr>
              <w:t>3、供应商将政采云电子交易客户端下载、安装完成后，可通过账号密码或CA登录客户端进行响应文件制作。客户端请至网站下载专区查看，如有问题可拨打政采云客户服务热线</w:t>
            </w:r>
            <w:r>
              <w:rPr>
                <w:rFonts w:hint="eastAsia" w:asciiTheme="minorEastAsia" w:hAnsiTheme="minorEastAsia" w:eastAsiaTheme="minorEastAsia" w:cstheme="minorEastAsia"/>
                <w:color w:val="auto"/>
                <w:sz w:val="24"/>
                <w:szCs w:val="24"/>
                <w:highlight w:val="none"/>
                <w:lang w:val="en-US" w:bidi="zh-CN"/>
              </w:rPr>
              <w:t>95763</w:t>
            </w:r>
            <w:r>
              <w:rPr>
                <w:rFonts w:hint="eastAsia" w:asciiTheme="minorEastAsia" w:hAnsiTheme="minorEastAsia" w:eastAsiaTheme="minorEastAsia" w:cstheme="minorEastAsia"/>
                <w:color w:val="auto"/>
                <w:sz w:val="24"/>
                <w:szCs w:val="24"/>
                <w:highlight w:val="none"/>
                <w:lang w:val="zh-CN" w:bidi="zh-CN"/>
              </w:rPr>
              <w:t>进行咨询。</w:t>
            </w:r>
          </w:p>
          <w:p w14:paraId="3079B466">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both"/>
              <w:textAlignment w:val="auto"/>
              <w:rPr>
                <w:rFonts w:hint="eastAsia" w:asciiTheme="minorEastAsia" w:hAnsiTheme="minorEastAsia" w:eastAsiaTheme="minorEastAsia" w:cstheme="minorEastAsia"/>
                <w:color w:val="auto"/>
                <w:sz w:val="24"/>
                <w:szCs w:val="24"/>
                <w:highlight w:val="none"/>
                <w:lang w:val="zh-CN" w:bidi="zh-CN"/>
              </w:rPr>
            </w:pPr>
            <w:r>
              <w:rPr>
                <w:rFonts w:hint="eastAsia" w:asciiTheme="minorEastAsia" w:hAnsiTheme="minorEastAsia" w:eastAsiaTheme="minorEastAsia" w:cstheme="minorEastAsia"/>
                <w:color w:val="auto"/>
                <w:sz w:val="24"/>
                <w:szCs w:val="24"/>
                <w:highlight w:val="none"/>
                <w:lang w:val="zh-CN" w:bidi="zh-CN"/>
              </w:rPr>
              <w:t>磋商响应文件解密时间：</w:t>
            </w:r>
          </w:p>
          <w:p w14:paraId="7DCB4DB9">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both"/>
              <w:textAlignment w:val="auto"/>
              <w:rPr>
                <w:rFonts w:hint="eastAsia" w:asciiTheme="minorEastAsia" w:hAnsiTheme="minorEastAsia" w:eastAsiaTheme="minorEastAsia" w:cstheme="minorEastAsia"/>
                <w:color w:val="auto"/>
                <w:sz w:val="24"/>
                <w:szCs w:val="24"/>
                <w:highlight w:val="none"/>
                <w:lang w:val="zh-CN" w:bidi="zh-CN"/>
              </w:rPr>
            </w:pPr>
            <w:r>
              <w:rPr>
                <w:rFonts w:hint="eastAsia" w:asciiTheme="minorEastAsia" w:hAnsiTheme="minorEastAsia" w:eastAsiaTheme="minorEastAsia" w:cstheme="minorEastAsia"/>
                <w:color w:val="auto"/>
                <w:sz w:val="24"/>
                <w:szCs w:val="24"/>
                <w:highlight w:val="none"/>
                <w:lang w:val="zh-CN" w:bidi="zh-CN"/>
              </w:rPr>
              <w:t>截标时间后</w:t>
            </w:r>
            <w:r>
              <w:rPr>
                <w:rFonts w:hint="eastAsia" w:asciiTheme="minorEastAsia" w:hAnsiTheme="minorEastAsia" w:eastAsiaTheme="minorEastAsia" w:cstheme="minorEastAsia"/>
                <w:color w:val="auto"/>
                <w:sz w:val="24"/>
                <w:szCs w:val="24"/>
                <w:highlight w:val="none"/>
                <w:lang w:val="en-US" w:bidi="zh-CN"/>
              </w:rPr>
              <w:t>3</w:t>
            </w:r>
            <w:r>
              <w:rPr>
                <w:rFonts w:hint="eastAsia" w:asciiTheme="minorEastAsia" w:hAnsiTheme="minorEastAsia" w:eastAsiaTheme="minorEastAsia" w:cstheme="minorEastAsia"/>
                <w:color w:val="auto"/>
                <w:sz w:val="24"/>
                <w:szCs w:val="24"/>
                <w:highlight w:val="none"/>
                <w:lang w:val="zh-CN" w:bidi="zh-CN"/>
              </w:rPr>
              <w:t>0分钟内磋商供应商可以登录广西政府采购云平台，用“项目采购-开标评标”功能进行解密磋商响应文件。</w:t>
            </w:r>
          </w:p>
        </w:tc>
      </w:tr>
      <w:tr w14:paraId="28165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9" w:hRule="atLeast"/>
        </w:trPr>
        <w:tc>
          <w:tcPr>
            <w:tcW w:w="644" w:type="dxa"/>
            <w:vAlign w:val="center"/>
          </w:tcPr>
          <w:p w14:paraId="0A9EC087">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both"/>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24</w:t>
            </w:r>
          </w:p>
        </w:tc>
        <w:tc>
          <w:tcPr>
            <w:tcW w:w="9276" w:type="dxa"/>
            <w:gridSpan w:val="3"/>
            <w:vAlign w:val="center"/>
          </w:tcPr>
          <w:p w14:paraId="70A67958">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both"/>
              <w:textAlignment w:val="auto"/>
              <w:rPr>
                <w:rFonts w:hint="eastAsia" w:asciiTheme="minorEastAsia" w:hAnsiTheme="minorEastAsia" w:eastAsiaTheme="minorEastAsia" w:cstheme="minorEastAsia"/>
                <w:color w:val="auto"/>
                <w:sz w:val="24"/>
                <w:szCs w:val="24"/>
                <w:highlight w:val="none"/>
                <w:lang w:val="zh-CN" w:bidi="zh-CN"/>
              </w:rPr>
            </w:pPr>
            <w:r>
              <w:rPr>
                <w:rFonts w:hint="eastAsia" w:asciiTheme="minorEastAsia" w:hAnsiTheme="minorEastAsia" w:eastAsiaTheme="minorEastAsia" w:cstheme="minorEastAsia"/>
                <w:color w:val="auto"/>
                <w:sz w:val="24"/>
                <w:szCs w:val="24"/>
                <w:highlight w:val="none"/>
                <w:lang w:val="zh-CN" w:bidi="zh-CN"/>
              </w:rPr>
              <w:t>1.电子响应文件中须加盖供应商公章部分均采用CA签章，并根据“政府采购项目电子交易管理操作指南-供应商” 及本竞争性磋商文件规定的格式和顺序编制电子响应文件并进行关联定位，以便磋商小组在评审时，点击评分项可直接定位到该评分项内容。如对竞争性磋商文件的某项要求，供应商的电子响应文件未能关联定位提供相应的内容与其对应，则磋商小组在评审时如做出对供应商不利的评审由供应商自行承担。电子响应文件如内容不完整、编排混乱导致响应文件被误读、 漏读，或者在按采购文件规定的部位查找不到相关内容的，由供应商自行承担。</w:t>
            </w:r>
          </w:p>
          <w:p w14:paraId="58E06B88">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both"/>
              <w:textAlignment w:val="auto"/>
              <w:rPr>
                <w:rFonts w:hint="eastAsia" w:asciiTheme="minorEastAsia" w:hAnsiTheme="minorEastAsia" w:eastAsiaTheme="minorEastAsia" w:cstheme="minorEastAsia"/>
                <w:color w:val="auto"/>
                <w:sz w:val="24"/>
                <w:szCs w:val="24"/>
                <w:highlight w:val="none"/>
                <w:lang w:val="zh-CN" w:bidi="zh-CN"/>
              </w:rPr>
            </w:pPr>
            <w:r>
              <w:rPr>
                <w:rFonts w:hint="eastAsia" w:asciiTheme="minorEastAsia" w:hAnsiTheme="minorEastAsia" w:eastAsiaTheme="minorEastAsia" w:cstheme="minorEastAsia"/>
                <w:color w:val="auto"/>
                <w:sz w:val="24"/>
                <w:szCs w:val="24"/>
                <w:highlight w:val="none"/>
                <w:lang w:val="zh-CN" w:bidi="zh-CN"/>
              </w:rPr>
              <w:t>2.CA签章上目前没有法人（负责人）或授权代表签字信息，供应商在响应文件中涉及到签字的位置线下签好字然后扫描或者拍照做成PDF的格式亦可。响应文件中涉及到签字的位置未按要求签字的，提供的材料视为无效。</w:t>
            </w:r>
          </w:p>
          <w:p w14:paraId="6F3041C6">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both"/>
              <w:textAlignment w:val="auto"/>
              <w:rPr>
                <w:rFonts w:hint="eastAsia" w:asciiTheme="minorEastAsia" w:hAnsiTheme="minorEastAsia" w:eastAsiaTheme="minorEastAsia" w:cstheme="minorEastAsia"/>
                <w:color w:val="auto"/>
                <w:sz w:val="24"/>
                <w:szCs w:val="24"/>
                <w:highlight w:val="none"/>
                <w:lang w:val="zh-CN" w:bidi="zh-CN"/>
              </w:rPr>
            </w:pPr>
            <w:r>
              <w:rPr>
                <w:rFonts w:hint="eastAsia" w:asciiTheme="minorEastAsia" w:hAnsiTheme="minorEastAsia" w:eastAsiaTheme="minorEastAsia" w:cstheme="minorEastAsia"/>
                <w:color w:val="auto"/>
                <w:sz w:val="24"/>
                <w:szCs w:val="24"/>
                <w:highlight w:val="none"/>
                <w:lang w:val="zh-CN" w:bidi="zh-CN"/>
              </w:rPr>
              <w:t>3.供应商为其他组织或自然人时，本竞争性磋商文件规定的法定代表人指负责人或自然人。本竞争性磋商文件所称负责人是指参加磋商的其他组织营业执照上的负责人，本竞争性磋商文件所称自然人指参与磋商的自然人本人。</w:t>
            </w:r>
          </w:p>
          <w:p w14:paraId="4C7E8E5C">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both"/>
              <w:textAlignment w:val="auto"/>
              <w:rPr>
                <w:rFonts w:hint="eastAsia" w:asciiTheme="minorEastAsia" w:hAnsiTheme="minorEastAsia" w:eastAsiaTheme="minorEastAsia" w:cstheme="minorEastAsia"/>
                <w:color w:val="auto"/>
                <w:sz w:val="24"/>
                <w:szCs w:val="24"/>
                <w:highlight w:val="none"/>
                <w:lang w:val="zh-CN" w:bidi="zh-CN"/>
              </w:rPr>
            </w:pPr>
            <w:r>
              <w:rPr>
                <w:rFonts w:hint="eastAsia" w:asciiTheme="minorEastAsia" w:hAnsiTheme="minorEastAsia" w:eastAsiaTheme="minorEastAsia" w:cstheme="minorEastAsia"/>
                <w:color w:val="auto"/>
                <w:sz w:val="24"/>
                <w:szCs w:val="24"/>
                <w:highlight w:val="none"/>
                <w:lang w:val="zh-CN" w:bidi="zh-CN"/>
              </w:rPr>
              <w:t>4.本竞争性磋商文件中描述供应商的“签字”是指供应商的法定代表人或委托代理人亲自在文件规定签署处亲笔写上个人的名字的行为，私章、签字章、印鉴、影印等其它形式均不能代替亲笔签字。</w:t>
            </w:r>
          </w:p>
        </w:tc>
      </w:tr>
      <w:tr w14:paraId="1B7E0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9" w:hRule="atLeast"/>
        </w:trPr>
        <w:tc>
          <w:tcPr>
            <w:tcW w:w="644" w:type="dxa"/>
            <w:vAlign w:val="center"/>
          </w:tcPr>
          <w:p w14:paraId="4FE93D35">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both"/>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25</w:t>
            </w:r>
          </w:p>
        </w:tc>
        <w:tc>
          <w:tcPr>
            <w:tcW w:w="9276" w:type="dxa"/>
            <w:gridSpan w:val="3"/>
            <w:vAlign w:val="center"/>
          </w:tcPr>
          <w:p w14:paraId="07AE8892">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both"/>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lang w:val="zh-CN" w:bidi="zh-CN"/>
              </w:rPr>
              <w:t>1、本竞争性磋商文</w:t>
            </w:r>
            <w:r>
              <w:rPr>
                <w:rFonts w:hint="eastAsia" w:asciiTheme="minorEastAsia" w:hAnsiTheme="minorEastAsia" w:eastAsiaTheme="minorEastAsia" w:cstheme="minorEastAsia"/>
                <w:color w:val="auto"/>
                <w:kern w:val="0"/>
                <w:sz w:val="24"/>
                <w:szCs w:val="24"/>
                <w:highlight w:val="none"/>
              </w:rPr>
              <w:t>件中时间单位“日”除另有说明外，均表示日历日。</w:t>
            </w:r>
          </w:p>
        </w:tc>
      </w:tr>
    </w:tbl>
    <w:p w14:paraId="46FA6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asciiTheme="minorEastAsia" w:hAnsiTheme="minorEastAsia" w:cstheme="minorEastAsia"/>
          <w:color w:val="auto"/>
          <w:sz w:val="22"/>
          <w:szCs w:val="24"/>
          <w:highlight w:val="none"/>
        </w:rPr>
        <w:sectPr>
          <w:endnotePr>
            <w:numFmt w:val="decimal"/>
          </w:endnotePr>
          <w:pgSz w:w="11906" w:h="16838"/>
          <w:pgMar w:top="1134" w:right="1406" w:bottom="1440" w:left="1338" w:header="454" w:footer="680" w:gutter="0"/>
          <w:cols w:space="720" w:num="1"/>
          <w:docGrid w:type="lines" w:linePitch="312" w:charSpace="0"/>
        </w:sectPr>
      </w:pPr>
      <w:bookmarkStart w:id="11" w:name="_Toc514238585"/>
      <w:bookmarkStart w:id="12" w:name="_Toc23152555"/>
      <w:bookmarkStart w:id="13" w:name="_Toc74156183"/>
      <w:bookmarkStart w:id="14" w:name="_Toc23046661"/>
      <w:bookmarkStart w:id="15" w:name="_Toc29153311"/>
    </w:p>
    <w:bookmarkEnd w:id="11"/>
    <w:bookmarkEnd w:id="12"/>
    <w:bookmarkEnd w:id="13"/>
    <w:bookmarkEnd w:id="14"/>
    <w:bookmarkEnd w:id="15"/>
    <w:p w14:paraId="56CF1F81">
      <w:pPr>
        <w:pStyle w:val="4"/>
        <w:spacing w:line="360" w:lineRule="auto"/>
        <w:jc w:val="center"/>
        <w:rPr>
          <w:rFonts w:asciiTheme="minorEastAsia" w:hAnsiTheme="minorEastAsia" w:eastAsiaTheme="minorEastAsia" w:cstheme="minorEastAsia"/>
          <w:color w:val="auto"/>
          <w:kern w:val="0"/>
          <w:sz w:val="36"/>
          <w:szCs w:val="24"/>
          <w:highlight w:val="none"/>
        </w:rPr>
      </w:pPr>
      <w:bookmarkStart w:id="16" w:name="_Toc29121"/>
      <w:bookmarkStart w:id="17" w:name="_Toc243584224"/>
      <w:r>
        <w:rPr>
          <w:rFonts w:hint="eastAsia" w:asciiTheme="minorEastAsia" w:hAnsiTheme="minorEastAsia" w:eastAsiaTheme="minorEastAsia" w:cstheme="minorEastAsia"/>
          <w:color w:val="auto"/>
          <w:kern w:val="0"/>
          <w:sz w:val="36"/>
          <w:szCs w:val="24"/>
          <w:highlight w:val="none"/>
        </w:rPr>
        <w:t>二、磋商须知</w:t>
      </w:r>
      <w:bookmarkEnd w:id="16"/>
      <w:bookmarkEnd w:id="17"/>
    </w:p>
    <w:p w14:paraId="20E84124">
      <w:pPr>
        <w:pStyle w:val="5"/>
        <w:spacing w:line="360" w:lineRule="auto"/>
        <w:jc w:val="center"/>
        <w:rPr>
          <w:rFonts w:asciiTheme="minorEastAsia" w:hAnsiTheme="minorEastAsia" w:eastAsiaTheme="minorEastAsia" w:cstheme="minorEastAsia"/>
          <w:color w:val="auto"/>
          <w:kern w:val="0"/>
          <w:highlight w:val="none"/>
        </w:rPr>
      </w:pPr>
      <w:bookmarkStart w:id="18" w:name="_Toc29153312"/>
      <w:bookmarkStart w:id="19" w:name="_Toc243584225"/>
      <w:bookmarkStart w:id="20" w:name="_Toc74156184"/>
      <w:bookmarkStart w:id="21" w:name="_Toc31698"/>
      <w:r>
        <w:rPr>
          <w:rFonts w:hint="eastAsia" w:asciiTheme="minorEastAsia" w:hAnsiTheme="minorEastAsia" w:eastAsiaTheme="minorEastAsia" w:cstheme="minorEastAsia"/>
          <w:color w:val="auto"/>
          <w:kern w:val="0"/>
          <w:highlight w:val="none"/>
        </w:rPr>
        <w:t>（一） 总则</w:t>
      </w:r>
      <w:bookmarkEnd w:id="18"/>
      <w:bookmarkEnd w:id="19"/>
      <w:bookmarkEnd w:id="20"/>
      <w:bookmarkEnd w:id="21"/>
    </w:p>
    <w:p w14:paraId="55CD520B">
      <w:pPr>
        <w:pStyle w:val="5"/>
        <w:spacing w:line="360" w:lineRule="auto"/>
        <w:ind w:firstLine="472" w:firstLineChars="196"/>
        <w:rPr>
          <w:rFonts w:asciiTheme="minorEastAsia" w:hAnsiTheme="minorEastAsia" w:eastAsiaTheme="minorEastAsia" w:cstheme="minorEastAsia"/>
          <w:color w:val="auto"/>
          <w:kern w:val="0"/>
          <w:sz w:val="24"/>
          <w:szCs w:val="24"/>
          <w:highlight w:val="none"/>
        </w:rPr>
      </w:pPr>
      <w:bookmarkStart w:id="22" w:name="_Toc243584226"/>
      <w:bookmarkStart w:id="23" w:name="_Toc514238586"/>
      <w:bookmarkStart w:id="24" w:name="_Toc4751"/>
      <w:bookmarkStart w:id="25" w:name="_Toc29153313"/>
      <w:bookmarkStart w:id="26" w:name="_Toc23046662"/>
      <w:bookmarkStart w:id="27" w:name="_Toc23152556"/>
      <w:bookmarkStart w:id="28" w:name="_Toc74156185"/>
      <w:r>
        <w:rPr>
          <w:rFonts w:hint="eastAsia" w:asciiTheme="minorEastAsia" w:hAnsiTheme="minorEastAsia" w:eastAsiaTheme="minorEastAsia" w:cstheme="minorEastAsia"/>
          <w:color w:val="auto"/>
          <w:kern w:val="0"/>
          <w:sz w:val="24"/>
          <w:szCs w:val="24"/>
          <w:highlight w:val="none"/>
        </w:rPr>
        <w:t>1. 工程说明</w:t>
      </w:r>
      <w:bookmarkEnd w:id="22"/>
      <w:bookmarkEnd w:id="23"/>
      <w:bookmarkEnd w:id="24"/>
      <w:bookmarkEnd w:id="25"/>
      <w:bookmarkEnd w:id="26"/>
      <w:bookmarkEnd w:id="27"/>
      <w:bookmarkEnd w:id="28"/>
    </w:p>
    <w:p w14:paraId="0B7FD819">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1.1  本工程项目说明详见磋商须知前附表（以下简称“前附表”）第1项～第5项。</w:t>
      </w:r>
    </w:p>
    <w:p w14:paraId="3FA6574E">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1.2  本工程按照有关法律、法规及规章的规定，已办理采购申请，并经采购管理机构核准备案，现通过竞争性磋商采购方式选定承包人。</w:t>
      </w:r>
    </w:p>
    <w:p w14:paraId="7F1D4A13">
      <w:pPr>
        <w:pStyle w:val="5"/>
        <w:spacing w:line="360" w:lineRule="auto"/>
        <w:ind w:firstLine="482" w:firstLineChars="200"/>
        <w:rPr>
          <w:rFonts w:asciiTheme="minorEastAsia" w:hAnsiTheme="minorEastAsia" w:eastAsiaTheme="minorEastAsia" w:cstheme="minorEastAsia"/>
          <w:color w:val="auto"/>
          <w:kern w:val="0"/>
          <w:sz w:val="24"/>
          <w:szCs w:val="24"/>
          <w:highlight w:val="none"/>
        </w:rPr>
      </w:pPr>
      <w:bookmarkStart w:id="29" w:name="_Toc243584227"/>
      <w:bookmarkStart w:id="30" w:name="_Toc23152557"/>
      <w:bookmarkStart w:id="31" w:name="_Toc74156186"/>
      <w:bookmarkStart w:id="32" w:name="_Toc29153314"/>
      <w:bookmarkStart w:id="33" w:name="_Toc514238587"/>
      <w:bookmarkStart w:id="34" w:name="_Toc23046663"/>
      <w:bookmarkStart w:id="35" w:name="_Toc12476"/>
      <w:r>
        <w:rPr>
          <w:rFonts w:hint="eastAsia" w:asciiTheme="minorEastAsia" w:hAnsiTheme="minorEastAsia" w:eastAsiaTheme="minorEastAsia" w:cstheme="minorEastAsia"/>
          <w:color w:val="auto"/>
          <w:kern w:val="0"/>
          <w:sz w:val="24"/>
          <w:szCs w:val="24"/>
          <w:highlight w:val="none"/>
        </w:rPr>
        <w:t>2. 采购范围及工期</w:t>
      </w:r>
      <w:bookmarkEnd w:id="29"/>
      <w:bookmarkEnd w:id="30"/>
      <w:bookmarkEnd w:id="31"/>
      <w:bookmarkEnd w:id="32"/>
      <w:bookmarkEnd w:id="33"/>
      <w:bookmarkEnd w:id="34"/>
      <w:bookmarkEnd w:id="35"/>
    </w:p>
    <w:p w14:paraId="08B39590">
      <w:pPr>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2.1  本工程项目的范围详见前附表第6项。</w:t>
      </w:r>
    </w:p>
    <w:p w14:paraId="0598197B">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2.2  本工程项目的工期要求详见前附表第7项。</w:t>
      </w:r>
    </w:p>
    <w:p w14:paraId="71D35AAF">
      <w:pPr>
        <w:pStyle w:val="5"/>
        <w:spacing w:line="360" w:lineRule="auto"/>
        <w:ind w:firstLine="482" w:firstLineChars="200"/>
        <w:rPr>
          <w:rFonts w:asciiTheme="minorEastAsia" w:hAnsiTheme="minorEastAsia" w:eastAsiaTheme="minorEastAsia" w:cstheme="minorEastAsia"/>
          <w:color w:val="auto"/>
          <w:kern w:val="0"/>
          <w:sz w:val="24"/>
          <w:szCs w:val="24"/>
          <w:highlight w:val="none"/>
        </w:rPr>
      </w:pPr>
      <w:bookmarkStart w:id="36" w:name="_Toc27513"/>
      <w:bookmarkStart w:id="37" w:name="_Toc243584228"/>
      <w:bookmarkStart w:id="38" w:name="_Toc29153315"/>
      <w:bookmarkStart w:id="39" w:name="_Toc23046664"/>
      <w:bookmarkStart w:id="40" w:name="_Toc23152558"/>
      <w:bookmarkStart w:id="41" w:name="_Toc74156187"/>
      <w:r>
        <w:rPr>
          <w:rFonts w:hint="eastAsia" w:asciiTheme="minorEastAsia" w:hAnsiTheme="minorEastAsia" w:eastAsiaTheme="minorEastAsia" w:cstheme="minorEastAsia"/>
          <w:color w:val="auto"/>
          <w:kern w:val="0"/>
          <w:sz w:val="24"/>
          <w:szCs w:val="24"/>
          <w:highlight w:val="none"/>
        </w:rPr>
        <w:t xml:space="preserve">3. </w:t>
      </w:r>
      <w:bookmarkStart w:id="42" w:name="_Toc74156188"/>
      <w:r>
        <w:rPr>
          <w:rFonts w:hint="eastAsia" w:asciiTheme="minorEastAsia" w:hAnsiTheme="minorEastAsia" w:eastAsiaTheme="minorEastAsia" w:cstheme="minorEastAsia"/>
          <w:color w:val="auto"/>
          <w:kern w:val="0"/>
          <w:sz w:val="24"/>
          <w:szCs w:val="24"/>
          <w:highlight w:val="none"/>
        </w:rPr>
        <w:t>资金来源</w:t>
      </w:r>
      <w:bookmarkEnd w:id="36"/>
      <w:bookmarkEnd w:id="37"/>
      <w:bookmarkEnd w:id="38"/>
      <w:bookmarkEnd w:id="42"/>
    </w:p>
    <w:p w14:paraId="72112648">
      <w:pPr>
        <w:spacing w:line="360"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kern w:val="0"/>
          <w:sz w:val="24"/>
          <w:szCs w:val="24"/>
          <w:highlight w:val="none"/>
        </w:rPr>
        <w:t>3.1  本工程项目资金来源详见前附表第8项。</w:t>
      </w:r>
    </w:p>
    <w:p w14:paraId="6CD5F274">
      <w:pPr>
        <w:pStyle w:val="5"/>
        <w:spacing w:line="360" w:lineRule="auto"/>
        <w:ind w:firstLine="482" w:firstLineChars="200"/>
        <w:rPr>
          <w:rFonts w:asciiTheme="minorEastAsia" w:hAnsiTheme="minorEastAsia" w:eastAsiaTheme="minorEastAsia" w:cstheme="minorEastAsia"/>
          <w:color w:val="auto"/>
          <w:sz w:val="24"/>
          <w:szCs w:val="24"/>
          <w:highlight w:val="none"/>
        </w:rPr>
      </w:pPr>
      <w:bookmarkStart w:id="43" w:name="_Toc243584229"/>
      <w:bookmarkStart w:id="44" w:name="_Toc29153316"/>
      <w:bookmarkStart w:id="45" w:name="_Toc1578"/>
      <w:r>
        <w:rPr>
          <w:rFonts w:hint="eastAsia" w:asciiTheme="minorEastAsia" w:hAnsiTheme="minorEastAsia" w:eastAsiaTheme="minorEastAsia" w:cstheme="minorEastAsia"/>
          <w:color w:val="auto"/>
          <w:kern w:val="0"/>
          <w:sz w:val="24"/>
          <w:szCs w:val="24"/>
          <w:highlight w:val="none"/>
        </w:rPr>
        <w:t xml:space="preserve">4. </w:t>
      </w:r>
      <w:r>
        <w:rPr>
          <w:rFonts w:hint="eastAsia" w:asciiTheme="minorEastAsia" w:hAnsiTheme="minorEastAsia" w:eastAsiaTheme="minorEastAsia" w:cstheme="minorEastAsia"/>
          <w:color w:val="auto"/>
          <w:sz w:val="24"/>
          <w:szCs w:val="24"/>
          <w:highlight w:val="none"/>
        </w:rPr>
        <w:t>合格的</w:t>
      </w:r>
      <w:bookmarkEnd w:id="39"/>
      <w:bookmarkEnd w:id="40"/>
      <w:bookmarkEnd w:id="41"/>
      <w:bookmarkEnd w:id="43"/>
      <w:bookmarkEnd w:id="44"/>
      <w:bookmarkEnd w:id="45"/>
      <w:r>
        <w:rPr>
          <w:rFonts w:hint="eastAsia" w:asciiTheme="minorEastAsia" w:hAnsiTheme="minorEastAsia" w:eastAsiaTheme="minorEastAsia" w:cstheme="minorEastAsia"/>
          <w:color w:val="auto"/>
          <w:sz w:val="24"/>
          <w:szCs w:val="24"/>
          <w:highlight w:val="none"/>
        </w:rPr>
        <w:t>供应商</w:t>
      </w:r>
    </w:p>
    <w:p w14:paraId="600B851A">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4.1  供应商资质等级要求详见前附表第9项。</w:t>
      </w:r>
    </w:p>
    <w:p w14:paraId="052A295F">
      <w:pPr>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4.2  本工程项目采用前附表第10项所述的资格审查方式确定合格的供应商。</w:t>
      </w:r>
    </w:p>
    <w:p w14:paraId="16EA4D57">
      <w:pPr>
        <w:pStyle w:val="5"/>
        <w:spacing w:line="360" w:lineRule="auto"/>
        <w:ind w:firstLine="482" w:firstLineChars="200"/>
        <w:rPr>
          <w:rFonts w:asciiTheme="minorEastAsia" w:hAnsiTheme="minorEastAsia" w:eastAsiaTheme="minorEastAsia" w:cstheme="minorEastAsia"/>
          <w:color w:val="auto"/>
          <w:kern w:val="0"/>
          <w:sz w:val="24"/>
          <w:szCs w:val="24"/>
          <w:highlight w:val="none"/>
        </w:rPr>
      </w:pPr>
      <w:bookmarkStart w:id="46" w:name="_Toc29153317"/>
      <w:bookmarkStart w:id="47" w:name="_Toc30033"/>
      <w:bookmarkStart w:id="48" w:name="_Toc74156189"/>
      <w:bookmarkStart w:id="49" w:name="_Toc243584230"/>
      <w:r>
        <w:rPr>
          <w:rFonts w:hint="eastAsia" w:asciiTheme="minorEastAsia" w:hAnsiTheme="minorEastAsia" w:eastAsiaTheme="minorEastAsia" w:cstheme="minorEastAsia"/>
          <w:color w:val="auto"/>
          <w:kern w:val="0"/>
          <w:sz w:val="24"/>
          <w:szCs w:val="24"/>
          <w:highlight w:val="none"/>
        </w:rPr>
        <w:t>5. 踏勘现场</w:t>
      </w:r>
      <w:bookmarkEnd w:id="46"/>
      <w:bookmarkEnd w:id="47"/>
      <w:bookmarkEnd w:id="48"/>
      <w:bookmarkEnd w:id="49"/>
    </w:p>
    <w:p w14:paraId="4769027B">
      <w:pPr>
        <w:spacing w:line="360" w:lineRule="auto"/>
        <w:rPr>
          <w:rFonts w:asciiTheme="minorEastAsia" w:hAnsiTheme="minorEastAsia"/>
          <w:color w:val="auto"/>
          <w:sz w:val="24"/>
          <w:szCs w:val="24"/>
          <w:highlight w:val="none"/>
        </w:rPr>
      </w:pPr>
      <w:r>
        <w:rPr>
          <w:rFonts w:hint="eastAsia" w:asciiTheme="minorEastAsia" w:hAnsiTheme="minorEastAsia" w:cstheme="minorEastAsia"/>
          <w:color w:val="auto"/>
          <w:kern w:val="0"/>
          <w:sz w:val="24"/>
          <w:szCs w:val="24"/>
          <w:highlight w:val="none"/>
        </w:rPr>
        <w:t xml:space="preserve">    5.1  </w:t>
      </w:r>
      <w:r>
        <w:rPr>
          <w:rFonts w:asciiTheme="minorEastAsia" w:hAnsiTheme="minorEastAsia"/>
          <w:color w:val="auto"/>
          <w:sz w:val="24"/>
          <w:szCs w:val="24"/>
          <w:highlight w:val="none"/>
        </w:rPr>
        <w:t>供应商须知前附表规定不组织踏勘现场。</w:t>
      </w:r>
    </w:p>
    <w:p w14:paraId="274610EF">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5.2  供应商自行踏勘现场发生的费用自理。</w:t>
      </w:r>
    </w:p>
    <w:p w14:paraId="45DC8D5F">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5.3  供应商经现场踏勘自行获取有关现场的资料和数据，采购人对供应商由此而作出的推论、理解和结论均不负责任。</w:t>
      </w:r>
    </w:p>
    <w:p w14:paraId="6485FF2B">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5.4  经采购人允许，供应商可为踏勘目的进入采购人的项目现场，但供应商不得因此使采购人承担有关的责任和蒙受损失。供应商应承担踏勘现场的责任和风险。</w:t>
      </w:r>
    </w:p>
    <w:p w14:paraId="6756D09F">
      <w:pPr>
        <w:pStyle w:val="5"/>
        <w:spacing w:line="360" w:lineRule="auto"/>
        <w:ind w:firstLine="482" w:firstLineChars="200"/>
        <w:rPr>
          <w:rFonts w:asciiTheme="minorEastAsia" w:hAnsiTheme="minorEastAsia" w:eastAsiaTheme="minorEastAsia" w:cstheme="minorEastAsia"/>
          <w:color w:val="auto"/>
          <w:kern w:val="0"/>
          <w:sz w:val="24"/>
          <w:szCs w:val="24"/>
          <w:highlight w:val="none"/>
        </w:rPr>
      </w:pPr>
      <w:bookmarkStart w:id="50" w:name="_Toc23152562"/>
      <w:bookmarkStart w:id="51" w:name="_Toc74156190"/>
      <w:bookmarkStart w:id="52" w:name="_Toc23046668"/>
      <w:bookmarkStart w:id="53" w:name="_Toc514238592"/>
      <w:bookmarkStart w:id="54" w:name="_Toc29153318"/>
      <w:bookmarkStart w:id="55" w:name="_Toc19037"/>
      <w:bookmarkStart w:id="56" w:name="_Toc243584231"/>
      <w:r>
        <w:rPr>
          <w:rFonts w:hint="eastAsia" w:asciiTheme="minorEastAsia" w:hAnsiTheme="minorEastAsia" w:eastAsiaTheme="minorEastAsia" w:cstheme="minorEastAsia"/>
          <w:color w:val="auto"/>
          <w:kern w:val="0"/>
          <w:sz w:val="24"/>
          <w:szCs w:val="24"/>
          <w:highlight w:val="none"/>
        </w:rPr>
        <w:t>6. 磋商费用</w:t>
      </w:r>
      <w:bookmarkEnd w:id="50"/>
      <w:bookmarkEnd w:id="51"/>
      <w:bookmarkEnd w:id="52"/>
      <w:bookmarkEnd w:id="53"/>
      <w:bookmarkEnd w:id="54"/>
      <w:bookmarkEnd w:id="55"/>
      <w:bookmarkEnd w:id="56"/>
    </w:p>
    <w:p w14:paraId="476DF83C">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6.1  供应商应承担其参加本采购活动自身发生的所有费用。</w:t>
      </w:r>
    </w:p>
    <w:p w14:paraId="3326E435">
      <w:pPr>
        <w:pStyle w:val="5"/>
        <w:spacing w:line="360" w:lineRule="auto"/>
        <w:jc w:val="center"/>
        <w:rPr>
          <w:rFonts w:asciiTheme="minorEastAsia" w:hAnsiTheme="minorEastAsia" w:eastAsiaTheme="minorEastAsia" w:cstheme="minorEastAsia"/>
          <w:color w:val="auto"/>
          <w:kern w:val="0"/>
          <w:sz w:val="24"/>
          <w:szCs w:val="24"/>
          <w:highlight w:val="none"/>
        </w:rPr>
      </w:pPr>
      <w:bookmarkStart w:id="57" w:name="_Toc806"/>
      <w:bookmarkStart w:id="58" w:name="_Toc243584232"/>
      <w:bookmarkStart w:id="59" w:name="_Toc74156191"/>
      <w:bookmarkStart w:id="60" w:name="_Toc29153319"/>
      <w:bookmarkStart w:id="61" w:name="_Toc514238594"/>
      <w:bookmarkStart w:id="62" w:name="_Toc23152564"/>
      <w:bookmarkStart w:id="63" w:name="_Toc23046670"/>
      <w:r>
        <w:rPr>
          <w:rFonts w:hint="eastAsia" w:asciiTheme="minorEastAsia" w:hAnsiTheme="minorEastAsia" w:eastAsiaTheme="minorEastAsia" w:cstheme="minorEastAsia"/>
          <w:color w:val="auto"/>
          <w:kern w:val="0"/>
          <w:sz w:val="24"/>
          <w:szCs w:val="24"/>
          <w:highlight w:val="none"/>
        </w:rPr>
        <w:t>（二） 竞争性磋商采购文件</w:t>
      </w:r>
      <w:bookmarkEnd w:id="57"/>
      <w:bookmarkEnd w:id="58"/>
      <w:bookmarkEnd w:id="59"/>
      <w:bookmarkEnd w:id="60"/>
      <w:bookmarkEnd w:id="61"/>
      <w:bookmarkEnd w:id="62"/>
      <w:bookmarkEnd w:id="63"/>
    </w:p>
    <w:p w14:paraId="64B67B4F">
      <w:pPr>
        <w:pStyle w:val="5"/>
        <w:spacing w:line="360" w:lineRule="auto"/>
        <w:ind w:firstLine="482" w:firstLineChars="200"/>
        <w:rPr>
          <w:rFonts w:asciiTheme="minorEastAsia" w:hAnsiTheme="minorEastAsia" w:eastAsiaTheme="minorEastAsia" w:cstheme="minorEastAsia"/>
          <w:color w:val="auto"/>
          <w:kern w:val="0"/>
          <w:sz w:val="24"/>
          <w:szCs w:val="24"/>
          <w:highlight w:val="none"/>
        </w:rPr>
      </w:pPr>
      <w:bookmarkStart w:id="64" w:name="_Toc29153320"/>
      <w:bookmarkStart w:id="65" w:name="_Toc4788"/>
      <w:bookmarkStart w:id="66" w:name="_Toc243584233"/>
      <w:r>
        <w:rPr>
          <w:rFonts w:hint="eastAsia" w:asciiTheme="minorEastAsia" w:hAnsiTheme="minorEastAsia" w:eastAsiaTheme="minorEastAsia" w:cstheme="minorEastAsia"/>
          <w:color w:val="auto"/>
          <w:kern w:val="0"/>
          <w:sz w:val="24"/>
          <w:szCs w:val="24"/>
          <w:highlight w:val="none"/>
        </w:rPr>
        <w:t>7. 竞争性磋商采购文件的组成</w:t>
      </w:r>
      <w:bookmarkEnd w:id="64"/>
      <w:bookmarkEnd w:id="65"/>
      <w:bookmarkEnd w:id="66"/>
    </w:p>
    <w:p w14:paraId="48FB5B10">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7.1  竞争性磋商采购文件包括下列内容:</w:t>
      </w:r>
    </w:p>
    <w:p w14:paraId="4706D293">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第一章  磋商须知及磋商须知前附表</w:t>
      </w:r>
    </w:p>
    <w:p w14:paraId="1906070E">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第二章  合同条款及格式（协议书、通用条款、专用条款和工程质量保修书）</w:t>
      </w:r>
    </w:p>
    <w:p w14:paraId="10E74A9D">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第三章  工程技术标准和要求</w:t>
      </w:r>
    </w:p>
    <w:p w14:paraId="7CB066AE">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第四章  图纸</w:t>
      </w:r>
    </w:p>
    <w:p w14:paraId="46B7C805">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第五章  工程量清单</w:t>
      </w:r>
    </w:p>
    <w:p w14:paraId="6EA39FCF">
      <w:pPr>
        <w:adjustRightInd w:val="0"/>
        <w:spacing w:line="360" w:lineRule="auto"/>
        <w:ind w:left="48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第六章  响应文件格式</w:t>
      </w:r>
    </w:p>
    <w:p w14:paraId="494C6A21">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 xml:space="preserve">第七章  </w:t>
      </w:r>
      <w:bookmarkStart w:id="67" w:name="_Toc23046672"/>
      <w:bookmarkStart w:id="68" w:name="_Toc23152566"/>
      <w:bookmarkStart w:id="69" w:name="_Toc514238596"/>
      <w:bookmarkStart w:id="70" w:name="_Toc74156193"/>
      <w:bookmarkStart w:id="71" w:name="_Toc20794"/>
      <w:bookmarkStart w:id="72" w:name="_Toc243584234"/>
      <w:bookmarkStart w:id="73" w:name="_Toc29153321"/>
      <w:r>
        <w:rPr>
          <w:rFonts w:hint="eastAsia" w:asciiTheme="minorEastAsia" w:hAnsiTheme="minorEastAsia" w:cstheme="minorEastAsia"/>
          <w:color w:val="auto"/>
          <w:kern w:val="0"/>
          <w:sz w:val="24"/>
          <w:szCs w:val="24"/>
          <w:highlight w:val="none"/>
        </w:rPr>
        <w:t>评标办法（综合评估法）</w:t>
      </w:r>
    </w:p>
    <w:p w14:paraId="5C52AF3F">
      <w:pPr>
        <w:adjustRightInd w:val="0"/>
        <w:spacing w:line="360" w:lineRule="auto"/>
        <w:ind w:firstLine="482" w:firstLineChars="200"/>
        <w:rPr>
          <w:rFonts w:asciiTheme="minorEastAsia" w:hAnsiTheme="minorEastAsia" w:cstheme="minorEastAsia"/>
          <w:b/>
          <w:bCs/>
          <w:color w:val="auto"/>
          <w:kern w:val="0"/>
          <w:sz w:val="24"/>
          <w:szCs w:val="24"/>
          <w:highlight w:val="none"/>
        </w:rPr>
      </w:pPr>
      <w:r>
        <w:rPr>
          <w:rFonts w:hint="eastAsia" w:asciiTheme="minorEastAsia" w:hAnsiTheme="minorEastAsia" w:cstheme="minorEastAsia"/>
          <w:b/>
          <w:bCs/>
          <w:color w:val="auto"/>
          <w:kern w:val="0"/>
          <w:sz w:val="24"/>
          <w:szCs w:val="24"/>
          <w:highlight w:val="none"/>
        </w:rPr>
        <w:t>8. 竞争性磋商采购文件的</w:t>
      </w:r>
      <w:bookmarkEnd w:id="67"/>
      <w:bookmarkEnd w:id="68"/>
      <w:bookmarkEnd w:id="69"/>
      <w:r>
        <w:rPr>
          <w:rFonts w:hint="eastAsia" w:asciiTheme="minorEastAsia" w:hAnsiTheme="minorEastAsia" w:cstheme="minorEastAsia"/>
          <w:b/>
          <w:bCs/>
          <w:color w:val="auto"/>
          <w:kern w:val="0"/>
          <w:sz w:val="24"/>
          <w:szCs w:val="24"/>
          <w:highlight w:val="none"/>
        </w:rPr>
        <w:t>澄清</w:t>
      </w:r>
      <w:bookmarkEnd w:id="70"/>
      <w:bookmarkEnd w:id="71"/>
      <w:bookmarkEnd w:id="72"/>
      <w:bookmarkEnd w:id="73"/>
      <w:r>
        <w:rPr>
          <w:rFonts w:hint="eastAsia" w:asciiTheme="minorEastAsia" w:hAnsiTheme="minorEastAsia" w:cstheme="minorEastAsia"/>
          <w:b/>
          <w:bCs/>
          <w:color w:val="auto"/>
          <w:kern w:val="0"/>
          <w:sz w:val="24"/>
          <w:szCs w:val="24"/>
          <w:highlight w:val="none"/>
        </w:rPr>
        <w:t>和修改</w:t>
      </w:r>
      <w:bookmarkStart w:id="74" w:name="_Toc23152567"/>
      <w:bookmarkStart w:id="75" w:name="_Toc23046673"/>
      <w:bookmarkStart w:id="76" w:name="_Toc514238597"/>
      <w:bookmarkStart w:id="77" w:name="_Toc29153322"/>
      <w:bookmarkStart w:id="78" w:name="_Toc243584235"/>
      <w:bookmarkStart w:id="79" w:name="_Toc15682"/>
      <w:bookmarkStart w:id="80" w:name="_Toc74156194"/>
      <w:r>
        <w:rPr>
          <w:rFonts w:hint="eastAsia" w:asciiTheme="minorEastAsia" w:hAnsiTheme="minorEastAsia" w:cstheme="minorEastAsia"/>
          <w:b/>
          <w:bCs/>
          <w:color w:val="auto"/>
          <w:kern w:val="0"/>
          <w:sz w:val="24"/>
          <w:szCs w:val="24"/>
          <w:highlight w:val="none"/>
        </w:rPr>
        <w:t xml:space="preserve"> </w:t>
      </w:r>
    </w:p>
    <w:p w14:paraId="709ED238">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8</w:t>
      </w:r>
      <w:r>
        <w:rPr>
          <w:rFonts w:asciiTheme="minorEastAsia" w:hAnsiTheme="minorEastAsia" w:cstheme="minorEastAsia"/>
          <w:color w:val="auto"/>
          <w:kern w:val="0"/>
          <w:sz w:val="24"/>
          <w:szCs w:val="24"/>
          <w:highlight w:val="none"/>
        </w:rPr>
        <w:t>.1</w:t>
      </w:r>
      <w:r>
        <w:rPr>
          <w:rFonts w:hint="eastAsia" w:asciiTheme="minorEastAsia" w:hAnsiTheme="minorEastAsia" w:cstheme="minorEastAsia"/>
          <w:color w:val="auto"/>
          <w:kern w:val="0"/>
          <w:sz w:val="24"/>
          <w:szCs w:val="24"/>
          <w:highlight w:val="none"/>
        </w:rPr>
        <w:t xml:space="preserve">磋商供应商应认真审核采购中的项目需求及要求，如发现采购需求中需求及要求有误或要求不合理的，磋商供应商必须在规定的时间前要求澄清，否则，由此产生的后果由磋商供应商负责。  </w:t>
      </w:r>
    </w:p>
    <w:p w14:paraId="765D85E9">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asciiTheme="minorEastAsia" w:hAnsiTheme="minorEastAsia" w:cstheme="minorEastAsia"/>
          <w:color w:val="auto"/>
          <w:kern w:val="0"/>
          <w:sz w:val="24"/>
          <w:szCs w:val="24"/>
          <w:highlight w:val="none"/>
        </w:rPr>
        <w:t>8</w:t>
      </w:r>
      <w:r>
        <w:rPr>
          <w:rFonts w:hint="eastAsia" w:asciiTheme="minorEastAsia" w:hAnsiTheme="minorEastAsia" w:cstheme="minorEastAsia"/>
          <w:color w:val="auto"/>
          <w:kern w:val="0"/>
          <w:sz w:val="24"/>
          <w:szCs w:val="24"/>
          <w:highlight w:val="none"/>
        </w:rPr>
        <w:t xml:space="preserve">.2 任何要求澄清竞争性磋商文件的磋商供应商，在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  </w:t>
      </w:r>
    </w:p>
    <w:p w14:paraId="38D15415">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asciiTheme="minorEastAsia" w:hAnsiTheme="minorEastAsia" w:cstheme="minorEastAsia"/>
          <w:color w:val="auto"/>
          <w:kern w:val="0"/>
          <w:sz w:val="24"/>
          <w:szCs w:val="24"/>
          <w:highlight w:val="none"/>
        </w:rPr>
        <w:t>8</w:t>
      </w:r>
      <w:r>
        <w:rPr>
          <w:rFonts w:hint="eastAsia" w:asciiTheme="minorEastAsia" w:hAnsiTheme="minorEastAsia" w:cstheme="minorEastAsia"/>
          <w:color w:val="auto"/>
          <w:kern w:val="0"/>
          <w:sz w:val="24"/>
          <w:szCs w:val="24"/>
          <w:highlight w:val="none"/>
        </w:rPr>
        <w:t xml:space="preserve">.3 本公司对已发出的磋商文件进行必要澄清或者修改的，在竞争性磋商文件要求提交竞争性磋商响应文件截止时间五日前（不足五日顺延），在http://www.ccgp.gov.cn（中国政府采购网）、http://zfcg.gxzf.gov.cn/（广西壮族自治区政府采购网）、http:/117.141.250.58:10030/web/cgw/index.ptl（梧州市政府采购网）上发布更正公告，该澄清或者修改的内容为竞争性磋商文件的组成部分。  </w:t>
      </w:r>
    </w:p>
    <w:p w14:paraId="650A249D">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asciiTheme="minorEastAsia" w:hAnsiTheme="minorEastAsia" w:cstheme="minorEastAsia"/>
          <w:color w:val="auto"/>
          <w:kern w:val="0"/>
          <w:sz w:val="24"/>
          <w:szCs w:val="24"/>
          <w:highlight w:val="none"/>
        </w:rPr>
        <w:t>8</w:t>
      </w:r>
      <w:r>
        <w:rPr>
          <w:rFonts w:hint="eastAsia" w:asciiTheme="minorEastAsia" w:hAnsiTheme="minorEastAsia" w:cstheme="minorEastAsia"/>
          <w:color w:val="auto"/>
          <w:kern w:val="0"/>
          <w:sz w:val="24"/>
          <w:szCs w:val="24"/>
          <w:highlight w:val="none"/>
        </w:rPr>
        <w:t>.4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44747B5">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磋商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bookmarkEnd w:id="74"/>
    <w:bookmarkEnd w:id="75"/>
    <w:bookmarkEnd w:id="76"/>
    <w:bookmarkEnd w:id="77"/>
    <w:bookmarkEnd w:id="78"/>
    <w:bookmarkEnd w:id="79"/>
    <w:bookmarkEnd w:id="80"/>
    <w:p w14:paraId="2ED1062F">
      <w:pPr>
        <w:numPr>
          <w:ilvl w:val="0"/>
          <w:numId w:val="2"/>
        </w:numPr>
        <w:adjustRightInd w:val="0"/>
        <w:spacing w:line="360" w:lineRule="auto"/>
        <w:ind w:firstLine="422" w:firstLineChars="175"/>
        <w:rPr>
          <w:rFonts w:asciiTheme="minorEastAsia" w:hAnsiTheme="minorEastAsia" w:cstheme="minorEastAsia"/>
          <w:b/>
          <w:bCs/>
          <w:color w:val="auto"/>
          <w:kern w:val="0"/>
          <w:sz w:val="24"/>
          <w:szCs w:val="24"/>
          <w:highlight w:val="none"/>
        </w:rPr>
      </w:pPr>
      <w:r>
        <w:rPr>
          <w:rFonts w:hint="eastAsia" w:asciiTheme="minorEastAsia" w:hAnsiTheme="minorEastAsia" w:cstheme="minorEastAsia"/>
          <w:b/>
          <w:bCs/>
          <w:color w:val="auto"/>
          <w:kern w:val="0"/>
          <w:sz w:val="24"/>
          <w:szCs w:val="24"/>
          <w:highlight w:val="none"/>
        </w:rPr>
        <w:t>质疑与投诉</w:t>
      </w:r>
      <w:bookmarkStart w:id="81" w:name="_Toc29901"/>
      <w:bookmarkStart w:id="82" w:name="_Toc243584236"/>
      <w:bookmarkStart w:id="83" w:name="_Toc29153323"/>
      <w:bookmarkStart w:id="84" w:name="_Toc74156195"/>
    </w:p>
    <w:p w14:paraId="6427B72C">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有关质疑处理必须先经过质疑程序，依照相关规定执行。磋商供应商认为竞争性磋商采购文件、磋商过程和成交结果使自己的权益受到损害的，可以在知道或者应知其权益受到损害之日起七个工作日内，以书面质疑形式向采购代理机构提交。</w:t>
      </w:r>
    </w:p>
    <w:p w14:paraId="7692AADA">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磋商供应商质疑实行实名制，其质疑应当有具体的质疑事项及事实根据，不得进行虚假、恶意质疑。</w:t>
      </w:r>
    </w:p>
    <w:p w14:paraId="3D6B03F0">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磋商供应商质疑时，应当提交质疑书原件，质疑书应当包括下列主要内容：</w:t>
      </w:r>
    </w:p>
    <w:p w14:paraId="3BF0AFD1">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（1）供应商的姓名或者名称、地址、邮编、联系人及联系电话；</w:t>
      </w:r>
    </w:p>
    <w:p w14:paraId="2DB878F8">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（2）质疑项目的名称、编号；</w:t>
      </w:r>
    </w:p>
    <w:p w14:paraId="68DFB9E6">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（3）具体、明确的质疑事项和与质疑事项相关的请求；</w:t>
      </w:r>
    </w:p>
    <w:p w14:paraId="2B033DEB">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（4）事实依据；</w:t>
      </w:r>
    </w:p>
    <w:p w14:paraId="4C947769">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（5）必要的法律依据；</w:t>
      </w:r>
    </w:p>
    <w:p w14:paraId="172275A2">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（6）提出质疑的日期；</w:t>
      </w:r>
    </w:p>
    <w:p w14:paraId="4F5CD8AA">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质疑书应当署名。质疑磋商供应商为法人或者其他组织的，应当由法定代表人或者主要负责人签字盖章并加盖公章。</w:t>
      </w:r>
    </w:p>
    <w:p w14:paraId="2319CE8D">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质疑磋商供应商可以委托代理人办理质疑事务。代理人办理质疑事务时，除提交质疑书外，还应当提交质疑磋商供应商的授权委托书，授权委托书应当载明委托代理的具体权限和事项。</w:t>
      </w:r>
    </w:p>
    <w:p w14:paraId="3498EEB6">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质疑磋商供应商提起质疑应当符合下列条件：</w:t>
      </w:r>
    </w:p>
    <w:p w14:paraId="433AC53B">
      <w:pPr>
        <w:numPr>
          <w:ilvl w:val="0"/>
          <w:numId w:val="3"/>
        </w:num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质疑磋商供应商是参与所质疑政府采购活动的竞争单位；</w:t>
      </w:r>
    </w:p>
    <w:p w14:paraId="3B924FA5">
      <w:pPr>
        <w:numPr>
          <w:ilvl w:val="0"/>
          <w:numId w:val="3"/>
        </w:num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质疑书内容符合本章第5.3项的规定；</w:t>
      </w:r>
    </w:p>
    <w:p w14:paraId="05617201">
      <w:pPr>
        <w:adjustRightInd w:val="0"/>
        <w:spacing w:line="360" w:lineRule="auto"/>
        <w:ind w:left="420" w:leftChars="200"/>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（3）在质疑有效期限内提起质疑；</w:t>
      </w:r>
    </w:p>
    <w:p w14:paraId="0DB71E53">
      <w:pPr>
        <w:adjustRightInd w:val="0"/>
        <w:spacing w:line="360" w:lineRule="auto"/>
        <w:ind w:firstLine="420" w:firstLineChars="175"/>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（4）属于所质疑的采购代理机构组织的采购活动；</w:t>
      </w:r>
    </w:p>
    <w:p w14:paraId="64BD80B3">
      <w:pPr>
        <w:adjustRightInd w:val="0"/>
        <w:spacing w:line="360" w:lineRule="auto"/>
        <w:ind w:firstLine="420" w:firstLineChars="175"/>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（5）同一质疑事项未经采购代理机构质疑处理；</w:t>
      </w:r>
    </w:p>
    <w:p w14:paraId="2D086A79">
      <w:pPr>
        <w:adjustRightInd w:val="0"/>
        <w:spacing w:line="360" w:lineRule="auto"/>
        <w:ind w:firstLine="420" w:firstLineChars="175"/>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（6）财政部门规定的其他条件。</w:t>
      </w:r>
    </w:p>
    <w:p w14:paraId="3DE5BAF9">
      <w:pPr>
        <w:adjustRightInd w:val="0"/>
        <w:spacing w:line="360" w:lineRule="auto"/>
        <w:ind w:firstLine="420" w:firstLineChars="175"/>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 xml:space="preserve">  采购代理机构应当在收到磋商供应商的书面质疑后七个工作日内对质疑事项作出答复，并以书面形式通知质疑磋商供应商及其他有关磋商供应商。但答复的内容不得涉及商业秘密。</w:t>
      </w:r>
    </w:p>
    <w:p w14:paraId="03B5E066">
      <w:pPr>
        <w:adjustRightInd w:val="0"/>
        <w:spacing w:line="360" w:lineRule="auto"/>
        <w:ind w:firstLine="420" w:firstLineChars="175"/>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接收质疑函的方式、联系部门、联系电话和通讯地址：</w:t>
      </w:r>
    </w:p>
    <w:p w14:paraId="3408CD56">
      <w:pPr>
        <w:spacing w:line="360" w:lineRule="auto"/>
        <w:ind w:firstLine="638" w:firstLineChars="266"/>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cstheme="minorEastAsia"/>
          <w:bCs/>
          <w:color w:val="auto"/>
          <w:kern w:val="0"/>
          <w:sz w:val="24"/>
          <w:szCs w:val="24"/>
          <w:highlight w:val="none"/>
        </w:rPr>
        <w:t>采购代理机构：</w:t>
      </w:r>
      <w:r>
        <w:rPr>
          <w:rFonts w:hint="eastAsia" w:asciiTheme="minorEastAsia" w:hAnsiTheme="minorEastAsia" w:cstheme="minorEastAsia"/>
          <w:color w:val="auto"/>
          <w:sz w:val="24"/>
          <w:szCs w:val="24"/>
          <w:highlight w:val="none"/>
          <w:lang w:eastAsia="zh-CN"/>
        </w:rPr>
        <w:t>广西大融合工程咨询有限公司</w:t>
      </w:r>
    </w:p>
    <w:p w14:paraId="3472F985">
      <w:pPr>
        <w:spacing w:line="360" w:lineRule="auto"/>
        <w:ind w:firstLine="480" w:firstLineChars="200"/>
        <w:rPr>
          <w:rFonts w:hint="eastAsia" w:cs="宋体" w:asciiTheme="minorEastAsia" w:hAnsiTheme="minorEastAsia" w:eastAsiaTheme="minorEastAsia"/>
          <w:color w:val="auto"/>
          <w:sz w:val="24"/>
          <w:szCs w:val="24"/>
          <w:highlight w:val="none"/>
          <w:lang w:eastAsia="zh-CN"/>
        </w:rPr>
      </w:pPr>
      <w:r>
        <w:rPr>
          <w:rFonts w:hint="eastAsia" w:asciiTheme="minorEastAsia" w:hAnsiTheme="minorEastAsia" w:cstheme="minorEastAsia"/>
          <w:color w:val="auto"/>
          <w:sz w:val="24"/>
          <w:szCs w:val="24"/>
          <w:highlight w:val="none"/>
        </w:rPr>
        <w:t xml:space="preserve"> 地 址：梧州市长洲区西环路上段16号丰业山庄B区41幢</w:t>
      </w:r>
    </w:p>
    <w:p w14:paraId="0315B85C">
      <w:pPr>
        <w:spacing w:line="360" w:lineRule="auto"/>
        <w:ind w:left="1200" w:hanging="1200" w:hangingChars="500"/>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rPr>
        <w:t xml:space="preserve">     联系人及电话：</w:t>
      </w:r>
      <w:r>
        <w:rPr>
          <w:rFonts w:hint="eastAsia" w:cs="宋体" w:asciiTheme="minorEastAsia" w:hAnsiTheme="minorEastAsia"/>
          <w:bCs/>
          <w:color w:val="auto"/>
          <w:kern w:val="0"/>
          <w:sz w:val="24"/>
          <w:szCs w:val="24"/>
          <w:highlight w:val="none"/>
        </w:rPr>
        <w:t>李工  0774-</w:t>
      </w:r>
      <w:r>
        <w:rPr>
          <w:rFonts w:hint="eastAsia" w:cs="宋体" w:asciiTheme="minorEastAsia" w:hAnsiTheme="minorEastAsia"/>
          <w:bCs/>
          <w:color w:val="auto"/>
          <w:kern w:val="0"/>
          <w:sz w:val="24"/>
          <w:szCs w:val="24"/>
          <w:highlight w:val="none"/>
          <w:lang w:val="en-US" w:eastAsia="zh-CN"/>
        </w:rPr>
        <w:t>3888098</w:t>
      </w:r>
    </w:p>
    <w:p w14:paraId="4E0F5DDA">
      <w:pPr>
        <w:pStyle w:val="5"/>
        <w:spacing w:line="360" w:lineRule="auto"/>
        <w:rPr>
          <w:rFonts w:asciiTheme="minorEastAsia" w:hAnsiTheme="minorEastAsia" w:eastAsiaTheme="minorEastAsia" w:cstheme="minorEastAsia"/>
          <w:b w:val="0"/>
          <w:bCs/>
          <w:color w:val="auto"/>
          <w:kern w:val="0"/>
          <w:sz w:val="24"/>
          <w:szCs w:val="24"/>
          <w:highlight w:val="none"/>
        </w:rPr>
      </w:pPr>
      <w:r>
        <w:rPr>
          <w:rFonts w:hint="eastAsia" w:asciiTheme="minorEastAsia" w:hAnsiTheme="minorEastAsia" w:eastAsiaTheme="minorEastAsia" w:cstheme="minorEastAsia"/>
          <w:b w:val="0"/>
          <w:bCs/>
          <w:color w:val="auto"/>
          <w:kern w:val="0"/>
          <w:sz w:val="24"/>
          <w:szCs w:val="24"/>
          <w:highlight w:val="none"/>
        </w:rPr>
        <w:t>质疑磋商供应商必须首先经过质疑程序，在对采购代理机构的答复不满意或者采购代理机构未在规定的时间内做出答复的，可以在答复期满后十五个工作日内书面向监督管理机构投诉。</w:t>
      </w:r>
    </w:p>
    <w:p w14:paraId="4C34A470">
      <w:pPr>
        <w:pStyle w:val="5"/>
        <w:spacing w:line="360" w:lineRule="auto"/>
        <w:ind w:firstLine="480" w:firstLineChars="200"/>
        <w:rPr>
          <w:rFonts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b w:val="0"/>
          <w:bCs/>
          <w:color w:val="auto"/>
          <w:kern w:val="0"/>
          <w:sz w:val="24"/>
          <w:szCs w:val="24"/>
          <w:highlight w:val="none"/>
        </w:rPr>
        <w:t>监督管理机构在处理投诉事项期间，可以视具体情况书面通知采购当事人暂停采购活动。</w:t>
      </w:r>
    </w:p>
    <w:p w14:paraId="5EDFCAA1">
      <w:pPr>
        <w:pStyle w:val="5"/>
        <w:spacing w:line="360" w:lineRule="auto"/>
        <w:ind w:firstLine="482" w:firstLineChars="200"/>
        <w:jc w:val="center"/>
        <w:rPr>
          <w:rFonts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（三） 响应文件的编制</w:t>
      </w:r>
      <w:bookmarkEnd w:id="81"/>
      <w:bookmarkEnd w:id="82"/>
      <w:bookmarkEnd w:id="83"/>
      <w:bookmarkEnd w:id="84"/>
    </w:p>
    <w:p w14:paraId="1BFB45C2">
      <w:pPr>
        <w:pStyle w:val="5"/>
        <w:spacing w:line="360" w:lineRule="auto"/>
        <w:ind w:firstLine="482" w:firstLineChars="200"/>
        <w:rPr>
          <w:rFonts w:asciiTheme="minorEastAsia" w:hAnsiTheme="minorEastAsia" w:eastAsiaTheme="minorEastAsia" w:cstheme="minorEastAsia"/>
          <w:color w:val="auto"/>
          <w:kern w:val="0"/>
          <w:sz w:val="24"/>
          <w:szCs w:val="24"/>
          <w:highlight w:val="none"/>
        </w:rPr>
      </w:pPr>
      <w:bookmarkStart w:id="85" w:name="_Toc23152571"/>
      <w:bookmarkStart w:id="86" w:name="_Toc23046677"/>
      <w:bookmarkStart w:id="87" w:name="_Toc514238601"/>
      <w:bookmarkStart w:id="88" w:name="_Toc17397"/>
      <w:bookmarkStart w:id="89" w:name="_Toc74156196"/>
      <w:bookmarkStart w:id="90" w:name="_Toc29153324"/>
      <w:bookmarkStart w:id="91" w:name="_Toc243584237"/>
      <w:r>
        <w:rPr>
          <w:rFonts w:hint="eastAsia" w:asciiTheme="minorEastAsia" w:hAnsiTheme="minorEastAsia" w:eastAsiaTheme="minorEastAsia" w:cstheme="minorEastAsia"/>
          <w:color w:val="auto"/>
          <w:kern w:val="0"/>
          <w:sz w:val="24"/>
          <w:szCs w:val="24"/>
          <w:highlight w:val="none"/>
        </w:rPr>
        <w:t>10. 响应文件的语言</w:t>
      </w:r>
      <w:bookmarkEnd w:id="85"/>
      <w:bookmarkEnd w:id="86"/>
      <w:bookmarkEnd w:id="87"/>
      <w:r>
        <w:rPr>
          <w:rFonts w:hint="eastAsia" w:asciiTheme="minorEastAsia" w:hAnsiTheme="minorEastAsia" w:eastAsiaTheme="minorEastAsia" w:cstheme="minorEastAsia"/>
          <w:color w:val="auto"/>
          <w:kern w:val="0"/>
          <w:sz w:val="24"/>
          <w:szCs w:val="24"/>
          <w:highlight w:val="none"/>
        </w:rPr>
        <w:t>及计量单位</w:t>
      </w:r>
      <w:bookmarkEnd w:id="88"/>
      <w:bookmarkEnd w:id="89"/>
      <w:bookmarkEnd w:id="90"/>
      <w:bookmarkEnd w:id="91"/>
    </w:p>
    <w:p w14:paraId="23426EE9">
      <w:pPr>
        <w:pStyle w:val="5"/>
        <w:spacing w:line="360" w:lineRule="auto"/>
        <w:rPr>
          <w:rFonts w:asciiTheme="minorEastAsia" w:hAnsiTheme="minorEastAsia" w:eastAsiaTheme="minorEastAsia" w:cstheme="minorEastAsia"/>
          <w:b w:val="0"/>
          <w:color w:val="auto"/>
          <w:kern w:val="0"/>
          <w:sz w:val="24"/>
          <w:szCs w:val="24"/>
          <w:highlight w:val="none"/>
        </w:rPr>
      </w:pPr>
      <w:r>
        <w:rPr>
          <w:rFonts w:hint="eastAsia" w:asciiTheme="minorEastAsia" w:hAnsiTheme="minorEastAsia" w:eastAsiaTheme="minorEastAsia" w:cstheme="minorEastAsia"/>
          <w:b w:val="0"/>
          <w:color w:val="auto"/>
          <w:kern w:val="0"/>
          <w:sz w:val="24"/>
          <w:szCs w:val="24"/>
          <w:highlight w:val="none"/>
        </w:rPr>
        <w:t xml:space="preserve">    </w:t>
      </w:r>
      <w:bookmarkStart w:id="92" w:name="_Toc31508"/>
      <w:r>
        <w:rPr>
          <w:rFonts w:hint="eastAsia" w:asciiTheme="minorEastAsia" w:hAnsiTheme="minorEastAsia" w:eastAsiaTheme="minorEastAsia" w:cstheme="minorEastAsia"/>
          <w:b w:val="0"/>
          <w:color w:val="auto"/>
          <w:kern w:val="0"/>
          <w:sz w:val="24"/>
          <w:szCs w:val="24"/>
          <w:highlight w:val="none"/>
        </w:rPr>
        <w:t xml:space="preserve">10.1 </w:t>
      </w:r>
      <w:r>
        <w:rPr>
          <w:rFonts w:hint="eastAsia" w:asciiTheme="minorEastAsia" w:hAnsiTheme="minorEastAsia" w:eastAsiaTheme="minorEastAsia" w:cstheme="minorEastAsia"/>
          <w:b w:val="0"/>
          <w:bCs/>
          <w:color w:val="auto"/>
          <w:kern w:val="0"/>
          <w:sz w:val="24"/>
          <w:szCs w:val="24"/>
          <w:highlight w:val="none"/>
        </w:rPr>
        <w:t>响应</w:t>
      </w:r>
      <w:r>
        <w:rPr>
          <w:rFonts w:hint="eastAsia" w:asciiTheme="minorEastAsia" w:hAnsiTheme="minorEastAsia" w:eastAsiaTheme="minorEastAsia" w:cstheme="minorEastAsia"/>
          <w:b w:val="0"/>
          <w:color w:val="auto"/>
          <w:kern w:val="0"/>
          <w:sz w:val="24"/>
          <w:szCs w:val="24"/>
          <w:highlight w:val="none"/>
        </w:rPr>
        <w:t>文件和与磋商有关的所有文件均应使用中文。</w:t>
      </w:r>
      <w:bookmarkEnd w:id="92"/>
    </w:p>
    <w:p w14:paraId="0374979E">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10.2  除工程规范另有规定外，</w:t>
      </w:r>
      <w:r>
        <w:rPr>
          <w:rFonts w:hint="eastAsia" w:asciiTheme="minorEastAsia" w:hAnsiTheme="minorEastAsia" w:cstheme="minorEastAsia"/>
          <w:bCs/>
          <w:color w:val="auto"/>
          <w:kern w:val="0"/>
          <w:sz w:val="24"/>
          <w:szCs w:val="24"/>
          <w:highlight w:val="none"/>
        </w:rPr>
        <w:t>响应</w:t>
      </w:r>
      <w:r>
        <w:rPr>
          <w:rFonts w:hint="eastAsia" w:asciiTheme="minorEastAsia" w:hAnsiTheme="minorEastAsia" w:cstheme="minorEastAsia"/>
          <w:color w:val="auto"/>
          <w:kern w:val="0"/>
          <w:sz w:val="24"/>
          <w:szCs w:val="24"/>
          <w:highlight w:val="none"/>
        </w:rPr>
        <w:t>文件使用的计量单位，均采用中华人民共和国法定计量单位。</w:t>
      </w:r>
    </w:p>
    <w:p w14:paraId="44405029">
      <w:pPr>
        <w:spacing w:line="360" w:lineRule="auto"/>
        <w:ind w:firstLine="354" w:firstLineChars="147"/>
        <w:rPr>
          <w:rFonts w:cs="宋体" w:asciiTheme="minorEastAsia" w:hAnsiTheme="minorEastAsia"/>
          <w:color w:val="auto"/>
          <w:sz w:val="24"/>
          <w:szCs w:val="24"/>
          <w:highlight w:val="none"/>
        </w:rPr>
      </w:pPr>
      <w:r>
        <w:rPr>
          <w:rStyle w:val="55"/>
          <w:rFonts w:asciiTheme="minorEastAsia" w:hAnsiTheme="minorEastAsia"/>
          <w:b/>
          <w:color w:val="auto"/>
          <w:sz w:val="24"/>
          <w:szCs w:val="24"/>
          <w:highlight w:val="none"/>
        </w:rPr>
        <w:t xml:space="preserve">11.竞争性磋商响应文件编制基本要求 </w:t>
      </w:r>
    </w:p>
    <w:p w14:paraId="79FD9EF4">
      <w:pPr>
        <w:spacing w:line="440" w:lineRule="exact"/>
        <w:ind w:firstLine="360"/>
        <w:rPr>
          <w:rFonts w:asciiTheme="minorEastAsia" w:hAnsiTheme="minorEastAsia"/>
          <w:color w:val="auto"/>
          <w:sz w:val="24"/>
          <w:szCs w:val="24"/>
          <w:highlight w:val="none"/>
        </w:rPr>
      </w:pPr>
      <w:r>
        <w:rPr>
          <w:rFonts w:asciiTheme="minorEastAsia" w:hAnsiTheme="minorEastAsia"/>
          <w:color w:val="auto"/>
          <w:sz w:val="24"/>
          <w:szCs w:val="24"/>
          <w:highlight w:val="none"/>
        </w:rPr>
        <w:t>11</w:t>
      </w:r>
      <w:r>
        <w:rPr>
          <w:rFonts w:hint="eastAsia" w:asciiTheme="minorEastAsia" w:hAnsiTheme="minorEastAsia"/>
          <w:color w:val="auto"/>
          <w:sz w:val="24"/>
          <w:szCs w:val="24"/>
          <w:highlight w:val="none"/>
        </w:rPr>
        <w:t>.1.本项目实行电子投标，供应商应准备电子磋商响应文件：</w:t>
      </w:r>
    </w:p>
    <w:p w14:paraId="59B43536">
      <w:pPr>
        <w:spacing w:line="440" w:lineRule="exact"/>
        <w:ind w:firstLine="360"/>
        <w:rPr>
          <w:rFonts w:asciiTheme="minorEastAsia" w:hAnsiTheme="minorEastAsia"/>
          <w:color w:val="auto"/>
          <w:sz w:val="24"/>
          <w:szCs w:val="24"/>
          <w:highlight w:val="none"/>
        </w:rPr>
      </w:pPr>
      <w:r>
        <w:rPr>
          <w:rFonts w:asciiTheme="minorEastAsia" w:hAnsiTheme="minorEastAsia"/>
          <w:color w:val="auto"/>
          <w:sz w:val="24"/>
          <w:szCs w:val="24"/>
          <w:highlight w:val="none"/>
        </w:rPr>
        <w:t>11</w:t>
      </w:r>
      <w:r>
        <w:rPr>
          <w:rFonts w:hint="eastAsia" w:asciiTheme="minorEastAsia" w:hAnsiTheme="minorEastAsia"/>
          <w:color w:val="auto"/>
          <w:sz w:val="24"/>
          <w:szCs w:val="24"/>
          <w:highlight w:val="none"/>
        </w:rPr>
        <w:t>.1.1电子响应文件按广西政府采购云平台要求及本竞争性磋商文件要求制作、加密并递交。具体操作流程可参考《政府采购项目电子交易管理操作指南-供应商》，指南可在“http://www.ccgp-guangxi.gov.cn/PurchaseAdvisory/ImportantNotice/2866753.html”下载。</w:t>
      </w:r>
    </w:p>
    <w:p w14:paraId="0C71CEB5">
      <w:pPr>
        <w:spacing w:line="360" w:lineRule="auto"/>
        <w:ind w:firstLine="360" w:firstLineChars="150"/>
        <w:rPr>
          <w:rStyle w:val="55"/>
          <w:rFonts w:asciiTheme="minorEastAsia" w:hAnsiTheme="minorEastAsia"/>
          <w:color w:val="auto"/>
          <w:sz w:val="24"/>
          <w:szCs w:val="24"/>
          <w:highlight w:val="none"/>
        </w:rPr>
      </w:pPr>
      <w:r>
        <w:rPr>
          <w:rStyle w:val="55"/>
          <w:rFonts w:asciiTheme="minorEastAsia" w:hAnsiTheme="minorEastAsia"/>
          <w:color w:val="auto"/>
          <w:sz w:val="24"/>
          <w:szCs w:val="24"/>
          <w:highlight w:val="none"/>
        </w:rPr>
        <w:t>11.</w:t>
      </w:r>
      <w:r>
        <w:rPr>
          <w:rStyle w:val="55"/>
          <w:rFonts w:hint="eastAsia" w:asciiTheme="minorEastAsia" w:hAnsiTheme="minorEastAsia"/>
          <w:color w:val="auto"/>
          <w:sz w:val="24"/>
          <w:szCs w:val="24"/>
          <w:highlight w:val="none"/>
        </w:rPr>
        <w:t>2</w:t>
      </w:r>
      <w:r>
        <w:rPr>
          <w:rStyle w:val="55"/>
          <w:rFonts w:asciiTheme="minorEastAsia" w:hAnsiTheme="minorEastAsia"/>
          <w:color w:val="auto"/>
          <w:sz w:val="24"/>
          <w:szCs w:val="24"/>
          <w:highlight w:val="none"/>
        </w:rPr>
        <w:t xml:space="preserve"> 磋商供应商</w:t>
      </w:r>
      <w:r>
        <w:rPr>
          <w:rStyle w:val="55"/>
          <w:rFonts w:hint="eastAsia" w:asciiTheme="minorEastAsia" w:hAnsiTheme="minorEastAsia"/>
          <w:color w:val="auto"/>
          <w:sz w:val="24"/>
          <w:szCs w:val="24"/>
          <w:highlight w:val="none"/>
        </w:rPr>
        <w:t>应按采购文件的要求</w:t>
      </w:r>
      <w:r>
        <w:rPr>
          <w:rStyle w:val="55"/>
          <w:rFonts w:asciiTheme="minorEastAsia" w:hAnsiTheme="minorEastAsia"/>
          <w:color w:val="auto"/>
          <w:sz w:val="24"/>
          <w:szCs w:val="24"/>
          <w:highlight w:val="none"/>
        </w:rPr>
        <w:t>对竞争性磋商</w:t>
      </w:r>
      <w:r>
        <w:rPr>
          <w:rStyle w:val="55"/>
          <w:rFonts w:hint="eastAsia" w:asciiTheme="minorEastAsia" w:hAnsiTheme="minorEastAsia"/>
          <w:color w:val="auto"/>
          <w:sz w:val="24"/>
          <w:szCs w:val="24"/>
          <w:highlight w:val="none"/>
        </w:rPr>
        <w:t>电子</w:t>
      </w:r>
      <w:r>
        <w:rPr>
          <w:rStyle w:val="55"/>
          <w:rFonts w:asciiTheme="minorEastAsia" w:hAnsiTheme="minorEastAsia"/>
          <w:color w:val="auto"/>
          <w:sz w:val="24"/>
          <w:szCs w:val="24"/>
          <w:highlight w:val="none"/>
        </w:rPr>
        <w:t>响应文件</w:t>
      </w:r>
      <w:r>
        <w:rPr>
          <w:rStyle w:val="55"/>
          <w:rFonts w:hint="eastAsia" w:asciiTheme="minorEastAsia" w:hAnsiTheme="minorEastAsia"/>
          <w:color w:val="auto"/>
          <w:sz w:val="24"/>
          <w:szCs w:val="24"/>
          <w:highlight w:val="none"/>
        </w:rPr>
        <w:t>进行</w:t>
      </w:r>
      <w:r>
        <w:rPr>
          <w:rStyle w:val="55"/>
          <w:rFonts w:asciiTheme="minorEastAsia" w:hAnsiTheme="minorEastAsia"/>
          <w:color w:val="auto"/>
          <w:sz w:val="24"/>
          <w:szCs w:val="24"/>
          <w:highlight w:val="none"/>
        </w:rPr>
        <w:t xml:space="preserve">编制。  </w:t>
      </w:r>
    </w:p>
    <w:p w14:paraId="51B1B3DB">
      <w:pPr>
        <w:spacing w:line="360" w:lineRule="auto"/>
        <w:ind w:firstLine="360" w:firstLineChars="150"/>
        <w:rPr>
          <w:rStyle w:val="55"/>
          <w:rFonts w:asciiTheme="minorEastAsia" w:hAnsiTheme="minorEastAsia"/>
          <w:color w:val="auto"/>
          <w:sz w:val="24"/>
          <w:szCs w:val="24"/>
          <w:highlight w:val="none"/>
        </w:rPr>
      </w:pPr>
      <w:r>
        <w:rPr>
          <w:rStyle w:val="55"/>
          <w:rFonts w:asciiTheme="minorEastAsia" w:hAnsiTheme="minorEastAsia"/>
          <w:color w:val="auto"/>
          <w:sz w:val="24"/>
          <w:szCs w:val="24"/>
          <w:highlight w:val="none"/>
        </w:rPr>
        <w:t>11.</w:t>
      </w:r>
      <w:r>
        <w:rPr>
          <w:rStyle w:val="55"/>
          <w:rFonts w:hint="eastAsia" w:asciiTheme="minorEastAsia" w:hAnsiTheme="minorEastAsia"/>
          <w:color w:val="auto"/>
          <w:sz w:val="24"/>
          <w:szCs w:val="24"/>
          <w:highlight w:val="none"/>
        </w:rPr>
        <w:t>3</w:t>
      </w:r>
      <w:r>
        <w:rPr>
          <w:rStyle w:val="55"/>
          <w:rFonts w:asciiTheme="minorEastAsia" w:hAnsiTheme="minorEastAsia"/>
          <w:color w:val="auto"/>
          <w:sz w:val="24"/>
          <w:szCs w:val="24"/>
          <w:highlight w:val="none"/>
        </w:rPr>
        <w:t xml:space="preserve">磋商供应商提交的竞争性磋商响应文件以及磋商供应商与本公司和采购人就有关磋商的所有来往函电均应使用中文。磋商供应商提交的支持文件和印刷的文献可以使用别的语言，但其相应内容必须附有中文翻译文本，在解释竞争性磋商响应文件时以翻译文本为主。  </w:t>
      </w:r>
    </w:p>
    <w:p w14:paraId="0466610D">
      <w:pPr>
        <w:spacing w:line="360" w:lineRule="auto"/>
        <w:ind w:firstLine="360" w:firstLineChars="150"/>
        <w:rPr>
          <w:rStyle w:val="55"/>
          <w:rFonts w:asciiTheme="minorEastAsia" w:hAnsiTheme="minorEastAsia"/>
          <w:color w:val="auto"/>
          <w:sz w:val="24"/>
          <w:szCs w:val="24"/>
          <w:highlight w:val="none"/>
        </w:rPr>
      </w:pPr>
      <w:r>
        <w:rPr>
          <w:rStyle w:val="55"/>
          <w:rFonts w:asciiTheme="minorEastAsia" w:hAnsiTheme="minorEastAsia"/>
          <w:color w:val="auto"/>
          <w:sz w:val="24"/>
          <w:szCs w:val="24"/>
          <w:highlight w:val="none"/>
        </w:rPr>
        <w:t>11.</w:t>
      </w:r>
      <w:r>
        <w:rPr>
          <w:rStyle w:val="55"/>
          <w:rFonts w:hint="eastAsia" w:asciiTheme="minorEastAsia" w:hAnsiTheme="minorEastAsia"/>
          <w:color w:val="auto"/>
          <w:sz w:val="24"/>
          <w:szCs w:val="24"/>
          <w:highlight w:val="none"/>
        </w:rPr>
        <w:t>4</w:t>
      </w:r>
      <w:r>
        <w:rPr>
          <w:rStyle w:val="55"/>
          <w:rFonts w:asciiTheme="minorEastAsia" w:hAnsiTheme="minorEastAsia"/>
          <w:color w:val="auto"/>
          <w:sz w:val="24"/>
          <w:szCs w:val="24"/>
          <w:highlight w:val="none"/>
        </w:rPr>
        <w:t xml:space="preserve"> 磋商供应商应认真阅读、并充分理解本文件的全部内容（包括所有的澄清、更改、补充、答疑等内容），承诺并履行本文件中各项条款规定及要求。  </w:t>
      </w:r>
    </w:p>
    <w:p w14:paraId="70930B27">
      <w:pPr>
        <w:spacing w:line="360" w:lineRule="auto"/>
        <w:ind w:firstLine="360" w:firstLineChars="150"/>
        <w:rPr>
          <w:rStyle w:val="55"/>
          <w:rFonts w:asciiTheme="minorEastAsia" w:hAnsiTheme="minorEastAsia"/>
          <w:color w:val="auto"/>
          <w:sz w:val="24"/>
          <w:szCs w:val="24"/>
          <w:highlight w:val="none"/>
        </w:rPr>
      </w:pPr>
      <w:r>
        <w:rPr>
          <w:rStyle w:val="55"/>
          <w:rFonts w:asciiTheme="minorEastAsia" w:hAnsiTheme="minorEastAsia"/>
          <w:color w:val="auto"/>
          <w:sz w:val="24"/>
          <w:szCs w:val="24"/>
          <w:highlight w:val="none"/>
        </w:rPr>
        <w:t>11.</w:t>
      </w:r>
      <w:r>
        <w:rPr>
          <w:rStyle w:val="55"/>
          <w:rFonts w:hint="eastAsia" w:asciiTheme="minorEastAsia" w:hAnsiTheme="minorEastAsia"/>
          <w:color w:val="auto"/>
          <w:sz w:val="24"/>
          <w:szCs w:val="24"/>
          <w:highlight w:val="none"/>
        </w:rPr>
        <w:t>5</w:t>
      </w:r>
      <w:r>
        <w:rPr>
          <w:rStyle w:val="55"/>
          <w:rFonts w:asciiTheme="minorEastAsia" w:hAnsiTheme="minorEastAsia"/>
          <w:color w:val="auto"/>
          <w:sz w:val="24"/>
          <w:szCs w:val="24"/>
          <w:highlight w:val="none"/>
        </w:rPr>
        <w:t>竞争性磋商响应文件必须按本文件的全部内容，包括所有的澄清、更改、补充、答疑等内容及附件进行编制。</w:t>
      </w:r>
    </w:p>
    <w:p w14:paraId="173CE108">
      <w:pPr>
        <w:spacing w:line="360" w:lineRule="auto"/>
        <w:ind w:firstLine="360" w:firstLineChars="150"/>
        <w:rPr>
          <w:rStyle w:val="55"/>
          <w:rFonts w:asciiTheme="minorEastAsia" w:hAnsiTheme="minorEastAsia"/>
          <w:color w:val="auto"/>
          <w:sz w:val="24"/>
          <w:szCs w:val="24"/>
          <w:highlight w:val="none"/>
        </w:rPr>
      </w:pPr>
      <w:r>
        <w:rPr>
          <w:rStyle w:val="55"/>
          <w:rFonts w:asciiTheme="minorEastAsia" w:hAnsiTheme="minorEastAsia"/>
          <w:color w:val="auto"/>
          <w:sz w:val="24"/>
          <w:szCs w:val="24"/>
          <w:highlight w:val="none"/>
        </w:rPr>
        <w:t>11.</w:t>
      </w:r>
      <w:r>
        <w:rPr>
          <w:rStyle w:val="55"/>
          <w:rFonts w:hint="eastAsia" w:asciiTheme="minorEastAsia" w:hAnsiTheme="minorEastAsia"/>
          <w:color w:val="auto"/>
          <w:sz w:val="24"/>
          <w:szCs w:val="24"/>
          <w:highlight w:val="none"/>
        </w:rPr>
        <w:t>6</w:t>
      </w:r>
      <w:r>
        <w:rPr>
          <w:rStyle w:val="55"/>
          <w:rFonts w:asciiTheme="minorEastAsia" w:hAnsiTheme="minorEastAsia"/>
          <w:color w:val="auto"/>
          <w:sz w:val="24"/>
          <w:szCs w:val="24"/>
          <w:highlight w:val="none"/>
        </w:rPr>
        <w:t xml:space="preserve"> 如因磋商供应商只填写和提供了本文件要求的部分内容和附件，而给磋商小组评审造成困难，其可能导致的结果和责任由磋商供应商自行承担。</w:t>
      </w:r>
    </w:p>
    <w:p w14:paraId="190FDFF0">
      <w:pPr>
        <w:adjustRightInd w:val="0"/>
        <w:spacing w:line="360" w:lineRule="auto"/>
        <w:ind w:firstLine="482" w:firstLineChars="200"/>
        <w:rPr>
          <w:rFonts w:asciiTheme="minorEastAsia" w:hAnsiTheme="minorEastAsia" w:cstheme="minorEastAsia"/>
          <w:b/>
          <w:color w:val="auto"/>
          <w:kern w:val="0"/>
          <w:sz w:val="24"/>
          <w:szCs w:val="24"/>
          <w:highlight w:val="none"/>
        </w:rPr>
      </w:pPr>
      <w:bookmarkStart w:id="93" w:name="_Toc243584238"/>
      <w:bookmarkStart w:id="94" w:name="_Toc5670"/>
      <w:bookmarkStart w:id="95" w:name="_Toc514238602"/>
      <w:bookmarkStart w:id="96" w:name="_Toc74156197"/>
      <w:bookmarkStart w:id="97" w:name="_Toc23152572"/>
      <w:bookmarkStart w:id="98" w:name="_Toc29153325"/>
      <w:bookmarkStart w:id="99" w:name="_Toc23046678"/>
      <w:r>
        <w:rPr>
          <w:rFonts w:hint="eastAsia" w:asciiTheme="minorEastAsia" w:hAnsiTheme="minorEastAsia" w:cstheme="minorEastAsia"/>
          <w:b/>
          <w:color w:val="auto"/>
          <w:kern w:val="0"/>
          <w:sz w:val="24"/>
          <w:szCs w:val="24"/>
          <w:highlight w:val="none"/>
        </w:rPr>
        <w:t>11.</w:t>
      </w:r>
      <w:r>
        <w:rPr>
          <w:rFonts w:asciiTheme="minorEastAsia" w:hAnsiTheme="minorEastAsia" w:cstheme="minorEastAsia"/>
          <w:b/>
          <w:color w:val="auto"/>
          <w:kern w:val="0"/>
          <w:sz w:val="24"/>
          <w:szCs w:val="24"/>
          <w:highlight w:val="none"/>
        </w:rPr>
        <w:t>7</w:t>
      </w:r>
      <w:r>
        <w:rPr>
          <w:rFonts w:hint="eastAsia" w:asciiTheme="minorEastAsia" w:hAnsiTheme="minorEastAsia" w:cstheme="minorEastAsia"/>
          <w:b/>
          <w:color w:val="auto"/>
          <w:kern w:val="0"/>
          <w:sz w:val="24"/>
          <w:szCs w:val="24"/>
          <w:highlight w:val="none"/>
        </w:rPr>
        <w:t xml:space="preserve"> 响应文件的组成</w:t>
      </w:r>
      <w:bookmarkEnd w:id="93"/>
      <w:bookmarkEnd w:id="94"/>
      <w:bookmarkEnd w:id="95"/>
      <w:bookmarkEnd w:id="96"/>
      <w:bookmarkEnd w:id="97"/>
      <w:bookmarkEnd w:id="98"/>
      <w:bookmarkEnd w:id="99"/>
    </w:p>
    <w:p w14:paraId="72D49945">
      <w:pPr>
        <w:adjustRightInd w:val="0"/>
        <w:spacing w:line="360" w:lineRule="auto"/>
        <w:ind w:firstLine="482" w:firstLineChars="200"/>
        <w:rPr>
          <w:rFonts w:asciiTheme="minorEastAsia" w:hAnsiTheme="minorEastAsia" w:cstheme="minorEastAsia"/>
          <w:b/>
          <w:color w:val="auto"/>
          <w:kern w:val="0"/>
          <w:sz w:val="24"/>
          <w:szCs w:val="24"/>
          <w:highlight w:val="none"/>
        </w:rPr>
      </w:pPr>
      <w:bookmarkStart w:id="100" w:name="_Toc74156198"/>
      <w:bookmarkStart w:id="101" w:name="_Toc29153326"/>
      <w:r>
        <w:rPr>
          <w:rFonts w:hint="eastAsia" w:asciiTheme="minorEastAsia" w:hAnsiTheme="minorEastAsia" w:cstheme="minorEastAsia"/>
          <w:b/>
          <w:color w:val="auto"/>
          <w:kern w:val="0"/>
          <w:sz w:val="24"/>
          <w:szCs w:val="24"/>
          <w:highlight w:val="none"/>
        </w:rPr>
        <w:t>11</w:t>
      </w:r>
      <w:r>
        <w:rPr>
          <w:rFonts w:asciiTheme="minorEastAsia" w:hAnsiTheme="minorEastAsia" w:cstheme="minorEastAsia"/>
          <w:b/>
          <w:color w:val="auto"/>
          <w:kern w:val="0"/>
          <w:sz w:val="24"/>
          <w:szCs w:val="24"/>
          <w:highlight w:val="none"/>
        </w:rPr>
        <w:t>.7</w:t>
      </w:r>
      <w:r>
        <w:rPr>
          <w:rFonts w:hint="eastAsia" w:asciiTheme="minorEastAsia" w:hAnsiTheme="minorEastAsia" w:cstheme="minorEastAsia"/>
          <w:b/>
          <w:color w:val="auto"/>
          <w:kern w:val="0"/>
          <w:sz w:val="24"/>
          <w:szCs w:val="24"/>
          <w:highlight w:val="none"/>
        </w:rPr>
        <w:t>.</w:t>
      </w:r>
      <w:r>
        <w:rPr>
          <w:rFonts w:asciiTheme="minorEastAsia" w:hAnsiTheme="minorEastAsia" w:cstheme="minorEastAsia"/>
          <w:b/>
          <w:color w:val="auto"/>
          <w:kern w:val="0"/>
          <w:sz w:val="24"/>
          <w:szCs w:val="24"/>
          <w:highlight w:val="none"/>
        </w:rPr>
        <w:t>1</w:t>
      </w:r>
      <w:r>
        <w:rPr>
          <w:rFonts w:hint="eastAsia" w:asciiTheme="minorEastAsia" w:hAnsiTheme="minorEastAsia" w:cstheme="minorEastAsia"/>
          <w:b/>
          <w:color w:val="auto"/>
          <w:kern w:val="0"/>
          <w:sz w:val="24"/>
          <w:szCs w:val="24"/>
          <w:highlight w:val="none"/>
        </w:rPr>
        <w:t xml:space="preserve"> 响应文件由资格审查部分、商务及技术部分组成。</w:t>
      </w:r>
    </w:p>
    <w:p w14:paraId="3E6554CB">
      <w:pPr>
        <w:adjustRightInd w:val="0"/>
        <w:spacing w:line="360" w:lineRule="auto"/>
        <w:ind w:firstLine="482" w:firstLineChars="200"/>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11.</w:t>
      </w:r>
      <w:r>
        <w:rPr>
          <w:rFonts w:asciiTheme="minorEastAsia" w:hAnsiTheme="minorEastAsia" w:cstheme="minorEastAsia"/>
          <w:b/>
          <w:color w:val="auto"/>
          <w:kern w:val="0"/>
          <w:sz w:val="24"/>
          <w:szCs w:val="24"/>
          <w:highlight w:val="none"/>
        </w:rPr>
        <w:t>7</w:t>
      </w:r>
      <w:r>
        <w:rPr>
          <w:rFonts w:hint="eastAsia" w:asciiTheme="minorEastAsia" w:hAnsiTheme="minorEastAsia" w:cstheme="minorEastAsia"/>
          <w:b/>
          <w:color w:val="auto"/>
          <w:kern w:val="0"/>
          <w:sz w:val="24"/>
          <w:szCs w:val="24"/>
          <w:highlight w:val="none"/>
        </w:rPr>
        <w:t>.</w:t>
      </w:r>
      <w:r>
        <w:rPr>
          <w:rFonts w:asciiTheme="minorEastAsia" w:hAnsiTheme="minorEastAsia" w:cstheme="minorEastAsia"/>
          <w:b/>
          <w:color w:val="auto"/>
          <w:kern w:val="0"/>
          <w:sz w:val="24"/>
          <w:szCs w:val="24"/>
          <w:highlight w:val="none"/>
        </w:rPr>
        <w:t>2</w:t>
      </w:r>
      <w:r>
        <w:rPr>
          <w:rFonts w:hint="eastAsia" w:asciiTheme="minorEastAsia" w:hAnsiTheme="minorEastAsia" w:cstheme="minorEastAsia"/>
          <w:b/>
          <w:color w:val="auto"/>
          <w:kern w:val="0"/>
          <w:sz w:val="24"/>
          <w:szCs w:val="24"/>
          <w:highlight w:val="none"/>
        </w:rPr>
        <w:t xml:space="preserve"> 资格审查部分应包括下列内容：（</w:t>
      </w:r>
      <w:r>
        <w:rPr>
          <w:rFonts w:hint="eastAsia" w:cs="宋体" w:asciiTheme="minorEastAsia" w:hAnsiTheme="minorEastAsia"/>
          <w:b/>
          <w:bCs/>
          <w:color w:val="auto"/>
          <w:sz w:val="24"/>
          <w:szCs w:val="24"/>
          <w:highlight w:val="none"/>
        </w:rPr>
        <w:t>以下材料注明“必须提供”的必须提供</w:t>
      </w:r>
      <w:r>
        <w:rPr>
          <w:rFonts w:hint="eastAsia" w:asciiTheme="minorEastAsia" w:hAnsiTheme="minorEastAsia" w:cstheme="minorEastAsia"/>
          <w:color w:val="auto"/>
          <w:kern w:val="0"/>
          <w:sz w:val="24"/>
          <w:szCs w:val="24"/>
          <w:highlight w:val="none"/>
        </w:rPr>
        <w:t>，</w:t>
      </w:r>
      <w:r>
        <w:rPr>
          <w:rFonts w:hint="eastAsia" w:asciiTheme="minorEastAsia" w:hAnsiTheme="minorEastAsia" w:cstheme="minorEastAsia"/>
          <w:b/>
          <w:color w:val="auto"/>
          <w:kern w:val="0"/>
          <w:sz w:val="24"/>
          <w:szCs w:val="24"/>
          <w:highlight w:val="none"/>
        </w:rPr>
        <w:t>属复印件必须加盖单位公章，否则其</w:t>
      </w:r>
      <w:r>
        <w:rPr>
          <w:rFonts w:hint="eastAsia" w:cs="宋体" w:asciiTheme="minorEastAsia" w:hAnsiTheme="minorEastAsia"/>
          <w:b/>
          <w:bCs/>
          <w:color w:val="auto"/>
          <w:sz w:val="24"/>
          <w:szCs w:val="24"/>
          <w:highlight w:val="none"/>
        </w:rPr>
        <w:t>磋商</w:t>
      </w:r>
      <w:r>
        <w:rPr>
          <w:rFonts w:hint="eastAsia" w:asciiTheme="minorEastAsia" w:hAnsiTheme="minorEastAsia" w:cstheme="minorEastAsia"/>
          <w:b/>
          <w:color w:val="auto"/>
          <w:kern w:val="0"/>
          <w:sz w:val="24"/>
          <w:szCs w:val="24"/>
          <w:highlight w:val="none"/>
        </w:rPr>
        <w:t>无效）</w:t>
      </w:r>
    </w:p>
    <w:p w14:paraId="44EA9D02">
      <w:pPr>
        <w:spacing w:line="312" w:lineRule="auto"/>
        <w:ind w:firstLine="480" w:firstLineChars="200"/>
        <w:rPr>
          <w:rFonts w:asciiTheme="minorEastAsia" w:hAnsiTheme="minorEastAsia" w:cstheme="minorEastAsia"/>
          <w:b/>
          <w:bCs/>
          <w:color w:val="auto"/>
          <w:sz w:val="24"/>
          <w:szCs w:val="24"/>
          <w:highlight w:val="none"/>
        </w:rPr>
      </w:pPr>
      <w:r>
        <w:rPr>
          <w:rFonts w:hint="eastAsia" w:asciiTheme="minorEastAsia" w:hAnsiTheme="minorEastAsia" w:cstheme="minorEastAsia"/>
          <w:color w:val="auto"/>
          <w:sz w:val="24"/>
          <w:szCs w:val="24"/>
          <w:highlight w:val="none"/>
        </w:rPr>
        <w:t>（1）法定代表人资格证明书；</w:t>
      </w:r>
      <w:r>
        <w:rPr>
          <w:rFonts w:hint="eastAsia" w:asciiTheme="minorEastAsia" w:hAnsiTheme="minorEastAsia" w:cstheme="minorEastAsia"/>
          <w:b/>
          <w:bCs/>
          <w:color w:val="auto"/>
          <w:sz w:val="24"/>
          <w:szCs w:val="24"/>
          <w:highlight w:val="none"/>
        </w:rPr>
        <w:t>（必须提供）</w:t>
      </w:r>
    </w:p>
    <w:p w14:paraId="4CAB496D">
      <w:pPr>
        <w:spacing w:line="312"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（2）法定代表人授权书原件及授权代理人身份证复印件（如无授权时则不需提供，复印件加盖供应商的电子签章）；</w:t>
      </w:r>
      <w:r>
        <w:rPr>
          <w:rFonts w:hint="eastAsia" w:asciiTheme="minorEastAsia" w:hAnsiTheme="minorEastAsia" w:cstheme="minorEastAsia"/>
          <w:b/>
          <w:bCs/>
          <w:color w:val="auto"/>
          <w:sz w:val="24"/>
          <w:szCs w:val="24"/>
          <w:highlight w:val="none"/>
        </w:rPr>
        <w:t>（必须提供并加盖供应商的电子签章）</w:t>
      </w:r>
    </w:p>
    <w:p w14:paraId="7818A185">
      <w:pPr>
        <w:spacing w:line="312"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（3）有效的企业营业执照副本复印件；</w:t>
      </w:r>
      <w:r>
        <w:rPr>
          <w:rFonts w:hint="eastAsia" w:asciiTheme="minorEastAsia" w:hAnsiTheme="minorEastAsia" w:cstheme="minorEastAsia"/>
          <w:b/>
          <w:bCs/>
          <w:color w:val="auto"/>
          <w:sz w:val="24"/>
          <w:szCs w:val="24"/>
          <w:highlight w:val="none"/>
        </w:rPr>
        <w:t>（必须提供并加盖供应商的电子签章）</w:t>
      </w:r>
    </w:p>
    <w:p w14:paraId="37D0BF70">
      <w:pPr>
        <w:spacing w:line="312"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（4）有效的安全生产许可证副本复印件；</w:t>
      </w:r>
      <w:r>
        <w:rPr>
          <w:rFonts w:hint="eastAsia" w:asciiTheme="minorEastAsia" w:hAnsiTheme="minorEastAsia" w:cstheme="minorEastAsia"/>
          <w:b/>
          <w:bCs/>
          <w:color w:val="auto"/>
          <w:sz w:val="24"/>
          <w:szCs w:val="24"/>
          <w:highlight w:val="none"/>
        </w:rPr>
        <w:t>（必须提供并加盖供应商的电子签章）</w:t>
      </w:r>
    </w:p>
    <w:p w14:paraId="64840A37">
      <w:pPr>
        <w:spacing w:line="312"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（5）有效的企业资质证书副本复印件；</w:t>
      </w:r>
      <w:r>
        <w:rPr>
          <w:rFonts w:hint="eastAsia" w:asciiTheme="minorEastAsia" w:hAnsiTheme="minorEastAsia" w:cstheme="minorEastAsia"/>
          <w:b/>
          <w:bCs/>
          <w:color w:val="auto"/>
          <w:sz w:val="24"/>
          <w:szCs w:val="24"/>
          <w:highlight w:val="none"/>
        </w:rPr>
        <w:t>（必须提供并加盖供应商的电子签章）</w:t>
      </w:r>
    </w:p>
    <w:p w14:paraId="051F399C">
      <w:pPr>
        <w:spacing w:line="312"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（6）拟投入本项目的项目经理有效的注册建造师资质证书复印件；</w:t>
      </w:r>
      <w:r>
        <w:rPr>
          <w:rFonts w:hint="eastAsia" w:asciiTheme="minorEastAsia" w:hAnsiTheme="minorEastAsia" w:cstheme="minorEastAsia"/>
          <w:b/>
          <w:bCs/>
          <w:color w:val="auto"/>
          <w:sz w:val="24"/>
          <w:szCs w:val="24"/>
          <w:highlight w:val="none"/>
        </w:rPr>
        <w:t>（必须提供并加盖供应商的电子签章）</w:t>
      </w:r>
    </w:p>
    <w:p w14:paraId="57CF9819">
      <w:pPr>
        <w:pStyle w:val="16"/>
        <w:spacing w:line="312" w:lineRule="auto"/>
        <w:ind w:firstLine="544" w:firstLineChars="227"/>
        <w:rPr>
          <w:rFonts w:cs="宋体"/>
          <w:color w:val="auto"/>
          <w:sz w:val="24"/>
          <w:szCs w:val="24"/>
          <w:highlight w:val="none"/>
        </w:rPr>
      </w:pPr>
      <w:r>
        <w:rPr>
          <w:rFonts w:hint="eastAsia" w:cs="宋体"/>
          <w:color w:val="auto"/>
          <w:sz w:val="24"/>
          <w:szCs w:val="24"/>
          <w:highlight w:val="none"/>
        </w:rPr>
        <w:t>（7）</w:t>
      </w:r>
      <w:r>
        <w:rPr>
          <w:rFonts w:hint="eastAsia"/>
          <w:color w:val="auto"/>
          <w:sz w:val="24"/>
          <w:szCs w:val="24"/>
          <w:highlight w:val="none"/>
        </w:rPr>
        <w:t>响应文件递交截止之日前半年内</w:t>
      </w:r>
      <w:r>
        <w:rPr>
          <w:rFonts w:hint="eastAsia"/>
          <w:color w:val="auto"/>
          <w:sz w:val="24"/>
          <w:szCs w:val="24"/>
          <w:highlight w:val="none"/>
          <w:lang w:eastAsia="zh-CN"/>
        </w:rPr>
        <w:t>连续三个月</w:t>
      </w:r>
      <w:r>
        <w:rPr>
          <w:rFonts w:hint="eastAsia"/>
          <w:bCs/>
          <w:color w:val="auto"/>
          <w:sz w:val="24"/>
          <w:szCs w:val="24"/>
          <w:highlight w:val="none"/>
        </w:rPr>
        <w:t>的依法缴纳税费或依法免缴税费的证明[复印件，格式自拟，必须提供]；无纳税记录的，应提供由磋商供应商所在地主管国税、地税部门出具的《依法纳税或依法免税证明》复印件，</w:t>
      </w:r>
      <w:r>
        <w:rPr>
          <w:rFonts w:hint="eastAsia"/>
          <w:b/>
          <w:color w:val="auto"/>
          <w:sz w:val="24"/>
          <w:highlight w:val="none"/>
        </w:rPr>
        <w:t>（</w:t>
      </w:r>
      <w:r>
        <w:rPr>
          <w:rFonts w:hint="eastAsia" w:cs="宋体"/>
          <w:b/>
          <w:color w:val="auto"/>
          <w:sz w:val="24"/>
          <w:highlight w:val="none"/>
        </w:rPr>
        <w:t>从取得营业执照时间起到响应文件提交截止时间为止不足要求月数的，只需提供从取得营业执照起的依法缴纳税收相应证明文件</w:t>
      </w:r>
      <w:r>
        <w:rPr>
          <w:rFonts w:hint="eastAsia"/>
          <w:b/>
          <w:color w:val="auto"/>
          <w:sz w:val="24"/>
          <w:highlight w:val="none"/>
        </w:rPr>
        <w:t>，必须提供并加盖供应商的电子签章）</w:t>
      </w:r>
      <w:r>
        <w:rPr>
          <w:rFonts w:hint="eastAsia"/>
          <w:b/>
          <w:color w:val="auto"/>
          <w:sz w:val="24"/>
          <w:szCs w:val="24"/>
          <w:highlight w:val="none"/>
        </w:rPr>
        <w:t>；</w:t>
      </w:r>
    </w:p>
    <w:p w14:paraId="40C669AD">
      <w:pPr>
        <w:pStyle w:val="16"/>
        <w:spacing w:line="312" w:lineRule="auto"/>
        <w:ind w:firstLine="544" w:firstLineChars="227"/>
        <w:rPr>
          <w:rFonts w:cs="宋体"/>
          <w:color w:val="auto"/>
          <w:sz w:val="24"/>
          <w:szCs w:val="24"/>
          <w:highlight w:val="none"/>
        </w:rPr>
      </w:pPr>
      <w:r>
        <w:rPr>
          <w:rFonts w:hint="eastAsia" w:cs="宋体"/>
          <w:color w:val="auto"/>
          <w:sz w:val="24"/>
          <w:szCs w:val="24"/>
          <w:highlight w:val="none"/>
        </w:rPr>
        <w:t>（8）</w:t>
      </w:r>
      <w:r>
        <w:rPr>
          <w:rFonts w:hint="eastAsia"/>
          <w:color w:val="auto"/>
          <w:sz w:val="24"/>
          <w:highlight w:val="none"/>
        </w:rPr>
        <w:t>响应文件递交截止之日前半年内</w:t>
      </w:r>
      <w:r>
        <w:rPr>
          <w:rFonts w:hint="eastAsia"/>
          <w:color w:val="auto"/>
          <w:sz w:val="24"/>
          <w:highlight w:val="none"/>
          <w:lang w:eastAsia="zh-CN"/>
        </w:rPr>
        <w:t>连续三个月</w:t>
      </w:r>
      <w:r>
        <w:rPr>
          <w:rFonts w:hint="eastAsia"/>
          <w:bCs/>
          <w:color w:val="auto"/>
          <w:sz w:val="24"/>
          <w:highlight w:val="none"/>
        </w:rPr>
        <w:t>依法缴纳社保费的缴费凭证（复印件，格式自拟）[必须提供]；无缴费记录的，应提供由磋商供应商所在地社保部门出具的《依法缴纳或依法免缴社保费证明》复印件，</w:t>
      </w:r>
      <w:r>
        <w:rPr>
          <w:rFonts w:hint="eastAsia"/>
          <w:b/>
          <w:color w:val="auto"/>
          <w:sz w:val="24"/>
          <w:highlight w:val="none"/>
        </w:rPr>
        <w:t>（</w:t>
      </w:r>
      <w:r>
        <w:rPr>
          <w:rFonts w:hint="eastAsia" w:cs="宋体"/>
          <w:b/>
          <w:color w:val="auto"/>
          <w:sz w:val="24"/>
          <w:highlight w:val="none"/>
        </w:rPr>
        <w:t>从取得营业执照时间起到响应文件提交截止时间为止不足要求月数的只需提供从取得营业执照起的依法缴纳社会保障资金的相应证明文件</w:t>
      </w:r>
      <w:r>
        <w:rPr>
          <w:rFonts w:hint="eastAsia"/>
          <w:b/>
          <w:color w:val="auto"/>
          <w:sz w:val="24"/>
          <w:highlight w:val="none"/>
        </w:rPr>
        <w:t>，必须提供并加盖供应商的电子签章）；</w:t>
      </w:r>
    </w:p>
    <w:p w14:paraId="77EC82B2">
      <w:pPr>
        <w:spacing w:line="312"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（9）</w:t>
      </w:r>
      <w:r>
        <w:rPr>
          <w:rFonts w:hint="eastAsia"/>
          <w:color w:val="auto"/>
          <w:sz w:val="24"/>
          <w:highlight w:val="none"/>
        </w:rPr>
        <w:t>供应商202</w:t>
      </w:r>
      <w:r>
        <w:rPr>
          <w:rFonts w:hint="eastAsia"/>
          <w:color w:val="auto"/>
          <w:sz w:val="24"/>
          <w:highlight w:val="none"/>
          <w:lang w:val="en-US" w:eastAsia="zh-CN"/>
        </w:rPr>
        <w:t>5</w:t>
      </w:r>
      <w:r>
        <w:rPr>
          <w:rFonts w:hint="eastAsia"/>
          <w:color w:val="auto"/>
          <w:sz w:val="24"/>
          <w:highlight w:val="none"/>
        </w:rPr>
        <w:t>年的年度财务报告复印件，如财务报告未经相关审计单位审计的须同时由供应商出具财务报表承诺书，承诺该财务报表数据真实可靠；新成立的企业则</w:t>
      </w:r>
      <w:r>
        <w:rPr>
          <w:rFonts w:hint="eastAsia" w:cs="宋体"/>
          <w:color w:val="auto"/>
          <w:sz w:val="24"/>
          <w:highlight w:val="none"/>
        </w:rPr>
        <w:t>提供公司成立时间以来的财务报表</w:t>
      </w:r>
      <w:r>
        <w:rPr>
          <w:rFonts w:hint="eastAsia"/>
          <w:color w:val="auto"/>
          <w:sz w:val="24"/>
          <w:highlight w:val="none"/>
        </w:rPr>
        <w:t>，同时由供应商出具财务报表承诺书，承诺该财务报表数据真实可靠（格式自拟）</w:t>
      </w:r>
      <w:r>
        <w:rPr>
          <w:rFonts w:hint="eastAsia"/>
          <w:b/>
          <w:color w:val="auto"/>
          <w:sz w:val="24"/>
          <w:highlight w:val="none"/>
        </w:rPr>
        <w:t>（必须提供并加盖供应商的电子签章）</w:t>
      </w:r>
    </w:p>
    <w:p w14:paraId="0E11DAF0">
      <w:pPr>
        <w:spacing w:line="312"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（10）政府采购项目投标资格承诺函；</w:t>
      </w:r>
      <w:r>
        <w:rPr>
          <w:rFonts w:hint="eastAsia" w:asciiTheme="minorEastAsia" w:hAnsiTheme="minorEastAsia" w:cstheme="minorEastAsia"/>
          <w:b/>
          <w:bCs/>
          <w:color w:val="auto"/>
          <w:sz w:val="24"/>
          <w:szCs w:val="24"/>
          <w:highlight w:val="none"/>
        </w:rPr>
        <w:t>（必须提供）</w:t>
      </w:r>
    </w:p>
    <w:p w14:paraId="0357843E">
      <w:pPr>
        <w:spacing w:line="312" w:lineRule="auto"/>
        <w:ind w:firstLine="480" w:firstLineChars="200"/>
        <w:rPr>
          <w:rFonts w:hint="eastAsia" w:asciiTheme="minorEastAsia" w:hAnsiTheme="minorEastAsia" w:cstheme="minorEastAsia"/>
          <w:b/>
          <w:bCs/>
          <w:color w:val="auto"/>
          <w:sz w:val="24"/>
          <w:szCs w:val="24"/>
          <w:highlight w:val="none"/>
        </w:rPr>
      </w:pPr>
      <w:r>
        <w:rPr>
          <w:rFonts w:hint="eastAsia" w:asciiTheme="minorEastAsia" w:hAnsiTheme="minorEastAsia" w:cstheme="minorEastAsia"/>
          <w:color w:val="auto"/>
          <w:sz w:val="24"/>
          <w:szCs w:val="24"/>
          <w:highlight w:val="none"/>
        </w:rPr>
        <w:t>（11）供应商参加政府采购活动前三年内在经营活动中没有重大违法记录和不良信用记录的书面声明原件；（供应商可在“信用中国”网站（www.creditchina.gov.cn）、中国政府采购网（www.ccgp.gov.cn）查询相关供应商主体信用记录，同时将查询结果截图加盖单位公章与上述书面声明一并提交）；</w:t>
      </w:r>
      <w:r>
        <w:rPr>
          <w:rFonts w:hint="eastAsia" w:asciiTheme="minorEastAsia" w:hAnsiTheme="minorEastAsia" w:cstheme="minorEastAsia"/>
          <w:b/>
          <w:bCs/>
          <w:color w:val="auto"/>
          <w:sz w:val="24"/>
          <w:szCs w:val="24"/>
          <w:highlight w:val="none"/>
        </w:rPr>
        <w:t>（必须提供）</w:t>
      </w:r>
    </w:p>
    <w:p w14:paraId="433FBB4F">
      <w:pPr>
        <w:spacing w:line="312" w:lineRule="auto"/>
        <w:ind w:firstLine="480" w:firstLineChars="200"/>
        <w:rPr>
          <w:rFonts w:hint="default"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cstheme="minorEastAsia"/>
          <w:color w:val="auto"/>
          <w:sz w:val="24"/>
          <w:szCs w:val="24"/>
          <w:highlight w:val="none"/>
        </w:rPr>
        <w:t>（12）</w:t>
      </w:r>
      <w:r>
        <w:rPr>
          <w:rFonts w:hint="eastAsia" w:asciiTheme="minorEastAsia" w:hAnsiTheme="minorEastAsia" w:cstheme="minorEastAsia"/>
          <w:color w:val="auto"/>
          <w:sz w:val="24"/>
          <w:szCs w:val="24"/>
          <w:highlight w:val="none"/>
          <w:lang w:val="en-US" w:eastAsia="zh-CN"/>
        </w:rPr>
        <w:t>供应商为中小企业声明函；</w:t>
      </w:r>
      <w:r>
        <w:rPr>
          <w:rFonts w:hint="eastAsia" w:asciiTheme="minorEastAsia" w:hAnsiTheme="minorEastAsia" w:cstheme="minorEastAsia"/>
          <w:b/>
          <w:bCs/>
          <w:color w:val="auto"/>
          <w:sz w:val="24"/>
          <w:szCs w:val="24"/>
          <w:highlight w:val="none"/>
          <w:lang w:val="en-US" w:eastAsia="zh-CN"/>
        </w:rPr>
        <w:t>（</w:t>
      </w:r>
      <w:r>
        <w:rPr>
          <w:rFonts w:hint="eastAsia"/>
          <w:b/>
          <w:bCs/>
          <w:color w:val="auto"/>
          <w:sz w:val="24"/>
          <w:highlight w:val="none"/>
        </w:rPr>
        <w:t>必须提供并加盖供应商的电子签章</w:t>
      </w:r>
      <w:r>
        <w:rPr>
          <w:rFonts w:hint="eastAsia" w:asciiTheme="minorEastAsia" w:hAnsiTheme="minorEastAsia" w:cstheme="minorEastAsia"/>
          <w:b/>
          <w:bCs/>
          <w:color w:val="auto"/>
          <w:sz w:val="24"/>
          <w:szCs w:val="24"/>
          <w:highlight w:val="none"/>
          <w:lang w:val="en-US" w:eastAsia="zh-CN"/>
        </w:rPr>
        <w:t>）</w:t>
      </w:r>
    </w:p>
    <w:p w14:paraId="5F7E1D5F">
      <w:pPr>
        <w:spacing w:line="312"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w:t>
      </w:r>
      <w:r>
        <w:rPr>
          <w:rFonts w:hint="eastAsia" w:asciiTheme="minorEastAsia" w:hAnsiTheme="minorEastAsia" w:cstheme="minorEastAsia"/>
          <w:color w:val="auto"/>
          <w:sz w:val="24"/>
          <w:szCs w:val="24"/>
          <w:highlight w:val="none"/>
          <w:lang w:val="en-US" w:eastAsia="zh-CN"/>
        </w:rPr>
        <w:t>3</w:t>
      </w:r>
      <w:r>
        <w:rPr>
          <w:rFonts w:hint="eastAsia" w:asciiTheme="minorEastAsia" w:hAnsiTheme="minorEastAsia" w:cstheme="minorEastAsia"/>
          <w:color w:val="auto"/>
          <w:sz w:val="24"/>
          <w:szCs w:val="24"/>
          <w:highlight w:val="none"/>
        </w:rPr>
        <w:t>）供应商认为必要提供的声明及其它资料。（如有，请提供）</w:t>
      </w:r>
    </w:p>
    <w:p w14:paraId="5A900BC2">
      <w:pPr>
        <w:pStyle w:val="46"/>
        <w:tabs>
          <w:tab w:val="left" w:pos="2145"/>
          <w:tab w:val="left" w:pos="2146"/>
        </w:tabs>
        <w:spacing w:line="360" w:lineRule="auto"/>
        <w:ind w:left="0" w:firstLine="422" w:firstLineChars="175"/>
        <w:rPr>
          <w:rFonts w:asciiTheme="minorEastAsia" w:hAnsiTheme="minorEastAsia" w:eastAsiaTheme="minorEastAsia" w:cstheme="minorEastAsia"/>
          <w:b/>
          <w:bCs/>
          <w:color w:val="auto"/>
          <w:kern w:val="0"/>
          <w:sz w:val="24"/>
          <w:szCs w:val="24"/>
          <w:highlight w:val="none"/>
          <w:lang w:val="en-US" w:bidi="ar-SA"/>
        </w:rPr>
      </w:pPr>
      <w:r>
        <w:rPr>
          <w:rFonts w:hint="eastAsia" w:asciiTheme="minorEastAsia" w:hAnsiTheme="minorEastAsia" w:eastAsiaTheme="minorEastAsia" w:cstheme="minorEastAsia"/>
          <w:b/>
          <w:color w:val="auto"/>
          <w:kern w:val="0"/>
          <w:sz w:val="24"/>
          <w:szCs w:val="24"/>
          <w:highlight w:val="none"/>
          <w:lang w:val="en-US" w:bidi="ar-SA"/>
        </w:rPr>
        <w:t>11.</w:t>
      </w:r>
      <w:r>
        <w:rPr>
          <w:rFonts w:asciiTheme="minorEastAsia" w:hAnsiTheme="minorEastAsia" w:eastAsiaTheme="minorEastAsia" w:cstheme="minorEastAsia"/>
          <w:b/>
          <w:color w:val="auto"/>
          <w:kern w:val="0"/>
          <w:sz w:val="24"/>
          <w:szCs w:val="24"/>
          <w:highlight w:val="none"/>
          <w:lang w:val="en-US" w:bidi="ar-SA"/>
        </w:rPr>
        <w:t>7</w:t>
      </w:r>
      <w:r>
        <w:rPr>
          <w:rFonts w:hint="eastAsia" w:asciiTheme="minorEastAsia" w:hAnsiTheme="minorEastAsia" w:eastAsiaTheme="minorEastAsia" w:cstheme="minorEastAsia"/>
          <w:b/>
          <w:color w:val="auto"/>
          <w:kern w:val="0"/>
          <w:sz w:val="24"/>
          <w:szCs w:val="24"/>
          <w:highlight w:val="none"/>
          <w:lang w:val="en-US" w:bidi="ar-SA"/>
        </w:rPr>
        <w:t>.</w:t>
      </w:r>
      <w:r>
        <w:rPr>
          <w:rFonts w:asciiTheme="minorEastAsia" w:hAnsiTheme="minorEastAsia" w:eastAsiaTheme="minorEastAsia" w:cstheme="minorEastAsia"/>
          <w:b/>
          <w:color w:val="auto"/>
          <w:kern w:val="0"/>
          <w:sz w:val="24"/>
          <w:szCs w:val="24"/>
          <w:highlight w:val="none"/>
          <w:lang w:val="en-US" w:bidi="ar-SA"/>
        </w:rPr>
        <w:t>3</w:t>
      </w:r>
      <w:r>
        <w:rPr>
          <w:rFonts w:hint="eastAsia" w:asciiTheme="minorEastAsia" w:hAnsiTheme="minorEastAsia" w:eastAsiaTheme="minorEastAsia" w:cstheme="minorEastAsia"/>
          <w:b/>
          <w:color w:val="auto"/>
          <w:kern w:val="0"/>
          <w:sz w:val="24"/>
          <w:szCs w:val="24"/>
          <w:highlight w:val="none"/>
          <w:lang w:val="en-US" w:bidi="ar-SA"/>
        </w:rPr>
        <w:t>商务及技术部分主要包括下列内容：</w:t>
      </w:r>
      <w:r>
        <w:rPr>
          <w:rFonts w:hint="eastAsia" w:asciiTheme="minorEastAsia" w:hAnsiTheme="minorEastAsia" w:eastAsiaTheme="minorEastAsia"/>
          <w:b/>
          <w:bCs/>
          <w:color w:val="auto"/>
          <w:sz w:val="24"/>
          <w:szCs w:val="24"/>
          <w:highlight w:val="none"/>
        </w:rPr>
        <w:t>（注明“必须提供”的必须提供且应加盖单位公章，否则磋商无效）</w:t>
      </w:r>
    </w:p>
    <w:p w14:paraId="7907E355">
      <w:pPr>
        <w:pStyle w:val="46"/>
        <w:tabs>
          <w:tab w:val="left" w:pos="1972"/>
        </w:tabs>
        <w:spacing w:line="360" w:lineRule="auto"/>
        <w:ind w:left="0" w:firstLine="638" w:firstLineChars="266"/>
        <w:outlineLvl w:val="0"/>
        <w:rPr>
          <w:rFonts w:asciiTheme="minorEastAsia" w:hAnsiTheme="minorEastAsia" w:eastAsiaTheme="minorEastAsia"/>
          <w:color w:val="auto"/>
          <w:sz w:val="24"/>
          <w:highlight w:val="none"/>
        </w:rPr>
      </w:pPr>
      <w:bookmarkStart w:id="102" w:name="_Toc20421"/>
      <w:bookmarkStart w:id="103" w:name="_Toc20287"/>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rPr>
        <w:t>1）</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函；</w:t>
      </w:r>
      <w:r>
        <w:rPr>
          <w:rFonts w:hint="eastAsia" w:asciiTheme="minorEastAsia" w:hAnsiTheme="minorEastAsia" w:cstheme="minorEastAsia"/>
          <w:b/>
          <w:bCs/>
          <w:color w:val="auto"/>
          <w:sz w:val="24"/>
          <w:szCs w:val="24"/>
          <w:highlight w:val="none"/>
        </w:rPr>
        <w:t>（必须提供）</w:t>
      </w:r>
      <w:bookmarkEnd w:id="102"/>
      <w:bookmarkEnd w:id="103"/>
    </w:p>
    <w:p w14:paraId="7DE46681">
      <w:pPr>
        <w:pStyle w:val="46"/>
        <w:tabs>
          <w:tab w:val="left" w:pos="1972"/>
        </w:tabs>
        <w:spacing w:line="360" w:lineRule="auto"/>
        <w:ind w:left="0" w:firstLine="638" w:firstLineChars="266"/>
        <w:outlineLvl w:val="0"/>
        <w:rPr>
          <w:rFonts w:asciiTheme="minorEastAsia" w:hAnsiTheme="minorEastAsia" w:eastAsiaTheme="minorEastAsia"/>
          <w:color w:val="auto"/>
          <w:sz w:val="24"/>
          <w:highlight w:val="none"/>
        </w:rPr>
      </w:pPr>
      <w:bookmarkStart w:id="104" w:name="_Toc23094"/>
      <w:bookmarkStart w:id="105" w:name="_Toc16053"/>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rPr>
        <w:t>2）</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函附录；</w:t>
      </w:r>
      <w:r>
        <w:rPr>
          <w:rFonts w:hint="eastAsia" w:asciiTheme="minorEastAsia" w:hAnsiTheme="minorEastAsia" w:cstheme="minorEastAsia"/>
          <w:b/>
          <w:bCs/>
          <w:color w:val="auto"/>
          <w:sz w:val="24"/>
          <w:szCs w:val="24"/>
          <w:highlight w:val="none"/>
        </w:rPr>
        <w:t>（必须提供）</w:t>
      </w:r>
      <w:bookmarkEnd w:id="104"/>
      <w:bookmarkEnd w:id="105"/>
    </w:p>
    <w:p w14:paraId="6923AAAE">
      <w:pPr>
        <w:pStyle w:val="46"/>
        <w:tabs>
          <w:tab w:val="left" w:pos="1972"/>
        </w:tabs>
        <w:spacing w:line="360" w:lineRule="auto"/>
        <w:ind w:left="0" w:firstLine="638" w:firstLineChars="266"/>
        <w:outlineLvl w:val="0"/>
        <w:rPr>
          <w:rFonts w:asciiTheme="minorEastAsia" w:hAnsiTheme="minorEastAsia" w:eastAsiaTheme="minorEastAsia"/>
          <w:b/>
          <w:bCs/>
          <w:color w:val="auto"/>
          <w:sz w:val="24"/>
          <w:highlight w:val="none"/>
        </w:rPr>
      </w:pPr>
      <w:bookmarkStart w:id="106" w:name="_Toc22913"/>
      <w:bookmarkStart w:id="107" w:name="_Toc31979"/>
      <w:r>
        <w:rPr>
          <w:rFonts w:hint="eastAsia" w:asciiTheme="minorEastAsia" w:hAnsiTheme="minorEastAsia" w:eastAsiaTheme="minorEastAsia"/>
          <w:color w:val="auto"/>
          <w:sz w:val="24"/>
          <w:highlight w:val="none"/>
          <w:lang w:val="en-US"/>
        </w:rPr>
        <w:t>（3）</w:t>
      </w:r>
      <w:r>
        <w:rPr>
          <w:rFonts w:hint="eastAsia" w:asciiTheme="minorEastAsia" w:hAnsiTheme="minorEastAsia" w:eastAsiaTheme="minorEastAsia"/>
          <w:color w:val="auto"/>
          <w:sz w:val="24"/>
          <w:highlight w:val="none"/>
        </w:rPr>
        <w:t>磋商报价汇总表；</w:t>
      </w:r>
      <w:r>
        <w:rPr>
          <w:rFonts w:hint="eastAsia" w:asciiTheme="minorEastAsia" w:hAnsiTheme="minorEastAsia" w:eastAsiaTheme="minorEastAsia"/>
          <w:b/>
          <w:bCs/>
          <w:color w:val="auto"/>
          <w:sz w:val="24"/>
          <w:highlight w:val="none"/>
        </w:rPr>
        <w:t>（必须提供）</w:t>
      </w:r>
      <w:bookmarkEnd w:id="106"/>
      <w:bookmarkEnd w:id="107"/>
    </w:p>
    <w:p w14:paraId="7486FAD0">
      <w:pPr>
        <w:pStyle w:val="46"/>
        <w:tabs>
          <w:tab w:val="left" w:pos="1972"/>
        </w:tabs>
        <w:spacing w:line="360" w:lineRule="auto"/>
        <w:ind w:left="0" w:firstLine="638" w:firstLineChars="266"/>
        <w:outlineLvl w:val="0"/>
        <w:rPr>
          <w:rFonts w:asciiTheme="minorEastAsia" w:hAnsiTheme="minorEastAsia" w:eastAsiaTheme="minorEastAsia"/>
          <w:color w:val="auto"/>
          <w:sz w:val="24"/>
          <w:highlight w:val="none"/>
          <w:lang w:val="en-US"/>
        </w:rPr>
      </w:pPr>
      <w:bookmarkStart w:id="108" w:name="_Toc2057"/>
      <w:bookmarkStart w:id="109" w:name="_Toc21664"/>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rPr>
        <w:t>4）磋商报价系列表格；</w:t>
      </w:r>
      <w:r>
        <w:rPr>
          <w:rFonts w:hint="eastAsia" w:asciiTheme="minorEastAsia" w:hAnsiTheme="minorEastAsia" w:eastAsiaTheme="minorEastAsia"/>
          <w:b/>
          <w:bCs/>
          <w:color w:val="auto"/>
          <w:sz w:val="24"/>
          <w:highlight w:val="none"/>
        </w:rPr>
        <w:t>（必须提供并加盖供应商的电子签章）</w:t>
      </w:r>
      <w:bookmarkEnd w:id="108"/>
      <w:bookmarkEnd w:id="109"/>
    </w:p>
    <w:p w14:paraId="0B31DB98">
      <w:pPr>
        <w:pStyle w:val="46"/>
        <w:tabs>
          <w:tab w:val="left" w:pos="1972"/>
        </w:tabs>
        <w:spacing w:line="360" w:lineRule="auto"/>
        <w:ind w:left="0" w:firstLine="638" w:firstLineChars="266"/>
        <w:outlineLvl w:val="0"/>
        <w:rPr>
          <w:rFonts w:asciiTheme="minorEastAsia" w:hAnsiTheme="minorEastAsia" w:eastAsiaTheme="minorEastAsia"/>
          <w:color w:val="auto"/>
          <w:sz w:val="24"/>
          <w:highlight w:val="none"/>
        </w:rPr>
      </w:pPr>
      <w:bookmarkStart w:id="110" w:name="_Toc4187"/>
      <w:bookmarkStart w:id="111" w:name="_Toc15407"/>
      <w:r>
        <w:rPr>
          <w:rFonts w:hint="eastAsia" w:asciiTheme="minorEastAsia" w:hAnsiTheme="minorEastAsia" w:eastAsiaTheme="minorEastAsia"/>
          <w:color w:val="auto"/>
          <w:sz w:val="24"/>
          <w:highlight w:val="none"/>
        </w:rPr>
        <w:t>【注：磋商报价系列表格应根据采购人提供的工程量清单相应表格及有关规定执行,可按预结算软件打印格式提供,本采购文件不另提供参考格式。】</w:t>
      </w:r>
      <w:bookmarkEnd w:id="110"/>
      <w:bookmarkEnd w:id="111"/>
    </w:p>
    <w:p w14:paraId="757D786A">
      <w:pPr>
        <w:pStyle w:val="46"/>
        <w:tabs>
          <w:tab w:val="left" w:pos="1972"/>
        </w:tabs>
        <w:spacing w:line="360" w:lineRule="auto"/>
        <w:ind w:left="0" w:firstLine="638" w:firstLineChars="266"/>
        <w:outlineLvl w:val="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 </w:t>
      </w:r>
      <w:bookmarkStart w:id="112" w:name="_Toc18836"/>
      <w:bookmarkStart w:id="113" w:name="_Toc28391"/>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rPr>
        <w:t>5</w:t>
      </w:r>
      <w:r>
        <w:rPr>
          <w:rFonts w:hint="eastAsia" w:asciiTheme="minorEastAsia" w:hAnsiTheme="minorEastAsia" w:eastAsiaTheme="minorEastAsia"/>
          <w:color w:val="auto"/>
          <w:sz w:val="24"/>
          <w:highlight w:val="none"/>
        </w:rPr>
        <w:t>) 项目管理机构配备；</w:t>
      </w:r>
      <w:r>
        <w:rPr>
          <w:rFonts w:hint="eastAsia" w:asciiTheme="minorEastAsia" w:hAnsiTheme="minorEastAsia" w:eastAsiaTheme="minorEastAsia"/>
          <w:b/>
          <w:bCs/>
          <w:color w:val="auto"/>
          <w:sz w:val="24"/>
          <w:highlight w:val="none"/>
        </w:rPr>
        <w:t>（必须提供并加盖供应商的电子签章）</w:t>
      </w:r>
      <w:bookmarkEnd w:id="112"/>
      <w:bookmarkEnd w:id="113"/>
    </w:p>
    <w:p w14:paraId="2BA46A37">
      <w:pPr>
        <w:pStyle w:val="46"/>
        <w:tabs>
          <w:tab w:val="left" w:pos="1972"/>
        </w:tabs>
        <w:spacing w:line="360" w:lineRule="auto"/>
        <w:ind w:left="0" w:firstLine="638" w:firstLineChars="266"/>
        <w:outlineLvl w:val="0"/>
        <w:rPr>
          <w:rFonts w:asciiTheme="minorEastAsia" w:hAnsiTheme="minorEastAsia" w:eastAsiaTheme="minorEastAsia"/>
          <w:color w:val="auto"/>
          <w:sz w:val="24"/>
          <w:highlight w:val="none"/>
        </w:rPr>
      </w:pPr>
      <w:bookmarkStart w:id="114" w:name="_Toc14915"/>
      <w:bookmarkStart w:id="115" w:name="_Toc15754"/>
      <w:r>
        <w:rPr>
          <w:rFonts w:hint="eastAsia" w:asciiTheme="minorEastAsia" w:hAnsiTheme="minorEastAsia" w:eastAsiaTheme="minorEastAsia"/>
          <w:color w:val="auto"/>
          <w:sz w:val="24"/>
          <w:highlight w:val="none"/>
        </w:rPr>
        <w:t>① 项目管理机构配备情况表；</w:t>
      </w:r>
      <w:bookmarkEnd w:id="114"/>
      <w:bookmarkEnd w:id="115"/>
    </w:p>
    <w:p w14:paraId="5CE23420">
      <w:pPr>
        <w:pStyle w:val="46"/>
        <w:tabs>
          <w:tab w:val="left" w:pos="1972"/>
        </w:tabs>
        <w:spacing w:line="360" w:lineRule="auto"/>
        <w:ind w:left="0" w:firstLine="638" w:firstLineChars="266"/>
        <w:outlineLvl w:val="0"/>
        <w:rPr>
          <w:rFonts w:asciiTheme="minorEastAsia" w:hAnsiTheme="minorEastAsia" w:eastAsiaTheme="minorEastAsia"/>
          <w:color w:val="auto"/>
          <w:sz w:val="24"/>
          <w:highlight w:val="none"/>
        </w:rPr>
      </w:pPr>
      <w:bookmarkStart w:id="116" w:name="_Toc3732"/>
      <w:bookmarkStart w:id="117" w:name="_Toc54"/>
      <w:r>
        <w:rPr>
          <w:rFonts w:hint="eastAsia" w:asciiTheme="minorEastAsia" w:hAnsiTheme="minorEastAsia" w:eastAsiaTheme="minorEastAsia"/>
          <w:color w:val="auto"/>
          <w:sz w:val="24"/>
          <w:highlight w:val="none"/>
        </w:rPr>
        <w:t>② 项目经理简历表；</w:t>
      </w:r>
      <w:bookmarkEnd w:id="116"/>
      <w:bookmarkEnd w:id="117"/>
    </w:p>
    <w:p w14:paraId="1060C192">
      <w:pPr>
        <w:pStyle w:val="46"/>
        <w:tabs>
          <w:tab w:val="left" w:pos="1972"/>
        </w:tabs>
        <w:spacing w:line="360" w:lineRule="auto"/>
        <w:ind w:left="0" w:firstLine="638" w:firstLineChars="266"/>
        <w:outlineLvl w:val="0"/>
        <w:rPr>
          <w:rFonts w:asciiTheme="minorEastAsia" w:hAnsiTheme="minorEastAsia" w:eastAsiaTheme="minorEastAsia"/>
          <w:color w:val="auto"/>
          <w:sz w:val="24"/>
          <w:highlight w:val="none"/>
        </w:rPr>
      </w:pPr>
      <w:bookmarkStart w:id="118" w:name="_Toc2978"/>
      <w:bookmarkStart w:id="119" w:name="_Toc9272"/>
      <w:r>
        <w:rPr>
          <w:rFonts w:hint="eastAsia" w:asciiTheme="minorEastAsia" w:hAnsiTheme="minorEastAsia" w:eastAsiaTheme="minorEastAsia"/>
          <w:color w:val="auto"/>
          <w:sz w:val="24"/>
          <w:highlight w:val="none"/>
        </w:rPr>
        <w:t>③ 项目技术负责人简历表；</w:t>
      </w:r>
      <w:bookmarkEnd w:id="118"/>
      <w:bookmarkEnd w:id="119"/>
    </w:p>
    <w:p w14:paraId="05247E38">
      <w:pPr>
        <w:pStyle w:val="46"/>
        <w:tabs>
          <w:tab w:val="left" w:pos="1972"/>
        </w:tabs>
        <w:spacing w:line="360" w:lineRule="auto"/>
        <w:ind w:left="0" w:firstLine="638" w:firstLineChars="266"/>
        <w:outlineLvl w:val="0"/>
        <w:rPr>
          <w:rFonts w:asciiTheme="minorEastAsia" w:hAnsiTheme="minorEastAsia" w:eastAsiaTheme="minorEastAsia"/>
          <w:color w:val="auto"/>
          <w:sz w:val="24"/>
          <w:highlight w:val="none"/>
        </w:rPr>
      </w:pPr>
      <w:bookmarkStart w:id="120" w:name="_Toc23826"/>
      <w:bookmarkStart w:id="121" w:name="_Toc3817"/>
      <w:r>
        <w:rPr>
          <w:rFonts w:hint="eastAsia" w:asciiTheme="minorEastAsia" w:hAnsiTheme="minorEastAsia" w:eastAsiaTheme="minorEastAsia"/>
          <w:color w:val="auto"/>
          <w:sz w:val="24"/>
          <w:highlight w:val="none"/>
        </w:rPr>
        <w:t>④ 项目管理机构配置情况辅助说明资料。</w:t>
      </w:r>
      <w:bookmarkEnd w:id="120"/>
      <w:bookmarkEnd w:id="121"/>
    </w:p>
    <w:p w14:paraId="51D66ACA">
      <w:pPr>
        <w:pStyle w:val="46"/>
        <w:tabs>
          <w:tab w:val="left" w:pos="1972"/>
        </w:tabs>
        <w:spacing w:line="360" w:lineRule="auto"/>
        <w:ind w:left="0" w:firstLine="638" w:firstLineChars="266"/>
        <w:outlineLvl w:val="0"/>
        <w:rPr>
          <w:rFonts w:asciiTheme="minorEastAsia" w:hAnsiTheme="minorEastAsia" w:eastAsiaTheme="minorEastAsia"/>
          <w:color w:val="auto"/>
          <w:sz w:val="24"/>
          <w:highlight w:val="none"/>
        </w:rPr>
      </w:pPr>
      <w:bookmarkStart w:id="122" w:name="_Toc7278"/>
      <w:bookmarkStart w:id="123" w:name="_Toc18708"/>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rPr>
        <w:t>6）</w:t>
      </w:r>
      <w:r>
        <w:rPr>
          <w:rFonts w:hint="eastAsia" w:asciiTheme="minorEastAsia" w:hAnsiTheme="minorEastAsia" w:eastAsiaTheme="minorEastAsia"/>
          <w:color w:val="auto"/>
          <w:sz w:val="24"/>
          <w:highlight w:val="none"/>
        </w:rPr>
        <w:t>施工组织设计；（加盖供应商的电子签章）</w:t>
      </w:r>
      <w:bookmarkEnd w:id="122"/>
      <w:bookmarkEnd w:id="123"/>
    </w:p>
    <w:p w14:paraId="3AEBF924">
      <w:pPr>
        <w:pStyle w:val="46"/>
        <w:tabs>
          <w:tab w:val="left" w:pos="1972"/>
        </w:tabs>
        <w:spacing w:line="360" w:lineRule="auto"/>
        <w:ind w:left="0" w:firstLine="638" w:firstLineChars="266"/>
        <w:outlineLvl w:val="0"/>
        <w:rPr>
          <w:rFonts w:asciiTheme="minorEastAsia" w:hAnsiTheme="minorEastAsia" w:eastAsiaTheme="minorEastAsia"/>
          <w:color w:val="auto"/>
          <w:sz w:val="24"/>
          <w:highlight w:val="none"/>
        </w:rPr>
      </w:pPr>
      <w:bookmarkStart w:id="124" w:name="_Toc22977"/>
      <w:bookmarkStart w:id="125" w:name="_Toc29130"/>
      <w:r>
        <w:rPr>
          <w:rFonts w:hint="eastAsia" w:asciiTheme="minorEastAsia" w:hAnsiTheme="minorEastAsia" w:eastAsiaTheme="minorEastAsia"/>
          <w:color w:val="auto"/>
          <w:sz w:val="24"/>
          <w:highlight w:val="none"/>
          <w:lang w:val="en-US"/>
        </w:rPr>
        <w:t>（7）供应商</w:t>
      </w:r>
      <w:r>
        <w:rPr>
          <w:rFonts w:hint="eastAsia" w:asciiTheme="minorEastAsia" w:hAnsiTheme="minorEastAsia" w:eastAsiaTheme="minorEastAsia"/>
          <w:color w:val="auto"/>
          <w:sz w:val="24"/>
          <w:highlight w:val="none"/>
        </w:rPr>
        <w:t>可结合本项目的评标办法视自身情况自行提交相关证明材料（</w:t>
      </w:r>
      <w:r>
        <w:rPr>
          <w:rFonts w:hint="eastAsia" w:asciiTheme="minorEastAsia" w:hAnsiTheme="minorEastAsia" w:eastAsiaTheme="minorEastAsia"/>
          <w:color w:val="auto"/>
          <w:sz w:val="24"/>
          <w:highlight w:val="none"/>
          <w:lang w:val="en-US"/>
        </w:rPr>
        <w:t>如业绩等[需列汇总表格]，</w:t>
      </w:r>
      <w:r>
        <w:rPr>
          <w:rFonts w:hint="eastAsia" w:asciiTheme="minorEastAsia" w:hAnsiTheme="minorEastAsia" w:eastAsiaTheme="minorEastAsia"/>
          <w:color w:val="auto"/>
          <w:sz w:val="24"/>
          <w:highlight w:val="none"/>
        </w:rPr>
        <w:t>如有，请提供）</w:t>
      </w:r>
      <w:bookmarkEnd w:id="124"/>
      <w:bookmarkEnd w:id="125"/>
    </w:p>
    <w:p w14:paraId="4B9FBAB8">
      <w:pPr>
        <w:spacing w:line="360" w:lineRule="auto"/>
        <w:ind w:firstLine="480" w:firstLineChars="200"/>
        <w:rPr>
          <w:rFonts w:asciiTheme="minorEastAsia" w:hAnsiTheme="minorEastAsia"/>
          <w:b/>
          <w:color w:val="auto"/>
          <w:sz w:val="24"/>
          <w:szCs w:val="24"/>
          <w:highlight w:val="none"/>
        </w:rPr>
      </w:pPr>
      <w:r>
        <w:rPr>
          <w:rFonts w:hint="eastAsia" w:asciiTheme="minorEastAsia" w:hAnsiTheme="minorEastAsia"/>
          <w:color w:val="auto"/>
          <w:sz w:val="24"/>
          <w:szCs w:val="24"/>
          <w:highlight w:val="none"/>
        </w:rPr>
        <w:t>▲</w:t>
      </w:r>
      <w:r>
        <w:rPr>
          <w:rFonts w:hint="eastAsia" w:asciiTheme="minorEastAsia" w:hAnsiTheme="minorEastAsia"/>
          <w:b/>
          <w:color w:val="auto"/>
          <w:sz w:val="24"/>
          <w:szCs w:val="24"/>
          <w:highlight w:val="none"/>
        </w:rPr>
        <w:t>特别说明：（1）电子磋商</w:t>
      </w:r>
      <w:r>
        <w:rPr>
          <w:rFonts w:asciiTheme="minorEastAsia" w:hAnsiTheme="minorEastAsia"/>
          <w:b/>
          <w:color w:val="auto"/>
          <w:sz w:val="24"/>
          <w:szCs w:val="24"/>
          <w:highlight w:val="none"/>
        </w:rPr>
        <w:t>响应文件中所须加盖公章部分均采用CA签章。若</w:t>
      </w:r>
      <w:r>
        <w:rPr>
          <w:rFonts w:hint="eastAsia" w:asciiTheme="minorEastAsia" w:hAnsiTheme="minorEastAsia"/>
          <w:b/>
          <w:color w:val="auto"/>
          <w:sz w:val="24"/>
          <w:szCs w:val="24"/>
          <w:highlight w:val="none"/>
        </w:rPr>
        <w:t>竞争性磋商响应文件</w:t>
      </w:r>
      <w:r>
        <w:rPr>
          <w:rFonts w:asciiTheme="minorEastAsia" w:hAnsiTheme="minorEastAsia"/>
          <w:b/>
          <w:color w:val="auto"/>
          <w:sz w:val="24"/>
          <w:szCs w:val="24"/>
          <w:highlight w:val="none"/>
        </w:rPr>
        <w:t>中有专门标注的某关联点</w:t>
      </w:r>
      <w:r>
        <w:rPr>
          <w:rFonts w:hint="eastAsia" w:asciiTheme="minorEastAsia" w:hAnsiTheme="minorEastAsia"/>
          <w:b/>
          <w:color w:val="auto"/>
          <w:sz w:val="24"/>
          <w:szCs w:val="24"/>
          <w:highlight w:val="none"/>
        </w:rPr>
        <w:t>，</w:t>
      </w:r>
      <w:r>
        <w:rPr>
          <w:rFonts w:asciiTheme="minorEastAsia" w:hAnsiTheme="minorEastAsia"/>
          <w:b/>
          <w:color w:val="auto"/>
          <w:sz w:val="24"/>
          <w:szCs w:val="24"/>
          <w:highlight w:val="none"/>
        </w:rPr>
        <w:t>并要求供应商在电子投标系统中作出</w:t>
      </w:r>
      <w:r>
        <w:rPr>
          <w:rFonts w:hint="eastAsia" w:asciiTheme="minorEastAsia" w:hAnsiTheme="minorEastAsia"/>
          <w:b/>
          <w:color w:val="auto"/>
          <w:sz w:val="24"/>
          <w:szCs w:val="24"/>
          <w:highlight w:val="none"/>
        </w:rPr>
        <w:t>磋商</w:t>
      </w:r>
      <w:r>
        <w:rPr>
          <w:rFonts w:asciiTheme="minorEastAsia" w:hAnsiTheme="minorEastAsia"/>
          <w:b/>
          <w:color w:val="auto"/>
          <w:sz w:val="24"/>
          <w:szCs w:val="24"/>
          <w:highlight w:val="none"/>
        </w:rPr>
        <w:t>响应的，如供应商未对关联点进行响应或者在响应文件其它内容进行描述，造成电子评审不能查询的责任由供应商自行承担。</w:t>
      </w:r>
    </w:p>
    <w:p w14:paraId="75EEE4B1">
      <w:pPr>
        <w:spacing w:line="360" w:lineRule="auto"/>
        <w:rPr>
          <w:rFonts w:asciiTheme="minorEastAsia" w:hAnsiTheme="minorEastAsia"/>
          <w:b/>
          <w:color w:val="auto"/>
          <w:sz w:val="24"/>
          <w:szCs w:val="24"/>
          <w:highlight w:val="none"/>
        </w:rPr>
      </w:pPr>
      <w:r>
        <w:rPr>
          <w:rFonts w:hint="eastAsia" w:asciiTheme="minorEastAsia" w:hAnsiTheme="minorEastAsia"/>
          <w:b/>
          <w:color w:val="auto"/>
          <w:sz w:val="24"/>
          <w:szCs w:val="24"/>
          <w:highlight w:val="none"/>
        </w:rPr>
        <w:t>（</w:t>
      </w:r>
      <w:r>
        <w:rPr>
          <w:rFonts w:asciiTheme="minorEastAsia" w:hAnsiTheme="minorEastAsia"/>
          <w:b/>
          <w:color w:val="auto"/>
          <w:sz w:val="24"/>
          <w:szCs w:val="24"/>
          <w:highlight w:val="none"/>
        </w:rPr>
        <w:t>2</w:t>
      </w:r>
      <w:r>
        <w:rPr>
          <w:rFonts w:hint="eastAsia" w:asciiTheme="minorEastAsia" w:hAnsiTheme="minorEastAsia"/>
          <w:b/>
          <w:color w:val="auto"/>
          <w:sz w:val="24"/>
          <w:szCs w:val="24"/>
          <w:highlight w:val="none"/>
        </w:rPr>
        <w:t>）竞争性磋商文件要求提供的的各种复印件，须加盖磋商供应商CA签章，否则其磋商无效。</w:t>
      </w:r>
    </w:p>
    <w:p w14:paraId="44FA38AD">
      <w:pPr>
        <w:spacing w:line="360" w:lineRule="auto"/>
        <w:rPr>
          <w:rFonts w:asciiTheme="minorEastAsia" w:hAnsiTheme="minorEastAsia"/>
          <w:b/>
          <w:color w:val="auto"/>
          <w:sz w:val="24"/>
          <w:szCs w:val="24"/>
          <w:highlight w:val="none"/>
        </w:rPr>
      </w:pPr>
      <w:r>
        <w:rPr>
          <w:rFonts w:hint="eastAsia" w:asciiTheme="minorEastAsia" w:hAnsiTheme="minorEastAsia"/>
          <w:b/>
          <w:color w:val="auto"/>
          <w:sz w:val="24"/>
          <w:szCs w:val="24"/>
          <w:highlight w:val="none"/>
        </w:rPr>
        <w:t>（</w:t>
      </w:r>
      <w:r>
        <w:rPr>
          <w:rFonts w:asciiTheme="minorEastAsia" w:hAnsiTheme="minorEastAsia"/>
          <w:b/>
          <w:color w:val="auto"/>
          <w:sz w:val="24"/>
          <w:szCs w:val="24"/>
          <w:highlight w:val="none"/>
        </w:rPr>
        <w:t>3</w:t>
      </w:r>
      <w:r>
        <w:rPr>
          <w:rFonts w:hint="eastAsia" w:asciiTheme="minorEastAsia" w:hAnsiTheme="minorEastAsia"/>
          <w:b/>
          <w:color w:val="auto"/>
          <w:sz w:val="24"/>
          <w:szCs w:val="24"/>
          <w:highlight w:val="none"/>
        </w:rPr>
        <w:t>）竞争性磋商文件要求“必须提供”的证明等材料，磋商供应商必须全部提供，缺一不可，否则磋商无效。</w:t>
      </w:r>
    </w:p>
    <w:p w14:paraId="7E2C85AC">
      <w:pPr>
        <w:spacing w:line="360" w:lineRule="auto"/>
        <w:rPr>
          <w:rFonts w:asciiTheme="minorEastAsia" w:hAnsiTheme="minorEastAsia"/>
          <w:color w:val="auto"/>
          <w:sz w:val="24"/>
          <w:szCs w:val="24"/>
          <w:highlight w:val="none"/>
        </w:rPr>
      </w:pPr>
      <w:r>
        <w:rPr>
          <w:rFonts w:hint="eastAsia" w:asciiTheme="minorEastAsia" w:hAnsiTheme="minorEastAsia"/>
          <w:b/>
          <w:color w:val="auto"/>
          <w:sz w:val="24"/>
          <w:szCs w:val="24"/>
          <w:highlight w:val="none"/>
        </w:rPr>
        <w:t>（4）竞争性磋商文件要求法定代表人（负责人）或委托代理人签字的部分必须签字然后扫描或者拍照做成pdf格式上传，无签字的视为磋商无效。</w:t>
      </w:r>
    </w:p>
    <w:p w14:paraId="5EEE3F47">
      <w:pPr>
        <w:pStyle w:val="5"/>
        <w:spacing w:line="360" w:lineRule="auto"/>
        <w:ind w:firstLine="482" w:firstLineChars="200"/>
        <w:rPr>
          <w:rFonts w:asciiTheme="minorEastAsia" w:hAnsiTheme="minorEastAsia" w:eastAsiaTheme="minorEastAsia" w:cstheme="minorEastAsia"/>
          <w:color w:val="auto"/>
          <w:kern w:val="0"/>
          <w:sz w:val="24"/>
          <w:szCs w:val="24"/>
          <w:highlight w:val="none"/>
        </w:rPr>
      </w:pPr>
      <w:bookmarkStart w:id="126" w:name="_Toc243584246"/>
      <w:bookmarkStart w:id="127" w:name="_Toc14611"/>
      <w:r>
        <w:rPr>
          <w:rFonts w:hint="eastAsia" w:asciiTheme="minorEastAsia" w:hAnsiTheme="minorEastAsia" w:eastAsiaTheme="minorEastAsia" w:cstheme="minorEastAsia"/>
          <w:color w:val="auto"/>
          <w:kern w:val="0"/>
          <w:sz w:val="24"/>
          <w:szCs w:val="24"/>
          <w:highlight w:val="none"/>
        </w:rPr>
        <w:t>12. 响应文件格式</w:t>
      </w:r>
      <w:bookmarkEnd w:id="100"/>
      <w:bookmarkEnd w:id="101"/>
      <w:bookmarkEnd w:id="126"/>
      <w:bookmarkEnd w:id="127"/>
    </w:p>
    <w:p w14:paraId="12D63066">
      <w:pPr>
        <w:spacing w:line="360" w:lineRule="auto"/>
        <w:ind w:firstLine="48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12.1  响应文件包括本须知第11条规定的内容，除特别注明者外，供应商提交的响应文件应当使用竞争性磋商采购文件所提供的全部格式（表格可以按同样格式扩展）。</w:t>
      </w:r>
      <w:bookmarkStart w:id="128" w:name="_Toc23582298"/>
      <w:bookmarkStart w:id="129" w:name="_Toc74156199"/>
      <w:bookmarkStart w:id="130" w:name="_Toc142383021"/>
      <w:bookmarkStart w:id="131" w:name="_Toc5008"/>
      <w:bookmarkStart w:id="132" w:name="_Toc29153327"/>
      <w:bookmarkStart w:id="133" w:name="_Toc243584247"/>
    </w:p>
    <w:p w14:paraId="1E1A116B">
      <w:pPr>
        <w:spacing w:line="360" w:lineRule="auto"/>
        <w:ind w:firstLine="480"/>
        <w:rPr>
          <w:rFonts w:asciiTheme="minorEastAsia" w:hAnsiTheme="minorEastAsia" w:cstheme="minorEastAsia"/>
          <w:b/>
          <w:bCs/>
          <w:color w:val="auto"/>
          <w:sz w:val="24"/>
          <w:szCs w:val="24"/>
          <w:highlight w:val="none"/>
        </w:rPr>
      </w:pPr>
      <w:r>
        <w:rPr>
          <w:rFonts w:hint="eastAsia" w:asciiTheme="minorEastAsia" w:hAnsiTheme="minorEastAsia" w:cstheme="minorEastAsia"/>
          <w:b/>
          <w:bCs/>
          <w:color w:val="auto"/>
          <w:sz w:val="24"/>
          <w:szCs w:val="24"/>
          <w:highlight w:val="none"/>
        </w:rPr>
        <w:t xml:space="preserve">13. </w:t>
      </w:r>
      <w:bookmarkEnd w:id="128"/>
      <w:r>
        <w:rPr>
          <w:rFonts w:hint="eastAsia" w:asciiTheme="minorEastAsia" w:hAnsiTheme="minorEastAsia" w:cstheme="minorEastAsia"/>
          <w:b/>
          <w:bCs/>
          <w:color w:val="auto"/>
          <w:sz w:val="24"/>
          <w:szCs w:val="24"/>
          <w:highlight w:val="none"/>
        </w:rPr>
        <w:t>磋商报价</w:t>
      </w:r>
      <w:bookmarkEnd w:id="129"/>
      <w:r>
        <w:rPr>
          <w:rFonts w:hint="eastAsia" w:asciiTheme="minorEastAsia" w:hAnsiTheme="minorEastAsia" w:cstheme="minorEastAsia"/>
          <w:b/>
          <w:bCs/>
          <w:color w:val="auto"/>
          <w:sz w:val="24"/>
          <w:szCs w:val="24"/>
          <w:highlight w:val="none"/>
        </w:rPr>
        <w:t>及工程</w:t>
      </w:r>
      <w:bookmarkEnd w:id="130"/>
      <w:bookmarkEnd w:id="131"/>
      <w:bookmarkEnd w:id="132"/>
      <w:bookmarkEnd w:id="133"/>
      <w:r>
        <w:rPr>
          <w:rFonts w:hint="eastAsia" w:asciiTheme="minorEastAsia" w:hAnsiTheme="minorEastAsia" w:cstheme="minorEastAsia"/>
          <w:b/>
          <w:bCs/>
          <w:color w:val="auto"/>
          <w:sz w:val="24"/>
          <w:szCs w:val="24"/>
          <w:highlight w:val="none"/>
        </w:rPr>
        <w:t>招标控制价</w:t>
      </w:r>
    </w:p>
    <w:p w14:paraId="5D35B12C">
      <w:pPr>
        <w:spacing w:line="360" w:lineRule="auto"/>
        <w:ind w:firstLine="480"/>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13.1  磋商报价</w:t>
      </w:r>
    </w:p>
    <w:p w14:paraId="7FD07D8B">
      <w:pPr>
        <w:tabs>
          <w:tab w:val="left" w:pos="2160"/>
        </w:tabs>
        <w:adjustRightInd w:val="0"/>
        <w:spacing w:line="360" w:lineRule="auto"/>
        <w:ind w:right="84" w:firstLine="482" w:firstLineChars="200"/>
        <w:rPr>
          <w:rFonts w:asciiTheme="minorEastAsia" w:hAnsiTheme="minorEastAsia" w:cstheme="minorEastAsia"/>
          <w:bCs/>
          <w:color w:val="auto"/>
          <w:kern w:val="0"/>
          <w:sz w:val="24"/>
          <w:szCs w:val="24"/>
          <w:highlight w:val="none"/>
        </w:rPr>
      </w:pPr>
      <w:r>
        <w:rPr>
          <w:rFonts w:hint="eastAsia" w:asciiTheme="minorEastAsia" w:hAnsiTheme="minorEastAsia" w:cstheme="minorEastAsia"/>
          <w:b/>
          <w:color w:val="auto"/>
          <w:kern w:val="0"/>
          <w:sz w:val="24"/>
          <w:szCs w:val="24"/>
          <w:highlight w:val="none"/>
        </w:rPr>
        <w:t>本项目的报价要求为二次报价。</w:t>
      </w:r>
      <w:r>
        <w:rPr>
          <w:rFonts w:hint="eastAsia" w:asciiTheme="minorEastAsia" w:hAnsiTheme="minorEastAsia" w:cstheme="minorEastAsia"/>
          <w:bCs/>
          <w:color w:val="auto"/>
          <w:kern w:val="0"/>
          <w:sz w:val="24"/>
          <w:szCs w:val="24"/>
          <w:highlight w:val="none"/>
        </w:rPr>
        <w:t>磋商小组以磋商供应商所提交的响应文件为依据，在各磋商供应商的资格条件、响应文件均响应竞争性磋商采购文件的各项要求，磋商报价均在有效报价范围内的前提下，磋商小组将组织对报价进行谈判。</w:t>
      </w:r>
    </w:p>
    <w:p w14:paraId="1E6C722B">
      <w:pPr>
        <w:spacing w:line="360" w:lineRule="auto"/>
        <w:ind w:firstLine="48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13.1.1  本工程采用包工包料，</w:t>
      </w:r>
      <w:r>
        <w:rPr>
          <w:rFonts w:hint="eastAsia" w:asciiTheme="minorEastAsia" w:hAnsiTheme="minorEastAsia" w:cstheme="minorEastAsia"/>
          <w:color w:val="auto"/>
          <w:kern w:val="0"/>
          <w:sz w:val="24"/>
          <w:szCs w:val="24"/>
          <w:highlight w:val="none"/>
          <w:lang w:eastAsia="zh-CN"/>
        </w:rPr>
        <w:t>单价固定</w:t>
      </w:r>
      <w:r>
        <w:rPr>
          <w:rFonts w:hint="eastAsia" w:asciiTheme="minorEastAsia" w:hAnsiTheme="minorEastAsia" w:cstheme="minorEastAsia"/>
          <w:color w:val="auto"/>
          <w:kern w:val="0"/>
          <w:sz w:val="24"/>
          <w:szCs w:val="24"/>
          <w:highlight w:val="none"/>
        </w:rPr>
        <w:t>。</w:t>
      </w:r>
    </w:p>
    <w:p w14:paraId="599B0161">
      <w:pPr>
        <w:tabs>
          <w:tab w:val="left" w:pos="2160"/>
        </w:tabs>
        <w:adjustRightInd w:val="0"/>
        <w:spacing w:line="360" w:lineRule="auto"/>
        <w:ind w:right="84"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13.1.2  磋商报价为供应商在响应文件中提出的各项支付金额的总和。</w:t>
      </w:r>
    </w:p>
    <w:p w14:paraId="37EA3FD0">
      <w:pPr>
        <w:tabs>
          <w:tab w:val="left" w:pos="2160"/>
        </w:tabs>
        <w:adjustRightInd w:val="0"/>
        <w:spacing w:line="360" w:lineRule="auto"/>
        <w:ind w:right="84"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13.1.3  供应商的磋商报价，应以在要求工期内完成本采购工程工程量清单范围的全部内容为依据，不得以任何理由得复计复。</w:t>
      </w:r>
    </w:p>
    <w:p w14:paraId="65E57B5E">
      <w:pPr>
        <w:tabs>
          <w:tab w:val="left" w:pos="2160"/>
        </w:tabs>
        <w:adjustRightInd w:val="0"/>
        <w:spacing w:line="360" w:lineRule="auto"/>
        <w:ind w:right="70"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13.1.4  除非采购人对竞争性磋商采购文件进行修改，供应商应按采购人提供的工程量清单中列出工程项目和工程量填报单价和合价。每一项目只允许有一个报价。任何有选择的报价将不予接受。供应商未填报单价或合价的工程项目，承包人必须实施且在实施后，采购人将不予支付，并视为该项费用已包括在其他有价款的单价或合价内。无工程量的项目不能报价，否则作无效标处理。</w:t>
      </w:r>
    </w:p>
    <w:p w14:paraId="469FEE46">
      <w:pPr>
        <w:tabs>
          <w:tab w:val="left" w:pos="2160"/>
        </w:tabs>
        <w:adjustRightInd w:val="0"/>
        <w:spacing w:line="360" w:lineRule="auto"/>
        <w:ind w:right="84" w:firstLine="547" w:firstLineChars="228"/>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 xml:space="preserve"> 13.1.5 供应商工程量清单总报价应包括完成该工程项目的成本、利润、税金、技术措施费、大型机械进出场费、风险费、一般性检测费、政策性文件规定费用等所有费用。供应商所填报的</w:t>
      </w:r>
      <w:r>
        <w:rPr>
          <w:rFonts w:hint="eastAsia" w:asciiTheme="minorEastAsia" w:hAnsiTheme="minorEastAsia" w:cstheme="minorEastAsia"/>
          <w:color w:val="auto"/>
          <w:kern w:val="0"/>
          <w:sz w:val="24"/>
          <w:szCs w:val="24"/>
          <w:highlight w:val="none"/>
          <w:lang w:eastAsia="zh-CN"/>
        </w:rPr>
        <w:t>总价</w:t>
      </w:r>
      <w:r>
        <w:rPr>
          <w:rFonts w:hint="eastAsia" w:asciiTheme="minorEastAsia" w:hAnsiTheme="minorEastAsia" w:cstheme="minorEastAsia"/>
          <w:color w:val="auto"/>
          <w:kern w:val="0"/>
          <w:sz w:val="24"/>
          <w:szCs w:val="24"/>
          <w:highlight w:val="none"/>
        </w:rPr>
        <w:t>在合同实施期间不因市场价格变化因素而变动，供应商在报价时应考虑各种风险和承受能力。</w:t>
      </w:r>
    </w:p>
    <w:p w14:paraId="1F33E2D8">
      <w:pPr>
        <w:tabs>
          <w:tab w:val="left" w:pos="2160"/>
        </w:tabs>
        <w:adjustRightInd w:val="0"/>
        <w:spacing w:line="360" w:lineRule="auto"/>
        <w:ind w:right="84"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13.1.6  供应商应先到工地踏勘以充分了解工地位置、情况、道路、储存空间、装卸限制及任何其他足以影响承包价的情况，任何因忽视或误解工地情况而导致的索赔或工期延长申请将不获批准。</w:t>
      </w:r>
    </w:p>
    <w:p w14:paraId="39AE47A9">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stheme="minorEastAsia"/>
          <w:color w:val="auto"/>
          <w:sz w:val="24"/>
          <w:szCs w:val="24"/>
          <w:highlight w:val="none"/>
        </w:rPr>
        <w:t>13.1.7  承包人的临时占地（含预制厂、料厂、拌和站、借弃土场、项目部驻地等）租用费（含拆迁补偿）、临时用地的环保、恢复及所有临时性占地的青苗补偿及地面附着物补偿发生的费用均由承包人负责；由于承包人原因引起工期延长造成承包人临时占地的租用费增加由承包人负责并在磋商报价中综合考虑。采购人不提供取土点、弃土点，有关土石方挖、填、弃的超运、场地恢复、道路修复、土石方平整、压实、检测等一切作业以及运输过程中所发生的一切费用均应考虑在相关单价中，以</w:t>
      </w:r>
      <w:r>
        <w:rPr>
          <w:rFonts w:hint="eastAsia" w:asciiTheme="minorEastAsia" w:hAnsiTheme="minorEastAsia" w:cstheme="minorEastAsia"/>
          <w:color w:val="auto"/>
          <w:sz w:val="24"/>
          <w:szCs w:val="24"/>
          <w:highlight w:val="none"/>
          <w:lang w:eastAsia="zh-CN"/>
        </w:rPr>
        <w:t>总价</w:t>
      </w:r>
      <w:r>
        <w:rPr>
          <w:rFonts w:hint="eastAsia" w:asciiTheme="minorEastAsia" w:hAnsiTheme="minorEastAsia" w:cstheme="minorEastAsia"/>
          <w:color w:val="auto"/>
          <w:sz w:val="24"/>
          <w:szCs w:val="24"/>
          <w:highlight w:val="none"/>
        </w:rPr>
        <w:t>包干。土石方按市场报价，土石方运距由供应商按所能承受能力自行考虑。</w:t>
      </w:r>
    </w:p>
    <w:p w14:paraId="677F48F0">
      <w:pPr>
        <w:tabs>
          <w:tab w:val="left" w:pos="2160"/>
        </w:tabs>
        <w:adjustRightInd w:val="0"/>
        <w:spacing w:line="360" w:lineRule="auto"/>
        <w:ind w:right="84"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13.1.8  承包人承担本工程所需配备的水电设备（如变压器、电路等）及其使用（如施工用水电费用）、维护、拆除、修复等费用由承包人负责。以上费用在磋商报价中综合考虑。</w:t>
      </w:r>
    </w:p>
    <w:p w14:paraId="5E71EAB1">
      <w:pPr>
        <w:tabs>
          <w:tab w:val="left" w:pos="2160"/>
        </w:tabs>
        <w:adjustRightInd w:val="0"/>
        <w:spacing w:line="360" w:lineRule="auto"/>
        <w:ind w:right="84"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kern w:val="0"/>
          <w:sz w:val="24"/>
          <w:szCs w:val="24"/>
          <w:highlight w:val="none"/>
        </w:rPr>
        <w:t xml:space="preserve">13.1.9  </w:t>
      </w:r>
      <w:r>
        <w:rPr>
          <w:rFonts w:hint="eastAsia" w:asciiTheme="minorEastAsia" w:hAnsiTheme="minorEastAsia" w:cstheme="minorEastAsia"/>
          <w:color w:val="auto"/>
          <w:sz w:val="24"/>
          <w:szCs w:val="24"/>
          <w:highlight w:val="none"/>
        </w:rPr>
        <w:t>与本采购工程项目有关的技术规范要求的费用应包括在磋商报价中。</w:t>
      </w:r>
    </w:p>
    <w:p w14:paraId="3A066CD2">
      <w:pPr>
        <w:tabs>
          <w:tab w:val="left" w:pos="2160"/>
        </w:tabs>
        <w:adjustRightInd w:val="0"/>
        <w:spacing w:line="360" w:lineRule="auto"/>
        <w:ind w:right="85"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sz w:val="24"/>
          <w:szCs w:val="24"/>
          <w:highlight w:val="none"/>
        </w:rPr>
        <w:t xml:space="preserve">13.1.10 </w:t>
      </w:r>
      <w:r>
        <w:rPr>
          <w:rFonts w:hint="eastAsia" w:asciiTheme="minorEastAsia" w:hAnsiTheme="minorEastAsia" w:cstheme="minorEastAsia"/>
          <w:color w:val="auto"/>
          <w:kern w:val="0"/>
          <w:sz w:val="24"/>
          <w:szCs w:val="24"/>
          <w:highlight w:val="none"/>
        </w:rPr>
        <w:t>供应商应按照采购人提供的工程量清单进行报价，并要求所填写的</w:t>
      </w:r>
      <w:r>
        <w:rPr>
          <w:rFonts w:hint="eastAsia" w:asciiTheme="minorEastAsia" w:hAnsiTheme="minorEastAsia" w:cstheme="minorEastAsia"/>
          <w:bCs/>
          <w:color w:val="auto"/>
          <w:sz w:val="24"/>
          <w:szCs w:val="24"/>
          <w:highlight w:val="none"/>
        </w:rPr>
        <w:t>项目编号、项目名称、计量单位、工程数量负责</w:t>
      </w:r>
      <w:r>
        <w:rPr>
          <w:rFonts w:hint="eastAsia" w:asciiTheme="minorEastAsia" w:hAnsiTheme="minorEastAsia" w:cstheme="minorEastAsia"/>
          <w:color w:val="auto"/>
          <w:kern w:val="0"/>
          <w:sz w:val="24"/>
          <w:szCs w:val="24"/>
          <w:highlight w:val="none"/>
        </w:rPr>
        <w:t>。</w:t>
      </w:r>
      <w:r>
        <w:rPr>
          <w:rFonts w:hint="eastAsia" w:asciiTheme="minorEastAsia" w:hAnsiTheme="minorEastAsia" w:cstheme="minorEastAsia"/>
          <w:b/>
          <w:bCs/>
          <w:color w:val="auto"/>
          <w:sz w:val="24"/>
          <w:szCs w:val="24"/>
          <w:highlight w:val="none"/>
        </w:rPr>
        <w:t>工程量清单报价有关资料，应逐页加盖供应商公章，否则磋商无效。</w:t>
      </w:r>
      <w:r>
        <w:rPr>
          <w:rFonts w:hint="eastAsia" w:asciiTheme="minorEastAsia" w:hAnsiTheme="minorEastAsia" w:cstheme="minorEastAsia"/>
          <w:color w:val="auto"/>
          <w:sz w:val="24"/>
          <w:szCs w:val="24"/>
          <w:highlight w:val="none"/>
        </w:rPr>
        <w:t>评标时，</w:t>
      </w:r>
      <w:r>
        <w:rPr>
          <w:rFonts w:hint="eastAsia" w:asciiTheme="minorEastAsia" w:hAnsiTheme="minorEastAsia" w:cstheme="minorEastAsia"/>
          <w:bCs/>
          <w:color w:val="auto"/>
          <w:sz w:val="24"/>
          <w:szCs w:val="24"/>
          <w:highlight w:val="none"/>
        </w:rPr>
        <w:t>如项目编号与项目名称不一致，以项目编号为准；如项目编号与计量单位、工程数量无法一一对应，该清单项目作废，该清单项目的费用视为包含在其它清单项目中；如作废的清单项目达到3项以上（含3项）或作废的清单项目造价累计超过单位工程磋商报价的2%（含2%），</w:t>
      </w:r>
      <w:r>
        <w:rPr>
          <w:rFonts w:hint="eastAsia" w:asciiTheme="minorEastAsia" w:hAnsiTheme="minorEastAsia" w:cstheme="minorEastAsia"/>
          <w:color w:val="auto"/>
          <w:kern w:val="0"/>
          <w:sz w:val="24"/>
          <w:szCs w:val="24"/>
          <w:highlight w:val="none"/>
        </w:rPr>
        <w:t>视为不响应</w:t>
      </w:r>
      <w:r>
        <w:rPr>
          <w:rFonts w:hint="eastAsia" w:asciiTheme="minorEastAsia" w:hAnsiTheme="minorEastAsia" w:cstheme="minorEastAsia"/>
          <w:bCs/>
          <w:color w:val="auto"/>
          <w:sz w:val="24"/>
          <w:szCs w:val="24"/>
          <w:highlight w:val="none"/>
        </w:rPr>
        <w:t>竞争性磋商</w:t>
      </w:r>
      <w:r>
        <w:rPr>
          <w:rFonts w:hint="eastAsia" w:asciiTheme="minorEastAsia" w:hAnsiTheme="minorEastAsia" w:cstheme="minorEastAsia"/>
          <w:color w:val="auto"/>
          <w:kern w:val="0"/>
          <w:sz w:val="24"/>
          <w:szCs w:val="24"/>
          <w:highlight w:val="none"/>
        </w:rPr>
        <w:t>采购文件实质内容，作废标处理。</w:t>
      </w:r>
    </w:p>
    <w:p w14:paraId="3D6DA284">
      <w:pPr>
        <w:pStyle w:val="37"/>
        <w:spacing w:before="0" w:after="0" w:line="360" w:lineRule="auto"/>
        <w:rPr>
          <w:rFonts w:asciiTheme="minorEastAsia" w:hAnsiTheme="minorEastAsia"/>
          <w:color w:val="auto"/>
          <w:spacing w:val="0"/>
          <w:szCs w:val="24"/>
          <w:highlight w:val="none"/>
        </w:rPr>
      </w:pPr>
      <w:r>
        <w:rPr>
          <w:rFonts w:hint="eastAsia" w:asciiTheme="minorEastAsia" w:hAnsiTheme="minorEastAsia" w:cstheme="minorEastAsia"/>
          <w:bCs w:val="0"/>
          <w:color w:val="auto"/>
          <w:spacing w:val="0"/>
          <w:szCs w:val="24"/>
          <w:highlight w:val="none"/>
        </w:rPr>
        <w:t xml:space="preserve">    13.1.11 供应商应采用</w:t>
      </w:r>
      <w:r>
        <w:rPr>
          <w:rFonts w:hint="eastAsia" w:asciiTheme="minorEastAsia" w:hAnsiTheme="minorEastAsia" w:cstheme="minorEastAsia"/>
          <w:bCs w:val="0"/>
          <w:color w:val="auto"/>
          <w:spacing w:val="0"/>
          <w:szCs w:val="24"/>
          <w:highlight w:val="none"/>
          <w:lang w:eastAsia="zh-CN"/>
        </w:rPr>
        <w:t>总价</w:t>
      </w:r>
      <w:r>
        <w:rPr>
          <w:rFonts w:hint="eastAsia" w:asciiTheme="minorEastAsia" w:hAnsiTheme="minorEastAsia" w:cstheme="minorEastAsia"/>
          <w:bCs w:val="0"/>
          <w:color w:val="auto"/>
          <w:spacing w:val="0"/>
          <w:szCs w:val="24"/>
          <w:highlight w:val="none"/>
        </w:rPr>
        <w:t>进行工程量清单报价，不得采用总价让利或以百分比让利等形式报价。工程量清单总造价与磋商函中文字表示的磋商报价不相符的，作无效标处理。</w:t>
      </w:r>
      <w:r>
        <w:rPr>
          <w:rFonts w:hint="eastAsia" w:asciiTheme="minorEastAsia" w:hAnsiTheme="minorEastAsia" w:cstheme="minorEastAsia"/>
          <w:b/>
          <w:color w:val="auto"/>
          <w:spacing w:val="0"/>
          <w:szCs w:val="24"/>
          <w:highlight w:val="none"/>
        </w:rPr>
        <w:t>如在磋商报价过程中，供应商最终报价发生变化时，须提供相应的工程量清单报价表</w:t>
      </w:r>
      <w:r>
        <w:rPr>
          <w:rFonts w:hint="eastAsia" w:asciiTheme="minorEastAsia" w:hAnsiTheme="minorEastAsia" w:cstheme="minorEastAsia"/>
          <w:bCs w:val="0"/>
          <w:color w:val="auto"/>
          <w:spacing w:val="0"/>
          <w:szCs w:val="24"/>
          <w:highlight w:val="none"/>
        </w:rPr>
        <w:t>，否则属无效报价处理。</w:t>
      </w:r>
    </w:p>
    <w:p w14:paraId="55499D1B">
      <w:pPr>
        <w:tabs>
          <w:tab w:val="left" w:pos="2160"/>
        </w:tabs>
        <w:adjustRightInd w:val="0"/>
        <w:spacing w:line="360" w:lineRule="auto"/>
        <w:ind w:right="85" w:firstLine="549" w:firstLineChars="228"/>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13.2  工程招标控制价及磋商报价计算参考依据</w:t>
      </w:r>
    </w:p>
    <w:p w14:paraId="57354CC0">
      <w:pPr>
        <w:tabs>
          <w:tab w:val="left" w:pos="2160"/>
        </w:tabs>
        <w:adjustRightInd w:val="0"/>
        <w:spacing w:line="360" w:lineRule="auto"/>
        <w:ind w:right="85" w:firstLine="542" w:firstLineChars="226"/>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13.2.1  计算参考依据：详见工程量清单。</w:t>
      </w:r>
    </w:p>
    <w:p w14:paraId="60866E50">
      <w:pPr>
        <w:tabs>
          <w:tab w:val="left" w:pos="2160"/>
        </w:tabs>
        <w:adjustRightInd w:val="0"/>
        <w:spacing w:line="360" w:lineRule="auto"/>
        <w:ind w:right="85" w:firstLine="482" w:firstLineChars="200"/>
        <w:rPr>
          <w:rFonts w:asciiTheme="minorEastAsia" w:hAnsiTheme="minorEastAsia" w:cstheme="minorEastAsia"/>
          <w:b/>
          <w:color w:val="auto"/>
          <w:sz w:val="24"/>
          <w:szCs w:val="24"/>
          <w:highlight w:val="none"/>
        </w:rPr>
      </w:pPr>
      <w:r>
        <w:rPr>
          <w:rFonts w:hint="eastAsia" w:asciiTheme="minorEastAsia" w:hAnsiTheme="minorEastAsia" w:cstheme="minorEastAsia"/>
          <w:b/>
          <w:color w:val="auto"/>
          <w:kern w:val="0"/>
          <w:sz w:val="24"/>
          <w:szCs w:val="24"/>
          <w:highlight w:val="none"/>
        </w:rPr>
        <w:t>13.3  工</w:t>
      </w:r>
      <w:r>
        <w:rPr>
          <w:rFonts w:hint="eastAsia" w:asciiTheme="minorEastAsia" w:hAnsiTheme="minorEastAsia" w:cstheme="minorEastAsia"/>
          <w:b/>
          <w:color w:val="auto"/>
          <w:sz w:val="24"/>
          <w:szCs w:val="24"/>
          <w:highlight w:val="none"/>
        </w:rPr>
        <w:t>程招标控制价</w:t>
      </w:r>
    </w:p>
    <w:p w14:paraId="2012061B">
      <w:pPr>
        <w:tabs>
          <w:tab w:val="left" w:pos="2160"/>
        </w:tabs>
        <w:adjustRightInd w:val="0"/>
        <w:spacing w:line="360" w:lineRule="auto"/>
        <w:ind w:right="85" w:firstLine="420" w:firstLineChars="175"/>
        <w:rPr>
          <w:rFonts w:asciiTheme="minorEastAsia" w:hAnsiTheme="minorEastAsia" w:cstheme="minorEastAsia"/>
          <w:bCs/>
          <w:color w:val="auto"/>
          <w:kern w:val="0"/>
          <w:sz w:val="24"/>
          <w:szCs w:val="24"/>
          <w:highlight w:val="none"/>
        </w:rPr>
      </w:pPr>
      <w:r>
        <w:rPr>
          <w:rFonts w:hint="eastAsia" w:asciiTheme="minorEastAsia" w:hAnsiTheme="minorEastAsia" w:cstheme="minorEastAsia"/>
          <w:color w:val="auto"/>
          <w:sz w:val="24"/>
          <w:szCs w:val="24"/>
          <w:highlight w:val="none"/>
        </w:rPr>
        <w:t xml:space="preserve">13.3.1 </w:t>
      </w:r>
      <w:r>
        <w:rPr>
          <w:rFonts w:hint="eastAsia" w:asciiTheme="minorEastAsia" w:hAnsiTheme="minorEastAsia" w:cstheme="minorEastAsia"/>
          <w:b/>
          <w:color w:val="auto"/>
          <w:sz w:val="24"/>
          <w:szCs w:val="24"/>
          <w:highlight w:val="none"/>
        </w:rPr>
        <w:t>本项</w:t>
      </w:r>
      <w:r>
        <w:rPr>
          <w:rFonts w:hint="eastAsia" w:asciiTheme="minorEastAsia" w:hAnsiTheme="minorEastAsia" w:cstheme="minorEastAsia"/>
          <w:b/>
          <w:color w:val="auto"/>
          <w:kern w:val="0"/>
          <w:sz w:val="24"/>
          <w:szCs w:val="24"/>
          <w:highlight w:val="none"/>
        </w:rPr>
        <w:t>目</w:t>
      </w:r>
      <w:r>
        <w:rPr>
          <w:rFonts w:hint="eastAsia" w:asciiTheme="minorEastAsia" w:hAnsiTheme="minorEastAsia" w:cstheme="minorEastAsia"/>
          <w:b/>
          <w:color w:val="auto"/>
          <w:sz w:val="24"/>
          <w:szCs w:val="24"/>
          <w:highlight w:val="none"/>
        </w:rPr>
        <w:t>招标控制价</w:t>
      </w:r>
      <w:r>
        <w:rPr>
          <w:rFonts w:hint="eastAsia" w:asciiTheme="minorEastAsia" w:hAnsiTheme="minorEastAsia" w:cstheme="minorEastAsia"/>
          <w:b/>
          <w:color w:val="auto"/>
          <w:kern w:val="0"/>
          <w:sz w:val="24"/>
          <w:szCs w:val="24"/>
          <w:highlight w:val="none"/>
        </w:rPr>
        <w:t>为人民币（大写）柒拾玖万玖仟零柒拾伍元肆角柒分（￥799,075.47元），</w:t>
      </w:r>
      <w:r>
        <w:rPr>
          <w:rFonts w:hint="eastAsia" w:asciiTheme="minorEastAsia" w:hAnsiTheme="minorEastAsia" w:cstheme="minorEastAsia"/>
          <w:bCs/>
          <w:color w:val="auto"/>
          <w:kern w:val="0"/>
          <w:sz w:val="24"/>
          <w:szCs w:val="24"/>
          <w:highlight w:val="none"/>
        </w:rPr>
        <w:t>供应商应认真对照施工设计图纸等文件核对采购人公布的工程招标控制价，如发现工程招标控制价的计算存在误差或有遗漏的，必须在规定的时间</w:t>
      </w:r>
      <w:r>
        <w:rPr>
          <w:rFonts w:hint="eastAsia" w:asciiTheme="minorEastAsia" w:hAnsiTheme="minorEastAsia" w:cstheme="minorEastAsia"/>
          <w:color w:val="auto"/>
          <w:sz w:val="24"/>
          <w:szCs w:val="24"/>
          <w:highlight w:val="none"/>
        </w:rPr>
        <w:t>内</w:t>
      </w:r>
      <w:r>
        <w:rPr>
          <w:rFonts w:hint="eastAsia" w:asciiTheme="minorEastAsia" w:hAnsiTheme="minorEastAsia" w:cstheme="minorEastAsia"/>
          <w:bCs/>
          <w:color w:val="auto"/>
          <w:kern w:val="0"/>
          <w:sz w:val="24"/>
          <w:szCs w:val="24"/>
          <w:highlight w:val="none"/>
        </w:rPr>
        <w:t>向采购人提出书面异议或修正要求。采购人将对供应商提出的书面异议或修正要求进行核实。如采购人认为有必要对工程招标控制价进行修正的，在提交采购文件截止时间5日前将重新公布修正后的工程招标控制价。</w:t>
      </w:r>
    </w:p>
    <w:p w14:paraId="3E558346">
      <w:pPr>
        <w:pStyle w:val="5"/>
        <w:spacing w:line="360" w:lineRule="auto"/>
        <w:ind w:firstLine="482" w:firstLineChars="200"/>
        <w:rPr>
          <w:rFonts w:asciiTheme="minorEastAsia" w:hAnsiTheme="minorEastAsia" w:eastAsiaTheme="minorEastAsia" w:cstheme="minorEastAsia"/>
          <w:color w:val="auto"/>
          <w:kern w:val="0"/>
          <w:sz w:val="24"/>
          <w:szCs w:val="24"/>
          <w:highlight w:val="none"/>
        </w:rPr>
      </w:pPr>
      <w:bookmarkStart w:id="134" w:name="_Toc29153328"/>
      <w:bookmarkStart w:id="135" w:name="_Toc243584248"/>
      <w:bookmarkStart w:id="136" w:name="_Toc6973"/>
      <w:bookmarkStart w:id="137" w:name="_Toc74156200"/>
      <w:r>
        <w:rPr>
          <w:rFonts w:hint="eastAsia" w:asciiTheme="minorEastAsia" w:hAnsiTheme="minorEastAsia" w:eastAsiaTheme="minorEastAsia" w:cstheme="minorEastAsia"/>
          <w:color w:val="auto"/>
          <w:kern w:val="0"/>
          <w:sz w:val="24"/>
          <w:szCs w:val="24"/>
          <w:highlight w:val="none"/>
        </w:rPr>
        <w:t>14. 磋商货币</w:t>
      </w:r>
      <w:bookmarkEnd w:id="134"/>
      <w:bookmarkEnd w:id="135"/>
      <w:bookmarkEnd w:id="136"/>
      <w:bookmarkEnd w:id="137"/>
    </w:p>
    <w:p w14:paraId="41E5B2AC">
      <w:pPr>
        <w:pStyle w:val="13"/>
        <w:autoSpaceDE/>
        <w:autoSpaceDN/>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14.1  本工程磋商报价采用的币种为:人民币</w:t>
      </w:r>
    </w:p>
    <w:p w14:paraId="49E1B7BF">
      <w:pPr>
        <w:pStyle w:val="5"/>
        <w:spacing w:line="360" w:lineRule="auto"/>
        <w:ind w:firstLine="482" w:firstLineChars="200"/>
        <w:rPr>
          <w:rFonts w:asciiTheme="minorEastAsia" w:hAnsiTheme="minorEastAsia" w:eastAsiaTheme="minorEastAsia" w:cstheme="minorEastAsia"/>
          <w:color w:val="auto"/>
          <w:kern w:val="0"/>
          <w:sz w:val="24"/>
          <w:szCs w:val="24"/>
          <w:highlight w:val="none"/>
        </w:rPr>
      </w:pPr>
      <w:bookmarkStart w:id="138" w:name="_Toc243584249"/>
      <w:bookmarkStart w:id="139" w:name="_Toc29153329"/>
      <w:bookmarkStart w:id="140" w:name="_Toc74156201"/>
      <w:bookmarkStart w:id="141" w:name="_Toc514238603"/>
      <w:bookmarkStart w:id="142" w:name="_Toc23046679"/>
      <w:bookmarkStart w:id="143" w:name="_Toc23152573"/>
      <w:bookmarkStart w:id="144" w:name="_Toc23542"/>
      <w:r>
        <w:rPr>
          <w:rFonts w:hint="eastAsia" w:asciiTheme="minorEastAsia" w:hAnsiTheme="minorEastAsia" w:eastAsiaTheme="minorEastAsia" w:cstheme="minorEastAsia"/>
          <w:color w:val="auto"/>
          <w:kern w:val="0"/>
          <w:sz w:val="24"/>
          <w:szCs w:val="24"/>
          <w:highlight w:val="none"/>
        </w:rPr>
        <w:t>15. 磋商有效期</w:t>
      </w:r>
      <w:bookmarkEnd w:id="138"/>
      <w:bookmarkEnd w:id="139"/>
      <w:bookmarkEnd w:id="140"/>
      <w:bookmarkEnd w:id="141"/>
      <w:bookmarkEnd w:id="142"/>
      <w:bookmarkEnd w:id="143"/>
      <w:bookmarkEnd w:id="144"/>
    </w:p>
    <w:p w14:paraId="627D1E2E">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15.1  磋商有效期为提交响应文件截止之日起</w:t>
      </w:r>
      <w:r>
        <w:rPr>
          <w:rFonts w:hint="eastAsia" w:asciiTheme="minorEastAsia" w:hAnsiTheme="minorEastAsia" w:cstheme="minorEastAsia"/>
          <w:bCs/>
          <w:color w:val="auto"/>
          <w:kern w:val="0"/>
          <w:sz w:val="24"/>
          <w:szCs w:val="24"/>
          <w:highlight w:val="none"/>
          <w:u w:val="single"/>
        </w:rPr>
        <w:t>60</w:t>
      </w:r>
      <w:r>
        <w:rPr>
          <w:rFonts w:hint="eastAsia" w:asciiTheme="minorEastAsia" w:hAnsiTheme="minorEastAsia" w:cstheme="minorEastAsia"/>
          <w:color w:val="auto"/>
          <w:kern w:val="0"/>
          <w:sz w:val="24"/>
          <w:szCs w:val="24"/>
          <w:highlight w:val="none"/>
        </w:rPr>
        <w:t>日内。在此期间，凡符合本竞争性磋商采购文件要求的响应文件均保持有效。</w:t>
      </w:r>
    </w:p>
    <w:p w14:paraId="4FE5FF0A">
      <w:pPr>
        <w:adjustRightInd w:val="0"/>
        <w:spacing w:line="360"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kern w:val="0"/>
          <w:sz w:val="24"/>
          <w:szCs w:val="24"/>
          <w:highlight w:val="none"/>
        </w:rPr>
        <w:t>15.2  在特殊情况下，采购人在原定磋商有效期内，可以根据需要以书面形式向供应商提出延长磋商有效期的要求，对此要求供应商须以书面形式予以答复。供应商可以拒绝采购人这种要求，而不被没收磋商保证金。</w:t>
      </w:r>
      <w:r>
        <w:rPr>
          <w:rFonts w:hint="eastAsia" w:asciiTheme="minorEastAsia" w:hAnsiTheme="minorEastAsia" w:cstheme="minorEastAsia"/>
          <w:color w:val="auto"/>
          <w:sz w:val="24"/>
          <w:szCs w:val="24"/>
          <w:highlight w:val="none"/>
        </w:rPr>
        <w:t>同意延长</w:t>
      </w:r>
      <w:r>
        <w:rPr>
          <w:rFonts w:hint="eastAsia" w:asciiTheme="minorEastAsia" w:hAnsiTheme="minorEastAsia" w:cstheme="minorEastAsia"/>
          <w:color w:val="auto"/>
          <w:kern w:val="0"/>
          <w:sz w:val="24"/>
          <w:szCs w:val="24"/>
          <w:highlight w:val="none"/>
        </w:rPr>
        <w:t>磋商</w:t>
      </w:r>
      <w:r>
        <w:rPr>
          <w:rFonts w:hint="eastAsia" w:asciiTheme="minorEastAsia" w:hAnsiTheme="minorEastAsia" w:cstheme="minorEastAsia"/>
          <w:color w:val="auto"/>
          <w:sz w:val="24"/>
          <w:szCs w:val="24"/>
          <w:highlight w:val="none"/>
        </w:rPr>
        <w:t>有效期的供应商，不允许修改或撤回其响应文件。</w:t>
      </w:r>
      <w:r>
        <w:rPr>
          <w:rFonts w:hint="eastAsia" w:asciiTheme="minorEastAsia" w:hAnsiTheme="minorEastAsia" w:cstheme="minorEastAsia"/>
          <w:color w:val="auto"/>
          <w:kern w:val="0"/>
          <w:sz w:val="24"/>
          <w:szCs w:val="24"/>
          <w:highlight w:val="none"/>
        </w:rPr>
        <w:t>供应商拒绝延长磋商有效期的，其磋商失效。</w:t>
      </w:r>
      <w:r>
        <w:rPr>
          <w:rFonts w:hint="eastAsia" w:asciiTheme="minorEastAsia" w:hAnsiTheme="minorEastAsia" w:cstheme="minorEastAsia"/>
          <w:color w:val="auto"/>
          <w:sz w:val="24"/>
          <w:szCs w:val="24"/>
          <w:highlight w:val="none"/>
        </w:rPr>
        <w:t>在延长的</w:t>
      </w:r>
      <w:r>
        <w:rPr>
          <w:rFonts w:hint="eastAsia" w:asciiTheme="minorEastAsia" w:hAnsiTheme="minorEastAsia" w:cstheme="minorEastAsia"/>
          <w:color w:val="auto"/>
          <w:kern w:val="0"/>
          <w:sz w:val="24"/>
          <w:szCs w:val="24"/>
          <w:highlight w:val="none"/>
        </w:rPr>
        <w:t>磋商</w:t>
      </w:r>
      <w:r>
        <w:rPr>
          <w:rFonts w:hint="eastAsia" w:asciiTheme="minorEastAsia" w:hAnsiTheme="minorEastAsia" w:cstheme="minorEastAsia"/>
          <w:color w:val="auto"/>
          <w:sz w:val="24"/>
          <w:szCs w:val="24"/>
          <w:highlight w:val="none"/>
        </w:rPr>
        <w:t>有效期内，本须知第16条的规定仍然适用。</w:t>
      </w:r>
    </w:p>
    <w:p w14:paraId="45DAFEA5">
      <w:pPr>
        <w:pStyle w:val="5"/>
        <w:spacing w:line="360" w:lineRule="auto"/>
        <w:ind w:firstLine="482" w:firstLineChars="200"/>
        <w:rPr>
          <w:rFonts w:asciiTheme="minorEastAsia" w:hAnsiTheme="minorEastAsia" w:eastAsiaTheme="minorEastAsia" w:cstheme="minorEastAsia"/>
          <w:color w:val="auto"/>
          <w:sz w:val="24"/>
          <w:szCs w:val="24"/>
          <w:highlight w:val="none"/>
        </w:rPr>
      </w:pPr>
      <w:bookmarkStart w:id="145" w:name="_Toc243584250"/>
      <w:bookmarkStart w:id="146" w:name="_Toc514238604"/>
      <w:bookmarkStart w:id="147" w:name="_Toc29153330"/>
      <w:bookmarkStart w:id="148" w:name="_Toc31485"/>
      <w:bookmarkStart w:id="149" w:name="_Toc23046680"/>
      <w:bookmarkStart w:id="150" w:name="_Toc74156202"/>
      <w:bookmarkStart w:id="151" w:name="_Toc23152574"/>
      <w:r>
        <w:rPr>
          <w:rFonts w:hint="eastAsia" w:asciiTheme="minorEastAsia" w:hAnsiTheme="minorEastAsia" w:eastAsiaTheme="minorEastAsia" w:cstheme="minorEastAsia"/>
          <w:color w:val="auto"/>
          <w:sz w:val="24"/>
          <w:szCs w:val="24"/>
          <w:highlight w:val="none"/>
        </w:rPr>
        <w:t>16. 磋商保证金</w:t>
      </w:r>
      <w:bookmarkEnd w:id="145"/>
      <w:bookmarkEnd w:id="146"/>
      <w:bookmarkEnd w:id="147"/>
      <w:bookmarkEnd w:id="148"/>
      <w:bookmarkEnd w:id="149"/>
      <w:bookmarkEnd w:id="150"/>
      <w:bookmarkEnd w:id="151"/>
    </w:p>
    <w:p w14:paraId="631CACDB">
      <w:pPr>
        <w:adjustRightInd w:val="0"/>
        <w:spacing w:line="360" w:lineRule="auto"/>
        <w:ind w:firstLine="480" w:firstLineChars="200"/>
        <w:rPr>
          <w:rFonts w:asciiTheme="minorEastAsia" w:hAnsiTheme="minorEastAsia" w:cstheme="minorEastAsia"/>
          <w:color w:val="auto"/>
          <w:kern w:val="0"/>
          <w:sz w:val="24"/>
          <w:szCs w:val="24"/>
          <w:highlight w:val="none"/>
        </w:rPr>
      </w:pPr>
      <w:bookmarkStart w:id="152" w:name="_Toc243584251"/>
      <w:bookmarkStart w:id="153" w:name="_Toc29153331"/>
      <w:bookmarkStart w:id="154" w:name="_Toc258"/>
      <w:bookmarkStart w:id="155" w:name="_Toc23046682"/>
      <w:bookmarkStart w:id="156" w:name="_Toc23152576"/>
      <w:bookmarkStart w:id="157" w:name="_Toc514238606"/>
      <w:bookmarkStart w:id="158" w:name="_Toc74156203"/>
      <w:r>
        <w:rPr>
          <w:rFonts w:hint="eastAsia" w:asciiTheme="minorEastAsia" w:hAnsiTheme="minorEastAsia" w:cstheme="minorEastAsia"/>
          <w:color w:val="auto"/>
          <w:kern w:val="0"/>
          <w:sz w:val="24"/>
          <w:szCs w:val="24"/>
          <w:highlight w:val="none"/>
        </w:rPr>
        <w:t>16.1  供应商应按前附表第13项规定的数额、方式和地点在提交响应文件截止时间前提交磋商保证金，此磋商保证金是响应文件的一个组成部分。</w:t>
      </w:r>
    </w:p>
    <w:p w14:paraId="55BB506C">
      <w:pPr>
        <w:spacing w:line="360" w:lineRule="auto"/>
        <w:ind w:firstLine="470" w:firstLineChars="196"/>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16.1.1 磋商保证金在截标时间前交到磋商须知前附表要求的账户上，开标时核验转账证明材料。</w:t>
      </w:r>
    </w:p>
    <w:p w14:paraId="27A86F89">
      <w:pPr>
        <w:adjustRightInd w:val="0"/>
        <w:spacing w:line="360" w:lineRule="auto"/>
        <w:ind w:firstLine="480" w:firstLineChars="200"/>
        <w:rPr>
          <w:rFonts w:asciiTheme="minorEastAsia" w:hAnsiTheme="minorEastAsia" w:cstheme="minorEastAsia"/>
          <w:bCs/>
          <w:color w:val="auto"/>
          <w:sz w:val="24"/>
          <w:szCs w:val="24"/>
          <w:highlight w:val="none"/>
        </w:rPr>
      </w:pPr>
      <w:r>
        <w:rPr>
          <w:rFonts w:hint="eastAsia" w:asciiTheme="minorEastAsia" w:hAnsiTheme="minorEastAsia" w:cstheme="minorEastAsia"/>
          <w:color w:val="auto"/>
          <w:kern w:val="0"/>
          <w:sz w:val="24"/>
          <w:szCs w:val="24"/>
          <w:highlight w:val="none"/>
        </w:rPr>
        <w:t>16.2 对于未能按要求提交磋商保证金的供应商，采购人将视为不响应竞争性磋商采购文件而拒绝其磋商。</w:t>
      </w:r>
    </w:p>
    <w:p w14:paraId="7EFD57E7">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16.3 成交人磋商保证金，在账户成交人与采购人签订合同后5个工作日内退还（无息）。</w:t>
      </w:r>
    </w:p>
    <w:p w14:paraId="70EBFBA3">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16.4 其他未成交的供应商的磋商保证金将在采购人发出成交通知书后5个工作日内退回（无息）。</w:t>
      </w:r>
    </w:p>
    <w:p w14:paraId="79B41E47">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16.5 供应商有下列情况之一的，磋商保证金不予退还：</w:t>
      </w:r>
    </w:p>
    <w:p w14:paraId="2ECF0839">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16.5.1 供应商在提交响应文件截止时间后撤回响应文件的；</w:t>
      </w:r>
    </w:p>
    <w:p w14:paraId="643127CD">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16.5.2 供应商在响应文件中提供虚假材料的；</w:t>
      </w:r>
    </w:p>
    <w:p w14:paraId="7ACBA253">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16.5.3 除因不可抗力或磋商文件认可的情形以外，成交供应商不与采购人签订合同的；</w:t>
      </w:r>
    </w:p>
    <w:p w14:paraId="38E3F8FB">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16.5.4 成交人未按规定向采购代理机构支付采购代理服务费。</w:t>
      </w:r>
    </w:p>
    <w:p w14:paraId="2E002729">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16.5.5供应商与采购人、其他供应商或者采购代理机构恶意串通的；</w:t>
      </w:r>
    </w:p>
    <w:p w14:paraId="1E5AE9B3">
      <w:pPr>
        <w:pStyle w:val="5"/>
        <w:spacing w:line="360" w:lineRule="auto"/>
        <w:ind w:firstLine="482" w:firstLineChars="200"/>
        <w:rPr>
          <w:rFonts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17. 供应商的替代方案</w:t>
      </w:r>
      <w:bookmarkEnd w:id="152"/>
      <w:bookmarkEnd w:id="153"/>
      <w:bookmarkEnd w:id="154"/>
    </w:p>
    <w:p w14:paraId="76BD3562">
      <w:pPr>
        <w:spacing w:line="360"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17.1本采购工程不允许供应商提交替代方案。</w:t>
      </w:r>
    </w:p>
    <w:p w14:paraId="5955688D">
      <w:pPr>
        <w:pStyle w:val="5"/>
        <w:spacing w:line="360" w:lineRule="auto"/>
        <w:ind w:firstLine="482" w:firstLineChars="200"/>
        <w:rPr>
          <w:rFonts w:asciiTheme="minorEastAsia" w:hAnsiTheme="minorEastAsia" w:eastAsiaTheme="minorEastAsia" w:cstheme="minorEastAsia"/>
          <w:color w:val="auto"/>
          <w:kern w:val="0"/>
          <w:sz w:val="24"/>
          <w:szCs w:val="24"/>
          <w:highlight w:val="none"/>
        </w:rPr>
      </w:pPr>
      <w:bookmarkStart w:id="159" w:name="_Toc243584252"/>
      <w:bookmarkStart w:id="160" w:name="_Toc29077"/>
      <w:bookmarkStart w:id="161" w:name="_Toc29153332"/>
      <w:r>
        <w:rPr>
          <w:rFonts w:hint="eastAsia" w:asciiTheme="minorEastAsia" w:hAnsiTheme="minorEastAsia" w:eastAsiaTheme="minorEastAsia" w:cstheme="minorEastAsia"/>
          <w:color w:val="auto"/>
          <w:kern w:val="0"/>
          <w:sz w:val="24"/>
          <w:szCs w:val="24"/>
          <w:highlight w:val="none"/>
        </w:rPr>
        <w:t xml:space="preserve">18. </w:t>
      </w:r>
      <w:bookmarkEnd w:id="155"/>
      <w:bookmarkEnd w:id="156"/>
      <w:bookmarkEnd w:id="157"/>
      <w:bookmarkEnd w:id="158"/>
      <w:bookmarkEnd w:id="159"/>
      <w:bookmarkEnd w:id="160"/>
      <w:bookmarkEnd w:id="161"/>
      <w:r>
        <w:rPr>
          <w:rFonts w:hint="eastAsia" w:asciiTheme="minorEastAsia" w:hAnsiTheme="minorEastAsia" w:eastAsiaTheme="minorEastAsia" w:cstheme="minorEastAsia"/>
          <w:color w:val="auto"/>
          <w:kern w:val="0"/>
          <w:sz w:val="24"/>
          <w:szCs w:val="24"/>
          <w:highlight w:val="none"/>
        </w:rPr>
        <w:t>竞争性磋商响应文件的签署、份数和封装</w:t>
      </w:r>
    </w:p>
    <w:p w14:paraId="6E95D7E3">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 xml:space="preserve">18.1 </w:t>
      </w:r>
      <w:r>
        <w:rPr>
          <w:rFonts w:hint="eastAsia" w:asciiTheme="minorEastAsia" w:hAnsiTheme="minorEastAsia" w:cstheme="minorEastAsia"/>
          <w:color w:val="auto"/>
          <w:sz w:val="24"/>
          <w:szCs w:val="24"/>
          <w:highlight w:val="none"/>
        </w:rPr>
        <w:t>供应商</w:t>
      </w:r>
      <w:r>
        <w:rPr>
          <w:rFonts w:hint="eastAsia" w:asciiTheme="minorEastAsia" w:hAnsiTheme="minorEastAsia" w:cstheme="minorEastAsia"/>
          <w:color w:val="auto"/>
          <w:kern w:val="0"/>
          <w:sz w:val="24"/>
          <w:szCs w:val="24"/>
          <w:highlight w:val="none"/>
        </w:rPr>
        <w:t>应按前附表第</w:t>
      </w:r>
      <w:r>
        <w:rPr>
          <w:rFonts w:hint="eastAsia" w:asciiTheme="minorEastAsia" w:hAnsiTheme="minorEastAsia" w:cstheme="minorEastAsia"/>
          <w:bCs/>
          <w:color w:val="auto"/>
          <w:kern w:val="0"/>
          <w:sz w:val="24"/>
          <w:szCs w:val="24"/>
          <w:highlight w:val="none"/>
        </w:rPr>
        <w:t>15</w:t>
      </w:r>
      <w:r>
        <w:rPr>
          <w:rFonts w:hint="eastAsia" w:asciiTheme="minorEastAsia" w:hAnsiTheme="minorEastAsia" w:cstheme="minorEastAsia"/>
          <w:color w:val="auto"/>
          <w:kern w:val="0"/>
          <w:sz w:val="24"/>
          <w:szCs w:val="24"/>
          <w:highlight w:val="none"/>
        </w:rPr>
        <w:t>项规定的份数提交响应文件。</w:t>
      </w:r>
    </w:p>
    <w:p w14:paraId="6CBFC233">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asciiTheme="minorEastAsia" w:hAnsiTheme="minorEastAsia" w:cstheme="minorEastAsia"/>
          <w:color w:val="auto"/>
          <w:kern w:val="0"/>
          <w:sz w:val="24"/>
          <w:szCs w:val="24"/>
          <w:highlight w:val="none"/>
        </w:rPr>
        <w:t>18</w:t>
      </w:r>
      <w:r>
        <w:rPr>
          <w:rFonts w:hint="eastAsia" w:asciiTheme="minorEastAsia" w:hAnsiTheme="minorEastAsia" w:cstheme="minorEastAsia"/>
          <w:color w:val="auto"/>
          <w:kern w:val="0"/>
          <w:sz w:val="24"/>
          <w:szCs w:val="24"/>
          <w:highlight w:val="none"/>
        </w:rPr>
        <w:t>.</w:t>
      </w:r>
      <w:r>
        <w:rPr>
          <w:rFonts w:asciiTheme="minorEastAsia" w:hAnsiTheme="minorEastAsia" w:cstheme="minorEastAsia"/>
          <w:color w:val="auto"/>
          <w:kern w:val="0"/>
          <w:sz w:val="24"/>
          <w:szCs w:val="24"/>
          <w:highlight w:val="none"/>
        </w:rPr>
        <w:t xml:space="preserve">2 </w:t>
      </w:r>
      <w:r>
        <w:rPr>
          <w:rFonts w:hint="eastAsia" w:asciiTheme="minorEastAsia" w:hAnsiTheme="minorEastAsia" w:cstheme="minorEastAsia"/>
          <w:color w:val="auto"/>
          <w:kern w:val="0"/>
          <w:sz w:val="24"/>
          <w:szCs w:val="24"/>
          <w:highlight w:val="none"/>
        </w:rPr>
        <w:t>电子磋商响应文件中须加盖供应商公章部分均采用 CA 签章，并根据“政府采购项目电子交易管理操作指南-供应商”及本竞争性磋商文件规定的格式和顺序编制电子磋商响应文件并进行关联定位，以便磋商小组在评审时，点击评分项可直接定位到该评分项内容。如对竞争性磋商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 漏读，或者在按竞争性磋商文件规定的部位查找不到相关内容的，由供应商自行承担。</w:t>
      </w:r>
    </w:p>
    <w:p w14:paraId="3DB530A2">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asciiTheme="minorEastAsia" w:hAnsiTheme="minorEastAsia" w:cstheme="minorEastAsia"/>
          <w:color w:val="auto"/>
          <w:kern w:val="0"/>
          <w:sz w:val="24"/>
          <w:szCs w:val="24"/>
          <w:highlight w:val="none"/>
        </w:rPr>
        <w:t>18.3</w:t>
      </w:r>
      <w:r>
        <w:rPr>
          <w:rFonts w:hint="eastAsia" w:asciiTheme="minorEastAsia" w:hAnsiTheme="minorEastAsia" w:cstheme="minorEastAsia"/>
          <w:color w:val="auto"/>
          <w:kern w:val="0"/>
          <w:sz w:val="24"/>
          <w:szCs w:val="24"/>
          <w:highlight w:val="none"/>
        </w:rPr>
        <w:t xml:space="preserve"> CA 签章上目前没有法人（负责人）或授权代表签字信息，供应商在磋商响应文件中涉及到签字的位置线下签好字然后扫描或者拍照做成PDF的格式即可。</w:t>
      </w:r>
    </w:p>
    <w:p w14:paraId="69CA97BF">
      <w:pPr>
        <w:adjustRightInd w:val="0"/>
        <w:spacing w:line="360" w:lineRule="auto"/>
        <w:ind w:firstLine="480" w:firstLineChars="200"/>
        <w:rPr>
          <w:rFonts w:asciiTheme="minorEastAsia" w:hAnsiTheme="minorEastAsia"/>
          <w:color w:val="auto"/>
          <w:sz w:val="24"/>
          <w:szCs w:val="24"/>
          <w:highlight w:val="none"/>
        </w:rPr>
      </w:pPr>
      <w:r>
        <w:rPr>
          <w:rFonts w:asciiTheme="minorEastAsia" w:hAnsiTheme="minorEastAsia" w:cstheme="minorEastAsia"/>
          <w:color w:val="auto"/>
          <w:kern w:val="0"/>
          <w:sz w:val="24"/>
          <w:szCs w:val="24"/>
          <w:highlight w:val="none"/>
        </w:rPr>
        <w:t>18.4</w:t>
      </w:r>
      <w:r>
        <w:rPr>
          <w:rFonts w:hint="eastAsia" w:asciiTheme="minorEastAsia" w:hAnsiTheme="minorEastAsia" w:cstheme="minorEastAsia"/>
          <w:color w:val="auto"/>
          <w:kern w:val="0"/>
          <w:sz w:val="24"/>
          <w:szCs w:val="24"/>
          <w:highlight w:val="none"/>
        </w:rPr>
        <w:t xml:space="preserve"> 磋商响应文件不得涂改，若有修改错漏处，须法定代表人（负责人）或授权委托人签字。磋商响应文件因字迹潦草或表达不清所引起的后果由供应商负责。</w:t>
      </w:r>
    </w:p>
    <w:p w14:paraId="7AF2322C">
      <w:pPr>
        <w:pStyle w:val="4"/>
        <w:spacing w:line="360" w:lineRule="auto"/>
        <w:jc w:val="center"/>
        <w:rPr>
          <w:rFonts w:asciiTheme="minorEastAsia" w:hAnsiTheme="minorEastAsia" w:eastAsiaTheme="minorEastAsia" w:cstheme="minorEastAsia"/>
          <w:color w:val="auto"/>
          <w:kern w:val="0"/>
          <w:sz w:val="24"/>
          <w:szCs w:val="24"/>
          <w:highlight w:val="none"/>
        </w:rPr>
      </w:pPr>
      <w:bookmarkStart w:id="162" w:name="_Toc514238607"/>
      <w:bookmarkStart w:id="163" w:name="_Toc23046683"/>
      <w:bookmarkStart w:id="164" w:name="_Toc23152577"/>
      <w:r>
        <w:rPr>
          <w:rFonts w:hint="eastAsia" w:asciiTheme="minorEastAsia" w:hAnsiTheme="minorEastAsia" w:eastAsiaTheme="minorEastAsia" w:cstheme="minorEastAsia"/>
          <w:color w:val="auto"/>
          <w:kern w:val="0"/>
          <w:sz w:val="24"/>
          <w:szCs w:val="24"/>
          <w:highlight w:val="none"/>
        </w:rPr>
        <w:t xml:space="preserve">  </w:t>
      </w:r>
      <w:bookmarkStart w:id="165" w:name="_Toc74156204"/>
      <w:bookmarkStart w:id="166" w:name="_Toc21544"/>
      <w:bookmarkStart w:id="167" w:name="_Toc29153333"/>
      <w:bookmarkStart w:id="168" w:name="_Toc243584253"/>
      <w:r>
        <w:rPr>
          <w:rFonts w:hint="eastAsia" w:asciiTheme="minorEastAsia" w:hAnsiTheme="minorEastAsia" w:eastAsiaTheme="minorEastAsia" w:cstheme="minorEastAsia"/>
          <w:color w:val="auto"/>
          <w:kern w:val="0"/>
          <w:sz w:val="24"/>
          <w:szCs w:val="24"/>
          <w:highlight w:val="none"/>
        </w:rPr>
        <w:t>（四） 响应文件的提交</w:t>
      </w:r>
      <w:bookmarkEnd w:id="162"/>
      <w:bookmarkEnd w:id="163"/>
      <w:bookmarkEnd w:id="164"/>
      <w:bookmarkEnd w:id="165"/>
      <w:bookmarkEnd w:id="166"/>
      <w:bookmarkEnd w:id="167"/>
      <w:bookmarkEnd w:id="168"/>
    </w:p>
    <w:p w14:paraId="16377934">
      <w:pPr>
        <w:pStyle w:val="5"/>
        <w:spacing w:line="360" w:lineRule="auto"/>
        <w:ind w:firstLine="482" w:firstLineChars="200"/>
        <w:rPr>
          <w:rFonts w:asciiTheme="minorEastAsia" w:hAnsiTheme="minorEastAsia" w:eastAsiaTheme="minorEastAsia" w:cstheme="minorEastAsia"/>
          <w:color w:val="auto"/>
          <w:kern w:val="0"/>
          <w:sz w:val="24"/>
          <w:szCs w:val="24"/>
          <w:highlight w:val="none"/>
        </w:rPr>
      </w:pPr>
      <w:bookmarkStart w:id="169" w:name="_Toc514238608"/>
      <w:bookmarkStart w:id="170" w:name="_Toc243584254"/>
      <w:bookmarkStart w:id="171" w:name="_Toc74156205"/>
      <w:bookmarkStart w:id="172" w:name="_Toc29153334"/>
      <w:bookmarkStart w:id="173" w:name="_Toc23152578"/>
      <w:bookmarkStart w:id="174" w:name="_Toc23046684"/>
      <w:bookmarkStart w:id="175" w:name="_Toc6907"/>
      <w:r>
        <w:rPr>
          <w:rFonts w:hint="eastAsia" w:asciiTheme="minorEastAsia" w:hAnsiTheme="minorEastAsia" w:eastAsiaTheme="minorEastAsia" w:cstheme="minorEastAsia"/>
          <w:color w:val="auto"/>
          <w:kern w:val="0"/>
          <w:sz w:val="24"/>
          <w:szCs w:val="24"/>
          <w:highlight w:val="none"/>
        </w:rPr>
        <w:t>19. 响应文件的</w:t>
      </w:r>
      <w:bookmarkEnd w:id="169"/>
      <w:bookmarkEnd w:id="170"/>
      <w:bookmarkEnd w:id="171"/>
      <w:bookmarkEnd w:id="172"/>
      <w:bookmarkEnd w:id="173"/>
      <w:bookmarkEnd w:id="174"/>
      <w:bookmarkEnd w:id="175"/>
      <w:r>
        <w:rPr>
          <w:rFonts w:hint="eastAsia" w:asciiTheme="minorEastAsia" w:hAnsiTheme="minorEastAsia" w:eastAsiaTheme="minorEastAsia" w:cstheme="minorEastAsia"/>
          <w:color w:val="auto"/>
          <w:kern w:val="0"/>
          <w:sz w:val="24"/>
          <w:szCs w:val="24"/>
          <w:highlight w:val="none"/>
        </w:rPr>
        <w:t>提交</w:t>
      </w:r>
    </w:p>
    <w:p w14:paraId="04DF2266">
      <w:pPr>
        <w:adjustRightInd w:val="0"/>
        <w:spacing w:line="360" w:lineRule="auto"/>
        <w:ind w:firstLine="480" w:firstLineChars="200"/>
        <w:rPr>
          <w:rFonts w:asciiTheme="minorEastAsia" w:hAnsiTheme="minorEastAsia" w:cstheme="minorEastAsia"/>
          <w:color w:val="auto"/>
          <w:kern w:val="0"/>
          <w:sz w:val="24"/>
          <w:szCs w:val="24"/>
          <w:highlight w:val="none"/>
        </w:rPr>
      </w:pPr>
      <w:bookmarkStart w:id="176" w:name="_Toc74156206"/>
      <w:bookmarkStart w:id="177" w:name="_Toc6287"/>
      <w:bookmarkStart w:id="178" w:name="_Toc29153335"/>
      <w:bookmarkStart w:id="179" w:name="_Toc243584255"/>
      <w:r>
        <w:rPr>
          <w:rFonts w:asciiTheme="minorEastAsia" w:hAnsiTheme="minorEastAsia" w:cstheme="minorEastAsia"/>
          <w:color w:val="auto"/>
          <w:kern w:val="0"/>
          <w:sz w:val="24"/>
          <w:szCs w:val="24"/>
          <w:highlight w:val="none"/>
        </w:rPr>
        <w:t>19</w:t>
      </w:r>
      <w:r>
        <w:rPr>
          <w:rFonts w:hint="eastAsia" w:asciiTheme="minorEastAsia" w:hAnsiTheme="minorEastAsia" w:cstheme="minorEastAsia"/>
          <w:color w:val="auto"/>
          <w:kern w:val="0"/>
          <w:sz w:val="24"/>
          <w:szCs w:val="24"/>
          <w:highlight w:val="none"/>
        </w:rPr>
        <w:t>.1 所有竞争性磋商响应文件应于竞争性磋商文件中规定的时间前</w:t>
      </w:r>
      <w:r>
        <w:rPr>
          <w:rFonts w:asciiTheme="minorEastAsia" w:hAnsiTheme="minorEastAsia" w:cstheme="minorEastAsia"/>
          <w:color w:val="auto"/>
          <w:kern w:val="0"/>
          <w:sz w:val="24"/>
          <w:szCs w:val="24"/>
          <w:highlight w:val="none"/>
        </w:rPr>
        <w:t>上传递交至广西政府采购云平台。</w:t>
      </w:r>
    </w:p>
    <w:p w14:paraId="02493277">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asciiTheme="minorEastAsia" w:hAnsiTheme="minorEastAsia" w:cstheme="minorEastAsia"/>
          <w:color w:val="auto"/>
          <w:kern w:val="0"/>
          <w:sz w:val="24"/>
          <w:szCs w:val="24"/>
          <w:highlight w:val="none"/>
        </w:rPr>
        <w:t>19</w:t>
      </w:r>
      <w:r>
        <w:rPr>
          <w:rFonts w:hint="eastAsia" w:asciiTheme="minorEastAsia" w:hAnsiTheme="minorEastAsia" w:cstheme="minorEastAsia"/>
          <w:color w:val="auto"/>
          <w:kern w:val="0"/>
          <w:sz w:val="24"/>
          <w:szCs w:val="24"/>
          <w:highlight w:val="none"/>
        </w:rPr>
        <w:t>.2</w:t>
      </w:r>
      <w:r>
        <w:rPr>
          <w:rFonts w:asciiTheme="minorEastAsia" w:hAnsiTheme="minorEastAsia" w:cstheme="minorEastAsia"/>
          <w:color w:val="auto"/>
          <w:kern w:val="0"/>
          <w:sz w:val="24"/>
          <w:szCs w:val="24"/>
          <w:highlight w:val="none"/>
        </w:rPr>
        <w:t xml:space="preserve"> 竞争性磋商响应文件从响应文件递交截止日期后60天内有效。  </w:t>
      </w:r>
    </w:p>
    <w:p w14:paraId="667D9EC8">
      <w:pPr>
        <w:pStyle w:val="5"/>
        <w:spacing w:line="360" w:lineRule="auto"/>
        <w:ind w:firstLine="482" w:firstLineChars="200"/>
        <w:rPr>
          <w:rFonts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w:t>
      </w:r>
      <w:r>
        <w:rPr>
          <w:rFonts w:asciiTheme="minorEastAsia" w:hAnsiTheme="minorEastAsia" w:eastAsiaTheme="minorEastAsia" w:cstheme="minorEastAsia"/>
          <w:color w:val="auto"/>
          <w:kern w:val="0"/>
          <w:sz w:val="24"/>
          <w:szCs w:val="24"/>
          <w:highlight w:val="none"/>
        </w:rPr>
        <w:t>0.电子</w:t>
      </w:r>
      <w:r>
        <w:rPr>
          <w:rFonts w:hint="eastAsia" w:asciiTheme="minorEastAsia" w:hAnsiTheme="minorEastAsia" w:eastAsiaTheme="minorEastAsia" w:cstheme="minorEastAsia"/>
          <w:color w:val="auto"/>
          <w:kern w:val="0"/>
          <w:sz w:val="24"/>
          <w:szCs w:val="24"/>
          <w:highlight w:val="none"/>
        </w:rPr>
        <w:t>响应文件</w:t>
      </w:r>
      <w:r>
        <w:rPr>
          <w:rFonts w:asciiTheme="minorEastAsia" w:hAnsiTheme="minorEastAsia" w:eastAsiaTheme="minorEastAsia" w:cstheme="minorEastAsia"/>
          <w:color w:val="auto"/>
          <w:kern w:val="0"/>
          <w:sz w:val="24"/>
          <w:szCs w:val="24"/>
          <w:highlight w:val="none"/>
        </w:rPr>
        <w:t>的相关说明</w:t>
      </w:r>
      <w:r>
        <w:rPr>
          <w:rFonts w:hint="eastAsia" w:asciiTheme="minorEastAsia" w:hAnsiTheme="minorEastAsia" w:eastAsiaTheme="minorEastAsia" w:cstheme="minorEastAsia"/>
          <w:color w:val="auto"/>
          <w:kern w:val="0"/>
          <w:sz w:val="24"/>
          <w:szCs w:val="24"/>
          <w:highlight w:val="none"/>
        </w:rPr>
        <w:t>：</w:t>
      </w:r>
    </w:p>
    <w:p w14:paraId="343E1877">
      <w:pPr>
        <w:spacing w:line="360" w:lineRule="auto"/>
        <w:ind w:firstLine="361" w:firstLineChars="150"/>
        <w:rPr>
          <w:rFonts w:asciiTheme="minorEastAsia" w:hAnsiTheme="minorEastAsia"/>
          <w:b/>
          <w:color w:val="auto"/>
          <w:sz w:val="24"/>
          <w:szCs w:val="24"/>
          <w:highlight w:val="none"/>
        </w:rPr>
      </w:pPr>
      <w:r>
        <w:rPr>
          <w:rFonts w:asciiTheme="minorEastAsia" w:hAnsiTheme="minorEastAsia"/>
          <w:b/>
          <w:color w:val="auto"/>
          <w:sz w:val="24"/>
          <w:szCs w:val="24"/>
          <w:highlight w:val="none"/>
        </w:rPr>
        <w:t>（1）供应商进行电子投标应安装客户端软件，并按照</w:t>
      </w:r>
      <w:r>
        <w:rPr>
          <w:rFonts w:hint="eastAsia" w:asciiTheme="minorEastAsia" w:hAnsiTheme="minorEastAsia"/>
          <w:b/>
          <w:color w:val="auto"/>
          <w:sz w:val="24"/>
          <w:szCs w:val="24"/>
          <w:highlight w:val="none"/>
        </w:rPr>
        <w:t>竞争性磋商</w:t>
      </w:r>
      <w:r>
        <w:rPr>
          <w:rFonts w:asciiTheme="minorEastAsia" w:hAnsiTheme="minorEastAsia"/>
          <w:b/>
          <w:color w:val="auto"/>
          <w:sz w:val="24"/>
          <w:szCs w:val="24"/>
          <w:highlight w:val="none"/>
        </w:rPr>
        <w:t>文件和电子交易平台的要求编制并加密</w:t>
      </w:r>
      <w:r>
        <w:rPr>
          <w:rFonts w:hint="eastAsia" w:asciiTheme="minorEastAsia" w:hAnsiTheme="minorEastAsia"/>
          <w:b/>
          <w:color w:val="auto"/>
          <w:sz w:val="24"/>
          <w:szCs w:val="24"/>
          <w:highlight w:val="none"/>
        </w:rPr>
        <w:t>磋商</w:t>
      </w:r>
      <w:r>
        <w:rPr>
          <w:rFonts w:asciiTheme="minorEastAsia" w:hAnsiTheme="minorEastAsia"/>
          <w:b/>
          <w:color w:val="auto"/>
          <w:sz w:val="24"/>
          <w:szCs w:val="24"/>
          <w:highlight w:val="none"/>
        </w:rPr>
        <w:t>响应文件。供应商未按规定加密的</w:t>
      </w:r>
      <w:r>
        <w:rPr>
          <w:rFonts w:hint="eastAsia" w:asciiTheme="minorEastAsia" w:hAnsiTheme="minorEastAsia"/>
          <w:b/>
          <w:color w:val="auto"/>
          <w:sz w:val="24"/>
          <w:szCs w:val="24"/>
          <w:highlight w:val="none"/>
        </w:rPr>
        <w:t>磋商</w:t>
      </w:r>
      <w:r>
        <w:rPr>
          <w:rFonts w:asciiTheme="minorEastAsia" w:hAnsiTheme="minorEastAsia"/>
          <w:b/>
          <w:color w:val="auto"/>
          <w:sz w:val="24"/>
          <w:szCs w:val="24"/>
          <w:highlight w:val="none"/>
        </w:rPr>
        <w:t>响应文件，电子交易平台将拒收。供应商应当在</w:t>
      </w:r>
      <w:r>
        <w:rPr>
          <w:rFonts w:hint="eastAsia" w:asciiTheme="minorEastAsia" w:hAnsiTheme="minorEastAsia"/>
          <w:b/>
          <w:color w:val="auto"/>
          <w:sz w:val="24"/>
          <w:szCs w:val="24"/>
          <w:highlight w:val="none"/>
        </w:rPr>
        <w:t>磋商</w:t>
      </w:r>
      <w:r>
        <w:rPr>
          <w:rFonts w:asciiTheme="minorEastAsia" w:hAnsiTheme="minorEastAsia"/>
          <w:b/>
          <w:color w:val="auto"/>
          <w:sz w:val="24"/>
          <w:szCs w:val="24"/>
          <w:highlight w:val="none"/>
        </w:rPr>
        <w:t>截止时间前完成</w:t>
      </w:r>
      <w:r>
        <w:rPr>
          <w:rFonts w:hint="eastAsia" w:asciiTheme="minorEastAsia" w:hAnsiTheme="minorEastAsia"/>
          <w:b/>
          <w:color w:val="auto"/>
          <w:sz w:val="24"/>
          <w:szCs w:val="24"/>
          <w:highlight w:val="none"/>
        </w:rPr>
        <w:t>磋商</w:t>
      </w:r>
      <w:r>
        <w:rPr>
          <w:rFonts w:asciiTheme="minorEastAsia" w:hAnsiTheme="minorEastAsia"/>
          <w:b/>
          <w:color w:val="auto"/>
          <w:sz w:val="24"/>
          <w:szCs w:val="24"/>
          <w:highlight w:val="none"/>
        </w:rPr>
        <w:t>响应文件的传输递交，并可以补充、修改或者撤回</w:t>
      </w:r>
      <w:r>
        <w:rPr>
          <w:rFonts w:hint="eastAsia" w:asciiTheme="minorEastAsia" w:hAnsiTheme="minorEastAsia"/>
          <w:b/>
          <w:color w:val="auto"/>
          <w:sz w:val="24"/>
          <w:szCs w:val="24"/>
          <w:highlight w:val="none"/>
        </w:rPr>
        <w:t>磋商</w:t>
      </w:r>
      <w:r>
        <w:rPr>
          <w:rFonts w:asciiTheme="minorEastAsia" w:hAnsiTheme="minorEastAsia"/>
          <w:b/>
          <w:color w:val="auto"/>
          <w:sz w:val="24"/>
          <w:szCs w:val="24"/>
          <w:highlight w:val="none"/>
        </w:rPr>
        <w:t>响应文件。补充或者修改</w:t>
      </w:r>
      <w:r>
        <w:rPr>
          <w:rFonts w:hint="eastAsia" w:asciiTheme="minorEastAsia" w:hAnsiTheme="minorEastAsia"/>
          <w:b/>
          <w:color w:val="auto"/>
          <w:sz w:val="24"/>
          <w:szCs w:val="24"/>
          <w:highlight w:val="none"/>
        </w:rPr>
        <w:t>磋商</w:t>
      </w:r>
      <w:r>
        <w:rPr>
          <w:rFonts w:asciiTheme="minorEastAsia" w:hAnsiTheme="minorEastAsia"/>
          <w:b/>
          <w:color w:val="auto"/>
          <w:sz w:val="24"/>
          <w:szCs w:val="24"/>
          <w:highlight w:val="none"/>
        </w:rPr>
        <w:t>响应文件的，应当先行撤回原文件</w:t>
      </w:r>
      <w:r>
        <w:rPr>
          <w:rFonts w:hint="eastAsia" w:asciiTheme="minorEastAsia" w:hAnsiTheme="minorEastAsia"/>
          <w:b/>
          <w:color w:val="auto"/>
          <w:sz w:val="24"/>
          <w:szCs w:val="24"/>
          <w:highlight w:val="none"/>
        </w:rPr>
        <w:t>，</w:t>
      </w:r>
      <w:r>
        <w:rPr>
          <w:rFonts w:asciiTheme="minorEastAsia" w:hAnsiTheme="minorEastAsia"/>
          <w:b/>
          <w:color w:val="auto"/>
          <w:sz w:val="24"/>
          <w:szCs w:val="24"/>
          <w:highlight w:val="none"/>
        </w:rPr>
        <w:t>补充、修改后重新传输递交。</w:t>
      </w:r>
      <w:r>
        <w:rPr>
          <w:rFonts w:hint="eastAsia" w:asciiTheme="minorEastAsia" w:hAnsiTheme="minorEastAsia"/>
          <w:b/>
          <w:color w:val="auto"/>
          <w:sz w:val="24"/>
          <w:szCs w:val="24"/>
          <w:highlight w:val="none"/>
        </w:rPr>
        <w:t>磋商</w:t>
      </w:r>
      <w:r>
        <w:rPr>
          <w:rFonts w:asciiTheme="minorEastAsia" w:hAnsiTheme="minorEastAsia"/>
          <w:b/>
          <w:color w:val="auto"/>
          <w:sz w:val="24"/>
          <w:szCs w:val="24"/>
          <w:highlight w:val="none"/>
        </w:rPr>
        <w:t>截止时间前未完成传输的，视为撤回</w:t>
      </w:r>
      <w:r>
        <w:rPr>
          <w:rFonts w:hint="eastAsia" w:asciiTheme="minorEastAsia" w:hAnsiTheme="minorEastAsia"/>
          <w:b/>
          <w:color w:val="auto"/>
          <w:sz w:val="24"/>
          <w:szCs w:val="24"/>
          <w:highlight w:val="none"/>
        </w:rPr>
        <w:t>磋商</w:t>
      </w:r>
      <w:r>
        <w:rPr>
          <w:rFonts w:asciiTheme="minorEastAsia" w:hAnsiTheme="minorEastAsia"/>
          <w:b/>
          <w:color w:val="auto"/>
          <w:sz w:val="24"/>
          <w:szCs w:val="24"/>
          <w:highlight w:val="none"/>
        </w:rPr>
        <w:t>响应文件。</w:t>
      </w:r>
      <w:r>
        <w:rPr>
          <w:rFonts w:hint="eastAsia" w:asciiTheme="minorEastAsia" w:hAnsiTheme="minorEastAsia"/>
          <w:b/>
          <w:color w:val="auto"/>
          <w:sz w:val="24"/>
          <w:szCs w:val="24"/>
          <w:highlight w:val="none"/>
        </w:rPr>
        <w:t>磋商</w:t>
      </w:r>
      <w:r>
        <w:rPr>
          <w:rFonts w:asciiTheme="minorEastAsia" w:hAnsiTheme="minorEastAsia"/>
          <w:b/>
          <w:color w:val="auto"/>
          <w:sz w:val="24"/>
          <w:szCs w:val="24"/>
          <w:highlight w:val="none"/>
        </w:rPr>
        <w:t>截止时间后递交的</w:t>
      </w:r>
      <w:r>
        <w:rPr>
          <w:rFonts w:hint="eastAsia" w:asciiTheme="minorEastAsia" w:hAnsiTheme="minorEastAsia"/>
          <w:b/>
          <w:color w:val="auto"/>
          <w:sz w:val="24"/>
          <w:szCs w:val="24"/>
          <w:highlight w:val="none"/>
        </w:rPr>
        <w:t>磋商</w:t>
      </w:r>
      <w:r>
        <w:rPr>
          <w:rFonts w:asciiTheme="minorEastAsia" w:hAnsiTheme="minorEastAsia"/>
          <w:b/>
          <w:color w:val="auto"/>
          <w:sz w:val="24"/>
          <w:szCs w:val="24"/>
          <w:highlight w:val="none"/>
        </w:rPr>
        <w:t>响应文件，电子交易平台将拒收。</w:t>
      </w:r>
    </w:p>
    <w:p w14:paraId="31B7B3B9">
      <w:pPr>
        <w:spacing w:line="360" w:lineRule="auto"/>
        <w:ind w:firstLine="361" w:firstLineChars="150"/>
        <w:rPr>
          <w:rFonts w:asciiTheme="minorEastAsia" w:hAnsiTheme="minorEastAsia"/>
          <w:b/>
          <w:color w:val="auto"/>
          <w:sz w:val="24"/>
          <w:szCs w:val="24"/>
          <w:highlight w:val="none"/>
        </w:rPr>
      </w:pPr>
      <w:r>
        <w:rPr>
          <w:rFonts w:asciiTheme="minorEastAsia" w:hAnsiTheme="minorEastAsia"/>
          <w:b/>
          <w:color w:val="auto"/>
          <w:sz w:val="24"/>
          <w:szCs w:val="24"/>
          <w:highlight w:val="none"/>
        </w:rPr>
        <w:t>（</w:t>
      </w:r>
      <w:r>
        <w:rPr>
          <w:rFonts w:hint="eastAsia" w:asciiTheme="minorEastAsia" w:hAnsiTheme="minorEastAsia"/>
          <w:b/>
          <w:color w:val="auto"/>
          <w:sz w:val="24"/>
          <w:szCs w:val="24"/>
          <w:highlight w:val="none"/>
        </w:rPr>
        <w:t>2</w:t>
      </w:r>
      <w:r>
        <w:rPr>
          <w:rFonts w:asciiTheme="minorEastAsia" w:hAnsiTheme="minorEastAsia"/>
          <w:b/>
          <w:color w:val="auto"/>
          <w:sz w:val="24"/>
          <w:szCs w:val="24"/>
          <w:highlight w:val="none"/>
        </w:rPr>
        <w:t>）如有特殊情况，采购代理机构延长截止时间和开标时间，采购代理机构和供应商的权利和义务将受到新的截止时间和开标时间的约束。</w:t>
      </w:r>
    </w:p>
    <w:p w14:paraId="755BB668">
      <w:pPr>
        <w:spacing w:line="360" w:lineRule="auto"/>
        <w:ind w:firstLine="361" w:firstLineChars="150"/>
        <w:rPr>
          <w:rFonts w:asciiTheme="minorEastAsia" w:hAnsiTheme="minorEastAsia"/>
          <w:b/>
          <w:bCs/>
          <w:color w:val="auto"/>
          <w:sz w:val="24"/>
          <w:szCs w:val="24"/>
          <w:highlight w:val="none"/>
        </w:rPr>
      </w:pPr>
      <w:r>
        <w:rPr>
          <w:rFonts w:asciiTheme="minorEastAsia" w:hAnsiTheme="minorEastAsia"/>
          <w:b/>
          <w:bCs/>
          <w:color w:val="auto"/>
          <w:sz w:val="24"/>
          <w:szCs w:val="24"/>
          <w:highlight w:val="none"/>
        </w:rPr>
        <w:t xml:space="preserve">21. </w:t>
      </w:r>
      <w:r>
        <w:rPr>
          <w:rFonts w:hint="eastAsia" w:asciiTheme="minorEastAsia" w:hAnsiTheme="minorEastAsia"/>
          <w:b/>
          <w:bCs/>
          <w:color w:val="auto"/>
          <w:sz w:val="24"/>
          <w:szCs w:val="24"/>
          <w:highlight w:val="none"/>
        </w:rPr>
        <w:t>迟交的响应文件</w:t>
      </w:r>
    </w:p>
    <w:p w14:paraId="4E11D69B">
      <w:pPr>
        <w:spacing w:line="360" w:lineRule="auto"/>
        <w:ind w:firstLine="480" w:firstLineChars="200"/>
        <w:rPr>
          <w:rStyle w:val="55"/>
          <w:rFonts w:asciiTheme="minorEastAsia" w:hAnsiTheme="minorEastAsia"/>
          <w:color w:val="auto"/>
          <w:sz w:val="24"/>
          <w:szCs w:val="24"/>
          <w:highlight w:val="none"/>
        </w:rPr>
      </w:pPr>
      <w:r>
        <w:rPr>
          <w:rFonts w:hint="eastAsia" w:asciiTheme="minorEastAsia" w:hAnsiTheme="minorEastAsia"/>
          <w:color w:val="auto"/>
          <w:sz w:val="24"/>
          <w:szCs w:val="24"/>
          <w:highlight w:val="none"/>
        </w:rPr>
        <w:t>采购代理机构拒绝在其规定的递交响应文件截止时间之后收到的任何响应文件。</w:t>
      </w:r>
    </w:p>
    <w:p w14:paraId="1A093D60">
      <w:pPr>
        <w:spacing w:line="360" w:lineRule="auto"/>
        <w:ind w:firstLine="480" w:firstLineChars="200"/>
        <w:rPr>
          <w:rStyle w:val="55"/>
          <w:rFonts w:asciiTheme="minorEastAsia" w:hAnsiTheme="minorEastAsia"/>
          <w:color w:val="auto"/>
          <w:sz w:val="24"/>
          <w:szCs w:val="24"/>
          <w:highlight w:val="none"/>
        </w:rPr>
      </w:pPr>
      <w:r>
        <w:rPr>
          <w:rStyle w:val="55"/>
          <w:rFonts w:asciiTheme="minorEastAsia" w:hAnsiTheme="minorEastAsia"/>
          <w:color w:val="auto"/>
          <w:sz w:val="24"/>
          <w:szCs w:val="24"/>
          <w:highlight w:val="none"/>
        </w:rPr>
        <w:t>供应商应认真阅读、并充分理解本文件的全部内容（包括所有的补充、修改内容），承诺并履行本文件中各项条款规定及要求。</w:t>
      </w:r>
    </w:p>
    <w:p w14:paraId="5A557693">
      <w:pPr>
        <w:spacing w:line="360" w:lineRule="auto"/>
        <w:ind w:firstLine="480" w:firstLineChars="200"/>
        <w:rPr>
          <w:rStyle w:val="55"/>
          <w:rFonts w:asciiTheme="minorEastAsia" w:hAnsiTheme="minorEastAsia"/>
          <w:color w:val="auto"/>
          <w:sz w:val="24"/>
          <w:szCs w:val="24"/>
          <w:highlight w:val="none"/>
        </w:rPr>
      </w:pPr>
      <w:r>
        <w:rPr>
          <w:rStyle w:val="55"/>
          <w:rFonts w:asciiTheme="minorEastAsia" w:hAnsiTheme="minorEastAsia"/>
          <w:color w:val="auto"/>
          <w:sz w:val="24"/>
          <w:szCs w:val="24"/>
          <w:highlight w:val="none"/>
        </w:rPr>
        <w:t>响应文件必须按本文件的全部内容，包括所有的补充通知及附件进行编制。</w:t>
      </w:r>
    </w:p>
    <w:p w14:paraId="701F034C">
      <w:pPr>
        <w:spacing w:line="360" w:lineRule="auto"/>
        <w:ind w:firstLine="480" w:firstLineChars="200"/>
        <w:rPr>
          <w:rStyle w:val="55"/>
          <w:rFonts w:asciiTheme="minorEastAsia" w:hAnsiTheme="minorEastAsia"/>
          <w:color w:val="auto"/>
          <w:sz w:val="24"/>
          <w:szCs w:val="24"/>
          <w:highlight w:val="none"/>
        </w:rPr>
      </w:pPr>
      <w:r>
        <w:rPr>
          <w:rStyle w:val="55"/>
          <w:rFonts w:asciiTheme="minorEastAsia" w:hAnsiTheme="minorEastAsia"/>
          <w:color w:val="auto"/>
          <w:sz w:val="24"/>
          <w:szCs w:val="24"/>
          <w:highlight w:val="none"/>
        </w:rPr>
        <w:t>如因供应商只填写和提供了本文件要求的部分内容和附件，而给评审造成困难，其可能导致的结果和责任由供应商自行承担。</w:t>
      </w:r>
    </w:p>
    <w:bookmarkEnd w:id="176"/>
    <w:bookmarkEnd w:id="177"/>
    <w:bookmarkEnd w:id="178"/>
    <w:bookmarkEnd w:id="179"/>
    <w:p w14:paraId="5CE438B5">
      <w:pPr>
        <w:pStyle w:val="5"/>
        <w:spacing w:line="360" w:lineRule="auto"/>
        <w:ind w:firstLine="482" w:firstLineChars="200"/>
        <w:rPr>
          <w:rFonts w:asciiTheme="minorEastAsia" w:hAnsiTheme="minorEastAsia" w:eastAsiaTheme="minorEastAsia" w:cstheme="minorEastAsia"/>
          <w:color w:val="auto"/>
          <w:kern w:val="0"/>
          <w:sz w:val="24"/>
          <w:szCs w:val="24"/>
          <w:highlight w:val="none"/>
        </w:rPr>
      </w:pPr>
      <w:bookmarkStart w:id="180" w:name="_Toc29153337"/>
      <w:bookmarkStart w:id="181" w:name="_Toc74156208"/>
      <w:bookmarkStart w:id="182" w:name="_Toc24910"/>
      <w:bookmarkStart w:id="183" w:name="_Toc243584257"/>
      <w:r>
        <w:rPr>
          <w:rFonts w:hint="eastAsia" w:asciiTheme="minorEastAsia" w:hAnsiTheme="minorEastAsia" w:eastAsiaTheme="minorEastAsia" w:cstheme="minorEastAsia"/>
          <w:color w:val="auto"/>
          <w:kern w:val="0"/>
          <w:sz w:val="24"/>
          <w:szCs w:val="24"/>
          <w:highlight w:val="none"/>
        </w:rPr>
        <w:t>22. 逾期提交的</w:t>
      </w:r>
      <w:bookmarkEnd w:id="180"/>
      <w:bookmarkEnd w:id="181"/>
      <w:bookmarkEnd w:id="182"/>
      <w:bookmarkEnd w:id="183"/>
      <w:bookmarkStart w:id="184" w:name="_Hlt73302960"/>
      <w:bookmarkEnd w:id="184"/>
      <w:r>
        <w:rPr>
          <w:rFonts w:hint="eastAsia" w:asciiTheme="minorEastAsia" w:hAnsiTheme="minorEastAsia" w:eastAsiaTheme="minorEastAsia" w:cstheme="minorEastAsia"/>
          <w:color w:val="auto"/>
          <w:kern w:val="0"/>
          <w:sz w:val="24"/>
          <w:szCs w:val="24"/>
          <w:highlight w:val="none"/>
        </w:rPr>
        <w:t>响应文件</w:t>
      </w:r>
    </w:p>
    <w:p w14:paraId="69A331D8">
      <w:pPr>
        <w:spacing w:line="360" w:lineRule="auto"/>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 xml:space="preserve">    22.1  </w:t>
      </w:r>
      <w:r>
        <w:rPr>
          <w:rFonts w:hint="eastAsia" w:asciiTheme="minorEastAsia" w:hAnsiTheme="minorEastAsia" w:cstheme="minorEastAsia"/>
          <w:color w:val="auto"/>
          <w:kern w:val="0"/>
          <w:sz w:val="24"/>
          <w:szCs w:val="24"/>
          <w:highlight w:val="none"/>
        </w:rPr>
        <w:t>采购人对供应商在前附表第16项规定的提交响应文件截止时间以后提交的响应文件不予接收。</w:t>
      </w:r>
    </w:p>
    <w:p w14:paraId="157438AD">
      <w:pPr>
        <w:pStyle w:val="5"/>
        <w:spacing w:line="360" w:lineRule="auto"/>
        <w:ind w:firstLine="482" w:firstLineChars="200"/>
        <w:rPr>
          <w:rFonts w:asciiTheme="minorEastAsia" w:hAnsiTheme="minorEastAsia" w:eastAsiaTheme="minorEastAsia" w:cstheme="minorEastAsia"/>
          <w:color w:val="auto"/>
          <w:kern w:val="0"/>
          <w:sz w:val="24"/>
          <w:szCs w:val="24"/>
          <w:highlight w:val="none"/>
        </w:rPr>
      </w:pPr>
      <w:bookmarkStart w:id="185" w:name="_Toc23152580"/>
      <w:bookmarkStart w:id="186" w:name="_Toc514238610"/>
      <w:bookmarkStart w:id="187" w:name="_Toc23046686"/>
      <w:bookmarkStart w:id="188" w:name="_Toc25381"/>
      <w:bookmarkStart w:id="189" w:name="_Toc29153338"/>
      <w:bookmarkStart w:id="190" w:name="_Toc243584258"/>
      <w:bookmarkStart w:id="191" w:name="_Toc74156209"/>
      <w:r>
        <w:rPr>
          <w:rFonts w:hint="eastAsia" w:asciiTheme="minorEastAsia" w:hAnsiTheme="minorEastAsia" w:eastAsiaTheme="minorEastAsia" w:cstheme="minorEastAsia"/>
          <w:color w:val="auto"/>
          <w:kern w:val="0"/>
          <w:sz w:val="24"/>
          <w:szCs w:val="24"/>
          <w:highlight w:val="none"/>
        </w:rPr>
        <w:t>23. 响应文件的补充、修改与撤回</w:t>
      </w:r>
      <w:bookmarkEnd w:id="185"/>
      <w:bookmarkEnd w:id="186"/>
      <w:bookmarkEnd w:id="187"/>
      <w:bookmarkEnd w:id="188"/>
      <w:bookmarkEnd w:id="189"/>
      <w:bookmarkEnd w:id="190"/>
      <w:bookmarkEnd w:id="191"/>
    </w:p>
    <w:p w14:paraId="4121FD37">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23.1  供应商在提交响应文件以后，在规定的提交响应文件截止时间之前，可以撤回会修改已提交的响应文件。</w:t>
      </w:r>
    </w:p>
    <w:p w14:paraId="6A041790">
      <w:pPr>
        <w:pStyle w:val="37"/>
        <w:spacing w:before="0" w:after="0" w:line="360" w:lineRule="auto"/>
        <w:rPr>
          <w:rFonts w:asciiTheme="minorEastAsia" w:hAnsiTheme="minorEastAsia"/>
          <w:color w:val="auto"/>
          <w:spacing w:val="0"/>
          <w:szCs w:val="24"/>
          <w:highlight w:val="none"/>
        </w:rPr>
      </w:pPr>
      <w:r>
        <w:rPr>
          <w:rFonts w:hint="eastAsia" w:asciiTheme="minorEastAsia" w:hAnsiTheme="minorEastAsia" w:cstheme="minorEastAsia"/>
          <w:color w:val="auto"/>
          <w:spacing w:val="0"/>
          <w:szCs w:val="24"/>
          <w:highlight w:val="none"/>
        </w:rPr>
        <w:t xml:space="preserve">    23.</w:t>
      </w:r>
      <w:r>
        <w:rPr>
          <w:rFonts w:asciiTheme="minorEastAsia" w:hAnsiTheme="minorEastAsia" w:cstheme="minorEastAsia"/>
          <w:color w:val="auto"/>
          <w:spacing w:val="0"/>
          <w:szCs w:val="24"/>
          <w:highlight w:val="none"/>
        </w:rPr>
        <w:t>2</w:t>
      </w:r>
      <w:r>
        <w:rPr>
          <w:rFonts w:hint="eastAsia" w:asciiTheme="minorEastAsia" w:hAnsiTheme="minorEastAsia" w:cstheme="minorEastAsia"/>
          <w:color w:val="auto"/>
          <w:spacing w:val="0"/>
          <w:szCs w:val="24"/>
          <w:highlight w:val="none"/>
        </w:rPr>
        <w:t xml:space="preserve"> 在提交响应文件截止时间之后，磋商供应商不得补充、修改其响应文件。</w:t>
      </w:r>
    </w:p>
    <w:p w14:paraId="6F0B2FC3">
      <w:pPr>
        <w:adjustRightInd w:val="0"/>
        <w:spacing w:line="360" w:lineRule="auto"/>
        <w:ind w:firstLine="482" w:firstLineChars="200"/>
        <w:jc w:val="center"/>
        <w:rPr>
          <w:rFonts w:asciiTheme="minorEastAsia" w:hAnsiTheme="minorEastAsia" w:cstheme="minorEastAsia"/>
          <w:b/>
          <w:bCs/>
          <w:color w:val="auto"/>
          <w:kern w:val="0"/>
          <w:sz w:val="24"/>
          <w:szCs w:val="24"/>
          <w:highlight w:val="none"/>
        </w:rPr>
      </w:pPr>
    </w:p>
    <w:p w14:paraId="44CB0391">
      <w:pPr>
        <w:adjustRightInd w:val="0"/>
        <w:spacing w:line="360" w:lineRule="auto"/>
        <w:ind w:firstLine="482" w:firstLineChars="200"/>
        <w:jc w:val="center"/>
        <w:rPr>
          <w:rFonts w:asciiTheme="minorEastAsia" w:hAnsiTheme="minorEastAsia" w:cstheme="minorEastAsia"/>
          <w:b/>
          <w:bCs/>
          <w:color w:val="auto"/>
          <w:kern w:val="0"/>
          <w:sz w:val="24"/>
          <w:szCs w:val="24"/>
          <w:highlight w:val="none"/>
        </w:rPr>
      </w:pPr>
    </w:p>
    <w:p w14:paraId="3349CD33">
      <w:pPr>
        <w:adjustRightInd w:val="0"/>
        <w:spacing w:line="360" w:lineRule="auto"/>
        <w:ind w:firstLine="482" w:firstLineChars="200"/>
        <w:jc w:val="center"/>
        <w:rPr>
          <w:rFonts w:asciiTheme="minorEastAsia" w:hAnsiTheme="minorEastAsia" w:cstheme="minorEastAsia"/>
          <w:b/>
          <w:bCs/>
          <w:color w:val="auto"/>
          <w:kern w:val="0"/>
          <w:sz w:val="24"/>
          <w:szCs w:val="24"/>
          <w:highlight w:val="none"/>
        </w:rPr>
      </w:pPr>
      <w:r>
        <w:rPr>
          <w:rFonts w:hint="eastAsia" w:asciiTheme="minorEastAsia" w:hAnsiTheme="minorEastAsia" w:cstheme="minorEastAsia"/>
          <w:b/>
          <w:bCs/>
          <w:color w:val="auto"/>
          <w:kern w:val="0"/>
          <w:sz w:val="24"/>
          <w:szCs w:val="24"/>
          <w:highlight w:val="none"/>
        </w:rPr>
        <w:t>（五） 磋商程序及评审方法</w:t>
      </w:r>
    </w:p>
    <w:p w14:paraId="4982FBCD">
      <w:pPr>
        <w:spacing w:line="360" w:lineRule="auto"/>
        <w:ind w:firstLine="360" w:firstLineChars="150"/>
        <w:rPr>
          <w:rFonts w:asciiTheme="minorEastAsia" w:hAnsiTheme="minorEastAsia"/>
          <w:bCs/>
          <w:color w:val="auto"/>
          <w:sz w:val="24"/>
          <w:szCs w:val="24"/>
          <w:highlight w:val="none"/>
        </w:rPr>
      </w:pPr>
      <w:r>
        <w:rPr>
          <w:rFonts w:hint="eastAsia" w:asciiTheme="minorEastAsia" w:hAnsiTheme="minorEastAsia"/>
          <w:bCs/>
          <w:color w:val="auto"/>
          <w:sz w:val="24"/>
          <w:szCs w:val="24"/>
          <w:highlight w:val="none"/>
        </w:rPr>
        <w:t>采购代理机构结束解密后，磋商小组接收所有的响应文件开始评审。</w:t>
      </w:r>
    </w:p>
    <w:p w14:paraId="441F1D1D">
      <w:pPr>
        <w:spacing w:line="360" w:lineRule="auto"/>
        <w:ind w:firstLine="361" w:firstLineChars="150"/>
        <w:rPr>
          <w:rStyle w:val="55"/>
          <w:rFonts w:asciiTheme="minorEastAsia" w:hAnsiTheme="minorEastAsia"/>
          <w:b/>
          <w:color w:val="auto"/>
          <w:sz w:val="24"/>
          <w:szCs w:val="24"/>
          <w:highlight w:val="none"/>
        </w:rPr>
      </w:pPr>
      <w:r>
        <w:rPr>
          <w:rStyle w:val="55"/>
          <w:rFonts w:asciiTheme="minorEastAsia" w:hAnsiTheme="minorEastAsia"/>
          <w:b/>
          <w:color w:val="auto"/>
          <w:sz w:val="24"/>
          <w:szCs w:val="24"/>
          <w:highlight w:val="none"/>
        </w:rPr>
        <w:t xml:space="preserve">24.1 第一轮磋商 </w:t>
      </w:r>
    </w:p>
    <w:p w14:paraId="0786D503">
      <w:pPr>
        <w:spacing w:line="360" w:lineRule="auto"/>
        <w:ind w:firstLine="360" w:firstLineChars="150"/>
        <w:rPr>
          <w:rStyle w:val="55"/>
          <w:rFonts w:asciiTheme="minorEastAsia" w:hAnsiTheme="minorEastAsia"/>
          <w:color w:val="auto"/>
          <w:sz w:val="24"/>
          <w:szCs w:val="24"/>
          <w:highlight w:val="none"/>
        </w:rPr>
      </w:pPr>
      <w:r>
        <w:rPr>
          <w:rStyle w:val="55"/>
          <w:rFonts w:asciiTheme="minorEastAsia" w:hAnsiTheme="minorEastAsia"/>
          <w:color w:val="auto"/>
          <w:sz w:val="24"/>
          <w:szCs w:val="24"/>
          <w:highlight w:val="none"/>
        </w:rPr>
        <w:t>磋商时间及地点:详见本须知前附表第</w:t>
      </w:r>
      <w:r>
        <w:rPr>
          <w:rStyle w:val="55"/>
          <w:rFonts w:hint="eastAsia" w:asciiTheme="minorEastAsia" w:hAnsiTheme="minorEastAsia"/>
          <w:color w:val="auto"/>
          <w:sz w:val="24"/>
          <w:szCs w:val="24"/>
          <w:highlight w:val="none"/>
        </w:rPr>
        <w:t>17</w:t>
      </w:r>
      <w:r>
        <w:rPr>
          <w:rStyle w:val="55"/>
          <w:rFonts w:asciiTheme="minorEastAsia" w:hAnsiTheme="minorEastAsia"/>
          <w:color w:val="auto"/>
          <w:sz w:val="24"/>
          <w:szCs w:val="24"/>
          <w:highlight w:val="none"/>
        </w:rPr>
        <w:t>项规定。</w:t>
      </w:r>
    </w:p>
    <w:p w14:paraId="4B48E280">
      <w:pPr>
        <w:spacing w:line="360" w:lineRule="auto"/>
        <w:ind w:firstLine="360" w:firstLineChars="150"/>
        <w:rPr>
          <w:rFonts w:asciiTheme="minorEastAsia" w:hAnsiTheme="minorEastAsia"/>
          <w:bCs/>
          <w:color w:val="auto"/>
          <w:sz w:val="24"/>
          <w:szCs w:val="24"/>
          <w:highlight w:val="none"/>
        </w:rPr>
      </w:pPr>
      <w:r>
        <w:rPr>
          <w:rFonts w:hint="eastAsia" w:asciiTheme="minorEastAsia" w:hAnsiTheme="minorEastAsia"/>
          <w:bCs/>
          <w:color w:val="auto"/>
          <w:sz w:val="24"/>
          <w:szCs w:val="24"/>
          <w:highlight w:val="none"/>
        </w:rPr>
        <w:t>磋商小组评审响应文件</w:t>
      </w:r>
    </w:p>
    <w:p w14:paraId="0642840A">
      <w:pPr>
        <w:spacing w:line="360" w:lineRule="auto"/>
        <w:ind w:firstLine="360" w:firstLineChars="15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磋商小组对供应商资格条件和响应文件的有效性、完整性和响应程度进行审查。</w:t>
      </w:r>
      <w:r>
        <w:rPr>
          <w:rStyle w:val="55"/>
          <w:rFonts w:asciiTheme="minorEastAsia" w:hAnsiTheme="minorEastAsia"/>
          <w:color w:val="auto"/>
          <w:sz w:val="24"/>
          <w:szCs w:val="24"/>
          <w:highlight w:val="none"/>
        </w:rPr>
        <w:t>审查竞争性磋商响应文件是否实质上响应了竞争性磋商文件的要求，在评审</w:t>
      </w:r>
      <w:r>
        <w:rPr>
          <w:rStyle w:val="55"/>
          <w:rFonts w:hint="eastAsia" w:asciiTheme="minorEastAsia" w:hAnsiTheme="minorEastAsia"/>
          <w:color w:val="auto"/>
          <w:sz w:val="24"/>
          <w:szCs w:val="24"/>
          <w:highlight w:val="none"/>
        </w:rPr>
        <w:t>时</w:t>
      </w:r>
      <w:r>
        <w:rPr>
          <w:rStyle w:val="55"/>
          <w:rFonts w:asciiTheme="minorEastAsia" w:hAnsiTheme="minorEastAsia"/>
          <w:color w:val="auto"/>
          <w:sz w:val="24"/>
          <w:szCs w:val="24"/>
          <w:highlight w:val="none"/>
        </w:rPr>
        <w:t>由磋商小组组长主持，归纳各专家审核意见，形成磋商</w:t>
      </w:r>
      <w:r>
        <w:rPr>
          <w:rStyle w:val="55"/>
          <w:rFonts w:hint="eastAsia" w:asciiTheme="minorEastAsia" w:hAnsiTheme="minorEastAsia"/>
          <w:color w:val="auto"/>
          <w:sz w:val="24"/>
          <w:szCs w:val="24"/>
          <w:highlight w:val="none"/>
        </w:rPr>
        <w:t>记录。</w:t>
      </w:r>
    </w:p>
    <w:p w14:paraId="50999278">
      <w:pPr>
        <w:spacing w:line="360" w:lineRule="auto"/>
        <w:ind w:firstLine="361" w:firstLineChars="150"/>
        <w:rPr>
          <w:rFonts w:asciiTheme="minorEastAsia" w:hAnsiTheme="minorEastAsia"/>
          <w:color w:val="auto"/>
          <w:sz w:val="24"/>
          <w:szCs w:val="24"/>
          <w:highlight w:val="none"/>
        </w:rPr>
      </w:pPr>
      <w:r>
        <w:rPr>
          <w:rFonts w:hint="eastAsia" w:asciiTheme="minorEastAsia" w:hAnsiTheme="minorEastAsia"/>
          <w:b/>
          <w:bCs/>
          <w:color w:val="auto"/>
          <w:sz w:val="24"/>
          <w:szCs w:val="24"/>
          <w:highlight w:val="none"/>
        </w:rPr>
        <w:t>特别说明：政采云公司如对电子化磋商及评审程序有调整的，按调整后的程序操作。</w:t>
      </w:r>
    </w:p>
    <w:p w14:paraId="663DA5C1">
      <w:pPr>
        <w:spacing w:line="360" w:lineRule="auto"/>
        <w:ind w:firstLine="360" w:firstLineChars="15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澄清有关问题。对响应文件中含义不明确、同类问题表述不一致或者有明显文字和计算错误的内容，磋商小组可以书面形式（应当由磋商小组专家签字）要求供应商作出必要的澄清、说明或者纠正。供应商的澄清、说明或者纠正应当采用书面形式，由法定代表人或其委托代理人签字或盖章确认，且不得超出响应文件的范围或者改变响应文件的实质性内容。该澄清、说明或者纠正是响应文件的组成部分。</w:t>
      </w:r>
    </w:p>
    <w:p w14:paraId="1210DE4B">
      <w:pPr>
        <w:spacing w:line="360" w:lineRule="auto"/>
        <w:ind w:firstLine="360" w:firstLineChars="150"/>
        <w:rPr>
          <w:rFonts w:asciiTheme="minorEastAsia" w:hAnsiTheme="minorEastAsia"/>
          <w:color w:val="auto"/>
          <w:sz w:val="24"/>
          <w:szCs w:val="24"/>
          <w:highlight w:val="none"/>
        </w:rPr>
      </w:pPr>
      <w:r>
        <w:rPr>
          <w:rFonts w:asciiTheme="minorEastAsia" w:hAnsiTheme="minorEastAsia"/>
          <w:color w:val="auto"/>
          <w:sz w:val="24"/>
          <w:szCs w:val="24"/>
          <w:highlight w:val="none"/>
        </w:rPr>
        <w:t>24</w:t>
      </w:r>
      <w:r>
        <w:rPr>
          <w:rFonts w:hint="eastAsia" w:asciiTheme="minorEastAsia" w:hAnsiTheme="minorEastAsia"/>
          <w:color w:val="auto"/>
          <w:sz w:val="24"/>
          <w:szCs w:val="24"/>
          <w:highlight w:val="none"/>
        </w:rPr>
        <w:t xml:space="preserve">.1.1确定参加磋商的供应商名单。磋商小组将所有通过资格性审查及符合性审查的供应商确定为参加磋商的供应商。 </w:t>
      </w:r>
    </w:p>
    <w:p w14:paraId="2B70FAE4">
      <w:pPr>
        <w:spacing w:line="360" w:lineRule="auto"/>
        <w:ind w:firstLine="360" w:firstLineChars="150"/>
        <w:rPr>
          <w:rFonts w:asciiTheme="minorEastAsia" w:hAnsiTheme="minorEastAsia"/>
          <w:color w:val="auto"/>
          <w:sz w:val="24"/>
          <w:szCs w:val="24"/>
          <w:highlight w:val="none"/>
        </w:rPr>
      </w:pPr>
      <w:r>
        <w:rPr>
          <w:rFonts w:asciiTheme="minorEastAsia" w:hAnsiTheme="minorEastAsia"/>
          <w:color w:val="auto"/>
          <w:sz w:val="24"/>
          <w:szCs w:val="24"/>
          <w:highlight w:val="none"/>
        </w:rPr>
        <w:t>24</w:t>
      </w:r>
      <w:r>
        <w:rPr>
          <w:rFonts w:hint="eastAsia" w:asciiTheme="minorEastAsia" w:hAnsiTheme="minorEastAsia"/>
          <w:color w:val="auto"/>
          <w:sz w:val="24"/>
          <w:szCs w:val="24"/>
          <w:highlight w:val="none"/>
        </w:rPr>
        <w:t>.1.2采购过程中出现以下情形，导致电子交易平台无法正常运行，或者无法保证电子交易的公平、公正和安全时，采购组织机构可中止电子交易活动：</w:t>
      </w:r>
    </w:p>
    <w:p w14:paraId="4EA7EB30">
      <w:pPr>
        <w:spacing w:line="360" w:lineRule="auto"/>
        <w:ind w:firstLine="360" w:firstLineChars="150"/>
        <w:rPr>
          <w:rFonts w:asciiTheme="minorEastAsia" w:hAnsiTheme="minorEastAsia"/>
          <w:color w:val="auto"/>
          <w:sz w:val="24"/>
          <w:szCs w:val="24"/>
          <w:highlight w:val="none"/>
        </w:rPr>
      </w:pPr>
      <w:bookmarkStart w:id="192" w:name="_Hlk95579850"/>
      <w:r>
        <w:rPr>
          <w:rFonts w:asciiTheme="minorEastAsia" w:hAnsiTheme="minorEastAsia"/>
          <w:color w:val="auto"/>
          <w:sz w:val="24"/>
          <w:szCs w:val="24"/>
          <w:highlight w:val="none"/>
        </w:rPr>
        <w:t>24</w:t>
      </w:r>
      <w:bookmarkEnd w:id="192"/>
      <w:r>
        <w:rPr>
          <w:rFonts w:hint="eastAsia" w:asciiTheme="minorEastAsia" w:hAnsiTheme="minorEastAsia"/>
          <w:color w:val="auto"/>
          <w:sz w:val="24"/>
          <w:szCs w:val="24"/>
          <w:highlight w:val="none"/>
        </w:rPr>
        <w:t xml:space="preserve">.1.3电子交易平台发生故障而无法登录访问的； </w:t>
      </w:r>
    </w:p>
    <w:p w14:paraId="4C060C9E">
      <w:pPr>
        <w:spacing w:line="360" w:lineRule="auto"/>
        <w:ind w:firstLine="360" w:firstLineChars="150"/>
        <w:rPr>
          <w:rFonts w:asciiTheme="minorEastAsia" w:hAnsiTheme="minorEastAsia"/>
          <w:color w:val="auto"/>
          <w:sz w:val="24"/>
          <w:szCs w:val="24"/>
          <w:highlight w:val="none"/>
        </w:rPr>
      </w:pPr>
      <w:r>
        <w:rPr>
          <w:rFonts w:asciiTheme="minorEastAsia" w:hAnsiTheme="minorEastAsia"/>
          <w:color w:val="auto"/>
          <w:sz w:val="24"/>
          <w:szCs w:val="24"/>
          <w:highlight w:val="none"/>
        </w:rPr>
        <w:t>24</w:t>
      </w:r>
      <w:r>
        <w:rPr>
          <w:rFonts w:hint="eastAsia" w:asciiTheme="minorEastAsia" w:hAnsiTheme="minorEastAsia"/>
          <w:color w:val="auto"/>
          <w:sz w:val="24"/>
          <w:szCs w:val="24"/>
          <w:highlight w:val="none"/>
        </w:rPr>
        <w:t>.1.4电子交易平台应用或数据库出现错误，不能进行正常操作的；</w:t>
      </w:r>
    </w:p>
    <w:p w14:paraId="1B7599D4">
      <w:pPr>
        <w:spacing w:line="360" w:lineRule="auto"/>
        <w:ind w:firstLine="360" w:firstLineChars="150"/>
        <w:rPr>
          <w:rFonts w:asciiTheme="minorEastAsia" w:hAnsiTheme="minorEastAsia"/>
          <w:color w:val="auto"/>
          <w:sz w:val="24"/>
          <w:szCs w:val="24"/>
          <w:highlight w:val="none"/>
        </w:rPr>
      </w:pPr>
      <w:r>
        <w:rPr>
          <w:rFonts w:asciiTheme="minorEastAsia" w:hAnsiTheme="minorEastAsia"/>
          <w:color w:val="auto"/>
          <w:sz w:val="24"/>
          <w:szCs w:val="24"/>
          <w:highlight w:val="none"/>
        </w:rPr>
        <w:t>24</w:t>
      </w:r>
      <w:r>
        <w:rPr>
          <w:rFonts w:hint="eastAsia" w:asciiTheme="minorEastAsia" w:hAnsiTheme="minorEastAsia"/>
          <w:color w:val="auto"/>
          <w:sz w:val="24"/>
          <w:szCs w:val="24"/>
          <w:highlight w:val="none"/>
        </w:rPr>
        <w:t>.1.5电子交易平台发现严重安全漏洞，有潜在泄密危险的；</w:t>
      </w:r>
    </w:p>
    <w:p w14:paraId="5B0FFB07">
      <w:pPr>
        <w:spacing w:line="360" w:lineRule="auto"/>
        <w:ind w:firstLine="360" w:firstLineChars="150"/>
        <w:rPr>
          <w:rFonts w:asciiTheme="minorEastAsia" w:hAnsiTheme="minorEastAsia"/>
          <w:color w:val="auto"/>
          <w:sz w:val="24"/>
          <w:szCs w:val="24"/>
          <w:highlight w:val="none"/>
        </w:rPr>
      </w:pPr>
      <w:r>
        <w:rPr>
          <w:rFonts w:asciiTheme="minorEastAsia" w:hAnsiTheme="minorEastAsia"/>
          <w:color w:val="auto"/>
          <w:sz w:val="24"/>
          <w:szCs w:val="24"/>
          <w:highlight w:val="none"/>
        </w:rPr>
        <w:t>24</w:t>
      </w:r>
      <w:r>
        <w:rPr>
          <w:rFonts w:hint="eastAsia" w:asciiTheme="minorEastAsia" w:hAnsiTheme="minorEastAsia"/>
          <w:color w:val="auto"/>
          <w:sz w:val="24"/>
          <w:szCs w:val="24"/>
          <w:highlight w:val="none"/>
        </w:rPr>
        <w:t xml:space="preserve">.1.6病毒发作导致不能进行正常操作的； </w:t>
      </w:r>
    </w:p>
    <w:p w14:paraId="1E413A65">
      <w:pPr>
        <w:spacing w:line="360" w:lineRule="auto"/>
        <w:ind w:firstLine="360" w:firstLineChars="150"/>
        <w:rPr>
          <w:rFonts w:asciiTheme="minorEastAsia" w:hAnsiTheme="minorEastAsia"/>
          <w:color w:val="auto"/>
          <w:sz w:val="24"/>
          <w:szCs w:val="24"/>
          <w:highlight w:val="none"/>
        </w:rPr>
      </w:pPr>
      <w:r>
        <w:rPr>
          <w:rFonts w:asciiTheme="minorEastAsia" w:hAnsiTheme="minorEastAsia"/>
          <w:color w:val="auto"/>
          <w:sz w:val="24"/>
          <w:szCs w:val="24"/>
          <w:highlight w:val="none"/>
        </w:rPr>
        <w:t>24</w:t>
      </w:r>
      <w:r>
        <w:rPr>
          <w:rFonts w:hint="eastAsia" w:asciiTheme="minorEastAsia" w:hAnsiTheme="minorEastAsia"/>
          <w:color w:val="auto"/>
          <w:sz w:val="24"/>
          <w:szCs w:val="24"/>
          <w:highlight w:val="none"/>
        </w:rPr>
        <w:t>.1.7其他无法保证电子交易的公平、公正和安全的情况。</w:t>
      </w:r>
    </w:p>
    <w:p w14:paraId="130D4799">
      <w:pPr>
        <w:spacing w:line="360" w:lineRule="auto"/>
        <w:ind w:firstLine="360" w:firstLineChars="150"/>
        <w:rPr>
          <w:rFonts w:asciiTheme="minorEastAsia" w:hAnsiTheme="minorEastAsia"/>
          <w:color w:val="auto"/>
          <w:sz w:val="24"/>
          <w:szCs w:val="24"/>
          <w:highlight w:val="none"/>
        </w:rPr>
      </w:pPr>
      <w:r>
        <w:rPr>
          <w:rFonts w:asciiTheme="minorEastAsia" w:hAnsiTheme="minorEastAsia"/>
          <w:color w:val="auto"/>
          <w:sz w:val="24"/>
          <w:szCs w:val="24"/>
          <w:highlight w:val="none"/>
        </w:rPr>
        <w:t>24</w:t>
      </w:r>
      <w:r>
        <w:rPr>
          <w:rFonts w:hint="eastAsia" w:asciiTheme="minorEastAsia" w:hAnsiTheme="minorEastAsia"/>
          <w:color w:val="auto"/>
          <w:sz w:val="24"/>
          <w:szCs w:val="24"/>
          <w:highlight w:val="none"/>
        </w:rPr>
        <w:t>.1.8出现前款规定情形，不影响采购公平、公正性的，采购组织机构可以待上述情形消除后继续组织电子交易活动，也可以决定某些环节以纸质形式进行；影响或可能影响采购公平、公正性的，应当重新采购。</w:t>
      </w:r>
    </w:p>
    <w:p w14:paraId="373875DF">
      <w:pPr>
        <w:spacing w:line="360" w:lineRule="auto"/>
        <w:ind w:firstLine="360" w:firstLineChars="150"/>
        <w:rPr>
          <w:rFonts w:asciiTheme="minorEastAsia" w:hAnsiTheme="minorEastAsia"/>
          <w:color w:val="auto"/>
          <w:sz w:val="24"/>
          <w:szCs w:val="24"/>
          <w:highlight w:val="none"/>
        </w:rPr>
      </w:pPr>
      <w:r>
        <w:rPr>
          <w:rFonts w:asciiTheme="minorEastAsia" w:hAnsiTheme="minorEastAsia"/>
          <w:color w:val="auto"/>
          <w:sz w:val="24"/>
          <w:szCs w:val="24"/>
          <w:highlight w:val="none"/>
        </w:rPr>
        <w:t>24</w:t>
      </w:r>
      <w:r>
        <w:rPr>
          <w:rFonts w:hint="eastAsia" w:asciiTheme="minorEastAsia" w:hAnsiTheme="minorEastAsia"/>
          <w:color w:val="auto"/>
          <w:sz w:val="24"/>
          <w:szCs w:val="24"/>
          <w:highlight w:val="none"/>
        </w:rPr>
        <w:t>.1.9磋商小组对磋商资格条件及响应文件进行评审，并从符合竟争性磋商文件规定的相应资格条件的供应商名单中确定不少于3家的供应商参加磋商，符合财库〔2014〕214号《政府采购竞争性磋商采购方式管理暂行办法》第三条第一项（政府购买服务项目）情形的和财库〔2015〕124号《财政部关于政府采购竞争性磋商采购方式管理暂行办法有关问题的补充通知》，确定不少于2家的供应商参加磋商。资格条件不符合的供应商或未实质性响应磋商文件的响应文件按无效响应处理，磋商小组应当告知有关供应商。</w:t>
      </w:r>
    </w:p>
    <w:p w14:paraId="28A00617">
      <w:pPr>
        <w:spacing w:line="360" w:lineRule="auto"/>
        <w:ind w:firstLine="360" w:firstLineChars="15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28DF359">
      <w:pPr>
        <w:spacing w:line="360" w:lineRule="auto"/>
        <w:ind w:firstLine="360" w:firstLineChars="150"/>
        <w:rPr>
          <w:rStyle w:val="55"/>
          <w:rFonts w:asciiTheme="minorEastAsia" w:hAnsiTheme="minorEastAsia"/>
          <w:color w:val="auto"/>
          <w:sz w:val="24"/>
          <w:szCs w:val="24"/>
          <w:highlight w:val="none"/>
        </w:rPr>
      </w:pPr>
      <w:r>
        <w:rPr>
          <w:rFonts w:hint="eastAsia" w:asciiTheme="minorEastAsia" w:hAnsiTheme="minorEastAsia"/>
          <w:color w:val="auto"/>
          <w:sz w:val="24"/>
          <w:szCs w:val="24"/>
          <w:highlight w:val="none"/>
        </w:rPr>
        <w:t>磋商小组要求供应商澄清、说明或者更正响应文件应当在政采云在线评标系统向供应商发起在线询标澄清。供应商的澄清、说明或者更正应当由法定代表人或其授权代表签字或者加盖公章。由授权代表签字的，应当附法定代表人授权书。供应商为自然人的，应当由本人签字并附身份证明。</w:t>
      </w:r>
    </w:p>
    <w:p w14:paraId="07A88F1C">
      <w:pPr>
        <w:snapToGrid w:val="0"/>
        <w:spacing w:line="360" w:lineRule="auto"/>
        <w:ind w:firstLine="360" w:firstLineChars="150"/>
        <w:textAlignment w:val="bottom"/>
        <w:rPr>
          <w:rStyle w:val="55"/>
          <w:rFonts w:asciiTheme="minorEastAsia" w:hAnsiTheme="minorEastAsia"/>
          <w:color w:val="auto"/>
          <w:sz w:val="24"/>
          <w:szCs w:val="24"/>
          <w:highlight w:val="none"/>
        </w:rPr>
      </w:pPr>
      <w:r>
        <w:rPr>
          <w:rStyle w:val="55"/>
          <w:rFonts w:asciiTheme="minorEastAsia" w:hAnsiTheme="minorEastAsia"/>
          <w:color w:val="auto"/>
          <w:sz w:val="24"/>
          <w:szCs w:val="24"/>
          <w:highlight w:val="none"/>
        </w:rPr>
        <w:t>磋商主要内容及程序：</w:t>
      </w:r>
    </w:p>
    <w:p w14:paraId="03E19C65">
      <w:pPr>
        <w:spacing w:line="360" w:lineRule="auto"/>
        <w:ind w:firstLine="360" w:firstLineChars="150"/>
        <w:rPr>
          <w:rStyle w:val="55"/>
          <w:rFonts w:asciiTheme="minorEastAsia" w:hAnsiTheme="minorEastAsia"/>
          <w:color w:val="auto"/>
          <w:sz w:val="24"/>
          <w:szCs w:val="24"/>
          <w:highlight w:val="none"/>
        </w:rPr>
      </w:pPr>
      <w:r>
        <w:rPr>
          <w:rStyle w:val="55"/>
          <w:rFonts w:asciiTheme="minorEastAsia" w:hAnsiTheme="minorEastAsia"/>
          <w:color w:val="auto"/>
          <w:sz w:val="24"/>
          <w:szCs w:val="24"/>
          <w:highlight w:val="none"/>
        </w:rPr>
        <w:t xml:space="preserve">1. 就本项目各类报价进行磋商； </w:t>
      </w:r>
    </w:p>
    <w:p w14:paraId="5FBC95ED">
      <w:pPr>
        <w:spacing w:line="360" w:lineRule="auto"/>
        <w:ind w:firstLine="360" w:firstLineChars="150"/>
        <w:rPr>
          <w:rStyle w:val="55"/>
          <w:rFonts w:asciiTheme="minorEastAsia" w:hAnsiTheme="minorEastAsia"/>
          <w:color w:val="auto"/>
          <w:sz w:val="24"/>
          <w:szCs w:val="24"/>
          <w:highlight w:val="none"/>
        </w:rPr>
      </w:pPr>
      <w:r>
        <w:rPr>
          <w:rStyle w:val="55"/>
          <w:rFonts w:asciiTheme="minorEastAsia" w:hAnsiTheme="minorEastAsia"/>
          <w:color w:val="auto"/>
          <w:sz w:val="24"/>
          <w:szCs w:val="24"/>
          <w:highlight w:val="none"/>
        </w:rPr>
        <w:t>2. 就本项目的质量要求进行磋商</w:t>
      </w:r>
      <w:r>
        <w:rPr>
          <w:rStyle w:val="55"/>
          <w:rFonts w:hint="eastAsia" w:asciiTheme="minorEastAsia" w:hAnsiTheme="minorEastAsia"/>
          <w:color w:val="auto"/>
          <w:sz w:val="24"/>
          <w:szCs w:val="24"/>
          <w:highlight w:val="none"/>
        </w:rPr>
        <w:t>及</w:t>
      </w:r>
      <w:r>
        <w:rPr>
          <w:rStyle w:val="55"/>
          <w:rFonts w:asciiTheme="minorEastAsia" w:hAnsiTheme="minorEastAsia"/>
          <w:color w:val="auto"/>
          <w:sz w:val="24"/>
          <w:szCs w:val="24"/>
          <w:highlight w:val="none"/>
        </w:rPr>
        <w:t>对其作出相关承诺</w:t>
      </w:r>
      <w:r>
        <w:rPr>
          <w:rStyle w:val="55"/>
          <w:rFonts w:hint="eastAsia" w:asciiTheme="minorEastAsia" w:hAnsiTheme="minorEastAsia"/>
          <w:color w:val="auto"/>
          <w:sz w:val="24"/>
          <w:szCs w:val="24"/>
          <w:highlight w:val="none"/>
        </w:rPr>
        <w:t>。</w:t>
      </w:r>
    </w:p>
    <w:p w14:paraId="6C7FF94C">
      <w:pPr>
        <w:spacing w:line="360" w:lineRule="auto"/>
        <w:ind w:firstLine="360" w:firstLineChars="150"/>
        <w:rPr>
          <w:rStyle w:val="55"/>
          <w:rFonts w:asciiTheme="minorEastAsia" w:hAnsiTheme="minorEastAsia"/>
          <w:color w:val="auto"/>
          <w:sz w:val="24"/>
          <w:szCs w:val="24"/>
          <w:highlight w:val="none"/>
        </w:rPr>
      </w:pPr>
      <w:r>
        <w:rPr>
          <w:rStyle w:val="55"/>
          <w:rFonts w:asciiTheme="minorEastAsia" w:hAnsiTheme="minorEastAsia"/>
          <w:color w:val="auto"/>
          <w:sz w:val="24"/>
          <w:szCs w:val="24"/>
          <w:highlight w:val="none"/>
        </w:rPr>
        <w:t>磋商评审在严格保密的情况下进行，磋商的任何一方不得透露与磋商有关的其他供应商的技术服务资料、价格和其他信息。</w:t>
      </w:r>
    </w:p>
    <w:p w14:paraId="5D101ABE">
      <w:pPr>
        <w:spacing w:line="360" w:lineRule="auto"/>
        <w:ind w:firstLine="360" w:firstLineChars="150"/>
        <w:rPr>
          <w:rStyle w:val="55"/>
          <w:rFonts w:asciiTheme="minorEastAsia" w:hAnsiTheme="minorEastAsia"/>
          <w:color w:val="auto"/>
          <w:sz w:val="24"/>
          <w:szCs w:val="24"/>
          <w:highlight w:val="none"/>
        </w:rPr>
      </w:pPr>
      <w:r>
        <w:rPr>
          <w:rStyle w:val="55"/>
          <w:rFonts w:asciiTheme="minorEastAsia" w:hAnsiTheme="minorEastAsia"/>
          <w:color w:val="auto"/>
          <w:sz w:val="24"/>
          <w:szCs w:val="24"/>
          <w:highlight w:val="none"/>
        </w:rPr>
        <w:t>当磋商小组一致确定磋商供应商的竞争性磋商响应文件能够详细列明采购标的技术、服务要求且符合竞争性磋商文件要求，无需再磋商的，磋商小组按竞争性磋商文件设定的程序和综合评分法确定成交候选供应商。第一轮磋商后竞争性磋商文件有实质性变动或仍需磋商的，磋商小组对竞争性磋商文件变动或提出磋商意见后进行第二轮磋商。</w:t>
      </w:r>
    </w:p>
    <w:p w14:paraId="68FA35C8">
      <w:pPr>
        <w:spacing w:line="360" w:lineRule="auto"/>
        <w:ind w:firstLine="361" w:firstLineChars="150"/>
        <w:rPr>
          <w:rStyle w:val="55"/>
          <w:rFonts w:asciiTheme="minorEastAsia" w:hAnsiTheme="minorEastAsia"/>
          <w:b/>
          <w:color w:val="auto"/>
          <w:sz w:val="24"/>
          <w:szCs w:val="24"/>
          <w:highlight w:val="none"/>
        </w:rPr>
      </w:pPr>
      <w:r>
        <w:rPr>
          <w:rStyle w:val="55"/>
          <w:rFonts w:asciiTheme="minorEastAsia" w:hAnsiTheme="minorEastAsia"/>
          <w:b/>
          <w:color w:val="auto"/>
          <w:sz w:val="24"/>
          <w:szCs w:val="24"/>
          <w:highlight w:val="none"/>
        </w:rPr>
        <w:t xml:space="preserve">24.2 竞争性磋商文件变动  </w:t>
      </w:r>
    </w:p>
    <w:p w14:paraId="48233F74">
      <w:pPr>
        <w:spacing w:line="360" w:lineRule="auto"/>
        <w:ind w:firstLine="360" w:firstLineChars="150"/>
        <w:rPr>
          <w:rStyle w:val="55"/>
          <w:rFonts w:asciiTheme="minorEastAsia" w:hAnsiTheme="minorEastAsia"/>
          <w:color w:val="auto"/>
          <w:sz w:val="24"/>
          <w:szCs w:val="24"/>
          <w:highlight w:val="none"/>
        </w:rPr>
      </w:pPr>
      <w:r>
        <w:rPr>
          <w:rStyle w:val="55"/>
          <w:rFonts w:asciiTheme="minorEastAsia" w:hAnsiTheme="minorEastAsia"/>
          <w:color w:val="auto"/>
          <w:sz w:val="24"/>
          <w:szCs w:val="24"/>
          <w:highlight w:val="none"/>
        </w:rPr>
        <w:t xml:space="preserve">⑴ 第一轮磋商结束后，各磋商供应商退场等候，由磋商小组组长主持，根据竞争性磋商文件和磋商情况结合第一轮磋商整体情况，可以对竞争性磋商文件采购需求中已事先明确的可能实质性变动采购中的技术、要求以及协议草案条款进行统一变动，但不得变动竞争性磋商文件中的其他内容。实质性变动的内容，须经采购人代表确认。  </w:t>
      </w:r>
    </w:p>
    <w:p w14:paraId="2A5F4C96">
      <w:pPr>
        <w:spacing w:line="360" w:lineRule="auto"/>
        <w:ind w:firstLine="360" w:firstLineChars="150"/>
        <w:rPr>
          <w:rStyle w:val="55"/>
          <w:rFonts w:asciiTheme="minorEastAsia" w:hAnsiTheme="minorEastAsia"/>
          <w:color w:val="auto"/>
          <w:sz w:val="24"/>
          <w:szCs w:val="24"/>
          <w:highlight w:val="none"/>
        </w:rPr>
      </w:pPr>
      <w:r>
        <w:rPr>
          <w:rStyle w:val="55"/>
          <w:rFonts w:asciiTheme="minorEastAsia" w:hAnsiTheme="minorEastAsia"/>
          <w:color w:val="auto"/>
          <w:sz w:val="24"/>
          <w:szCs w:val="24"/>
          <w:highlight w:val="none"/>
        </w:rPr>
        <w:t>对竞争性磋商文件作出的实质性变动是竞争性磋商文件的有效组成部分，磋商小组应当同时通知所有参加磋商的磋商供应商，并要求磋商供应商做出书面响应。</w:t>
      </w:r>
    </w:p>
    <w:p w14:paraId="2E6718A6">
      <w:pPr>
        <w:spacing w:line="360" w:lineRule="auto"/>
        <w:ind w:firstLine="360" w:firstLineChars="150"/>
        <w:rPr>
          <w:rStyle w:val="55"/>
          <w:rFonts w:asciiTheme="minorEastAsia" w:hAnsiTheme="minorEastAsia"/>
          <w:color w:val="auto"/>
          <w:sz w:val="24"/>
          <w:szCs w:val="24"/>
          <w:highlight w:val="none"/>
        </w:rPr>
      </w:pPr>
      <w:r>
        <w:rPr>
          <w:rStyle w:val="55"/>
          <w:rFonts w:asciiTheme="minorEastAsia" w:hAnsiTheme="minorEastAsia"/>
          <w:color w:val="auto"/>
          <w:sz w:val="24"/>
          <w:szCs w:val="24"/>
          <w:highlight w:val="none"/>
        </w:rPr>
        <w:t>⑵ 磋商供应商应当按照竞争性磋商文件的变动情况和磋商小组的要求提交竞争性磋商</w:t>
      </w:r>
      <w:r>
        <w:rPr>
          <w:rStyle w:val="55"/>
          <w:rFonts w:hint="eastAsia" w:asciiTheme="minorEastAsia" w:hAnsiTheme="minorEastAsia"/>
          <w:color w:val="auto"/>
          <w:sz w:val="24"/>
          <w:szCs w:val="24"/>
          <w:highlight w:val="none"/>
        </w:rPr>
        <w:t>报价</w:t>
      </w:r>
      <w:r>
        <w:rPr>
          <w:rStyle w:val="55"/>
          <w:rFonts w:asciiTheme="minorEastAsia" w:hAnsiTheme="minorEastAsia"/>
          <w:color w:val="auto"/>
          <w:sz w:val="24"/>
          <w:szCs w:val="24"/>
          <w:highlight w:val="none"/>
        </w:rPr>
        <w:t xml:space="preserve">文件，逾时不交的，视同放弃磋商。重新提交的响应文件与竞争性磋商响应文件同具法律效力。  </w:t>
      </w:r>
    </w:p>
    <w:p w14:paraId="4E717BB6">
      <w:pPr>
        <w:spacing w:line="360" w:lineRule="auto"/>
        <w:ind w:firstLine="361" w:firstLineChars="150"/>
        <w:rPr>
          <w:rStyle w:val="55"/>
          <w:rFonts w:asciiTheme="minorEastAsia" w:hAnsiTheme="minorEastAsia"/>
          <w:b/>
          <w:color w:val="auto"/>
          <w:sz w:val="24"/>
          <w:szCs w:val="24"/>
          <w:highlight w:val="none"/>
        </w:rPr>
      </w:pPr>
      <w:r>
        <w:rPr>
          <w:rStyle w:val="55"/>
          <w:rFonts w:asciiTheme="minorEastAsia" w:hAnsiTheme="minorEastAsia"/>
          <w:b/>
          <w:color w:val="auto"/>
          <w:sz w:val="24"/>
          <w:szCs w:val="24"/>
          <w:highlight w:val="none"/>
        </w:rPr>
        <w:t>24.3 第二轮磋商</w:t>
      </w:r>
      <w:r>
        <w:rPr>
          <w:rStyle w:val="55"/>
          <w:rFonts w:hint="eastAsia" w:asciiTheme="minorEastAsia" w:hAnsiTheme="minorEastAsia"/>
          <w:b/>
          <w:color w:val="auto"/>
          <w:sz w:val="24"/>
          <w:szCs w:val="24"/>
          <w:highlight w:val="none"/>
        </w:rPr>
        <w:t>（如有）</w:t>
      </w:r>
    </w:p>
    <w:p w14:paraId="15ABC394">
      <w:pPr>
        <w:spacing w:line="360" w:lineRule="auto"/>
        <w:ind w:firstLine="360" w:firstLineChars="150"/>
        <w:rPr>
          <w:rStyle w:val="55"/>
          <w:rFonts w:asciiTheme="minorEastAsia" w:hAnsiTheme="minorEastAsia"/>
          <w:color w:val="auto"/>
          <w:sz w:val="24"/>
          <w:szCs w:val="24"/>
          <w:highlight w:val="none"/>
        </w:rPr>
      </w:pPr>
      <w:r>
        <w:rPr>
          <w:rStyle w:val="55"/>
          <w:rFonts w:asciiTheme="minorEastAsia" w:hAnsiTheme="minorEastAsia"/>
          <w:color w:val="auto"/>
          <w:sz w:val="24"/>
          <w:szCs w:val="24"/>
          <w:highlight w:val="none"/>
        </w:rPr>
        <w:t>磋商小组集中就重新提交的响应文件或磋商小组提出的磋商意见与单一响应磋商供应商分别进行磋商。本公司对磋商过程和重要磋商内容进行记录，磋商双方在记录上签字确认。</w:t>
      </w:r>
    </w:p>
    <w:p w14:paraId="3FBB76F8">
      <w:pPr>
        <w:spacing w:line="360" w:lineRule="auto"/>
        <w:ind w:firstLine="360" w:firstLineChars="150"/>
        <w:rPr>
          <w:rStyle w:val="55"/>
          <w:rFonts w:asciiTheme="minorEastAsia" w:hAnsiTheme="minorEastAsia"/>
          <w:color w:val="auto"/>
          <w:sz w:val="24"/>
          <w:szCs w:val="24"/>
          <w:highlight w:val="none"/>
        </w:rPr>
      </w:pPr>
      <w:r>
        <w:rPr>
          <w:rStyle w:val="55"/>
          <w:rFonts w:asciiTheme="minorEastAsia" w:hAnsiTheme="minorEastAsia"/>
          <w:color w:val="auto"/>
          <w:sz w:val="24"/>
          <w:szCs w:val="24"/>
          <w:highlight w:val="none"/>
        </w:rPr>
        <w:t>磋商后，磋商供应商根据磋商小组统一整理的书面磋商记录要求做出书面承诺，并由其法定代表人(负责人)或授权代表签字或者加盖公章后按时</w:t>
      </w:r>
      <w:r>
        <w:rPr>
          <w:rStyle w:val="55"/>
          <w:rFonts w:hint="eastAsia" w:asciiTheme="minorEastAsia" w:hAnsiTheme="minorEastAsia"/>
          <w:color w:val="auto"/>
          <w:sz w:val="24"/>
          <w:szCs w:val="24"/>
          <w:highlight w:val="none"/>
        </w:rPr>
        <w:t>在</w:t>
      </w:r>
      <w:r>
        <w:rPr>
          <w:rStyle w:val="55"/>
          <w:rFonts w:asciiTheme="minorEastAsia" w:hAnsiTheme="minorEastAsia"/>
          <w:color w:val="auto"/>
          <w:sz w:val="24"/>
          <w:szCs w:val="24"/>
          <w:highlight w:val="none"/>
        </w:rPr>
        <w:t>广西政府采购云平台提交。</w:t>
      </w:r>
    </w:p>
    <w:p w14:paraId="3D989CF9">
      <w:pPr>
        <w:spacing w:line="360" w:lineRule="auto"/>
        <w:ind w:firstLine="360" w:firstLineChars="150"/>
        <w:rPr>
          <w:rStyle w:val="55"/>
          <w:rFonts w:asciiTheme="minorEastAsia" w:hAnsiTheme="minorEastAsia"/>
          <w:color w:val="auto"/>
          <w:sz w:val="24"/>
          <w:szCs w:val="24"/>
          <w:highlight w:val="none"/>
        </w:rPr>
      </w:pPr>
      <w:r>
        <w:rPr>
          <w:rStyle w:val="55"/>
          <w:rFonts w:asciiTheme="minorEastAsia" w:hAnsiTheme="minorEastAsia"/>
          <w:color w:val="auto"/>
          <w:sz w:val="24"/>
          <w:szCs w:val="24"/>
          <w:highlight w:val="none"/>
        </w:rPr>
        <w:t>当磋商小组一致确定磋商供应商的竞争性磋商响应文件能够详细列明采购标的的技术、要求且符合竞争性磋商文件要求，无需再磋商的，磋商小组按竞争性磋商文件设定的程序和综合评分法确定成交候选供应商。第二轮磋商后竞争性磋商文件仍有实质性变动的或仍需磋商的，磋商小组对竞争性磋商文件变动或提出磋商意见后进行第三轮磋商，以此类推。</w:t>
      </w:r>
    </w:p>
    <w:p w14:paraId="1E195015">
      <w:pPr>
        <w:spacing w:line="360" w:lineRule="auto"/>
        <w:ind w:firstLine="361" w:firstLineChars="150"/>
        <w:rPr>
          <w:rStyle w:val="55"/>
          <w:rFonts w:asciiTheme="minorEastAsia" w:hAnsiTheme="minorEastAsia"/>
          <w:b/>
          <w:color w:val="auto"/>
          <w:sz w:val="24"/>
          <w:szCs w:val="24"/>
          <w:highlight w:val="none"/>
        </w:rPr>
      </w:pPr>
      <w:r>
        <w:rPr>
          <w:rStyle w:val="55"/>
          <w:rFonts w:asciiTheme="minorEastAsia" w:hAnsiTheme="minorEastAsia"/>
          <w:b/>
          <w:color w:val="auto"/>
          <w:sz w:val="24"/>
          <w:szCs w:val="24"/>
          <w:highlight w:val="none"/>
        </w:rPr>
        <w:t>24.4  磋商结束后，磋商小组应当要求所有实质性响应的供应商在规定时间内提交最后报价，提交最后报价的供应商不得少于3家。磋商文件能够详细列明采购标的的技术、要求的，磋商结束后，磋商小组应当要求所有继续参加磋商的供应商在规定时间内密封提交最后报价，提交最后报价的供应商不得少于3家。最后报价是供应商响应文件的有效组成部分。符合以下情形的：（一）政府购买服务项目；（二）技术复杂或者性质特殊，不能确定详细规格或者具体要求的；（三）因艺术品采购、专利、专有技术或者服务的时间、数量事先不能确定等原因不能事先计算出价格总额的；（四）市场竞争不充分的科研项目，以及需要扶持的科技成果转化项目；（五）按照招标投标法及其实施条例必须进行招标的工程建设项目以外的工程建设项目，提交最后报价的供应商可以为2家。</w:t>
      </w:r>
    </w:p>
    <w:p w14:paraId="41E3A567">
      <w:pPr>
        <w:tabs>
          <w:tab w:val="left" w:pos="540"/>
        </w:tabs>
        <w:spacing w:line="320" w:lineRule="exact"/>
        <w:ind w:firstLine="484" w:firstLineChars="201"/>
        <w:rPr>
          <w:rStyle w:val="55"/>
          <w:rFonts w:asciiTheme="minorEastAsia" w:hAnsiTheme="minorEastAsia"/>
          <w:b/>
          <w:color w:val="auto"/>
          <w:sz w:val="24"/>
          <w:szCs w:val="24"/>
          <w:highlight w:val="none"/>
        </w:rPr>
      </w:pPr>
      <w:r>
        <w:rPr>
          <w:rStyle w:val="55"/>
          <w:rFonts w:asciiTheme="minorEastAsia" w:hAnsiTheme="minorEastAsia"/>
          <w:b/>
          <w:color w:val="auto"/>
          <w:sz w:val="24"/>
          <w:szCs w:val="24"/>
          <w:highlight w:val="none"/>
        </w:rPr>
        <w:t>24.5最终磋商结束后，磋商小组不得再与供应商进行任何形式的商谈。</w:t>
      </w:r>
    </w:p>
    <w:p w14:paraId="4DEC423A">
      <w:pPr>
        <w:tabs>
          <w:tab w:val="left" w:pos="540"/>
        </w:tabs>
        <w:spacing w:line="320" w:lineRule="exact"/>
        <w:ind w:firstLine="484" w:firstLineChars="201"/>
        <w:rPr>
          <w:rStyle w:val="55"/>
          <w:rFonts w:asciiTheme="minorEastAsia" w:hAnsiTheme="minorEastAsia"/>
          <w:b/>
          <w:color w:val="auto"/>
          <w:sz w:val="24"/>
          <w:szCs w:val="24"/>
          <w:highlight w:val="none"/>
        </w:rPr>
      </w:pPr>
      <w:r>
        <w:rPr>
          <w:rStyle w:val="55"/>
          <w:rFonts w:asciiTheme="minorEastAsia" w:hAnsiTheme="minorEastAsia"/>
          <w:b/>
          <w:color w:val="auto"/>
          <w:sz w:val="24"/>
          <w:szCs w:val="24"/>
          <w:highlight w:val="none"/>
        </w:rPr>
        <w:t>24.6评审与比较</w:t>
      </w:r>
    </w:p>
    <w:p w14:paraId="475E0103">
      <w:pPr>
        <w:tabs>
          <w:tab w:val="left" w:pos="540"/>
        </w:tabs>
        <w:spacing w:line="276" w:lineRule="auto"/>
        <w:ind w:firstLine="482" w:firstLineChars="201"/>
        <w:rPr>
          <w:rStyle w:val="55"/>
          <w:rFonts w:asciiTheme="minorEastAsia" w:hAnsiTheme="minorEastAsia"/>
          <w:color w:val="auto"/>
          <w:sz w:val="24"/>
          <w:szCs w:val="24"/>
          <w:highlight w:val="none"/>
        </w:rPr>
      </w:pPr>
      <w:r>
        <w:rPr>
          <w:rStyle w:val="55"/>
          <w:rFonts w:asciiTheme="minorEastAsia" w:hAnsiTheme="minorEastAsia"/>
          <w:color w:val="auto"/>
          <w:sz w:val="24"/>
          <w:szCs w:val="24"/>
          <w:highlight w:val="none"/>
        </w:rPr>
        <w:t>24.6.1经磋商确定最终采购需求和提交最后报价的供应商后，由磋商小组采用综合评分法对提交最后报价的供应商的响应文件和最后报价进行综合评分。</w:t>
      </w:r>
    </w:p>
    <w:p w14:paraId="78C06C17">
      <w:pPr>
        <w:tabs>
          <w:tab w:val="left" w:pos="540"/>
        </w:tabs>
        <w:spacing w:line="276" w:lineRule="auto"/>
        <w:ind w:firstLine="482" w:firstLineChars="201"/>
        <w:rPr>
          <w:rStyle w:val="55"/>
          <w:rFonts w:asciiTheme="minorEastAsia" w:hAnsiTheme="minorEastAsia"/>
          <w:color w:val="auto"/>
          <w:sz w:val="24"/>
          <w:szCs w:val="24"/>
          <w:highlight w:val="none"/>
        </w:rPr>
      </w:pPr>
      <w:r>
        <w:rPr>
          <w:rStyle w:val="55"/>
          <w:rFonts w:asciiTheme="minorEastAsia" w:hAnsiTheme="minorEastAsia"/>
          <w:color w:val="auto"/>
          <w:sz w:val="24"/>
          <w:szCs w:val="24"/>
          <w:highlight w:val="none"/>
        </w:rPr>
        <w:t>24.6.2评审原则。磋商小组必须公平、公正、客观，不带任何倾向性和启发性；不得向外界透露任何与评审有关的内容；任何单位和个人不得干扰、影响评审的正常进行。</w:t>
      </w:r>
    </w:p>
    <w:p w14:paraId="04AAB28D">
      <w:pPr>
        <w:spacing w:line="360" w:lineRule="auto"/>
        <w:ind w:firstLine="361" w:firstLineChars="150"/>
        <w:rPr>
          <w:rStyle w:val="55"/>
          <w:rFonts w:asciiTheme="minorEastAsia" w:hAnsiTheme="minorEastAsia"/>
          <w:b/>
          <w:color w:val="auto"/>
          <w:sz w:val="24"/>
          <w:szCs w:val="24"/>
          <w:highlight w:val="none"/>
        </w:rPr>
      </w:pPr>
      <w:r>
        <w:rPr>
          <w:rStyle w:val="55"/>
          <w:rFonts w:asciiTheme="minorEastAsia" w:hAnsiTheme="minorEastAsia"/>
          <w:b/>
          <w:color w:val="auto"/>
          <w:sz w:val="24"/>
          <w:szCs w:val="24"/>
          <w:highlight w:val="none"/>
        </w:rPr>
        <w:t>24.7最后报价及成交候选磋商供应商推荐</w:t>
      </w:r>
    </w:p>
    <w:p w14:paraId="53D6F888">
      <w:pPr>
        <w:spacing w:line="360" w:lineRule="auto"/>
        <w:ind w:firstLine="480" w:firstLineChars="200"/>
        <w:rPr>
          <w:rStyle w:val="55"/>
          <w:rFonts w:asciiTheme="minorEastAsia" w:hAnsiTheme="minorEastAsia"/>
          <w:color w:val="auto"/>
          <w:sz w:val="24"/>
          <w:szCs w:val="24"/>
          <w:highlight w:val="none"/>
        </w:rPr>
      </w:pPr>
      <w:r>
        <w:rPr>
          <w:rStyle w:val="55"/>
          <w:rFonts w:asciiTheme="minorEastAsia" w:hAnsiTheme="minorEastAsia"/>
          <w:color w:val="auto"/>
          <w:sz w:val="24"/>
          <w:szCs w:val="24"/>
          <w:highlight w:val="none"/>
        </w:rPr>
        <w:t>磋商结束后，磋商小组要求所有继续参加磋商的供应商在规定时间内提交最后报价。继续参加磋商的供应商作最后报价，由其法定代表人(负责人)或授权代表签字或者加盖公章后</w:t>
      </w:r>
      <w:r>
        <w:rPr>
          <w:rStyle w:val="55"/>
          <w:rFonts w:hint="eastAsia" w:asciiTheme="minorEastAsia" w:hAnsiTheme="minorEastAsia"/>
          <w:color w:val="auto"/>
          <w:sz w:val="24"/>
          <w:szCs w:val="24"/>
          <w:highlight w:val="none"/>
        </w:rPr>
        <w:t>在</w:t>
      </w:r>
      <w:r>
        <w:rPr>
          <w:rStyle w:val="55"/>
          <w:rFonts w:asciiTheme="minorEastAsia" w:hAnsiTheme="minorEastAsia"/>
          <w:color w:val="auto"/>
          <w:sz w:val="24"/>
          <w:szCs w:val="24"/>
          <w:highlight w:val="none"/>
        </w:rPr>
        <w:t>广西政府采购云平台提交至磋商小组</w:t>
      </w:r>
      <w:r>
        <w:rPr>
          <w:rStyle w:val="55"/>
          <w:rFonts w:hint="eastAsia" w:asciiTheme="minorEastAsia" w:hAnsiTheme="minorEastAsia"/>
          <w:color w:val="auto"/>
          <w:sz w:val="24"/>
          <w:szCs w:val="24"/>
          <w:highlight w:val="none"/>
        </w:rPr>
        <w:t>，逾时不交的，视同放弃磋商</w:t>
      </w:r>
      <w:r>
        <w:rPr>
          <w:rStyle w:val="55"/>
          <w:rFonts w:asciiTheme="minorEastAsia" w:hAnsiTheme="minorEastAsia"/>
          <w:color w:val="auto"/>
          <w:sz w:val="24"/>
          <w:szCs w:val="24"/>
          <w:highlight w:val="none"/>
        </w:rPr>
        <w:t>。</w:t>
      </w:r>
    </w:p>
    <w:p w14:paraId="6361DA8A">
      <w:pPr>
        <w:spacing w:line="360" w:lineRule="auto"/>
        <w:ind w:firstLine="480" w:firstLineChars="200"/>
        <w:rPr>
          <w:rStyle w:val="55"/>
          <w:rFonts w:asciiTheme="minorEastAsia" w:hAnsiTheme="minorEastAsia"/>
          <w:color w:val="auto"/>
          <w:sz w:val="24"/>
          <w:szCs w:val="24"/>
          <w:highlight w:val="none"/>
        </w:rPr>
      </w:pPr>
      <w:r>
        <w:rPr>
          <w:rStyle w:val="55"/>
          <w:rFonts w:asciiTheme="minorEastAsia" w:hAnsiTheme="minorEastAsia"/>
          <w:color w:val="auto"/>
          <w:sz w:val="24"/>
          <w:szCs w:val="24"/>
          <w:highlight w:val="none"/>
        </w:rPr>
        <w:t xml:space="preserve">磋商小组根据综合评分情况，按照评审得分由高到低顺序推荐3名成交候选供应商，并编写评审报告。评审得分相同的，按照最后报价由低到高的顺序推荐。评审得分且最后报价相同的，按照技术指标优劣顺序推荐，由采购单位确定成交候选供应商。最后报价是磋商供应商竞争性磋商响应文件的有效组成部分。 </w:t>
      </w:r>
    </w:p>
    <w:p w14:paraId="56D7585F">
      <w:pPr>
        <w:spacing w:line="360" w:lineRule="auto"/>
        <w:ind w:firstLine="480" w:firstLineChars="200"/>
        <w:rPr>
          <w:rStyle w:val="55"/>
          <w:rFonts w:asciiTheme="minorEastAsia" w:hAnsiTheme="minorEastAsia"/>
          <w:color w:val="auto"/>
          <w:sz w:val="24"/>
          <w:szCs w:val="24"/>
          <w:highlight w:val="none"/>
        </w:rPr>
      </w:pPr>
      <w:r>
        <w:rPr>
          <w:rStyle w:val="55"/>
          <w:rFonts w:asciiTheme="minorEastAsia" w:hAnsiTheme="minorEastAsia"/>
          <w:color w:val="auto"/>
          <w:sz w:val="24"/>
          <w:szCs w:val="24"/>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1F139DD">
      <w:pPr>
        <w:spacing w:line="360" w:lineRule="auto"/>
        <w:ind w:firstLine="360" w:firstLineChars="150"/>
        <w:rPr>
          <w:rStyle w:val="55"/>
          <w:rFonts w:asciiTheme="minorEastAsia" w:hAnsiTheme="minorEastAsia"/>
          <w:color w:val="auto"/>
          <w:sz w:val="24"/>
          <w:szCs w:val="24"/>
          <w:highlight w:val="none"/>
        </w:rPr>
      </w:pPr>
      <w:r>
        <w:rPr>
          <w:rStyle w:val="55"/>
          <w:rFonts w:asciiTheme="minorEastAsia" w:hAnsiTheme="minorEastAsia"/>
          <w:color w:val="auto"/>
          <w:sz w:val="24"/>
          <w:szCs w:val="24"/>
          <w:highlight w:val="none"/>
        </w:rPr>
        <w:t xml:space="preserve">24.7 磋商供应商的报价均超过了上限控制价的，采购人不能支付的，磋商活动终止。  </w:t>
      </w:r>
    </w:p>
    <w:p w14:paraId="77DB45DF">
      <w:pPr>
        <w:spacing w:line="360" w:lineRule="auto"/>
        <w:ind w:firstLine="360" w:firstLineChars="150"/>
        <w:rPr>
          <w:rStyle w:val="55"/>
          <w:rFonts w:asciiTheme="minorEastAsia" w:hAnsiTheme="minorEastAsia"/>
          <w:color w:val="auto"/>
          <w:sz w:val="24"/>
          <w:szCs w:val="24"/>
          <w:highlight w:val="none"/>
        </w:rPr>
      </w:pPr>
      <w:r>
        <w:rPr>
          <w:rStyle w:val="55"/>
          <w:rFonts w:asciiTheme="minorEastAsia" w:hAnsiTheme="minorEastAsia"/>
          <w:color w:val="auto"/>
          <w:sz w:val="24"/>
          <w:szCs w:val="24"/>
          <w:highlight w:val="none"/>
        </w:rPr>
        <w:t>24.8 本采购项目的评审依据为竞争性磋商文件和竞争性磋商响应文件，采用的评审方法为</w:t>
      </w:r>
      <w:r>
        <w:rPr>
          <w:rStyle w:val="55"/>
          <w:rFonts w:asciiTheme="minorEastAsia" w:hAnsiTheme="minorEastAsia"/>
          <w:color w:val="auto"/>
          <w:sz w:val="24"/>
          <w:szCs w:val="24"/>
          <w:highlight w:val="none"/>
          <w:u w:val="single"/>
        </w:rPr>
        <w:t>综合评分法</w:t>
      </w:r>
      <w:r>
        <w:rPr>
          <w:rStyle w:val="55"/>
          <w:rFonts w:asciiTheme="minorEastAsia" w:hAnsiTheme="minorEastAsia"/>
          <w:color w:val="auto"/>
          <w:sz w:val="24"/>
          <w:szCs w:val="24"/>
          <w:highlight w:val="none"/>
        </w:rPr>
        <w:t>。</w:t>
      </w:r>
    </w:p>
    <w:p w14:paraId="74F4A535">
      <w:pPr>
        <w:pStyle w:val="37"/>
        <w:spacing w:before="0" w:after="0" w:line="360" w:lineRule="auto"/>
        <w:ind w:firstLine="482" w:firstLineChars="200"/>
        <w:rPr>
          <w:rFonts w:asciiTheme="minorEastAsia" w:hAnsiTheme="minorEastAsia" w:cstheme="minorEastAsia"/>
          <w:b/>
          <w:bCs w:val="0"/>
          <w:color w:val="auto"/>
          <w:spacing w:val="0"/>
          <w:kern w:val="2"/>
          <w:szCs w:val="24"/>
          <w:highlight w:val="none"/>
        </w:rPr>
      </w:pPr>
      <w:r>
        <w:rPr>
          <w:rFonts w:asciiTheme="minorEastAsia" w:hAnsiTheme="minorEastAsia" w:cstheme="minorEastAsia"/>
          <w:b/>
          <w:bCs w:val="0"/>
          <w:color w:val="auto"/>
          <w:spacing w:val="0"/>
          <w:kern w:val="2"/>
          <w:szCs w:val="24"/>
          <w:highlight w:val="none"/>
        </w:rPr>
        <w:t>25</w:t>
      </w:r>
      <w:r>
        <w:rPr>
          <w:rFonts w:hint="eastAsia" w:asciiTheme="minorEastAsia" w:hAnsiTheme="minorEastAsia" w:cstheme="minorEastAsia"/>
          <w:b/>
          <w:bCs w:val="0"/>
          <w:color w:val="auto"/>
          <w:spacing w:val="0"/>
          <w:kern w:val="2"/>
          <w:szCs w:val="24"/>
          <w:highlight w:val="none"/>
        </w:rPr>
        <w:t>. 确定成交供应商办法</w:t>
      </w:r>
    </w:p>
    <w:p w14:paraId="64F366B0">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asciiTheme="minorEastAsia" w:hAnsiTheme="minorEastAsia" w:cstheme="minorEastAsia"/>
          <w:bCs/>
          <w:color w:val="auto"/>
          <w:kern w:val="0"/>
          <w:sz w:val="24"/>
          <w:szCs w:val="24"/>
          <w:highlight w:val="none"/>
        </w:rPr>
        <w:t>25</w:t>
      </w:r>
      <w:r>
        <w:rPr>
          <w:rFonts w:hint="eastAsia" w:asciiTheme="minorEastAsia" w:hAnsiTheme="minorEastAsia" w:cstheme="minorEastAsia"/>
          <w:bCs/>
          <w:color w:val="auto"/>
          <w:kern w:val="0"/>
          <w:sz w:val="24"/>
          <w:szCs w:val="24"/>
          <w:highlight w:val="none"/>
        </w:rPr>
        <w:t>.1 磋商小组应当根据综合评分情况，按照评审得分由高到低顺序推荐3名以上（含3名）成交候选供应商，并编写评标报告。评审得分相同的，按照最后报价由低到高的顺序推荐；评审得分且最后报价相同的，按照技术部分优劣顺序推荐。</w:t>
      </w:r>
    </w:p>
    <w:p w14:paraId="2B07A793">
      <w:pPr>
        <w:pStyle w:val="37"/>
        <w:spacing w:before="0" w:after="0" w:line="360" w:lineRule="auto"/>
        <w:ind w:firstLine="482" w:firstLineChars="200"/>
        <w:rPr>
          <w:rFonts w:asciiTheme="minorEastAsia" w:hAnsiTheme="minorEastAsia" w:cstheme="minorEastAsia"/>
          <w:b/>
          <w:bCs w:val="0"/>
          <w:color w:val="auto"/>
          <w:spacing w:val="0"/>
          <w:kern w:val="2"/>
          <w:szCs w:val="24"/>
          <w:highlight w:val="none"/>
        </w:rPr>
      </w:pPr>
      <w:r>
        <w:rPr>
          <w:rFonts w:hint="eastAsia" w:asciiTheme="minorEastAsia" w:hAnsiTheme="minorEastAsia" w:cstheme="minorEastAsia"/>
          <w:b/>
          <w:bCs w:val="0"/>
          <w:color w:val="auto"/>
          <w:spacing w:val="0"/>
          <w:kern w:val="2"/>
          <w:szCs w:val="24"/>
          <w:highlight w:val="none"/>
        </w:rPr>
        <w:t>2</w:t>
      </w:r>
      <w:r>
        <w:rPr>
          <w:rFonts w:asciiTheme="minorEastAsia" w:hAnsiTheme="minorEastAsia" w:cstheme="minorEastAsia"/>
          <w:b/>
          <w:bCs w:val="0"/>
          <w:color w:val="auto"/>
          <w:spacing w:val="0"/>
          <w:kern w:val="2"/>
          <w:szCs w:val="24"/>
          <w:highlight w:val="none"/>
        </w:rPr>
        <w:t>6</w:t>
      </w:r>
      <w:r>
        <w:rPr>
          <w:rFonts w:hint="eastAsia" w:asciiTheme="minorEastAsia" w:hAnsiTheme="minorEastAsia" w:cstheme="minorEastAsia"/>
          <w:b/>
          <w:bCs w:val="0"/>
          <w:color w:val="auto"/>
          <w:spacing w:val="0"/>
          <w:kern w:val="2"/>
          <w:szCs w:val="24"/>
          <w:highlight w:val="none"/>
        </w:rPr>
        <w:t>.</w:t>
      </w:r>
      <w:r>
        <w:rPr>
          <w:rFonts w:asciiTheme="minorEastAsia" w:hAnsiTheme="minorEastAsia" w:cstheme="minorEastAsia"/>
          <w:b/>
          <w:bCs w:val="0"/>
          <w:color w:val="auto"/>
          <w:spacing w:val="0"/>
          <w:kern w:val="2"/>
          <w:szCs w:val="24"/>
          <w:highlight w:val="none"/>
        </w:rPr>
        <w:t xml:space="preserve"> </w:t>
      </w:r>
      <w:r>
        <w:rPr>
          <w:rFonts w:hint="eastAsia" w:asciiTheme="minorEastAsia" w:hAnsiTheme="minorEastAsia" w:cstheme="minorEastAsia"/>
          <w:b/>
          <w:bCs w:val="0"/>
          <w:color w:val="auto"/>
          <w:spacing w:val="0"/>
          <w:kern w:val="2"/>
          <w:szCs w:val="24"/>
          <w:highlight w:val="none"/>
        </w:rPr>
        <w:t>成交结果公告</w:t>
      </w:r>
    </w:p>
    <w:p w14:paraId="4B5FB2D7">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asciiTheme="minorEastAsia" w:hAnsiTheme="minorEastAsia" w:cstheme="minorEastAsia"/>
          <w:bCs/>
          <w:color w:val="auto"/>
          <w:kern w:val="0"/>
          <w:sz w:val="24"/>
          <w:szCs w:val="24"/>
          <w:highlight w:val="none"/>
        </w:rPr>
        <w:t>26.1代理机构应当自评审结束之日起2个工作日内将评审报告送交采购人，采购人在收到代理机构提交的评审报告后，2个工作日内从评审报告提出的成交候选供应商中确定成交供应商。</w:t>
      </w:r>
    </w:p>
    <w:p w14:paraId="76994059">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asciiTheme="minorEastAsia" w:hAnsiTheme="minorEastAsia" w:cstheme="minorEastAsia"/>
          <w:bCs/>
          <w:color w:val="auto"/>
          <w:kern w:val="0"/>
          <w:sz w:val="24"/>
          <w:szCs w:val="24"/>
          <w:highlight w:val="none"/>
        </w:rPr>
        <w:t>26.2采购代理机构应当在成交供应商确定后2个工作日内，在磋商公告发布媒体上公告成交结果，同时向成交供应商发出成交通知书。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前款规定的同样原因被取消成交资格的，采购人可以确定排名第三的成交候选人为成交人。</w:t>
      </w:r>
    </w:p>
    <w:p w14:paraId="03FEDAD7">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asciiTheme="minorEastAsia" w:hAnsiTheme="minorEastAsia" w:cstheme="minorEastAsia"/>
          <w:bCs/>
          <w:color w:val="auto"/>
          <w:kern w:val="0"/>
          <w:sz w:val="24"/>
          <w:szCs w:val="24"/>
          <w:highlight w:val="none"/>
        </w:rPr>
        <w:t>26.3磋商供应商认为成交结果使自己的权益受到损害的，可以在成交结果公告期限届满之日起七个工作日内以书面形式向本公司提出质疑。本公司将在收到磋商供应商的书面质疑后七个工作日内做出答复， 但答复的内容不得涉及商业秘密。</w:t>
      </w:r>
    </w:p>
    <w:p w14:paraId="7A1D606B">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asciiTheme="minorEastAsia" w:hAnsiTheme="minorEastAsia" w:cstheme="minorEastAsia"/>
          <w:bCs/>
          <w:color w:val="auto"/>
          <w:kern w:val="0"/>
          <w:sz w:val="24"/>
          <w:szCs w:val="24"/>
          <w:highlight w:val="none"/>
        </w:rPr>
        <w:t xml:space="preserve">26.4质疑磋商供应商必须首先经过质疑程序，在对本公司的答复不满意或者本公司未在规定的时间内做出答复的，可以在答复期满后十五个工作日内书面向本级采购监督管理部门投诉。  </w:t>
      </w:r>
    </w:p>
    <w:p w14:paraId="50211806">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asciiTheme="minorEastAsia" w:hAnsiTheme="minorEastAsia" w:cstheme="minorEastAsia"/>
          <w:bCs/>
          <w:color w:val="auto"/>
          <w:kern w:val="0"/>
          <w:sz w:val="24"/>
          <w:szCs w:val="24"/>
          <w:highlight w:val="none"/>
        </w:rPr>
        <w:t>质疑联系部门及电话为：</w:t>
      </w:r>
      <w:r>
        <w:rPr>
          <w:rFonts w:hint="eastAsia" w:asciiTheme="minorEastAsia" w:hAnsiTheme="minorEastAsia" w:cstheme="minorEastAsia"/>
          <w:bCs/>
          <w:color w:val="auto"/>
          <w:kern w:val="0"/>
          <w:sz w:val="24"/>
          <w:szCs w:val="24"/>
          <w:highlight w:val="none"/>
          <w:lang w:eastAsia="zh-CN"/>
        </w:rPr>
        <w:t>广西大融合工程咨询有限公司</w:t>
      </w:r>
      <w:r>
        <w:rPr>
          <w:rFonts w:hint="eastAsia" w:asciiTheme="minorEastAsia" w:hAnsiTheme="minorEastAsia" w:cstheme="minorEastAsia"/>
          <w:bCs/>
          <w:color w:val="auto"/>
          <w:kern w:val="0"/>
          <w:sz w:val="24"/>
          <w:szCs w:val="24"/>
          <w:highlight w:val="none"/>
        </w:rPr>
        <w:t>，电话：</w:t>
      </w:r>
      <w:r>
        <w:rPr>
          <w:rFonts w:hint="eastAsia" w:cs="宋体" w:asciiTheme="minorEastAsia" w:hAnsiTheme="minorEastAsia"/>
          <w:bCs/>
          <w:color w:val="auto"/>
          <w:kern w:val="0"/>
          <w:sz w:val="24"/>
          <w:szCs w:val="24"/>
          <w:highlight w:val="none"/>
        </w:rPr>
        <w:t>0774-5832822</w:t>
      </w:r>
    </w:p>
    <w:p w14:paraId="03756441">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asciiTheme="minorEastAsia" w:hAnsiTheme="minorEastAsia" w:cstheme="minorEastAsia"/>
          <w:bCs/>
          <w:color w:val="auto"/>
          <w:kern w:val="0"/>
          <w:sz w:val="24"/>
          <w:szCs w:val="24"/>
          <w:highlight w:val="none"/>
        </w:rPr>
        <w:t>投诉联系部门及电话为：</w:t>
      </w:r>
      <w:r>
        <w:rPr>
          <w:rFonts w:hint="eastAsia" w:asciiTheme="minorEastAsia" w:hAnsiTheme="minorEastAsia" w:cstheme="minorEastAsia"/>
          <w:bCs/>
          <w:color w:val="auto"/>
          <w:kern w:val="0"/>
          <w:sz w:val="24"/>
          <w:szCs w:val="24"/>
          <w:highlight w:val="none"/>
        </w:rPr>
        <w:t>梧州市财政局政府采购监督管理科，联系电话：</w:t>
      </w:r>
      <w:r>
        <w:rPr>
          <w:rFonts w:asciiTheme="minorEastAsia" w:hAnsiTheme="minorEastAsia" w:cstheme="minorEastAsia"/>
          <w:bCs/>
          <w:color w:val="auto"/>
          <w:kern w:val="0"/>
          <w:sz w:val="24"/>
          <w:szCs w:val="24"/>
          <w:highlight w:val="none"/>
        </w:rPr>
        <w:t>077</w:t>
      </w:r>
      <w:r>
        <w:rPr>
          <w:rFonts w:hint="eastAsia" w:asciiTheme="minorEastAsia" w:hAnsiTheme="minorEastAsia" w:cstheme="minorEastAsia"/>
          <w:bCs/>
          <w:color w:val="auto"/>
          <w:kern w:val="0"/>
          <w:sz w:val="24"/>
          <w:szCs w:val="24"/>
          <w:highlight w:val="none"/>
        </w:rPr>
        <w:t>4</w:t>
      </w:r>
      <w:r>
        <w:rPr>
          <w:rFonts w:asciiTheme="minorEastAsia" w:hAnsiTheme="minorEastAsia" w:cstheme="minorEastAsia"/>
          <w:bCs/>
          <w:color w:val="auto"/>
          <w:kern w:val="0"/>
          <w:sz w:val="24"/>
          <w:szCs w:val="24"/>
          <w:highlight w:val="none"/>
        </w:rPr>
        <w:t>-</w:t>
      </w:r>
      <w:r>
        <w:rPr>
          <w:rFonts w:hint="eastAsia" w:asciiTheme="minorEastAsia" w:hAnsiTheme="minorEastAsia" w:cstheme="minorEastAsia"/>
          <w:bCs/>
          <w:color w:val="auto"/>
          <w:kern w:val="0"/>
          <w:sz w:val="24"/>
          <w:szCs w:val="24"/>
          <w:highlight w:val="none"/>
        </w:rPr>
        <w:t>3866434。</w:t>
      </w:r>
    </w:p>
    <w:p w14:paraId="7E033DAB">
      <w:pPr>
        <w:pStyle w:val="37"/>
        <w:numPr>
          <w:ilvl w:val="0"/>
          <w:numId w:val="4"/>
        </w:numPr>
        <w:spacing w:before="0" w:after="0"/>
        <w:jc w:val="center"/>
        <w:rPr>
          <w:rFonts w:asciiTheme="minorEastAsia" w:hAnsiTheme="minorEastAsia" w:cstheme="minorEastAsia"/>
          <w:b/>
          <w:color w:val="auto"/>
          <w:spacing w:val="0"/>
          <w:szCs w:val="24"/>
          <w:highlight w:val="none"/>
        </w:rPr>
      </w:pPr>
      <w:r>
        <w:rPr>
          <w:rFonts w:hint="eastAsia" w:asciiTheme="minorEastAsia" w:hAnsiTheme="minorEastAsia" w:cstheme="minorEastAsia"/>
          <w:b/>
          <w:color w:val="auto"/>
          <w:spacing w:val="0"/>
          <w:szCs w:val="24"/>
          <w:highlight w:val="none"/>
        </w:rPr>
        <w:t xml:space="preserve"> 合同的授予</w:t>
      </w:r>
    </w:p>
    <w:p w14:paraId="1A1FB84F">
      <w:pPr>
        <w:pStyle w:val="37"/>
        <w:spacing w:before="0" w:after="0"/>
        <w:jc w:val="both"/>
        <w:rPr>
          <w:rFonts w:asciiTheme="minorEastAsia" w:hAnsiTheme="minorEastAsia" w:cstheme="minorEastAsia"/>
          <w:b/>
          <w:color w:val="auto"/>
          <w:spacing w:val="0"/>
          <w:szCs w:val="24"/>
          <w:highlight w:val="none"/>
        </w:rPr>
      </w:pPr>
    </w:p>
    <w:p w14:paraId="0727595F">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asciiTheme="minorEastAsia" w:hAnsiTheme="minorEastAsia" w:cstheme="minorEastAsia"/>
          <w:bCs/>
          <w:color w:val="auto"/>
          <w:kern w:val="0"/>
          <w:sz w:val="24"/>
          <w:szCs w:val="24"/>
          <w:highlight w:val="none"/>
        </w:rPr>
        <w:t>27.1 成交供应商自成交通知书发出之日起</w:t>
      </w:r>
      <w:r>
        <w:rPr>
          <w:rFonts w:hint="eastAsia" w:asciiTheme="minorEastAsia" w:hAnsiTheme="minorEastAsia" w:cstheme="minorEastAsia"/>
          <w:bCs/>
          <w:color w:val="auto"/>
          <w:kern w:val="0"/>
          <w:sz w:val="24"/>
          <w:szCs w:val="24"/>
          <w:highlight w:val="none"/>
        </w:rPr>
        <w:t>15个日内</w:t>
      </w:r>
      <w:r>
        <w:rPr>
          <w:rFonts w:asciiTheme="minorEastAsia" w:hAnsiTheme="minorEastAsia" w:cstheme="minorEastAsia"/>
          <w:bCs/>
          <w:color w:val="auto"/>
          <w:kern w:val="0"/>
          <w:sz w:val="24"/>
          <w:szCs w:val="24"/>
          <w:highlight w:val="none"/>
        </w:rPr>
        <w:t xml:space="preserve">与采购人签订协议。  </w:t>
      </w:r>
    </w:p>
    <w:p w14:paraId="17B0C941">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asciiTheme="minorEastAsia" w:hAnsiTheme="minorEastAsia" w:cstheme="minorEastAsia"/>
          <w:bCs/>
          <w:color w:val="auto"/>
          <w:kern w:val="0"/>
          <w:sz w:val="24"/>
          <w:szCs w:val="24"/>
          <w:highlight w:val="none"/>
        </w:rPr>
        <w:t xml:space="preserve">27.2 成交供应商拒绝签订采购协议的，采购人可以根据磋商评审报告确定成交供应商之后排名第一的成交候选供应商作为成交供应商并签订采购协议，也可以重新组织开展采购活动。拒绝签订采购协议的成交供应商不得再参加对该项目重新组织开展的采购活动 。   </w:t>
      </w:r>
    </w:p>
    <w:p w14:paraId="6AC1BD8D">
      <w:pPr>
        <w:adjustRightInd w:val="0"/>
        <w:spacing w:line="360" w:lineRule="auto"/>
        <w:ind w:firstLine="480" w:firstLineChars="200"/>
        <w:rPr>
          <w:rStyle w:val="55"/>
          <w:rFonts w:asciiTheme="minorEastAsia" w:hAnsiTheme="minorEastAsia"/>
          <w:color w:val="auto"/>
          <w:sz w:val="24"/>
          <w:szCs w:val="24"/>
          <w:highlight w:val="none"/>
        </w:rPr>
      </w:pPr>
      <w:r>
        <w:rPr>
          <w:rFonts w:asciiTheme="minorEastAsia" w:hAnsiTheme="minorEastAsia" w:cstheme="minorEastAsia"/>
          <w:bCs/>
          <w:color w:val="auto"/>
          <w:kern w:val="0"/>
          <w:sz w:val="24"/>
          <w:szCs w:val="24"/>
          <w:highlight w:val="none"/>
        </w:rPr>
        <w:t xml:space="preserve">27.3 成交供应商拒绝签订采购协议的，给采购人造成其损失的，还应当赔偿损失，并作为不良行为记录在案。 </w:t>
      </w:r>
      <w:r>
        <w:rPr>
          <w:rStyle w:val="55"/>
          <w:rFonts w:asciiTheme="minorEastAsia" w:hAnsiTheme="minorEastAsia"/>
          <w:color w:val="auto"/>
          <w:sz w:val="24"/>
          <w:szCs w:val="24"/>
          <w:highlight w:val="none"/>
        </w:rPr>
        <w:t xml:space="preserve"> </w:t>
      </w:r>
    </w:p>
    <w:p w14:paraId="7812B64B">
      <w:pPr>
        <w:adjustRightInd w:val="0"/>
        <w:spacing w:line="360" w:lineRule="auto"/>
        <w:ind w:firstLine="482" w:firstLineChars="200"/>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（八）  其他</w:t>
      </w:r>
      <w:bookmarkStart w:id="193" w:name="_Toc10858"/>
    </w:p>
    <w:p w14:paraId="7C0F3EDC">
      <w:pPr>
        <w:adjustRightInd w:val="0"/>
        <w:spacing w:line="446" w:lineRule="exact"/>
        <w:ind w:firstLine="482" w:firstLineChars="200"/>
        <w:rPr>
          <w:rFonts w:asciiTheme="minorEastAsia" w:hAnsiTheme="minorEastAsia" w:cstheme="minorEastAsia"/>
          <w:b/>
          <w:color w:val="auto"/>
          <w:kern w:val="0"/>
          <w:sz w:val="24"/>
          <w:szCs w:val="24"/>
          <w:highlight w:val="none"/>
        </w:rPr>
      </w:pPr>
      <w:r>
        <w:rPr>
          <w:rFonts w:asciiTheme="minorEastAsia" w:hAnsiTheme="minorEastAsia" w:cstheme="minorEastAsia"/>
          <w:b/>
          <w:color w:val="auto"/>
          <w:kern w:val="0"/>
          <w:sz w:val="24"/>
          <w:szCs w:val="24"/>
          <w:highlight w:val="none"/>
        </w:rPr>
        <w:t>28</w:t>
      </w:r>
      <w:r>
        <w:rPr>
          <w:rFonts w:hint="eastAsia" w:asciiTheme="minorEastAsia" w:hAnsiTheme="minorEastAsia" w:cstheme="minorEastAsia"/>
          <w:b/>
          <w:color w:val="auto"/>
          <w:kern w:val="0"/>
          <w:sz w:val="24"/>
          <w:szCs w:val="24"/>
          <w:highlight w:val="none"/>
        </w:rPr>
        <w:t>. 履约担保</w:t>
      </w:r>
      <w:bookmarkEnd w:id="193"/>
    </w:p>
    <w:p w14:paraId="3F0680C6">
      <w:pPr>
        <w:spacing w:line="446" w:lineRule="exact"/>
        <w:ind w:firstLine="480" w:firstLineChars="200"/>
        <w:rPr>
          <w:rFonts w:asciiTheme="minorEastAsia" w:hAnsiTheme="minorEastAsia" w:cstheme="minorEastAsia"/>
          <w:color w:val="auto"/>
          <w:sz w:val="24"/>
          <w:szCs w:val="24"/>
          <w:highlight w:val="none"/>
        </w:rPr>
      </w:pPr>
      <w:r>
        <w:rPr>
          <w:rFonts w:asciiTheme="minorEastAsia" w:hAnsiTheme="minorEastAsia" w:cstheme="minorEastAsia"/>
          <w:color w:val="auto"/>
          <w:sz w:val="24"/>
          <w:szCs w:val="24"/>
          <w:highlight w:val="none"/>
        </w:rPr>
        <w:t>28</w:t>
      </w:r>
      <w:r>
        <w:rPr>
          <w:rFonts w:hint="eastAsia" w:asciiTheme="minorEastAsia" w:hAnsiTheme="minorEastAsia" w:cstheme="minorEastAsia"/>
          <w:color w:val="auto"/>
          <w:sz w:val="24"/>
          <w:szCs w:val="24"/>
          <w:highlight w:val="none"/>
        </w:rPr>
        <w:t>.1 合同协议书签订前，成交人应按前附表第19项规定的金额、方式提交履约担保。</w:t>
      </w:r>
    </w:p>
    <w:p w14:paraId="4424C15B">
      <w:pPr>
        <w:spacing w:line="446" w:lineRule="exact"/>
        <w:ind w:firstLine="500"/>
        <w:rPr>
          <w:rFonts w:asciiTheme="minorEastAsia" w:hAnsiTheme="minorEastAsia" w:cstheme="minorEastAsia"/>
          <w:color w:val="auto"/>
          <w:sz w:val="24"/>
          <w:szCs w:val="24"/>
          <w:highlight w:val="none"/>
        </w:rPr>
      </w:pPr>
      <w:r>
        <w:rPr>
          <w:rFonts w:asciiTheme="minorEastAsia" w:hAnsiTheme="minorEastAsia" w:cstheme="minorEastAsia"/>
          <w:color w:val="auto"/>
          <w:sz w:val="24"/>
          <w:szCs w:val="24"/>
          <w:highlight w:val="none"/>
        </w:rPr>
        <w:t>28</w:t>
      </w:r>
      <w:r>
        <w:rPr>
          <w:rFonts w:hint="eastAsia" w:asciiTheme="minorEastAsia" w:hAnsiTheme="minorEastAsia" w:cstheme="minorEastAsia"/>
          <w:color w:val="auto"/>
          <w:sz w:val="24"/>
          <w:szCs w:val="24"/>
          <w:highlight w:val="none"/>
        </w:rPr>
        <w:t>.2履约担保返还方式：按照采购人与成交单位的合同协议书。</w:t>
      </w:r>
    </w:p>
    <w:p w14:paraId="297DDEF2">
      <w:pPr>
        <w:pStyle w:val="37"/>
        <w:spacing w:before="0" w:after="0" w:line="446" w:lineRule="exact"/>
        <w:ind w:firstLine="482" w:firstLineChars="200"/>
        <w:rPr>
          <w:rFonts w:asciiTheme="minorEastAsia" w:hAnsiTheme="minorEastAsia" w:cstheme="minorEastAsia"/>
          <w:b/>
          <w:bCs w:val="0"/>
          <w:color w:val="auto"/>
          <w:spacing w:val="0"/>
          <w:szCs w:val="24"/>
          <w:highlight w:val="none"/>
        </w:rPr>
      </w:pPr>
      <w:r>
        <w:rPr>
          <w:rFonts w:hint="eastAsia" w:asciiTheme="minorEastAsia" w:hAnsiTheme="minorEastAsia" w:cstheme="minorEastAsia"/>
          <w:b/>
          <w:bCs w:val="0"/>
          <w:color w:val="auto"/>
          <w:spacing w:val="0"/>
          <w:szCs w:val="24"/>
          <w:highlight w:val="none"/>
        </w:rPr>
        <w:t>29. 采购代理服务费</w:t>
      </w:r>
    </w:p>
    <w:p w14:paraId="641AFA20">
      <w:pPr>
        <w:pStyle w:val="3"/>
        <w:spacing w:line="360" w:lineRule="auto"/>
        <w:ind w:firstLine="480" w:firstLineChars="200"/>
        <w:jc w:val="both"/>
        <w:rPr>
          <w:rFonts w:asciiTheme="minorEastAsia" w:hAnsiTheme="minorEastAsia" w:cstheme="minorEastAsia"/>
          <w:b w:val="0"/>
          <w:bCs/>
          <w:color w:val="auto"/>
          <w:sz w:val="24"/>
          <w:szCs w:val="24"/>
          <w:highlight w:val="none"/>
        </w:rPr>
      </w:pPr>
      <w:bookmarkStart w:id="194" w:name="_Toc11347"/>
      <w:bookmarkStart w:id="195" w:name="_Toc24614"/>
      <w:bookmarkStart w:id="196" w:name="_Toc108836087"/>
      <w:r>
        <w:rPr>
          <w:rFonts w:hint="eastAsia" w:asciiTheme="minorEastAsia" w:hAnsiTheme="minorEastAsia" w:cstheme="minorEastAsia"/>
          <w:b w:val="0"/>
          <w:bCs/>
          <w:color w:val="auto"/>
          <w:sz w:val="24"/>
          <w:szCs w:val="24"/>
          <w:highlight w:val="none"/>
        </w:rPr>
        <w:t>29.1成交相关费用</w:t>
      </w:r>
      <w:bookmarkEnd w:id="194"/>
      <w:bookmarkEnd w:id="195"/>
    </w:p>
    <w:p w14:paraId="583192B3">
      <w:pPr>
        <w:pStyle w:val="3"/>
        <w:spacing w:line="360" w:lineRule="auto"/>
        <w:ind w:firstLine="480" w:firstLineChars="200"/>
        <w:rPr>
          <w:rFonts w:asciiTheme="minorEastAsia" w:hAnsiTheme="minorEastAsia" w:cstheme="minorEastAsia"/>
          <w:b w:val="0"/>
          <w:bCs/>
          <w:color w:val="auto"/>
          <w:sz w:val="24"/>
          <w:szCs w:val="24"/>
          <w:highlight w:val="none"/>
        </w:rPr>
      </w:pPr>
      <w:bookmarkStart w:id="197" w:name="_Toc8299"/>
      <w:bookmarkStart w:id="198" w:name="_Toc3979"/>
      <w:r>
        <w:rPr>
          <w:rFonts w:hint="eastAsia" w:asciiTheme="minorEastAsia" w:hAnsiTheme="minorEastAsia" w:cstheme="minorEastAsia"/>
          <w:b w:val="0"/>
          <w:bCs/>
          <w:color w:val="auto"/>
          <w:sz w:val="24"/>
          <w:szCs w:val="24"/>
          <w:highlight w:val="none"/>
        </w:rPr>
        <w:t>29.1.1成交供应商向采购代理机构一次性付清代理服务费及开标评审费。</w:t>
      </w:r>
      <w:bookmarkEnd w:id="197"/>
      <w:bookmarkEnd w:id="198"/>
    </w:p>
    <w:p w14:paraId="636CA448">
      <w:pPr>
        <w:pStyle w:val="3"/>
        <w:spacing w:line="360" w:lineRule="auto"/>
        <w:ind w:firstLine="480" w:firstLineChars="200"/>
        <w:rPr>
          <w:rFonts w:asciiTheme="minorEastAsia" w:hAnsiTheme="minorEastAsia" w:cstheme="minorEastAsia"/>
          <w:b w:val="0"/>
          <w:bCs/>
          <w:color w:val="auto"/>
          <w:sz w:val="24"/>
          <w:szCs w:val="24"/>
          <w:highlight w:val="none"/>
        </w:rPr>
      </w:pPr>
      <w:bookmarkStart w:id="199" w:name="_Toc13852"/>
      <w:bookmarkStart w:id="200" w:name="_Toc7792"/>
      <w:r>
        <w:rPr>
          <w:rFonts w:hint="eastAsia" w:asciiTheme="minorEastAsia" w:hAnsiTheme="minorEastAsia" w:cstheme="minorEastAsia"/>
          <w:b w:val="0"/>
          <w:bCs/>
          <w:color w:val="auto"/>
          <w:sz w:val="24"/>
          <w:szCs w:val="24"/>
          <w:highlight w:val="none"/>
        </w:rPr>
        <w:t>29.1.2代理服务费金额按下表收费标准收取。</w:t>
      </w:r>
      <w:bookmarkEnd w:id="199"/>
      <w:bookmarkEnd w:id="200"/>
    </w:p>
    <w:tbl>
      <w:tblPr>
        <w:tblStyle w:val="29"/>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6"/>
        <w:gridCol w:w="1740"/>
        <w:gridCol w:w="1740"/>
        <w:gridCol w:w="1741"/>
      </w:tblGrid>
      <w:tr w14:paraId="71DA8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6" w:type="dxa"/>
          </w:tcPr>
          <w:p w14:paraId="66FBADC0">
            <w:pPr>
              <w:pStyle w:val="3"/>
              <w:widowControl w:val="0"/>
              <w:spacing w:line="360" w:lineRule="auto"/>
              <w:ind w:firstLine="2650" w:firstLineChars="1100"/>
              <w:jc w:val="left"/>
              <w:outlineLvl w:val="0"/>
              <w:rPr>
                <w:b w:val="0"/>
                <w:bCs/>
                <w:color w:val="auto"/>
                <w:sz w:val="24"/>
                <w:szCs w:val="24"/>
                <w:highlight w:val="none"/>
              </w:rPr>
            </w:pPr>
            <w:bookmarkStart w:id="201" w:name="_Toc31849"/>
            <w:bookmarkStart w:id="202" w:name="_Toc30623"/>
            <w:r>
              <w:rPr>
                <w:color w:val="auto"/>
                <w:sz w:val="24"/>
                <w:highlight w:val="none"/>
              </w:rPr>
              <mc:AlternateContent>
                <mc:Choice Requires="wps">
                  <w:drawing>
                    <wp:anchor distT="0" distB="0" distL="114300" distR="114300" simplePos="0" relativeHeight="251662336" behindDoc="0" locked="0" layoutInCell="1" allowOverlap="1">
                      <wp:simplePos x="0" y="0"/>
                      <wp:positionH relativeFrom="column">
                        <wp:posOffset>1303655</wp:posOffset>
                      </wp:positionH>
                      <wp:positionV relativeFrom="paragraph">
                        <wp:posOffset>5080</wp:posOffset>
                      </wp:positionV>
                      <wp:extent cx="1209675" cy="781050"/>
                      <wp:effectExtent l="2540" t="3810" r="6985" b="15240"/>
                      <wp:wrapNone/>
                      <wp:docPr id="5" name="直接连接符 5"/>
                      <wp:cNvGraphicFramePr/>
                      <a:graphic xmlns:a="http://schemas.openxmlformats.org/drawingml/2006/main">
                        <a:graphicData uri="http://schemas.microsoft.com/office/word/2010/wordprocessingShape">
                          <wps:wsp>
                            <wps:cNvCnPr/>
                            <wps:spPr>
                              <a:xfrm>
                                <a:off x="2204085" y="4099560"/>
                                <a:ext cx="1209675" cy="781050"/>
                              </a:xfrm>
                              <a:prstGeom prst="line">
                                <a:avLst/>
                              </a:prstGeom>
                              <a:noFill/>
                              <a:ln w="635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102.65pt;margin-top:0.4pt;height:61.5pt;width:95.25pt;z-index:251662336;mso-width-relative:page;mso-height-relative:page;" filled="f" stroked="t" coordsize="21600,21600" o:gfxdata="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c2EtqdYAAAAIAQAADwAAAAAAAAABACAAAAAiAAAAZHJzL2Rvd25yZXYueG1s&#10;UEsBAhQAFAAAAAgAh07iQJ0f3zL6AQAA0AMAAA4AAAAAAAAAAQAgAAAAJQEAAGRycy9lMm9Eb2Mu&#10;eG1sUEsFBgAAAAAGAAYAWQEAAJEFAAAAAA==&#10;">
                      <v:fill on="f" focussize="0,0"/>
                      <v:stroke weight="0.5pt" color="#000000" miterlimit="8" joinstyle="miter"/>
                      <v:imagedata o:title=""/>
                      <o:lock v:ext="edit" aspectratio="f"/>
                    </v:line>
                  </w:pict>
                </mc:Fallback>
              </mc:AlternateContent>
            </w:r>
            <w:r>
              <w:rPr>
                <w:rFonts w:hint="eastAsia"/>
                <w:b w:val="0"/>
                <w:bCs/>
                <w:color w:val="auto"/>
                <w:sz w:val="24"/>
                <w:szCs w:val="24"/>
                <w:highlight w:val="none"/>
              </w:rPr>
              <w:t>服务类型</w:t>
            </w:r>
            <w:bookmarkEnd w:id="201"/>
            <w:bookmarkEnd w:id="202"/>
          </w:p>
          <w:p w14:paraId="15880A82">
            <w:pPr>
              <w:widowControl w:val="0"/>
              <w:ind w:firstLine="1920" w:firstLineChars="800"/>
              <w:jc w:val="both"/>
              <w:rPr>
                <w:bCs/>
                <w:color w:val="auto"/>
                <w:sz w:val="24"/>
                <w:szCs w:val="24"/>
                <w:highlight w:val="none"/>
              </w:rPr>
            </w:pPr>
            <w:r>
              <w:rPr>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-77470</wp:posOffset>
                      </wp:positionH>
                      <wp:positionV relativeFrom="paragraph">
                        <wp:posOffset>-5080</wp:posOffset>
                      </wp:positionV>
                      <wp:extent cx="2600325" cy="495300"/>
                      <wp:effectExtent l="635" t="4445" r="8890" b="14605"/>
                      <wp:wrapNone/>
                      <wp:docPr id="1" name="直接连接符 1"/>
                      <wp:cNvGraphicFramePr/>
                      <a:graphic xmlns:a="http://schemas.openxmlformats.org/drawingml/2006/main">
                        <a:graphicData uri="http://schemas.microsoft.com/office/word/2010/wordprocessingShape">
                          <wps:wsp>
                            <wps:cNvCnPr/>
                            <wps:spPr>
                              <a:xfrm>
                                <a:off x="870585" y="4451985"/>
                                <a:ext cx="2600325" cy="495300"/>
                              </a:xfrm>
                              <a:prstGeom prst="line">
                                <a:avLst/>
                              </a:prstGeom>
                              <a:noFill/>
                              <a:ln w="635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6.1pt;margin-top:-0.4pt;height:39pt;width:204.75pt;z-index:251661312;mso-width-relative:page;mso-height-relative:page;" filled="f" stroked="t" coordsize="21600,21600" o:gfxdata="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wwouctcAAAAIAQAADwAAAAAAAAABACAAAAAiAAAAZHJzL2Rvd25yZXYueG1s&#10;UEsBAhQAFAAAAAgAh07iQFlpPnr5AQAAzwMAAA4AAAAAAAAAAQAgAAAAJgEAAGRycy9lMm9Eb2Mu&#10;eG1sUEsFBgAAAAAGAAYAWQEAAJEFAAAAAA==&#10;">
                      <v:fill on="f" focussize="0,0"/>
                      <v:stroke weight="0.5pt" color="#000000" miterlimit="8" joinstyle="miter"/>
                      <v:imagedata o:title=""/>
                      <o:lock v:ext="edit" aspectratio="f"/>
                    </v:line>
                  </w:pict>
                </mc:Fallback>
              </mc:AlternateContent>
            </w:r>
            <w:r>
              <w:rPr>
                <w:rFonts w:hint="eastAsia"/>
                <w:bCs/>
                <w:color w:val="auto"/>
                <w:sz w:val="24"/>
                <w:szCs w:val="24"/>
                <w:highlight w:val="none"/>
              </w:rPr>
              <w:t>费率</w:t>
            </w:r>
          </w:p>
          <w:p w14:paraId="5FA905B1">
            <w:pPr>
              <w:pStyle w:val="3"/>
              <w:widowControl w:val="0"/>
              <w:spacing w:line="360" w:lineRule="auto"/>
              <w:jc w:val="left"/>
              <w:outlineLvl w:val="0"/>
              <w:rPr>
                <w:b w:val="0"/>
                <w:bCs/>
                <w:color w:val="auto"/>
                <w:sz w:val="24"/>
                <w:szCs w:val="24"/>
                <w:highlight w:val="none"/>
              </w:rPr>
            </w:pPr>
            <w:bookmarkStart w:id="203" w:name="_Toc26004"/>
            <w:bookmarkStart w:id="204" w:name="_Toc22819"/>
            <w:r>
              <w:rPr>
                <w:rFonts w:hint="eastAsia" w:asciiTheme="minorEastAsia" w:hAnsiTheme="minorEastAsia" w:cstheme="minorEastAsia"/>
                <w:b w:val="0"/>
                <w:bCs/>
                <w:color w:val="auto"/>
                <w:sz w:val="24"/>
                <w:szCs w:val="24"/>
                <w:highlight w:val="none"/>
              </w:rPr>
              <w:t>成交金额(万元)</w:t>
            </w:r>
            <w:bookmarkEnd w:id="203"/>
            <w:bookmarkEnd w:id="204"/>
          </w:p>
        </w:tc>
        <w:tc>
          <w:tcPr>
            <w:tcW w:w="1740" w:type="dxa"/>
          </w:tcPr>
          <w:p w14:paraId="48687D35">
            <w:pPr>
              <w:widowControl w:val="0"/>
              <w:jc w:val="both"/>
              <w:rPr>
                <w:bCs/>
                <w:color w:val="auto"/>
                <w:sz w:val="24"/>
                <w:szCs w:val="24"/>
                <w:highlight w:val="none"/>
              </w:rPr>
            </w:pPr>
            <w:r>
              <w:rPr>
                <w:rFonts w:hint="eastAsia" w:asciiTheme="minorEastAsia" w:hAnsiTheme="minorEastAsia" w:cstheme="minorEastAsia"/>
                <w:bCs/>
                <w:color w:val="auto"/>
                <w:kern w:val="0"/>
                <w:sz w:val="24"/>
                <w:szCs w:val="24"/>
                <w:highlight w:val="none"/>
              </w:rPr>
              <w:t>货物招标</w:t>
            </w:r>
          </w:p>
        </w:tc>
        <w:tc>
          <w:tcPr>
            <w:tcW w:w="1740" w:type="dxa"/>
          </w:tcPr>
          <w:p w14:paraId="5DF2ECDB">
            <w:pPr>
              <w:widowControl w:val="0"/>
              <w:jc w:val="both"/>
              <w:rPr>
                <w:bCs/>
                <w:color w:val="auto"/>
                <w:sz w:val="24"/>
                <w:szCs w:val="24"/>
                <w:highlight w:val="none"/>
              </w:rPr>
            </w:pPr>
            <w:r>
              <w:rPr>
                <w:rFonts w:hint="eastAsia" w:asciiTheme="minorEastAsia" w:hAnsiTheme="minorEastAsia" w:cstheme="minorEastAsia"/>
                <w:bCs/>
                <w:color w:val="auto"/>
                <w:kern w:val="0"/>
                <w:sz w:val="24"/>
                <w:szCs w:val="24"/>
                <w:highlight w:val="none"/>
              </w:rPr>
              <w:t xml:space="preserve"> 服务招标</w:t>
            </w:r>
          </w:p>
        </w:tc>
        <w:tc>
          <w:tcPr>
            <w:tcW w:w="1741" w:type="dxa"/>
          </w:tcPr>
          <w:p w14:paraId="78A2DCAE">
            <w:pPr>
              <w:widowControl w:val="0"/>
              <w:jc w:val="both"/>
              <w:rPr>
                <w:bCs/>
                <w:color w:val="auto"/>
                <w:sz w:val="24"/>
                <w:szCs w:val="24"/>
                <w:highlight w:val="none"/>
              </w:rPr>
            </w:pPr>
            <w:r>
              <w:rPr>
                <w:rFonts w:hint="eastAsia" w:asciiTheme="minorEastAsia" w:hAnsiTheme="minorEastAsia" w:cstheme="minorEastAsia"/>
                <w:bCs/>
                <w:color w:val="auto"/>
                <w:kern w:val="0"/>
                <w:sz w:val="24"/>
                <w:szCs w:val="24"/>
                <w:highlight w:val="none"/>
              </w:rPr>
              <w:t>工程招标</w:t>
            </w:r>
          </w:p>
        </w:tc>
      </w:tr>
      <w:tr w14:paraId="78839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6" w:type="dxa"/>
          </w:tcPr>
          <w:p w14:paraId="77107DF6">
            <w:pPr>
              <w:widowControl w:val="0"/>
              <w:jc w:val="both"/>
              <w:rPr>
                <w:bCs/>
                <w:color w:val="auto"/>
                <w:sz w:val="24"/>
                <w:szCs w:val="24"/>
                <w:highlight w:val="none"/>
              </w:rPr>
            </w:pPr>
            <w:r>
              <w:rPr>
                <w:rFonts w:hint="eastAsia" w:asciiTheme="minorEastAsia" w:hAnsiTheme="minorEastAsia" w:cstheme="minorEastAsia"/>
                <w:bCs/>
                <w:color w:val="auto"/>
                <w:kern w:val="0"/>
                <w:sz w:val="24"/>
                <w:szCs w:val="24"/>
                <w:highlight w:val="none"/>
              </w:rPr>
              <w:t>100以下</w:t>
            </w:r>
          </w:p>
        </w:tc>
        <w:tc>
          <w:tcPr>
            <w:tcW w:w="1740" w:type="dxa"/>
          </w:tcPr>
          <w:p w14:paraId="1CF3F11B">
            <w:pPr>
              <w:widowControl w:val="0"/>
              <w:spacing w:line="440" w:lineRule="exact"/>
              <w:jc w:val="center"/>
              <w:rPr>
                <w:bCs/>
                <w:color w:val="auto"/>
                <w:sz w:val="24"/>
                <w:szCs w:val="24"/>
                <w:highlight w:val="none"/>
              </w:rPr>
            </w:pPr>
            <w:r>
              <w:rPr>
                <w:rFonts w:hint="eastAsia" w:ascii="宋体" w:hAnsi="宋体"/>
                <w:color w:val="auto"/>
                <w:sz w:val="24"/>
                <w:highlight w:val="none"/>
              </w:rPr>
              <w:t>1.5%</w:t>
            </w:r>
          </w:p>
        </w:tc>
        <w:tc>
          <w:tcPr>
            <w:tcW w:w="1740" w:type="dxa"/>
          </w:tcPr>
          <w:p w14:paraId="1772819B">
            <w:pPr>
              <w:widowControl w:val="0"/>
              <w:spacing w:line="440" w:lineRule="exact"/>
              <w:jc w:val="center"/>
              <w:rPr>
                <w:bCs/>
                <w:color w:val="auto"/>
                <w:sz w:val="24"/>
                <w:szCs w:val="24"/>
                <w:highlight w:val="none"/>
              </w:rPr>
            </w:pPr>
            <w:r>
              <w:rPr>
                <w:rFonts w:hint="eastAsia" w:ascii="宋体" w:hAnsi="宋体"/>
                <w:color w:val="auto"/>
                <w:sz w:val="24"/>
                <w:highlight w:val="none"/>
              </w:rPr>
              <w:t>1.5%</w:t>
            </w:r>
          </w:p>
        </w:tc>
        <w:tc>
          <w:tcPr>
            <w:tcW w:w="1741" w:type="dxa"/>
          </w:tcPr>
          <w:p w14:paraId="2D59499F">
            <w:pPr>
              <w:widowControl w:val="0"/>
              <w:spacing w:line="440" w:lineRule="exact"/>
              <w:jc w:val="center"/>
              <w:rPr>
                <w:bCs/>
                <w:color w:val="auto"/>
                <w:sz w:val="24"/>
                <w:szCs w:val="24"/>
                <w:highlight w:val="none"/>
              </w:rPr>
            </w:pPr>
            <w:r>
              <w:rPr>
                <w:rFonts w:hint="eastAsia" w:ascii="宋体" w:hAnsi="宋体"/>
                <w:color w:val="auto"/>
                <w:sz w:val="24"/>
                <w:highlight w:val="none"/>
              </w:rPr>
              <w:t>1.0%</w:t>
            </w:r>
          </w:p>
        </w:tc>
      </w:tr>
      <w:tr w14:paraId="4CB00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6" w:type="dxa"/>
          </w:tcPr>
          <w:p w14:paraId="3E8E7229">
            <w:pPr>
              <w:widowControl w:val="0"/>
              <w:jc w:val="both"/>
              <w:rPr>
                <w:bCs/>
                <w:color w:val="auto"/>
                <w:sz w:val="24"/>
                <w:szCs w:val="24"/>
                <w:highlight w:val="none"/>
              </w:rPr>
            </w:pPr>
            <w:r>
              <w:rPr>
                <w:rFonts w:hint="eastAsia" w:asciiTheme="minorEastAsia" w:hAnsiTheme="minorEastAsia" w:cstheme="minorEastAsia"/>
                <w:bCs/>
                <w:color w:val="auto"/>
                <w:kern w:val="0"/>
                <w:sz w:val="24"/>
                <w:szCs w:val="24"/>
                <w:highlight w:val="none"/>
              </w:rPr>
              <w:t>100-500</w:t>
            </w:r>
          </w:p>
        </w:tc>
        <w:tc>
          <w:tcPr>
            <w:tcW w:w="1740" w:type="dxa"/>
          </w:tcPr>
          <w:p w14:paraId="678A0CE7">
            <w:pPr>
              <w:widowControl w:val="0"/>
              <w:spacing w:line="440" w:lineRule="exact"/>
              <w:jc w:val="center"/>
              <w:rPr>
                <w:bCs/>
                <w:color w:val="auto"/>
                <w:sz w:val="24"/>
                <w:szCs w:val="24"/>
                <w:highlight w:val="none"/>
              </w:rPr>
            </w:pPr>
            <w:r>
              <w:rPr>
                <w:rFonts w:hint="eastAsia" w:ascii="宋体" w:hAnsi="宋体"/>
                <w:color w:val="auto"/>
                <w:sz w:val="24"/>
                <w:highlight w:val="none"/>
              </w:rPr>
              <w:t>1.1%</w:t>
            </w:r>
          </w:p>
        </w:tc>
        <w:tc>
          <w:tcPr>
            <w:tcW w:w="1740" w:type="dxa"/>
          </w:tcPr>
          <w:p w14:paraId="66E3361A">
            <w:pPr>
              <w:widowControl w:val="0"/>
              <w:spacing w:line="440" w:lineRule="exact"/>
              <w:jc w:val="center"/>
              <w:rPr>
                <w:bCs/>
                <w:color w:val="auto"/>
                <w:sz w:val="24"/>
                <w:szCs w:val="24"/>
                <w:highlight w:val="none"/>
              </w:rPr>
            </w:pPr>
            <w:r>
              <w:rPr>
                <w:rFonts w:hint="eastAsia" w:ascii="宋体" w:hAnsi="宋体"/>
                <w:color w:val="auto"/>
                <w:sz w:val="24"/>
                <w:highlight w:val="none"/>
              </w:rPr>
              <w:t>0.8%</w:t>
            </w:r>
          </w:p>
        </w:tc>
        <w:tc>
          <w:tcPr>
            <w:tcW w:w="1741" w:type="dxa"/>
          </w:tcPr>
          <w:p w14:paraId="768BDAED">
            <w:pPr>
              <w:widowControl w:val="0"/>
              <w:spacing w:line="440" w:lineRule="exact"/>
              <w:jc w:val="center"/>
              <w:rPr>
                <w:bCs/>
                <w:color w:val="auto"/>
                <w:sz w:val="24"/>
                <w:szCs w:val="24"/>
                <w:highlight w:val="none"/>
              </w:rPr>
            </w:pPr>
            <w:r>
              <w:rPr>
                <w:rFonts w:hint="eastAsia" w:ascii="宋体" w:hAnsi="宋体"/>
                <w:color w:val="auto"/>
                <w:sz w:val="24"/>
                <w:highlight w:val="none"/>
              </w:rPr>
              <w:t>0.7%</w:t>
            </w:r>
          </w:p>
        </w:tc>
      </w:tr>
    </w:tbl>
    <w:p w14:paraId="575B2451">
      <w:pPr>
        <w:pStyle w:val="3"/>
        <w:spacing w:line="360" w:lineRule="auto"/>
        <w:rPr>
          <w:rFonts w:asciiTheme="minorEastAsia" w:hAnsiTheme="minorEastAsia" w:cstheme="minorEastAsia"/>
          <w:b w:val="0"/>
          <w:bCs/>
          <w:color w:val="auto"/>
          <w:sz w:val="24"/>
          <w:szCs w:val="24"/>
          <w:highlight w:val="none"/>
        </w:rPr>
      </w:pPr>
      <w:bookmarkStart w:id="205" w:name="_Toc12636"/>
      <w:bookmarkStart w:id="206" w:name="_Toc16196"/>
      <w:r>
        <w:rPr>
          <w:rFonts w:hint="eastAsia" w:asciiTheme="minorEastAsia" w:hAnsiTheme="minorEastAsia" w:cstheme="minorEastAsia"/>
          <w:b w:val="0"/>
          <w:bCs/>
          <w:color w:val="auto"/>
          <w:sz w:val="24"/>
          <w:szCs w:val="24"/>
          <w:highlight w:val="none"/>
        </w:rPr>
        <w:t>例如:某工程招标代理务成交金额为200万元，计算招标代理服务收费额如下:</w:t>
      </w:r>
      <w:bookmarkEnd w:id="205"/>
      <w:bookmarkEnd w:id="206"/>
    </w:p>
    <w:p w14:paraId="6608FDFF">
      <w:pPr>
        <w:pStyle w:val="3"/>
        <w:spacing w:line="360" w:lineRule="auto"/>
        <w:rPr>
          <w:rFonts w:asciiTheme="minorEastAsia" w:hAnsiTheme="minorEastAsia" w:cstheme="minorEastAsia"/>
          <w:b w:val="0"/>
          <w:bCs/>
          <w:color w:val="auto"/>
          <w:sz w:val="24"/>
          <w:szCs w:val="24"/>
          <w:highlight w:val="none"/>
        </w:rPr>
      </w:pPr>
      <w:bookmarkStart w:id="207" w:name="_Toc9624"/>
      <w:bookmarkStart w:id="208" w:name="_Toc22350"/>
      <w:r>
        <w:rPr>
          <w:rFonts w:hint="eastAsia" w:asciiTheme="minorEastAsia" w:hAnsiTheme="minorEastAsia" w:cstheme="minorEastAsia"/>
          <w:b w:val="0"/>
          <w:bCs/>
          <w:color w:val="auto"/>
          <w:sz w:val="24"/>
          <w:szCs w:val="24"/>
          <w:highlight w:val="none"/>
        </w:rPr>
        <w:t>100万元x1.0%=1万元</w:t>
      </w:r>
      <w:bookmarkEnd w:id="207"/>
      <w:bookmarkEnd w:id="208"/>
    </w:p>
    <w:p w14:paraId="590FB40C">
      <w:pPr>
        <w:pStyle w:val="3"/>
        <w:spacing w:line="360" w:lineRule="auto"/>
        <w:rPr>
          <w:rFonts w:hint="eastAsia" w:asciiTheme="minorEastAsia" w:hAnsiTheme="minorEastAsia" w:cstheme="minorEastAsia"/>
          <w:b w:val="0"/>
          <w:bCs/>
          <w:color w:val="auto"/>
          <w:sz w:val="24"/>
          <w:szCs w:val="24"/>
          <w:highlight w:val="none"/>
        </w:rPr>
      </w:pPr>
      <w:bookmarkStart w:id="209" w:name="_Toc14495"/>
      <w:bookmarkStart w:id="210" w:name="_Toc12750"/>
      <w:r>
        <w:rPr>
          <w:rFonts w:hint="eastAsia" w:asciiTheme="minorEastAsia" w:hAnsiTheme="minorEastAsia" w:cstheme="minorEastAsia"/>
          <w:b w:val="0"/>
          <w:bCs/>
          <w:color w:val="auto"/>
          <w:sz w:val="24"/>
          <w:szCs w:val="24"/>
          <w:highlight w:val="none"/>
        </w:rPr>
        <w:t>(200-100)万元x0.7%=0.7万元   合计收费=1+0.7=1.7(万元)</w:t>
      </w:r>
      <w:bookmarkEnd w:id="209"/>
      <w:bookmarkEnd w:id="210"/>
    </w:p>
    <w:p w14:paraId="53D34F01">
      <w:pPr>
        <w:keepNext w:val="0"/>
        <w:keepLines w:val="0"/>
        <w:pageBreakBefore w:val="0"/>
        <w:widowControl/>
        <w:kinsoku/>
        <w:wordWrap/>
        <w:overflowPunct/>
        <w:topLinePunct w:val="0"/>
        <w:autoSpaceDE/>
        <w:autoSpaceDN/>
        <w:bidi w:val="0"/>
        <w:adjustRightInd/>
        <w:snapToGrid/>
        <w:spacing w:line="400" w:lineRule="exact"/>
        <w:ind w:left="0" w:firstLine="482" w:firstLineChars="200"/>
        <w:textAlignment w:val="auto"/>
        <w:rPr>
          <w:rFonts w:hint="eastAsia" w:asciiTheme="minorEastAsia" w:hAnsiTheme="minorEastAsia" w:eastAsiaTheme="minorEastAsia" w:cstheme="minorEastAsia"/>
          <w:b/>
          <w:bCs w:val="0"/>
          <w:color w:val="auto"/>
          <w:spacing w:val="0"/>
          <w:kern w:val="0"/>
          <w:sz w:val="24"/>
          <w:szCs w:val="24"/>
          <w:highlight w:val="none"/>
          <w:lang w:val="en-US" w:eastAsia="zh-CN" w:bidi="ar-SA"/>
        </w:rPr>
      </w:pPr>
      <w:r>
        <w:rPr>
          <w:rFonts w:hint="eastAsia" w:asciiTheme="minorEastAsia" w:hAnsiTheme="minorEastAsia" w:eastAsiaTheme="minorEastAsia" w:cstheme="minorEastAsia"/>
          <w:b/>
          <w:bCs w:val="0"/>
          <w:color w:val="auto"/>
          <w:spacing w:val="0"/>
          <w:kern w:val="0"/>
          <w:sz w:val="24"/>
          <w:szCs w:val="24"/>
          <w:highlight w:val="none"/>
          <w:lang w:val="en-US" w:eastAsia="zh-CN" w:bidi="ar-SA"/>
        </w:rPr>
        <w:t>30</w:t>
      </w:r>
      <w:r>
        <w:rPr>
          <w:rFonts w:hint="eastAsia" w:asciiTheme="minorEastAsia" w:hAnsiTheme="minorEastAsia" w:cstheme="minorEastAsia"/>
          <w:b/>
          <w:bCs w:val="0"/>
          <w:color w:val="auto"/>
          <w:spacing w:val="0"/>
          <w:kern w:val="0"/>
          <w:sz w:val="24"/>
          <w:szCs w:val="24"/>
          <w:highlight w:val="none"/>
          <w:lang w:val="en-US" w:eastAsia="zh-CN" w:bidi="ar-SA"/>
        </w:rPr>
        <w:t>.</w:t>
      </w:r>
      <w:r>
        <w:rPr>
          <w:rFonts w:hint="eastAsia" w:asciiTheme="minorEastAsia" w:hAnsiTheme="minorEastAsia" w:eastAsiaTheme="minorEastAsia" w:cstheme="minorEastAsia"/>
          <w:b/>
          <w:bCs w:val="0"/>
          <w:color w:val="auto"/>
          <w:spacing w:val="0"/>
          <w:kern w:val="0"/>
          <w:sz w:val="24"/>
          <w:szCs w:val="24"/>
          <w:highlight w:val="none"/>
          <w:lang w:val="en-US" w:eastAsia="zh-CN" w:bidi="ar-SA"/>
        </w:rPr>
        <w:t>响应文件有下列情况之一者将视为磋商无效：</w:t>
      </w:r>
    </w:p>
    <w:p w14:paraId="6847BF1D">
      <w:pPr>
        <w:keepNext w:val="0"/>
        <w:keepLines w:val="0"/>
        <w:pageBreakBefore w:val="0"/>
        <w:widowControl/>
        <w:kinsoku/>
        <w:wordWrap/>
        <w:overflowPunct/>
        <w:topLinePunct w:val="0"/>
        <w:autoSpaceDE/>
        <w:autoSpaceDN/>
        <w:bidi w:val="0"/>
        <w:adjustRightInd/>
        <w:snapToGrid/>
        <w:spacing w:line="400" w:lineRule="exact"/>
        <w:ind w:left="0" w:firstLine="430" w:firstLineChars="200"/>
        <w:textAlignment w:val="auto"/>
        <w:rPr>
          <w:rFonts w:hint="eastAsia" w:ascii="宋体" w:hAnsi="宋体" w:cs="Courier New"/>
          <w:b/>
          <w:color w:val="auto"/>
          <w:spacing w:val="2"/>
          <w:highlight w:val="none"/>
        </w:rPr>
      </w:pPr>
      <w:r>
        <w:rPr>
          <w:rFonts w:hint="eastAsia" w:ascii="宋体" w:hAnsi="宋体" w:cs="Courier New"/>
          <w:b/>
          <w:color w:val="auto"/>
          <w:spacing w:val="2"/>
          <w:highlight w:val="none"/>
        </w:rPr>
        <w:t>（1）无磋商函；</w:t>
      </w:r>
    </w:p>
    <w:p w14:paraId="6B2C0489">
      <w:pPr>
        <w:keepNext w:val="0"/>
        <w:keepLines w:val="0"/>
        <w:pageBreakBefore w:val="0"/>
        <w:widowControl/>
        <w:kinsoku/>
        <w:wordWrap/>
        <w:overflowPunct/>
        <w:topLinePunct w:val="0"/>
        <w:autoSpaceDE/>
        <w:autoSpaceDN/>
        <w:bidi w:val="0"/>
        <w:adjustRightInd/>
        <w:snapToGrid/>
        <w:spacing w:line="400" w:lineRule="exact"/>
        <w:ind w:left="0" w:firstLine="430" w:firstLineChars="200"/>
        <w:textAlignment w:val="auto"/>
        <w:rPr>
          <w:rFonts w:hint="eastAsia" w:ascii="宋体" w:hAnsi="宋体" w:cs="Courier New"/>
          <w:b/>
          <w:color w:val="auto"/>
          <w:spacing w:val="2"/>
          <w:highlight w:val="none"/>
        </w:rPr>
      </w:pPr>
      <w:r>
        <w:rPr>
          <w:rFonts w:hint="eastAsia" w:ascii="宋体" w:hAnsi="宋体" w:cs="Courier New"/>
          <w:b/>
          <w:color w:val="auto"/>
          <w:spacing w:val="2"/>
          <w:highlight w:val="none"/>
        </w:rPr>
        <w:t>（2）无磋商函附录；</w:t>
      </w:r>
    </w:p>
    <w:p w14:paraId="56EF3594">
      <w:pPr>
        <w:keepNext w:val="0"/>
        <w:keepLines w:val="0"/>
        <w:pageBreakBefore w:val="0"/>
        <w:widowControl/>
        <w:kinsoku/>
        <w:wordWrap/>
        <w:overflowPunct/>
        <w:topLinePunct w:val="0"/>
        <w:autoSpaceDE/>
        <w:autoSpaceDN/>
        <w:bidi w:val="0"/>
        <w:adjustRightInd/>
        <w:snapToGrid/>
        <w:spacing w:line="400" w:lineRule="exact"/>
        <w:ind w:left="0" w:firstLine="430" w:firstLineChars="200"/>
        <w:textAlignment w:val="auto"/>
        <w:rPr>
          <w:rFonts w:hint="eastAsia" w:ascii="宋体" w:hAnsi="宋体" w:cs="Courier New"/>
          <w:b/>
          <w:color w:val="auto"/>
          <w:spacing w:val="2"/>
          <w:highlight w:val="none"/>
        </w:rPr>
      </w:pPr>
      <w:r>
        <w:rPr>
          <w:rFonts w:hint="eastAsia" w:ascii="宋体" w:hAnsi="宋体" w:cs="Courier New"/>
          <w:b/>
          <w:color w:val="auto"/>
          <w:spacing w:val="2"/>
          <w:highlight w:val="none"/>
        </w:rPr>
        <w:t>（3）无企业营业执照副本（反映年检情况）；</w:t>
      </w:r>
    </w:p>
    <w:p w14:paraId="67B503B9">
      <w:pPr>
        <w:keepNext w:val="0"/>
        <w:keepLines w:val="0"/>
        <w:pageBreakBefore w:val="0"/>
        <w:widowControl/>
        <w:kinsoku/>
        <w:wordWrap/>
        <w:overflowPunct/>
        <w:topLinePunct w:val="0"/>
        <w:autoSpaceDE/>
        <w:autoSpaceDN/>
        <w:bidi w:val="0"/>
        <w:adjustRightInd/>
        <w:snapToGrid/>
        <w:spacing w:line="400" w:lineRule="exact"/>
        <w:ind w:left="0" w:firstLine="430" w:firstLineChars="200"/>
        <w:textAlignment w:val="auto"/>
        <w:rPr>
          <w:rFonts w:hint="eastAsia" w:ascii="宋体" w:hAnsi="宋体" w:cs="Courier New"/>
          <w:b/>
          <w:color w:val="auto"/>
          <w:spacing w:val="2"/>
          <w:highlight w:val="none"/>
        </w:rPr>
      </w:pPr>
      <w:r>
        <w:rPr>
          <w:rFonts w:hint="eastAsia" w:ascii="宋体" w:hAnsi="宋体" w:cs="Courier New"/>
          <w:b/>
          <w:color w:val="auto"/>
          <w:spacing w:val="2"/>
          <w:highlight w:val="none"/>
        </w:rPr>
        <w:t>（</w:t>
      </w:r>
      <w:r>
        <w:rPr>
          <w:rFonts w:hint="eastAsia" w:ascii="宋体" w:hAnsi="宋体" w:cs="Courier New"/>
          <w:b/>
          <w:color w:val="auto"/>
          <w:spacing w:val="2"/>
          <w:highlight w:val="none"/>
          <w:lang w:val="en-US" w:eastAsia="zh-CN"/>
        </w:rPr>
        <w:t>5</w:t>
      </w:r>
      <w:r>
        <w:rPr>
          <w:rFonts w:hint="eastAsia" w:ascii="宋体" w:hAnsi="宋体" w:cs="Courier New"/>
          <w:b/>
          <w:color w:val="auto"/>
          <w:spacing w:val="2"/>
          <w:highlight w:val="none"/>
        </w:rPr>
        <w:t>）无法定代表人资格证明书（附法定代表人身份证的复印件）；</w:t>
      </w:r>
    </w:p>
    <w:p w14:paraId="5AF001CF">
      <w:pPr>
        <w:keepNext w:val="0"/>
        <w:keepLines w:val="0"/>
        <w:pageBreakBefore w:val="0"/>
        <w:widowControl/>
        <w:kinsoku/>
        <w:wordWrap/>
        <w:overflowPunct/>
        <w:topLinePunct w:val="0"/>
        <w:autoSpaceDE/>
        <w:autoSpaceDN/>
        <w:bidi w:val="0"/>
        <w:adjustRightInd/>
        <w:snapToGrid/>
        <w:spacing w:line="400" w:lineRule="exact"/>
        <w:ind w:left="0" w:firstLine="430" w:firstLineChars="200"/>
        <w:textAlignment w:val="auto"/>
        <w:rPr>
          <w:rFonts w:hint="eastAsia" w:ascii="宋体" w:hAnsi="宋体" w:cs="Courier New"/>
          <w:b/>
          <w:color w:val="auto"/>
          <w:spacing w:val="2"/>
          <w:highlight w:val="none"/>
        </w:rPr>
      </w:pPr>
      <w:r>
        <w:rPr>
          <w:rFonts w:hint="eastAsia" w:ascii="宋体" w:hAnsi="宋体" w:cs="Courier New"/>
          <w:b/>
          <w:color w:val="auto"/>
          <w:spacing w:val="2"/>
          <w:highlight w:val="none"/>
        </w:rPr>
        <w:t>（</w:t>
      </w:r>
      <w:r>
        <w:rPr>
          <w:rFonts w:hint="eastAsia" w:ascii="宋体" w:hAnsi="宋体" w:cs="Courier New"/>
          <w:b/>
          <w:color w:val="auto"/>
          <w:spacing w:val="2"/>
          <w:highlight w:val="none"/>
          <w:lang w:val="en-US" w:eastAsia="zh-CN"/>
        </w:rPr>
        <w:t>6</w:t>
      </w:r>
      <w:r>
        <w:rPr>
          <w:rFonts w:hint="eastAsia" w:ascii="宋体" w:hAnsi="宋体" w:cs="Courier New"/>
          <w:b/>
          <w:color w:val="auto"/>
          <w:spacing w:val="2"/>
          <w:highlight w:val="none"/>
        </w:rPr>
        <w:t>）无法人授权委托书原件或委托代理人身份证复印件（委托代理时必须提供，否则磋商无效）；</w:t>
      </w:r>
    </w:p>
    <w:p w14:paraId="4AF04363">
      <w:pPr>
        <w:keepNext w:val="0"/>
        <w:keepLines w:val="0"/>
        <w:pageBreakBefore w:val="0"/>
        <w:widowControl/>
        <w:kinsoku/>
        <w:wordWrap/>
        <w:overflowPunct/>
        <w:topLinePunct w:val="0"/>
        <w:autoSpaceDE/>
        <w:autoSpaceDN/>
        <w:bidi w:val="0"/>
        <w:adjustRightInd/>
        <w:snapToGrid/>
        <w:spacing w:line="400" w:lineRule="exact"/>
        <w:ind w:left="0" w:firstLine="430" w:firstLineChars="200"/>
        <w:textAlignment w:val="auto"/>
        <w:rPr>
          <w:rFonts w:hint="eastAsia" w:ascii="宋体" w:hAnsi="宋体" w:cs="Courier New"/>
          <w:b/>
          <w:color w:val="auto"/>
          <w:spacing w:val="2"/>
          <w:highlight w:val="none"/>
        </w:rPr>
      </w:pPr>
      <w:r>
        <w:rPr>
          <w:rFonts w:hint="eastAsia" w:ascii="宋体" w:hAnsi="宋体" w:cs="Courier New"/>
          <w:b/>
          <w:color w:val="auto"/>
          <w:spacing w:val="2"/>
          <w:highlight w:val="none"/>
        </w:rPr>
        <w:t>（</w:t>
      </w:r>
      <w:r>
        <w:rPr>
          <w:rFonts w:hint="eastAsia" w:ascii="宋体" w:hAnsi="宋体" w:cs="Courier New"/>
          <w:b/>
          <w:color w:val="auto"/>
          <w:spacing w:val="2"/>
          <w:highlight w:val="none"/>
          <w:lang w:val="en-US" w:eastAsia="zh-CN"/>
        </w:rPr>
        <w:t>7</w:t>
      </w:r>
      <w:r>
        <w:rPr>
          <w:rFonts w:hint="eastAsia" w:ascii="宋体" w:hAnsi="宋体" w:cs="Courier New"/>
          <w:b/>
          <w:color w:val="auto"/>
          <w:spacing w:val="2"/>
          <w:highlight w:val="none"/>
        </w:rPr>
        <w:t>）工程量清单报价不齐全；</w:t>
      </w:r>
    </w:p>
    <w:p w14:paraId="5C2F07F3">
      <w:pPr>
        <w:keepNext w:val="0"/>
        <w:keepLines w:val="0"/>
        <w:pageBreakBefore w:val="0"/>
        <w:widowControl/>
        <w:kinsoku/>
        <w:wordWrap/>
        <w:overflowPunct/>
        <w:topLinePunct w:val="0"/>
        <w:autoSpaceDE/>
        <w:autoSpaceDN/>
        <w:bidi w:val="0"/>
        <w:adjustRightInd/>
        <w:snapToGrid/>
        <w:spacing w:line="400" w:lineRule="exact"/>
        <w:ind w:left="0" w:firstLine="430" w:firstLineChars="200"/>
        <w:textAlignment w:val="auto"/>
        <w:rPr>
          <w:rFonts w:hint="eastAsia" w:ascii="宋体" w:hAnsi="宋体" w:cs="Courier New"/>
          <w:b/>
          <w:color w:val="auto"/>
          <w:spacing w:val="2"/>
          <w:highlight w:val="none"/>
        </w:rPr>
      </w:pPr>
      <w:r>
        <w:rPr>
          <w:rFonts w:hint="eastAsia" w:ascii="宋体" w:hAnsi="宋体" w:cs="Courier New"/>
          <w:b/>
          <w:color w:val="auto"/>
          <w:spacing w:val="2"/>
          <w:highlight w:val="none"/>
        </w:rPr>
        <w:t>（</w:t>
      </w:r>
      <w:r>
        <w:rPr>
          <w:rFonts w:hint="eastAsia" w:ascii="宋体" w:hAnsi="宋体" w:cs="Courier New"/>
          <w:b/>
          <w:color w:val="auto"/>
          <w:spacing w:val="2"/>
          <w:highlight w:val="none"/>
          <w:lang w:val="en-US" w:eastAsia="zh-CN"/>
        </w:rPr>
        <w:t>8</w:t>
      </w:r>
      <w:r>
        <w:rPr>
          <w:rFonts w:hint="eastAsia" w:ascii="宋体" w:hAnsi="宋体" w:cs="Courier New"/>
          <w:b/>
          <w:color w:val="auto"/>
          <w:spacing w:val="2"/>
          <w:highlight w:val="none"/>
        </w:rPr>
        <w:t>）磋商供应商资质不满足前附表第1.3款要求；</w:t>
      </w:r>
    </w:p>
    <w:p w14:paraId="6DD647B6">
      <w:pPr>
        <w:keepNext w:val="0"/>
        <w:keepLines w:val="0"/>
        <w:pageBreakBefore w:val="0"/>
        <w:widowControl/>
        <w:kinsoku/>
        <w:wordWrap/>
        <w:overflowPunct/>
        <w:topLinePunct w:val="0"/>
        <w:autoSpaceDE/>
        <w:autoSpaceDN/>
        <w:bidi w:val="0"/>
        <w:adjustRightInd/>
        <w:snapToGrid/>
        <w:spacing w:line="400" w:lineRule="exact"/>
        <w:ind w:left="0" w:firstLine="430" w:firstLineChars="200"/>
        <w:textAlignment w:val="auto"/>
        <w:rPr>
          <w:rFonts w:hint="eastAsia" w:ascii="宋体" w:hAnsi="宋体" w:cs="Courier New"/>
          <w:b/>
          <w:color w:val="auto"/>
          <w:spacing w:val="2"/>
          <w:highlight w:val="none"/>
        </w:rPr>
      </w:pPr>
      <w:r>
        <w:rPr>
          <w:rFonts w:hint="eastAsia" w:ascii="宋体" w:hAnsi="宋体" w:cs="Courier New"/>
          <w:b/>
          <w:color w:val="auto"/>
          <w:spacing w:val="2"/>
          <w:highlight w:val="none"/>
        </w:rPr>
        <w:t>（</w:t>
      </w:r>
      <w:r>
        <w:rPr>
          <w:rFonts w:hint="eastAsia" w:ascii="宋体" w:hAnsi="宋体" w:cs="Courier New"/>
          <w:b/>
          <w:color w:val="auto"/>
          <w:spacing w:val="2"/>
          <w:highlight w:val="none"/>
          <w:lang w:val="en-US" w:eastAsia="zh-CN"/>
        </w:rPr>
        <w:t>9</w:t>
      </w:r>
      <w:r>
        <w:rPr>
          <w:rFonts w:hint="eastAsia" w:ascii="宋体" w:hAnsi="宋体" w:cs="Courier New"/>
          <w:b/>
          <w:color w:val="auto"/>
          <w:spacing w:val="2"/>
          <w:highlight w:val="none"/>
        </w:rPr>
        <w:t>）竞争性磋商响应文件未按规定密封；</w:t>
      </w:r>
    </w:p>
    <w:p w14:paraId="34402237">
      <w:pPr>
        <w:keepNext w:val="0"/>
        <w:keepLines w:val="0"/>
        <w:pageBreakBefore w:val="0"/>
        <w:widowControl/>
        <w:kinsoku/>
        <w:wordWrap/>
        <w:overflowPunct/>
        <w:topLinePunct w:val="0"/>
        <w:autoSpaceDE/>
        <w:autoSpaceDN/>
        <w:bidi w:val="0"/>
        <w:adjustRightInd/>
        <w:snapToGrid/>
        <w:spacing w:line="400" w:lineRule="exact"/>
        <w:ind w:left="0" w:firstLine="430" w:firstLineChars="200"/>
        <w:textAlignment w:val="auto"/>
        <w:rPr>
          <w:rFonts w:hint="eastAsia" w:ascii="宋体" w:hAnsi="宋体" w:cs="Courier New"/>
          <w:b/>
          <w:color w:val="auto"/>
          <w:spacing w:val="2"/>
          <w:highlight w:val="none"/>
        </w:rPr>
      </w:pPr>
      <w:r>
        <w:rPr>
          <w:rFonts w:hint="eastAsia" w:ascii="宋体" w:hAnsi="宋体" w:cs="Courier New"/>
          <w:b/>
          <w:color w:val="auto"/>
          <w:spacing w:val="2"/>
          <w:highlight w:val="none"/>
        </w:rPr>
        <w:t>（</w:t>
      </w:r>
      <w:r>
        <w:rPr>
          <w:rFonts w:hint="eastAsia" w:ascii="宋体" w:hAnsi="宋体" w:cs="Courier New"/>
          <w:b/>
          <w:color w:val="auto"/>
          <w:spacing w:val="2"/>
          <w:highlight w:val="none"/>
          <w:lang w:val="en-US" w:eastAsia="zh-CN"/>
        </w:rPr>
        <w:t>10</w:t>
      </w:r>
      <w:r>
        <w:rPr>
          <w:rFonts w:hint="eastAsia" w:ascii="宋体" w:hAnsi="宋体" w:cs="Courier New"/>
          <w:b/>
          <w:color w:val="auto"/>
          <w:spacing w:val="2"/>
          <w:highlight w:val="none"/>
        </w:rPr>
        <w:t>）磋商供应商法定代表人或其委托代理人未按规定签字；</w:t>
      </w:r>
    </w:p>
    <w:p w14:paraId="60005500">
      <w:pPr>
        <w:keepNext w:val="0"/>
        <w:keepLines w:val="0"/>
        <w:pageBreakBefore w:val="0"/>
        <w:widowControl/>
        <w:kinsoku/>
        <w:wordWrap/>
        <w:overflowPunct/>
        <w:topLinePunct w:val="0"/>
        <w:autoSpaceDE/>
        <w:autoSpaceDN/>
        <w:bidi w:val="0"/>
        <w:adjustRightInd/>
        <w:snapToGrid/>
        <w:spacing w:line="400" w:lineRule="exact"/>
        <w:ind w:left="0" w:firstLine="430" w:firstLineChars="200"/>
        <w:textAlignment w:val="auto"/>
        <w:rPr>
          <w:rFonts w:hint="eastAsia" w:ascii="宋体" w:hAnsi="宋体" w:cs="Courier New"/>
          <w:b/>
          <w:color w:val="auto"/>
          <w:spacing w:val="2"/>
          <w:highlight w:val="none"/>
        </w:rPr>
      </w:pPr>
      <w:r>
        <w:rPr>
          <w:rFonts w:hint="eastAsia" w:ascii="宋体" w:hAnsi="宋体" w:cs="Courier New"/>
          <w:b/>
          <w:color w:val="auto"/>
          <w:spacing w:val="2"/>
          <w:highlight w:val="none"/>
        </w:rPr>
        <w:t>（1</w:t>
      </w:r>
      <w:r>
        <w:rPr>
          <w:rFonts w:hint="eastAsia" w:ascii="宋体" w:hAnsi="宋体" w:cs="Courier New"/>
          <w:b/>
          <w:color w:val="auto"/>
          <w:spacing w:val="2"/>
          <w:highlight w:val="none"/>
          <w:lang w:val="en-US" w:eastAsia="zh-CN"/>
        </w:rPr>
        <w:t>1</w:t>
      </w:r>
      <w:r>
        <w:rPr>
          <w:rFonts w:hint="eastAsia" w:ascii="宋体" w:hAnsi="宋体" w:cs="Courier New"/>
          <w:b/>
          <w:color w:val="auto"/>
          <w:spacing w:val="2"/>
          <w:highlight w:val="none"/>
        </w:rPr>
        <w:t>）磋商供应商未按规定加盖单位公章；</w:t>
      </w:r>
    </w:p>
    <w:p w14:paraId="39329F69">
      <w:pPr>
        <w:keepNext w:val="0"/>
        <w:keepLines w:val="0"/>
        <w:pageBreakBefore w:val="0"/>
        <w:widowControl/>
        <w:kinsoku/>
        <w:wordWrap/>
        <w:overflowPunct/>
        <w:topLinePunct w:val="0"/>
        <w:autoSpaceDE/>
        <w:autoSpaceDN/>
        <w:bidi w:val="0"/>
        <w:adjustRightInd/>
        <w:snapToGrid/>
        <w:spacing w:line="400" w:lineRule="exact"/>
        <w:ind w:left="0" w:firstLine="430" w:firstLineChars="200"/>
        <w:textAlignment w:val="auto"/>
        <w:rPr>
          <w:rFonts w:hint="eastAsia" w:ascii="宋体" w:hAnsi="宋体" w:cs="Courier New"/>
          <w:b/>
          <w:color w:val="auto"/>
          <w:spacing w:val="2"/>
          <w:highlight w:val="none"/>
        </w:rPr>
      </w:pPr>
      <w:r>
        <w:rPr>
          <w:rFonts w:hint="eastAsia" w:ascii="宋体" w:hAnsi="宋体" w:cs="Courier New"/>
          <w:b/>
          <w:color w:val="auto"/>
          <w:spacing w:val="2"/>
          <w:highlight w:val="none"/>
        </w:rPr>
        <w:t>（1</w:t>
      </w:r>
      <w:r>
        <w:rPr>
          <w:rFonts w:hint="eastAsia" w:ascii="宋体" w:hAnsi="宋体" w:cs="Courier New"/>
          <w:b/>
          <w:color w:val="auto"/>
          <w:spacing w:val="2"/>
          <w:highlight w:val="none"/>
          <w:lang w:val="en-US" w:eastAsia="zh-CN"/>
        </w:rPr>
        <w:t>2</w:t>
      </w:r>
      <w:r>
        <w:rPr>
          <w:rFonts w:hint="eastAsia" w:ascii="宋体" w:hAnsi="宋体" w:cs="Courier New"/>
          <w:b/>
          <w:color w:val="auto"/>
          <w:spacing w:val="2"/>
          <w:highlight w:val="none"/>
        </w:rPr>
        <w:t>）未按规定的格式填写或者字迹模糊、辨认不清；</w:t>
      </w:r>
    </w:p>
    <w:p w14:paraId="1B5A98A8">
      <w:pPr>
        <w:keepNext w:val="0"/>
        <w:keepLines w:val="0"/>
        <w:pageBreakBefore w:val="0"/>
        <w:widowControl/>
        <w:kinsoku/>
        <w:wordWrap/>
        <w:overflowPunct/>
        <w:topLinePunct w:val="0"/>
        <w:autoSpaceDE/>
        <w:autoSpaceDN/>
        <w:bidi w:val="0"/>
        <w:adjustRightInd/>
        <w:snapToGrid/>
        <w:spacing w:line="400" w:lineRule="exact"/>
        <w:ind w:left="0" w:firstLine="430" w:firstLineChars="200"/>
        <w:textAlignment w:val="auto"/>
        <w:rPr>
          <w:rFonts w:hint="eastAsia" w:ascii="宋体" w:hAnsi="宋体" w:cs="Courier New"/>
          <w:b/>
          <w:color w:val="auto"/>
          <w:spacing w:val="2"/>
          <w:highlight w:val="none"/>
        </w:rPr>
      </w:pPr>
      <w:r>
        <w:rPr>
          <w:rFonts w:hint="eastAsia" w:ascii="宋体" w:hAnsi="宋体" w:cs="Courier New"/>
          <w:b/>
          <w:color w:val="auto"/>
          <w:spacing w:val="2"/>
          <w:highlight w:val="none"/>
        </w:rPr>
        <w:t>（1</w:t>
      </w:r>
      <w:r>
        <w:rPr>
          <w:rFonts w:hint="eastAsia" w:ascii="宋体" w:hAnsi="宋体" w:cs="Courier New"/>
          <w:b/>
          <w:color w:val="auto"/>
          <w:spacing w:val="2"/>
          <w:highlight w:val="none"/>
          <w:lang w:val="en-US" w:eastAsia="zh-CN"/>
        </w:rPr>
        <w:t>3</w:t>
      </w:r>
      <w:r>
        <w:rPr>
          <w:rFonts w:hint="eastAsia" w:ascii="宋体" w:hAnsi="宋体" w:cs="Courier New"/>
          <w:b/>
          <w:color w:val="auto"/>
          <w:spacing w:val="2"/>
          <w:highlight w:val="none"/>
        </w:rPr>
        <w:t>）竞争性磋商响应文件份数不符合采购文件要求或不标明正、副本的；</w:t>
      </w:r>
    </w:p>
    <w:p w14:paraId="02A7A9FA">
      <w:pPr>
        <w:keepNext w:val="0"/>
        <w:keepLines w:val="0"/>
        <w:pageBreakBefore w:val="0"/>
        <w:widowControl/>
        <w:kinsoku/>
        <w:wordWrap/>
        <w:overflowPunct/>
        <w:topLinePunct w:val="0"/>
        <w:autoSpaceDE/>
        <w:autoSpaceDN/>
        <w:bidi w:val="0"/>
        <w:adjustRightInd/>
        <w:snapToGrid/>
        <w:spacing w:line="400" w:lineRule="exact"/>
        <w:ind w:left="0" w:firstLine="430" w:firstLineChars="200"/>
        <w:textAlignment w:val="auto"/>
        <w:rPr>
          <w:rFonts w:hint="eastAsia" w:ascii="宋体" w:hAnsi="宋体" w:cs="Courier New"/>
          <w:b/>
          <w:color w:val="auto"/>
          <w:spacing w:val="2"/>
          <w:highlight w:val="none"/>
        </w:rPr>
      </w:pPr>
      <w:r>
        <w:rPr>
          <w:rFonts w:hint="eastAsia" w:ascii="宋体" w:hAnsi="宋体" w:cs="Courier New"/>
          <w:b/>
          <w:color w:val="auto"/>
          <w:spacing w:val="2"/>
          <w:highlight w:val="none"/>
        </w:rPr>
        <w:t>（1</w:t>
      </w:r>
      <w:r>
        <w:rPr>
          <w:rFonts w:hint="eastAsia" w:ascii="宋体" w:hAnsi="宋体" w:cs="Courier New"/>
          <w:b/>
          <w:color w:val="auto"/>
          <w:spacing w:val="2"/>
          <w:highlight w:val="none"/>
          <w:lang w:val="en-US" w:eastAsia="zh-CN"/>
        </w:rPr>
        <w:t>4</w:t>
      </w:r>
      <w:r>
        <w:rPr>
          <w:rFonts w:hint="eastAsia" w:ascii="宋体" w:hAnsi="宋体" w:cs="Courier New"/>
          <w:b/>
          <w:color w:val="auto"/>
          <w:spacing w:val="2"/>
          <w:highlight w:val="none"/>
        </w:rPr>
        <w:t>）截标时间以后送达的竞争性磋商响应文件；</w:t>
      </w:r>
    </w:p>
    <w:p w14:paraId="19B516D1">
      <w:pPr>
        <w:keepNext w:val="0"/>
        <w:keepLines w:val="0"/>
        <w:pageBreakBefore w:val="0"/>
        <w:widowControl/>
        <w:kinsoku/>
        <w:wordWrap/>
        <w:overflowPunct/>
        <w:topLinePunct w:val="0"/>
        <w:autoSpaceDE/>
        <w:autoSpaceDN/>
        <w:bidi w:val="0"/>
        <w:adjustRightInd/>
        <w:snapToGrid/>
        <w:spacing w:line="400" w:lineRule="exact"/>
        <w:ind w:left="0" w:firstLine="430" w:firstLineChars="200"/>
        <w:textAlignment w:val="auto"/>
        <w:rPr>
          <w:rFonts w:hint="eastAsia" w:ascii="宋体" w:hAnsi="宋体" w:cs="Courier New"/>
          <w:b/>
          <w:color w:val="auto"/>
          <w:spacing w:val="2"/>
          <w:highlight w:val="none"/>
        </w:rPr>
      </w:pPr>
      <w:r>
        <w:rPr>
          <w:rFonts w:hint="eastAsia" w:ascii="宋体" w:hAnsi="宋体" w:cs="Courier New"/>
          <w:b/>
          <w:color w:val="auto"/>
          <w:spacing w:val="2"/>
          <w:highlight w:val="none"/>
        </w:rPr>
        <w:t>（1</w:t>
      </w:r>
      <w:r>
        <w:rPr>
          <w:rFonts w:hint="eastAsia" w:ascii="宋体" w:hAnsi="宋体" w:cs="Courier New"/>
          <w:b/>
          <w:color w:val="auto"/>
          <w:spacing w:val="2"/>
          <w:highlight w:val="none"/>
          <w:lang w:val="en-US" w:eastAsia="zh-CN"/>
        </w:rPr>
        <w:t>5</w:t>
      </w:r>
      <w:r>
        <w:rPr>
          <w:rFonts w:hint="eastAsia" w:ascii="宋体" w:hAnsi="宋体" w:cs="Courier New"/>
          <w:b/>
          <w:color w:val="auto"/>
          <w:spacing w:val="2"/>
          <w:highlight w:val="none"/>
        </w:rPr>
        <w:t>）竞争性磋商响应文件内容不真实；</w:t>
      </w:r>
    </w:p>
    <w:p w14:paraId="4BE5FC02">
      <w:pPr>
        <w:keepNext w:val="0"/>
        <w:keepLines w:val="0"/>
        <w:pageBreakBefore w:val="0"/>
        <w:widowControl/>
        <w:kinsoku/>
        <w:wordWrap/>
        <w:overflowPunct/>
        <w:topLinePunct w:val="0"/>
        <w:autoSpaceDE/>
        <w:autoSpaceDN/>
        <w:bidi w:val="0"/>
        <w:adjustRightInd/>
        <w:snapToGrid/>
        <w:spacing w:line="400" w:lineRule="exact"/>
        <w:ind w:left="0" w:firstLine="430" w:firstLineChars="200"/>
        <w:textAlignment w:val="auto"/>
        <w:rPr>
          <w:rFonts w:hint="eastAsia" w:ascii="宋体" w:hAnsi="宋体" w:cs="Courier New"/>
          <w:b/>
          <w:color w:val="auto"/>
          <w:spacing w:val="2"/>
          <w:highlight w:val="none"/>
        </w:rPr>
      </w:pPr>
      <w:r>
        <w:rPr>
          <w:rFonts w:hint="eastAsia" w:ascii="宋体" w:hAnsi="宋体" w:cs="Courier New"/>
          <w:b/>
          <w:color w:val="auto"/>
          <w:spacing w:val="2"/>
          <w:highlight w:val="none"/>
        </w:rPr>
        <w:t>（</w:t>
      </w:r>
      <w:r>
        <w:rPr>
          <w:rFonts w:hint="eastAsia" w:ascii="宋体" w:hAnsi="宋体" w:cs="Courier New"/>
          <w:b/>
          <w:color w:val="auto"/>
          <w:spacing w:val="2"/>
          <w:highlight w:val="none"/>
          <w:lang w:val="en-US" w:eastAsia="zh-CN"/>
        </w:rPr>
        <w:t>16</w:t>
      </w:r>
      <w:r>
        <w:rPr>
          <w:rFonts w:hint="eastAsia" w:ascii="宋体" w:hAnsi="宋体" w:cs="Courier New"/>
          <w:b/>
          <w:color w:val="auto"/>
          <w:spacing w:val="2"/>
          <w:highlight w:val="none"/>
        </w:rPr>
        <w:t>）磋商报价高于工程招标控制价的；</w:t>
      </w:r>
    </w:p>
    <w:p w14:paraId="10C43301">
      <w:pPr>
        <w:keepNext w:val="0"/>
        <w:keepLines w:val="0"/>
        <w:pageBreakBefore w:val="0"/>
        <w:widowControl/>
        <w:kinsoku/>
        <w:wordWrap/>
        <w:overflowPunct/>
        <w:topLinePunct w:val="0"/>
        <w:autoSpaceDE/>
        <w:autoSpaceDN/>
        <w:bidi w:val="0"/>
        <w:adjustRightInd/>
        <w:snapToGrid/>
        <w:spacing w:line="400" w:lineRule="exact"/>
        <w:ind w:left="0" w:firstLine="430" w:firstLineChars="200"/>
        <w:textAlignment w:val="auto"/>
        <w:rPr>
          <w:rFonts w:hint="eastAsia" w:ascii="宋体" w:hAnsi="宋体" w:cs="Courier New"/>
          <w:b/>
          <w:color w:val="auto"/>
          <w:spacing w:val="2"/>
          <w:highlight w:val="none"/>
        </w:rPr>
      </w:pPr>
      <w:r>
        <w:rPr>
          <w:rFonts w:hint="eastAsia" w:ascii="宋体" w:hAnsi="宋体" w:cs="Courier New"/>
          <w:b/>
          <w:color w:val="auto"/>
          <w:spacing w:val="2"/>
          <w:highlight w:val="none"/>
        </w:rPr>
        <w:t>（</w:t>
      </w:r>
      <w:r>
        <w:rPr>
          <w:rFonts w:hint="eastAsia" w:ascii="宋体" w:hAnsi="宋体" w:cs="Courier New"/>
          <w:b/>
          <w:color w:val="auto"/>
          <w:spacing w:val="2"/>
          <w:highlight w:val="none"/>
          <w:lang w:val="en-US" w:eastAsia="zh-CN"/>
        </w:rPr>
        <w:t>17</w:t>
      </w:r>
      <w:r>
        <w:rPr>
          <w:rFonts w:hint="eastAsia" w:ascii="宋体" w:hAnsi="宋体" w:cs="Courier New"/>
          <w:b/>
          <w:color w:val="auto"/>
          <w:spacing w:val="2"/>
          <w:highlight w:val="none"/>
        </w:rPr>
        <w:t>）在“磋商函附录”中,磋商供应商未对采购文件有关工期、磋商有效期、质量要求、技术条款、磋商范围等实质性内容做出响应的；</w:t>
      </w:r>
    </w:p>
    <w:p w14:paraId="01C483FB">
      <w:pPr>
        <w:keepNext w:val="0"/>
        <w:keepLines w:val="0"/>
        <w:pageBreakBefore w:val="0"/>
        <w:widowControl/>
        <w:kinsoku/>
        <w:wordWrap/>
        <w:overflowPunct/>
        <w:topLinePunct w:val="0"/>
        <w:autoSpaceDE/>
        <w:autoSpaceDN/>
        <w:bidi w:val="0"/>
        <w:adjustRightInd/>
        <w:snapToGrid/>
        <w:spacing w:line="400" w:lineRule="exact"/>
        <w:ind w:left="0" w:firstLine="430" w:firstLineChars="200"/>
        <w:textAlignment w:val="auto"/>
        <w:rPr>
          <w:rFonts w:hint="eastAsia" w:ascii="宋体" w:hAnsi="宋体" w:cs="Courier New"/>
          <w:b/>
          <w:color w:val="auto"/>
          <w:spacing w:val="2"/>
          <w:highlight w:val="none"/>
        </w:rPr>
      </w:pPr>
      <w:r>
        <w:rPr>
          <w:rFonts w:hint="eastAsia" w:ascii="宋体" w:hAnsi="宋体" w:cs="Courier New"/>
          <w:b/>
          <w:color w:val="auto"/>
          <w:spacing w:val="2"/>
          <w:highlight w:val="none"/>
        </w:rPr>
        <w:t>（</w:t>
      </w:r>
      <w:r>
        <w:rPr>
          <w:rFonts w:hint="eastAsia" w:ascii="宋体" w:hAnsi="宋体" w:cs="Courier New"/>
          <w:b/>
          <w:color w:val="auto"/>
          <w:spacing w:val="2"/>
          <w:highlight w:val="none"/>
          <w:lang w:val="en-US" w:eastAsia="zh-CN"/>
        </w:rPr>
        <w:t>18</w:t>
      </w:r>
      <w:r>
        <w:rPr>
          <w:rFonts w:hint="eastAsia" w:ascii="宋体" w:hAnsi="宋体" w:cs="Courier New"/>
          <w:b/>
          <w:color w:val="auto"/>
          <w:spacing w:val="2"/>
          <w:highlight w:val="none"/>
        </w:rPr>
        <w:t>）响应文件没有实质响应竞争性磋商文件的。</w:t>
      </w:r>
    </w:p>
    <w:p w14:paraId="48511CBC">
      <w:pPr>
        <w:keepNext w:val="0"/>
        <w:keepLines w:val="0"/>
        <w:pageBreakBefore w:val="0"/>
        <w:widowControl/>
        <w:kinsoku/>
        <w:wordWrap/>
        <w:overflowPunct/>
        <w:topLinePunct w:val="0"/>
        <w:autoSpaceDE/>
        <w:autoSpaceDN/>
        <w:bidi w:val="0"/>
        <w:adjustRightInd/>
        <w:snapToGrid/>
        <w:spacing w:line="400" w:lineRule="exact"/>
        <w:ind w:left="0" w:firstLine="430" w:firstLineChars="200"/>
        <w:textAlignment w:val="auto"/>
        <w:rPr>
          <w:rFonts w:hint="eastAsia" w:ascii="宋体" w:hAnsi="宋体" w:cs="Courier New"/>
          <w:b/>
          <w:color w:val="auto"/>
          <w:spacing w:val="2"/>
          <w:highlight w:val="none"/>
        </w:rPr>
      </w:pPr>
      <w:r>
        <w:rPr>
          <w:rFonts w:hint="eastAsia" w:ascii="宋体" w:hAnsi="宋体" w:cs="Courier New"/>
          <w:b/>
          <w:color w:val="auto"/>
          <w:spacing w:val="2"/>
          <w:highlight w:val="none"/>
          <w:lang w:val="en-US" w:eastAsia="zh-CN"/>
        </w:rPr>
        <w:t xml:space="preserve">30.1 </w:t>
      </w:r>
      <w:r>
        <w:rPr>
          <w:rFonts w:hint="eastAsia" w:ascii="宋体" w:hAnsi="宋体" w:cs="Courier New"/>
          <w:b/>
          <w:color w:val="auto"/>
          <w:spacing w:val="2"/>
          <w:highlight w:val="none"/>
        </w:rPr>
        <w:t>有下列情形之一的视为供应商相互串通投标，竞争性磋商响应文件将被视为无效：</w:t>
      </w:r>
    </w:p>
    <w:p w14:paraId="54AB2077">
      <w:pPr>
        <w:keepNext w:val="0"/>
        <w:keepLines w:val="0"/>
        <w:pageBreakBefore w:val="0"/>
        <w:widowControl/>
        <w:kinsoku/>
        <w:wordWrap/>
        <w:overflowPunct/>
        <w:topLinePunct w:val="0"/>
        <w:autoSpaceDE/>
        <w:autoSpaceDN/>
        <w:bidi w:val="0"/>
        <w:adjustRightInd/>
        <w:snapToGrid/>
        <w:spacing w:line="400" w:lineRule="exact"/>
        <w:ind w:left="0" w:firstLine="430" w:firstLineChars="200"/>
        <w:textAlignment w:val="auto"/>
        <w:rPr>
          <w:rFonts w:ascii="宋体" w:hAnsi="宋体" w:cs="Courier New"/>
          <w:b/>
          <w:color w:val="auto"/>
          <w:spacing w:val="2"/>
          <w:highlight w:val="none"/>
        </w:rPr>
      </w:pPr>
      <w:r>
        <w:rPr>
          <w:rFonts w:hint="eastAsia" w:ascii="宋体" w:hAnsi="宋体" w:cs="Courier New"/>
          <w:b/>
          <w:color w:val="auto"/>
          <w:spacing w:val="2"/>
          <w:highlight w:val="none"/>
        </w:rPr>
        <w:t>（1）不同磋商供应商的竞争性磋商响应文件由同一单位或者个人编制；或不同供应商报名的IP地址一致的;</w:t>
      </w:r>
    </w:p>
    <w:p w14:paraId="43CBD378">
      <w:pPr>
        <w:spacing w:line="400" w:lineRule="exact"/>
        <w:ind w:left="420"/>
        <w:rPr>
          <w:rFonts w:hint="eastAsia" w:ascii="宋体" w:hAnsi="宋体" w:cs="Courier New"/>
          <w:b/>
          <w:color w:val="auto"/>
          <w:spacing w:val="2"/>
          <w:highlight w:val="none"/>
        </w:rPr>
      </w:pPr>
      <w:r>
        <w:rPr>
          <w:rFonts w:hint="eastAsia" w:ascii="宋体" w:hAnsi="宋体" w:cs="Courier New"/>
          <w:b/>
          <w:color w:val="auto"/>
          <w:spacing w:val="2"/>
          <w:highlight w:val="none"/>
        </w:rPr>
        <w:t>（2）不同磋商供应商委托同一单位或者个人办理磋商活动事宜;</w:t>
      </w:r>
    </w:p>
    <w:p w14:paraId="2ADE1797">
      <w:pPr>
        <w:spacing w:line="400" w:lineRule="exact"/>
        <w:ind w:left="420"/>
        <w:rPr>
          <w:rFonts w:hint="eastAsia" w:ascii="宋体" w:hAnsi="宋体" w:cs="Courier New"/>
          <w:b/>
          <w:color w:val="auto"/>
          <w:spacing w:val="2"/>
          <w:highlight w:val="none"/>
        </w:rPr>
      </w:pPr>
      <w:r>
        <w:rPr>
          <w:rFonts w:hint="eastAsia" w:ascii="宋体" w:hAnsi="宋体" w:cs="Courier New"/>
          <w:b/>
          <w:color w:val="auto"/>
          <w:spacing w:val="2"/>
          <w:highlight w:val="none"/>
        </w:rPr>
        <w:t>（3）不同的磋商供应商的竞争性磋商响应文件载明的项目管理员为同一个人;</w:t>
      </w:r>
    </w:p>
    <w:p w14:paraId="58E09A11">
      <w:pPr>
        <w:spacing w:line="400" w:lineRule="exact"/>
        <w:ind w:left="420"/>
        <w:rPr>
          <w:rFonts w:hint="eastAsia" w:ascii="宋体" w:hAnsi="宋体" w:cs="Courier New"/>
          <w:b/>
          <w:color w:val="auto"/>
          <w:spacing w:val="2"/>
          <w:highlight w:val="none"/>
        </w:rPr>
      </w:pPr>
      <w:r>
        <w:rPr>
          <w:rFonts w:hint="eastAsia" w:ascii="宋体" w:hAnsi="宋体" w:cs="Courier New"/>
          <w:b/>
          <w:color w:val="auto"/>
          <w:spacing w:val="2"/>
          <w:highlight w:val="none"/>
        </w:rPr>
        <w:t>（4）不同磋商供应商的竞争性磋商响应文件异常一致或磋商报价呈规律性差异;</w:t>
      </w:r>
    </w:p>
    <w:p w14:paraId="3A66306E">
      <w:pPr>
        <w:spacing w:line="400" w:lineRule="exact"/>
        <w:ind w:left="420"/>
        <w:rPr>
          <w:rFonts w:hint="eastAsia" w:ascii="宋体" w:hAnsi="宋体" w:cs="Courier New"/>
          <w:b/>
          <w:color w:val="auto"/>
          <w:spacing w:val="2"/>
          <w:highlight w:val="none"/>
        </w:rPr>
      </w:pPr>
      <w:r>
        <w:rPr>
          <w:rFonts w:hint="eastAsia" w:ascii="宋体" w:hAnsi="宋体" w:cs="Courier New"/>
          <w:b/>
          <w:color w:val="auto"/>
          <w:spacing w:val="2"/>
          <w:highlight w:val="none"/>
        </w:rPr>
        <w:t>（5）不同磋商供应商的竞争性磋商响应文件相互混装;</w:t>
      </w:r>
    </w:p>
    <w:p w14:paraId="4A243B38">
      <w:pPr>
        <w:spacing w:line="336" w:lineRule="auto"/>
        <w:ind w:firstLine="421" w:firstLineChars="196"/>
        <w:rPr>
          <w:rFonts w:hAnsi="宋体"/>
          <w:b/>
          <w:color w:val="auto"/>
          <w:szCs w:val="21"/>
          <w:highlight w:val="none"/>
        </w:rPr>
      </w:pPr>
      <w:r>
        <w:rPr>
          <w:rFonts w:hint="eastAsia" w:ascii="宋体" w:hAnsi="宋体" w:cs="Courier New"/>
          <w:b/>
          <w:color w:val="auto"/>
          <w:spacing w:val="2"/>
          <w:highlight w:val="none"/>
          <w:lang w:val="en-US" w:eastAsia="zh-CN"/>
        </w:rPr>
        <w:t xml:space="preserve">30.2 </w:t>
      </w:r>
      <w:r>
        <w:rPr>
          <w:rFonts w:hint="eastAsia" w:hAnsi="宋体"/>
          <w:b/>
          <w:color w:val="auto"/>
          <w:szCs w:val="21"/>
          <w:highlight w:val="none"/>
        </w:rPr>
        <w:t>磋商供应商</w:t>
      </w:r>
      <w:r>
        <w:rPr>
          <w:rFonts w:hAnsi="宋体"/>
          <w:b/>
          <w:color w:val="auto"/>
          <w:szCs w:val="21"/>
          <w:highlight w:val="none"/>
        </w:rPr>
        <w:t>存在下列情况之一的，磋商无效:</w:t>
      </w:r>
    </w:p>
    <w:p w14:paraId="703E6C5B">
      <w:pPr>
        <w:spacing w:line="336" w:lineRule="auto"/>
        <w:rPr>
          <w:rFonts w:hAnsi="宋体"/>
          <w:b/>
          <w:color w:val="auto"/>
          <w:szCs w:val="21"/>
          <w:highlight w:val="none"/>
        </w:rPr>
      </w:pPr>
      <w:r>
        <w:rPr>
          <w:rFonts w:hAnsi="宋体"/>
          <w:color w:val="auto"/>
          <w:szCs w:val="21"/>
          <w:highlight w:val="none"/>
        </w:rPr>
        <w:t>　　</w:t>
      </w:r>
      <w:r>
        <w:rPr>
          <w:rFonts w:hAnsi="宋体"/>
          <w:b/>
          <w:color w:val="auto"/>
          <w:szCs w:val="21"/>
          <w:highlight w:val="none"/>
        </w:rPr>
        <w:t>（</w:t>
      </w:r>
      <w:r>
        <w:rPr>
          <w:rFonts w:hint="eastAsia" w:hAnsi="宋体"/>
          <w:b/>
          <w:color w:val="auto"/>
          <w:szCs w:val="21"/>
          <w:highlight w:val="none"/>
        </w:rPr>
        <w:t>1</w:t>
      </w:r>
      <w:r>
        <w:rPr>
          <w:rFonts w:hAnsi="宋体"/>
          <w:b/>
          <w:color w:val="auto"/>
          <w:szCs w:val="21"/>
          <w:highlight w:val="none"/>
        </w:rPr>
        <w:t>）</w:t>
      </w:r>
      <w:r>
        <w:rPr>
          <w:rFonts w:hint="eastAsia" w:hAnsi="宋体"/>
          <w:b/>
          <w:color w:val="auto"/>
          <w:szCs w:val="21"/>
          <w:highlight w:val="none"/>
        </w:rPr>
        <w:t>响应</w:t>
      </w:r>
      <w:r>
        <w:rPr>
          <w:rFonts w:hAnsi="宋体"/>
          <w:b/>
          <w:color w:val="auto"/>
          <w:szCs w:val="21"/>
          <w:highlight w:val="none"/>
        </w:rPr>
        <w:t>文件未按</w:t>
      </w:r>
      <w:r>
        <w:rPr>
          <w:rFonts w:hint="eastAsia" w:ascii="宋体" w:hAnsi="宋体" w:cs="Courier New"/>
          <w:b/>
          <w:color w:val="auto"/>
          <w:spacing w:val="2"/>
          <w:highlight w:val="none"/>
        </w:rPr>
        <w:t>竞争性磋商文件</w:t>
      </w:r>
      <w:r>
        <w:rPr>
          <w:rFonts w:hAnsi="宋体"/>
          <w:b/>
          <w:color w:val="auto"/>
          <w:szCs w:val="21"/>
          <w:highlight w:val="none"/>
        </w:rPr>
        <w:t>要求签署、盖章的；</w:t>
      </w:r>
    </w:p>
    <w:p w14:paraId="5B95D7D7">
      <w:pPr>
        <w:spacing w:line="336" w:lineRule="auto"/>
        <w:rPr>
          <w:rFonts w:hAnsi="宋体"/>
          <w:b/>
          <w:color w:val="auto"/>
          <w:szCs w:val="21"/>
          <w:highlight w:val="none"/>
        </w:rPr>
      </w:pPr>
      <w:r>
        <w:rPr>
          <w:rFonts w:hAnsi="宋体"/>
          <w:b/>
          <w:color w:val="auto"/>
          <w:szCs w:val="21"/>
          <w:highlight w:val="none"/>
        </w:rPr>
        <w:t>　　（</w:t>
      </w:r>
      <w:r>
        <w:rPr>
          <w:rFonts w:hint="eastAsia" w:hAnsi="宋体"/>
          <w:b/>
          <w:color w:val="auto"/>
          <w:szCs w:val="21"/>
          <w:highlight w:val="none"/>
          <w:lang w:val="en-US" w:eastAsia="zh-CN"/>
        </w:rPr>
        <w:t>2</w:t>
      </w:r>
      <w:r>
        <w:rPr>
          <w:rFonts w:hAnsi="宋体"/>
          <w:b/>
          <w:color w:val="auto"/>
          <w:szCs w:val="21"/>
          <w:highlight w:val="none"/>
        </w:rPr>
        <w:t>）不具备采购文件中规定的资格要求的；</w:t>
      </w:r>
    </w:p>
    <w:p w14:paraId="5C2F068B">
      <w:pPr>
        <w:spacing w:line="336" w:lineRule="auto"/>
        <w:rPr>
          <w:rFonts w:hAnsi="宋体"/>
          <w:b/>
          <w:color w:val="auto"/>
          <w:szCs w:val="21"/>
          <w:highlight w:val="none"/>
        </w:rPr>
      </w:pPr>
      <w:r>
        <w:rPr>
          <w:rFonts w:hAnsi="宋体"/>
          <w:b/>
          <w:color w:val="auto"/>
          <w:szCs w:val="21"/>
          <w:highlight w:val="none"/>
        </w:rPr>
        <w:t>　　（</w:t>
      </w:r>
      <w:r>
        <w:rPr>
          <w:rFonts w:hint="eastAsia" w:hAnsi="宋体"/>
          <w:b/>
          <w:color w:val="auto"/>
          <w:szCs w:val="21"/>
          <w:highlight w:val="none"/>
          <w:lang w:val="en-US" w:eastAsia="zh-CN"/>
        </w:rPr>
        <w:t>3</w:t>
      </w:r>
      <w:r>
        <w:rPr>
          <w:rFonts w:hAnsi="宋体"/>
          <w:b/>
          <w:color w:val="auto"/>
          <w:szCs w:val="21"/>
          <w:highlight w:val="none"/>
        </w:rPr>
        <w:t>）报价超过采购文件中规定的</w:t>
      </w:r>
      <w:r>
        <w:rPr>
          <w:rFonts w:hint="eastAsia" w:hAnsi="宋体"/>
          <w:b/>
          <w:color w:val="auto"/>
          <w:szCs w:val="21"/>
          <w:highlight w:val="none"/>
        </w:rPr>
        <w:t>工程上限控制价</w:t>
      </w:r>
      <w:r>
        <w:rPr>
          <w:rFonts w:hAnsi="宋体"/>
          <w:b/>
          <w:color w:val="auto"/>
          <w:szCs w:val="21"/>
          <w:highlight w:val="none"/>
        </w:rPr>
        <w:t>金额或者最高限价的；</w:t>
      </w:r>
    </w:p>
    <w:p w14:paraId="6848E5FB">
      <w:pPr>
        <w:spacing w:line="336" w:lineRule="auto"/>
        <w:rPr>
          <w:rFonts w:hAnsi="宋体"/>
          <w:b/>
          <w:color w:val="auto"/>
          <w:szCs w:val="21"/>
          <w:highlight w:val="none"/>
        </w:rPr>
      </w:pPr>
      <w:r>
        <w:rPr>
          <w:rFonts w:hAnsi="宋体"/>
          <w:b/>
          <w:color w:val="auto"/>
          <w:szCs w:val="21"/>
          <w:highlight w:val="none"/>
        </w:rPr>
        <w:t>　　（</w:t>
      </w:r>
      <w:r>
        <w:rPr>
          <w:rFonts w:hint="eastAsia" w:hAnsi="宋体"/>
          <w:b/>
          <w:color w:val="auto"/>
          <w:szCs w:val="21"/>
          <w:highlight w:val="none"/>
          <w:lang w:val="en-US" w:eastAsia="zh-CN"/>
        </w:rPr>
        <w:t>4</w:t>
      </w:r>
      <w:r>
        <w:rPr>
          <w:rFonts w:hAnsi="宋体"/>
          <w:b/>
          <w:color w:val="auto"/>
          <w:szCs w:val="21"/>
          <w:highlight w:val="none"/>
        </w:rPr>
        <w:t>）</w:t>
      </w:r>
      <w:r>
        <w:rPr>
          <w:rFonts w:hint="eastAsia" w:hAnsi="宋体"/>
          <w:b/>
          <w:color w:val="auto"/>
          <w:szCs w:val="21"/>
          <w:highlight w:val="none"/>
        </w:rPr>
        <w:t>响应</w:t>
      </w:r>
      <w:r>
        <w:rPr>
          <w:rFonts w:hAnsi="宋体"/>
          <w:b/>
          <w:color w:val="auto"/>
          <w:szCs w:val="21"/>
          <w:highlight w:val="none"/>
        </w:rPr>
        <w:t>文件含有采购人不能接受的附加条件的</w:t>
      </w:r>
      <w:r>
        <w:rPr>
          <w:rFonts w:hint="eastAsia" w:hAnsi="宋体"/>
          <w:b/>
          <w:color w:val="auto"/>
          <w:szCs w:val="21"/>
          <w:highlight w:val="none"/>
        </w:rPr>
        <w:t>；</w:t>
      </w:r>
    </w:p>
    <w:p w14:paraId="63F2C45C">
      <w:pPr>
        <w:rPr>
          <w:rFonts w:hint="eastAsia" w:asciiTheme="minorEastAsia" w:hAnsiTheme="minorEastAsia" w:cstheme="minorEastAsia"/>
          <w:b w:val="0"/>
          <w:bCs/>
          <w:color w:val="auto"/>
          <w:sz w:val="24"/>
          <w:szCs w:val="24"/>
          <w:highlight w:val="none"/>
        </w:rPr>
        <w:sectPr>
          <w:pgSz w:w="11907" w:h="16840"/>
          <w:pgMar w:top="1247" w:right="1418" w:bottom="1021" w:left="1418" w:header="567" w:footer="1077" w:gutter="0"/>
          <w:cols w:space="720" w:num="1"/>
        </w:sectPr>
      </w:pPr>
      <w:r>
        <w:rPr>
          <w:rFonts w:hint="eastAsia" w:hAnsi="宋体"/>
          <w:b/>
          <w:color w:val="auto"/>
          <w:szCs w:val="21"/>
          <w:highlight w:val="none"/>
        </w:rPr>
        <w:t>（</w:t>
      </w:r>
      <w:r>
        <w:rPr>
          <w:rFonts w:hint="eastAsia" w:hAnsi="宋体"/>
          <w:b/>
          <w:color w:val="auto"/>
          <w:szCs w:val="21"/>
          <w:highlight w:val="none"/>
          <w:lang w:val="en-US" w:eastAsia="zh-CN"/>
        </w:rPr>
        <w:t>5</w:t>
      </w:r>
      <w:r>
        <w:rPr>
          <w:rFonts w:hint="eastAsia" w:hAnsi="宋体"/>
          <w:b/>
          <w:color w:val="auto"/>
          <w:szCs w:val="21"/>
          <w:highlight w:val="none"/>
        </w:rPr>
        <w:t>）法律、法规和采购文件规定的其他无效情形。</w:t>
      </w:r>
    </w:p>
    <w:p w14:paraId="125C3441">
      <w:pPr>
        <w:pStyle w:val="3"/>
        <w:spacing w:line="360" w:lineRule="auto"/>
        <w:jc w:val="center"/>
        <w:rPr>
          <w:rFonts w:asciiTheme="minorEastAsia" w:hAnsiTheme="minorEastAsia"/>
          <w:color w:val="auto"/>
          <w:sz w:val="48"/>
          <w:szCs w:val="48"/>
          <w:highlight w:val="none"/>
        </w:rPr>
      </w:pPr>
    </w:p>
    <w:p w14:paraId="5F82BA88">
      <w:pPr>
        <w:pStyle w:val="3"/>
        <w:spacing w:line="360" w:lineRule="auto"/>
        <w:jc w:val="center"/>
        <w:rPr>
          <w:rFonts w:asciiTheme="minorEastAsia" w:hAnsiTheme="minorEastAsia"/>
          <w:color w:val="auto"/>
          <w:sz w:val="48"/>
          <w:szCs w:val="48"/>
          <w:highlight w:val="none"/>
        </w:rPr>
      </w:pPr>
    </w:p>
    <w:p w14:paraId="20ED9672">
      <w:pPr>
        <w:pStyle w:val="3"/>
        <w:spacing w:line="360" w:lineRule="auto"/>
        <w:jc w:val="center"/>
        <w:rPr>
          <w:rFonts w:asciiTheme="minorEastAsia" w:hAnsiTheme="minorEastAsia"/>
          <w:color w:val="auto"/>
          <w:sz w:val="48"/>
          <w:szCs w:val="48"/>
          <w:highlight w:val="none"/>
        </w:rPr>
      </w:pPr>
    </w:p>
    <w:p w14:paraId="0C3E30DD">
      <w:pPr>
        <w:pStyle w:val="3"/>
        <w:spacing w:line="360" w:lineRule="auto"/>
        <w:jc w:val="center"/>
        <w:rPr>
          <w:rFonts w:asciiTheme="minorEastAsia" w:hAnsiTheme="minorEastAsia"/>
          <w:color w:val="auto"/>
          <w:sz w:val="48"/>
          <w:szCs w:val="48"/>
          <w:highlight w:val="none"/>
        </w:rPr>
      </w:pPr>
    </w:p>
    <w:p w14:paraId="3A86E123">
      <w:pPr>
        <w:pStyle w:val="3"/>
        <w:spacing w:line="360" w:lineRule="auto"/>
        <w:jc w:val="center"/>
        <w:rPr>
          <w:rFonts w:asciiTheme="minorEastAsia" w:hAnsiTheme="minorEastAsia"/>
          <w:color w:val="auto"/>
          <w:sz w:val="48"/>
          <w:szCs w:val="48"/>
          <w:highlight w:val="none"/>
        </w:rPr>
      </w:pPr>
    </w:p>
    <w:p w14:paraId="3D869718">
      <w:pPr>
        <w:pStyle w:val="3"/>
        <w:spacing w:line="360" w:lineRule="auto"/>
        <w:jc w:val="center"/>
        <w:rPr>
          <w:rFonts w:asciiTheme="minorEastAsia" w:hAnsiTheme="minorEastAsia"/>
          <w:color w:val="auto"/>
          <w:sz w:val="48"/>
          <w:szCs w:val="48"/>
          <w:highlight w:val="none"/>
        </w:rPr>
      </w:pPr>
      <w:bookmarkStart w:id="211" w:name="_Toc15623"/>
      <w:bookmarkStart w:id="212" w:name="_Toc17575"/>
      <w:r>
        <w:rPr>
          <w:rFonts w:hint="eastAsia" w:asciiTheme="minorEastAsia" w:hAnsiTheme="minorEastAsia" w:cstheme="minorEastAsia"/>
          <w:color w:val="auto"/>
          <w:sz w:val="36"/>
          <w:highlight w:val="none"/>
        </w:rPr>
        <w:t>第二章  合同条款及格式</w:t>
      </w:r>
      <w:bookmarkEnd w:id="211"/>
      <w:bookmarkEnd w:id="212"/>
    </w:p>
    <w:p w14:paraId="70DA03C6">
      <w:pPr>
        <w:rPr>
          <w:rFonts w:asciiTheme="minorEastAsia" w:hAnsiTheme="minorEastAsia"/>
          <w:color w:val="auto"/>
          <w:sz w:val="32"/>
          <w:szCs w:val="32"/>
          <w:highlight w:val="none"/>
        </w:rPr>
        <w:sectPr>
          <w:pgSz w:w="11907" w:h="16840"/>
          <w:pgMar w:top="1247" w:right="1418" w:bottom="1021" w:left="1418" w:header="567" w:footer="1077" w:gutter="0"/>
          <w:cols w:space="720" w:num="1"/>
        </w:sectPr>
      </w:pPr>
      <w:bookmarkStart w:id="213" w:name="_Toc224980459"/>
      <w:r>
        <w:rPr>
          <w:rFonts w:hint="eastAsia" w:asciiTheme="minorEastAsia" w:hAnsiTheme="minorEastAsia"/>
          <w:color w:val="auto"/>
          <w:highlight w:val="none"/>
        </w:rPr>
        <w:t xml:space="preserve">                                                                                                  </w:t>
      </w:r>
      <w:bookmarkEnd w:id="196"/>
      <w:bookmarkEnd w:id="213"/>
    </w:p>
    <w:p w14:paraId="22EB4048">
      <w:pPr>
        <w:rPr>
          <w:rFonts w:ascii="宋体" w:hAnsi="宋体"/>
          <w:color w:val="auto"/>
          <w:sz w:val="30"/>
          <w:szCs w:val="30"/>
          <w:highlight w:val="none"/>
        </w:rPr>
      </w:pPr>
      <w:bookmarkStart w:id="214" w:name="_bookmark110"/>
      <w:bookmarkEnd w:id="214"/>
      <w:bookmarkStart w:id="215" w:name="_Toc351203652"/>
      <w:bookmarkStart w:id="216" w:name="_Toc29153402"/>
      <w:bookmarkStart w:id="217" w:name="_Toc243584335"/>
      <w:bookmarkStart w:id="218" w:name="_Toc74156275"/>
      <w:bookmarkStart w:id="219" w:name="_Toc271"/>
      <w:r>
        <w:rPr>
          <w:rFonts w:hint="eastAsia" w:ascii="宋体" w:hAnsi="宋体"/>
          <w:color w:val="auto"/>
          <w:sz w:val="30"/>
          <w:szCs w:val="30"/>
          <w:highlight w:val="none"/>
        </w:rPr>
        <w:t xml:space="preserve"> </w:t>
      </w:r>
    </w:p>
    <w:p w14:paraId="14EF2653">
      <w:pPr>
        <w:rPr>
          <w:rFonts w:ascii="宋体" w:hAnsi="宋体"/>
          <w:color w:val="auto"/>
          <w:sz w:val="30"/>
          <w:szCs w:val="30"/>
          <w:highlight w:val="none"/>
        </w:rPr>
      </w:pPr>
    </w:p>
    <w:p w14:paraId="70BB2311">
      <w:pPr>
        <w:rPr>
          <w:rFonts w:ascii="宋体" w:hAnsi="宋体"/>
          <w:color w:val="auto"/>
          <w:sz w:val="32"/>
          <w:szCs w:val="32"/>
          <w:highlight w:val="none"/>
          <w:u w:val="single"/>
        </w:rPr>
      </w:pPr>
      <w:r>
        <w:rPr>
          <w:rFonts w:hint="eastAsia" w:ascii="宋体" w:hAnsi="宋体"/>
          <w:color w:val="auto"/>
          <w:sz w:val="32"/>
          <w:szCs w:val="32"/>
          <w:highlight w:val="none"/>
        </w:rPr>
        <w:t>项目名称：</w:t>
      </w:r>
      <w:r>
        <w:rPr>
          <w:rFonts w:hint="eastAsia" w:ascii="宋体" w:hAnsi="宋体"/>
          <w:color w:val="auto"/>
          <w:sz w:val="32"/>
          <w:szCs w:val="32"/>
          <w:highlight w:val="none"/>
          <w:u w:val="single"/>
        </w:rPr>
        <w:t xml:space="preserve">          </w:t>
      </w:r>
    </w:p>
    <w:p w14:paraId="3128E84D">
      <w:pPr>
        <w:ind w:firstLine="1798" w:firstLineChars="562"/>
        <w:rPr>
          <w:rFonts w:ascii="宋体" w:hAnsi="宋体"/>
          <w:color w:val="auto"/>
          <w:sz w:val="32"/>
          <w:szCs w:val="32"/>
          <w:highlight w:val="none"/>
        </w:rPr>
      </w:pPr>
    </w:p>
    <w:p w14:paraId="4181A45B">
      <w:pPr>
        <w:pStyle w:val="13"/>
        <w:rPr>
          <w:color w:val="auto"/>
          <w:highlight w:val="none"/>
        </w:rPr>
      </w:pPr>
    </w:p>
    <w:p w14:paraId="2F191037">
      <w:pPr>
        <w:ind w:firstLine="1798" w:firstLineChars="562"/>
        <w:rPr>
          <w:rFonts w:ascii="宋体" w:hAnsi="宋体"/>
          <w:color w:val="auto"/>
          <w:sz w:val="32"/>
          <w:szCs w:val="32"/>
          <w:highlight w:val="none"/>
        </w:rPr>
      </w:pPr>
      <w:r>
        <w:rPr>
          <w:rFonts w:hint="eastAsia" w:ascii="宋体" w:hAnsi="宋体"/>
          <w:color w:val="auto"/>
          <w:sz w:val="32"/>
          <w:szCs w:val="32"/>
          <w:highlight w:val="none"/>
        </w:rPr>
        <w:t xml:space="preserve"> </w:t>
      </w:r>
    </w:p>
    <w:p w14:paraId="7E3146DA">
      <w:pPr>
        <w:rPr>
          <w:color w:val="auto"/>
          <w:sz w:val="32"/>
          <w:szCs w:val="32"/>
          <w:highlight w:val="none"/>
          <w:u w:val="single"/>
        </w:rPr>
      </w:pPr>
      <w:r>
        <w:rPr>
          <w:rFonts w:hint="eastAsia" w:ascii="宋体" w:hAnsi="宋体"/>
          <w:color w:val="auto"/>
          <w:sz w:val="32"/>
          <w:szCs w:val="32"/>
          <w:highlight w:val="none"/>
        </w:rPr>
        <w:t>项目编号：</w:t>
      </w:r>
      <w:r>
        <w:rPr>
          <w:rFonts w:hint="eastAsia" w:ascii="宋体" w:hAnsi="宋体"/>
          <w:color w:val="auto"/>
          <w:w w:val="95"/>
          <w:sz w:val="32"/>
          <w:szCs w:val="32"/>
          <w:highlight w:val="none"/>
          <w:u w:val="single"/>
        </w:rPr>
        <w:t xml:space="preserve"> </w:t>
      </w:r>
    </w:p>
    <w:p w14:paraId="385CE191">
      <w:pPr>
        <w:ind w:firstLine="600"/>
        <w:rPr>
          <w:rFonts w:ascii="宋体" w:hAnsi="宋体"/>
          <w:color w:val="auto"/>
          <w:sz w:val="32"/>
          <w:szCs w:val="32"/>
          <w:highlight w:val="none"/>
        </w:rPr>
      </w:pPr>
    </w:p>
    <w:p w14:paraId="7238560D">
      <w:pPr>
        <w:ind w:firstLine="600"/>
        <w:rPr>
          <w:rFonts w:ascii="宋体" w:hAnsi="宋体"/>
          <w:color w:val="auto"/>
          <w:sz w:val="30"/>
          <w:szCs w:val="30"/>
          <w:highlight w:val="none"/>
        </w:rPr>
      </w:pPr>
      <w:r>
        <w:rPr>
          <w:rFonts w:hint="eastAsia" w:ascii="宋体" w:hAnsi="宋体"/>
          <w:color w:val="auto"/>
          <w:sz w:val="30"/>
          <w:szCs w:val="30"/>
          <w:highlight w:val="none"/>
        </w:rPr>
        <w:t xml:space="preserve"> </w:t>
      </w:r>
    </w:p>
    <w:p w14:paraId="33E06DB6">
      <w:pPr>
        <w:ind w:firstLine="600"/>
        <w:rPr>
          <w:rFonts w:ascii="宋体" w:hAnsi="宋体"/>
          <w:color w:val="auto"/>
          <w:sz w:val="30"/>
          <w:szCs w:val="30"/>
          <w:highlight w:val="none"/>
        </w:rPr>
      </w:pPr>
      <w:r>
        <w:rPr>
          <w:rFonts w:hint="eastAsia" w:ascii="宋体" w:hAnsi="宋体"/>
          <w:color w:val="auto"/>
          <w:sz w:val="30"/>
          <w:szCs w:val="30"/>
          <w:highlight w:val="none"/>
        </w:rPr>
        <w:t xml:space="preserve"> </w:t>
      </w:r>
    </w:p>
    <w:p w14:paraId="65EA8CC0">
      <w:pPr>
        <w:ind w:firstLine="600"/>
        <w:rPr>
          <w:rFonts w:ascii="宋体" w:hAnsi="宋体"/>
          <w:color w:val="auto"/>
          <w:sz w:val="30"/>
          <w:szCs w:val="30"/>
          <w:highlight w:val="none"/>
        </w:rPr>
      </w:pPr>
      <w:r>
        <w:rPr>
          <w:rFonts w:hint="eastAsia" w:ascii="宋体" w:hAnsi="宋体"/>
          <w:color w:val="auto"/>
          <w:sz w:val="30"/>
          <w:szCs w:val="30"/>
          <w:highlight w:val="none"/>
        </w:rPr>
        <w:t xml:space="preserve"> </w:t>
      </w:r>
    </w:p>
    <w:p w14:paraId="4EE8D98E">
      <w:pPr>
        <w:ind w:firstLine="600"/>
        <w:rPr>
          <w:rFonts w:ascii="宋体" w:hAnsi="宋体"/>
          <w:color w:val="auto"/>
          <w:sz w:val="30"/>
          <w:szCs w:val="30"/>
          <w:highlight w:val="none"/>
        </w:rPr>
      </w:pPr>
    </w:p>
    <w:p w14:paraId="4B85E5C3">
      <w:pPr>
        <w:ind w:firstLine="600"/>
        <w:rPr>
          <w:rFonts w:ascii="宋体" w:hAnsi="宋体"/>
          <w:color w:val="auto"/>
          <w:sz w:val="30"/>
          <w:szCs w:val="30"/>
          <w:highlight w:val="none"/>
        </w:rPr>
      </w:pPr>
    </w:p>
    <w:p w14:paraId="7D2AD5F0">
      <w:pPr>
        <w:ind w:firstLine="600"/>
        <w:rPr>
          <w:rFonts w:ascii="宋体" w:hAnsi="宋体"/>
          <w:color w:val="auto"/>
          <w:sz w:val="30"/>
          <w:szCs w:val="30"/>
          <w:highlight w:val="none"/>
        </w:rPr>
      </w:pPr>
      <w:r>
        <w:rPr>
          <w:rFonts w:hint="eastAsia" w:ascii="宋体" w:hAnsi="宋体"/>
          <w:color w:val="auto"/>
          <w:sz w:val="30"/>
          <w:szCs w:val="30"/>
          <w:highlight w:val="none"/>
        </w:rPr>
        <w:t xml:space="preserve"> </w:t>
      </w:r>
    </w:p>
    <w:p w14:paraId="58CBC92B">
      <w:pPr>
        <w:rPr>
          <w:rFonts w:hint="eastAsia" w:eastAsiaTheme="minorEastAsia"/>
          <w:color w:val="auto"/>
          <w:sz w:val="30"/>
          <w:szCs w:val="30"/>
          <w:highlight w:val="none"/>
          <w:u w:val="single"/>
          <w:lang w:val="en-US" w:eastAsia="zh-CN"/>
        </w:rPr>
      </w:pPr>
      <w:r>
        <w:rPr>
          <w:rFonts w:hint="eastAsia" w:ascii="宋体" w:hAnsi="宋体"/>
          <w:color w:val="auto"/>
          <w:sz w:val="30"/>
          <w:szCs w:val="30"/>
          <w:highlight w:val="none"/>
        </w:rPr>
        <w:t>采  购  人：</w:t>
      </w:r>
    </w:p>
    <w:p w14:paraId="20E1D83B">
      <w:pPr>
        <w:ind w:firstLine="1798" w:firstLineChars="562"/>
        <w:rPr>
          <w:rFonts w:ascii="宋体" w:hAnsi="宋体"/>
          <w:color w:val="auto"/>
          <w:sz w:val="32"/>
          <w:szCs w:val="32"/>
          <w:highlight w:val="none"/>
        </w:rPr>
      </w:pPr>
    </w:p>
    <w:p w14:paraId="58EAEB99">
      <w:pPr>
        <w:ind w:firstLine="640"/>
        <w:rPr>
          <w:rFonts w:ascii="宋体" w:hAnsi="宋体"/>
          <w:color w:val="auto"/>
          <w:sz w:val="32"/>
          <w:szCs w:val="32"/>
          <w:highlight w:val="none"/>
        </w:rPr>
      </w:pPr>
      <w:r>
        <w:rPr>
          <w:rFonts w:hint="eastAsia" w:ascii="宋体" w:hAnsi="宋体"/>
          <w:color w:val="auto"/>
          <w:sz w:val="32"/>
          <w:szCs w:val="32"/>
          <w:highlight w:val="none"/>
        </w:rPr>
        <w:t xml:space="preserve"> </w:t>
      </w:r>
    </w:p>
    <w:p w14:paraId="4F45F878">
      <w:pPr>
        <w:rPr>
          <w:rFonts w:ascii="宋体" w:hAnsi="宋体"/>
          <w:color w:val="auto"/>
          <w:sz w:val="30"/>
          <w:szCs w:val="30"/>
          <w:highlight w:val="none"/>
        </w:rPr>
      </w:pPr>
      <w:r>
        <w:rPr>
          <w:rFonts w:hint="eastAsia" w:ascii="宋体" w:hAnsi="宋体"/>
          <w:color w:val="auto"/>
          <w:sz w:val="30"/>
          <w:szCs w:val="30"/>
          <w:highlight w:val="none"/>
        </w:rPr>
        <w:t xml:space="preserve">供 应  商:  </w:t>
      </w:r>
    </w:p>
    <w:p w14:paraId="474D9DFA">
      <w:pPr>
        <w:spacing w:line="400" w:lineRule="exact"/>
        <w:ind w:firstLine="1194" w:firstLineChars="398"/>
        <w:rPr>
          <w:rFonts w:ascii="宋体" w:hAnsi="宋体"/>
          <w:color w:val="auto"/>
          <w:sz w:val="30"/>
          <w:szCs w:val="30"/>
          <w:highlight w:val="none"/>
        </w:rPr>
      </w:pPr>
      <w:r>
        <w:rPr>
          <w:rFonts w:hint="eastAsia" w:ascii="宋体" w:hAnsi="宋体"/>
          <w:color w:val="auto"/>
          <w:sz w:val="30"/>
          <w:szCs w:val="30"/>
          <w:highlight w:val="none"/>
        </w:rPr>
        <w:t xml:space="preserve"> </w:t>
      </w:r>
    </w:p>
    <w:p w14:paraId="2D26F7BD">
      <w:pPr>
        <w:pStyle w:val="65"/>
        <w:spacing w:before="120" w:after="120"/>
        <w:jc w:val="center"/>
        <w:rPr>
          <w:rFonts w:eastAsia="华文中宋"/>
          <w:color w:val="auto"/>
          <w:szCs w:val="44"/>
          <w:highlight w:val="none"/>
        </w:rPr>
      </w:pPr>
      <w:r>
        <w:rPr>
          <w:rFonts w:hint="eastAsia" w:ascii="宋体" w:hAnsi="宋体"/>
          <w:color w:val="auto"/>
          <w:highlight w:val="none"/>
        </w:rPr>
        <w:br w:type="page"/>
      </w:r>
      <w:r>
        <w:rPr>
          <w:rStyle w:val="66"/>
          <w:rFonts w:ascii="宋体" w:hAnsi="宋体" w:cs="宋体"/>
          <w:color w:val="auto"/>
          <w:szCs w:val="44"/>
          <w:highlight w:val="none"/>
        </w:rPr>
        <w:t>目  录</w:t>
      </w:r>
    </w:p>
    <w:p w14:paraId="60F800B8">
      <w:pPr>
        <w:pStyle w:val="15"/>
        <w:spacing w:line="400" w:lineRule="exact"/>
        <w:rPr>
          <w:rFonts w:cs="宋体"/>
          <w:bCs/>
          <w:color w:val="auto"/>
          <w:sz w:val="28"/>
          <w:szCs w:val="28"/>
          <w:highlight w:val="none"/>
        </w:rPr>
      </w:pPr>
      <w:r>
        <w:rPr>
          <w:color w:val="auto"/>
          <w:highlight w:val="none"/>
        </w:rPr>
        <w:fldChar w:fldCharType="begin"/>
      </w:r>
      <w:r>
        <w:rPr>
          <w:color w:val="auto"/>
          <w:highlight w:val="none"/>
        </w:rPr>
        <w:instrText xml:space="preserve"> HYPERLINK \l "_Toc351203480#_Toc351203480" </w:instrText>
      </w:r>
      <w:r>
        <w:rPr>
          <w:color w:val="auto"/>
          <w:highlight w:val="none"/>
        </w:rPr>
        <w:fldChar w:fldCharType="separate"/>
      </w:r>
      <w:r>
        <w:rPr>
          <w:rStyle w:val="66"/>
          <w:rFonts w:hint="eastAsia" w:ascii="宋体" w:hAnsi="宋体" w:cs="宋体"/>
          <w:bCs/>
          <w:color w:val="auto"/>
          <w:sz w:val="28"/>
          <w:szCs w:val="28"/>
          <w:highlight w:val="none"/>
        </w:rPr>
        <w:t>第一部分  合同协议书</w:t>
      </w:r>
      <w:r>
        <w:rPr>
          <w:rStyle w:val="33"/>
          <w:rFonts w:hint="eastAsia" w:cs="宋体"/>
          <w:color w:val="auto"/>
          <w:sz w:val="28"/>
          <w:szCs w:val="28"/>
          <w:highlight w:val="none"/>
          <w:u w:val="none"/>
        </w:rPr>
        <w:t>.</w:t>
      </w:r>
      <w:r>
        <w:rPr>
          <w:rStyle w:val="33"/>
          <w:rFonts w:hint="eastAsia" w:cs="宋体"/>
          <w:color w:val="auto"/>
          <w:sz w:val="28"/>
          <w:szCs w:val="28"/>
          <w:highlight w:val="none"/>
          <w:u w:val="none"/>
        </w:rPr>
        <w:fldChar w:fldCharType="end"/>
      </w:r>
    </w:p>
    <w:p w14:paraId="6B94600F">
      <w:pPr>
        <w:pStyle w:val="15"/>
        <w:spacing w:line="400" w:lineRule="exact"/>
        <w:rPr>
          <w:rFonts w:cs="宋体"/>
          <w:bCs/>
          <w:color w:val="auto"/>
          <w:sz w:val="28"/>
          <w:szCs w:val="28"/>
          <w:highlight w:val="none"/>
        </w:rPr>
      </w:pPr>
      <w:r>
        <w:rPr>
          <w:color w:val="auto"/>
          <w:highlight w:val="none"/>
        </w:rPr>
        <w:fldChar w:fldCharType="begin"/>
      </w:r>
      <w:r>
        <w:rPr>
          <w:color w:val="auto"/>
          <w:highlight w:val="none"/>
        </w:rPr>
        <w:instrText xml:space="preserve"> HYPERLINK \l "_Toc351203494#_Toc351203494" </w:instrText>
      </w:r>
      <w:r>
        <w:rPr>
          <w:color w:val="auto"/>
          <w:highlight w:val="none"/>
        </w:rPr>
        <w:fldChar w:fldCharType="separate"/>
      </w:r>
      <w:r>
        <w:rPr>
          <w:rStyle w:val="66"/>
          <w:rFonts w:hint="eastAsia" w:ascii="宋体" w:hAnsi="宋体" w:cs="宋体"/>
          <w:bCs/>
          <w:color w:val="auto"/>
          <w:sz w:val="28"/>
          <w:szCs w:val="28"/>
          <w:highlight w:val="none"/>
        </w:rPr>
        <w:t>第二部分  通用合同条款</w:t>
      </w:r>
      <w:r>
        <w:rPr>
          <w:rStyle w:val="33"/>
          <w:rFonts w:hint="eastAsia" w:cs="宋体"/>
          <w:bCs/>
          <w:color w:val="auto"/>
          <w:sz w:val="28"/>
          <w:szCs w:val="28"/>
          <w:highlight w:val="none"/>
          <w:u w:val="none"/>
        </w:rPr>
        <w:t>.</w:t>
      </w:r>
      <w:r>
        <w:rPr>
          <w:rStyle w:val="33"/>
          <w:rFonts w:hint="eastAsia" w:cs="宋体"/>
          <w:bCs/>
          <w:color w:val="auto"/>
          <w:sz w:val="28"/>
          <w:szCs w:val="28"/>
          <w:highlight w:val="none"/>
          <w:u w:val="none"/>
        </w:rPr>
        <w:fldChar w:fldCharType="end"/>
      </w:r>
    </w:p>
    <w:p w14:paraId="45FEAC5A">
      <w:pPr>
        <w:pStyle w:val="15"/>
        <w:spacing w:line="400" w:lineRule="exact"/>
        <w:ind w:firstLine="280"/>
        <w:rPr>
          <w:rStyle w:val="66"/>
          <w:rFonts w:ascii="宋体" w:hAnsi="宋体" w:cs="宋体"/>
          <w:bCs/>
          <w:color w:val="auto"/>
          <w:sz w:val="28"/>
          <w:szCs w:val="28"/>
          <w:highlight w:val="none"/>
        </w:rPr>
      </w:pPr>
      <w:r>
        <w:rPr>
          <w:rStyle w:val="66"/>
          <w:rFonts w:hint="eastAsia" w:ascii="宋体" w:hAnsi="宋体" w:cs="宋体"/>
          <w:bCs/>
          <w:color w:val="auto"/>
          <w:sz w:val="28"/>
          <w:szCs w:val="28"/>
          <w:highlight w:val="none"/>
        </w:rPr>
        <w:t>第三部分  专用合同条款</w:t>
      </w:r>
      <w:r>
        <w:rPr>
          <w:rStyle w:val="66"/>
          <w:rFonts w:hint="eastAsia" w:ascii="宋体" w:hAnsi="宋体" w:cs="宋体"/>
          <w:bCs/>
          <w:color w:val="auto"/>
          <w:highlight w:val="none"/>
        </w:rPr>
        <w:t>.</w:t>
      </w:r>
    </w:p>
    <w:p w14:paraId="6E3B1B5F">
      <w:pPr>
        <w:pStyle w:val="15"/>
        <w:spacing w:line="400" w:lineRule="exact"/>
        <w:ind w:firstLine="280"/>
        <w:rPr>
          <w:rStyle w:val="66"/>
          <w:rFonts w:ascii="宋体" w:hAnsi="宋体" w:cs="宋体"/>
          <w:bCs/>
          <w:color w:val="auto"/>
          <w:sz w:val="28"/>
          <w:szCs w:val="28"/>
          <w:highlight w:val="none"/>
        </w:rPr>
      </w:pPr>
      <w:r>
        <w:rPr>
          <w:rStyle w:val="66"/>
          <w:rFonts w:hint="eastAsia" w:ascii="宋体" w:hAnsi="宋体" w:cs="宋体"/>
          <w:bCs/>
          <w:color w:val="auto"/>
          <w:sz w:val="28"/>
          <w:szCs w:val="28"/>
          <w:highlight w:val="none"/>
        </w:rPr>
        <w:t>第四部分  工程质量保修书</w:t>
      </w:r>
    </w:p>
    <w:p w14:paraId="15E3A865">
      <w:pPr>
        <w:pStyle w:val="15"/>
        <w:spacing w:line="400" w:lineRule="exact"/>
        <w:ind w:firstLine="280"/>
        <w:rPr>
          <w:rStyle w:val="66"/>
          <w:rFonts w:ascii="宋体" w:hAnsi="宋体" w:cs="宋体"/>
          <w:bCs/>
          <w:color w:val="auto"/>
          <w:sz w:val="28"/>
          <w:szCs w:val="28"/>
          <w:highlight w:val="none"/>
        </w:rPr>
      </w:pPr>
      <w:r>
        <w:rPr>
          <w:rStyle w:val="66"/>
          <w:rFonts w:hint="eastAsia" w:ascii="宋体" w:hAnsi="宋体" w:cs="宋体"/>
          <w:bCs/>
          <w:color w:val="auto"/>
          <w:sz w:val="28"/>
          <w:szCs w:val="28"/>
          <w:highlight w:val="none"/>
        </w:rPr>
        <w:t>第五部分  建设工程廉政责任书</w:t>
      </w:r>
    </w:p>
    <w:p w14:paraId="035A48B1">
      <w:pPr>
        <w:pStyle w:val="15"/>
        <w:spacing w:line="400" w:lineRule="exact"/>
        <w:ind w:firstLine="280"/>
        <w:rPr>
          <w:rStyle w:val="66"/>
          <w:rFonts w:ascii="宋体" w:hAnsi="宋体" w:cs="宋体"/>
          <w:bCs/>
          <w:color w:val="auto"/>
          <w:sz w:val="28"/>
          <w:szCs w:val="28"/>
          <w:highlight w:val="none"/>
        </w:rPr>
      </w:pPr>
      <w:r>
        <w:rPr>
          <w:rStyle w:val="66"/>
          <w:rFonts w:hint="eastAsia" w:ascii="宋体" w:hAnsi="宋体" w:cs="宋体"/>
          <w:bCs/>
          <w:color w:val="auto"/>
          <w:sz w:val="28"/>
          <w:szCs w:val="28"/>
          <w:highlight w:val="none"/>
        </w:rPr>
        <w:t>第六部分  安全管理协议</w:t>
      </w:r>
    </w:p>
    <w:p w14:paraId="3717B594">
      <w:pPr>
        <w:pStyle w:val="13"/>
        <w:rPr>
          <w:color w:val="auto"/>
          <w:highlight w:val="none"/>
        </w:rPr>
      </w:pPr>
    </w:p>
    <w:p w14:paraId="53F11462">
      <w:pPr>
        <w:pStyle w:val="13"/>
        <w:rPr>
          <w:color w:val="auto"/>
          <w:highlight w:val="none"/>
        </w:rPr>
      </w:pPr>
    </w:p>
    <w:p w14:paraId="1B2BE309">
      <w:pPr>
        <w:pStyle w:val="3"/>
        <w:jc w:val="center"/>
        <w:rPr>
          <w:rFonts w:ascii="宋体" w:hAnsi="宋体" w:cs="宋体"/>
          <w:color w:val="auto"/>
          <w:sz w:val="32"/>
          <w:szCs w:val="32"/>
          <w:highlight w:val="none"/>
        </w:rPr>
      </w:pPr>
      <w:r>
        <w:rPr>
          <w:rFonts w:hint="eastAsia" w:ascii="宋体" w:hAnsi="宋体" w:cs="宋体"/>
          <w:color w:val="auto"/>
          <w:sz w:val="32"/>
          <w:szCs w:val="32"/>
          <w:highlight w:val="none"/>
        </w:rPr>
        <w:t xml:space="preserve"> </w:t>
      </w:r>
    </w:p>
    <w:p w14:paraId="61D04925">
      <w:pPr>
        <w:keepNext/>
        <w:keepLines/>
        <w:spacing w:beforeLines="50" w:line="360" w:lineRule="auto"/>
        <w:jc w:val="center"/>
        <w:rPr>
          <w:rFonts w:ascii="仿宋" w:hAnsi="仿宋" w:eastAsia="仿宋" w:cs="仿宋"/>
          <w:color w:val="auto"/>
          <w:sz w:val="28"/>
          <w:szCs w:val="28"/>
          <w:highlight w:val="none"/>
        </w:rPr>
      </w:pPr>
      <w:r>
        <w:rPr>
          <w:rFonts w:hint="eastAsia" w:ascii="宋体" w:hAnsi="宋体"/>
          <w:color w:val="auto"/>
          <w:highlight w:val="none"/>
        </w:rPr>
        <w:br w:type="page"/>
      </w:r>
      <w:bookmarkStart w:id="220" w:name="_Toc27720"/>
      <w:bookmarkStart w:id="221" w:name="_Toc3940"/>
      <w:r>
        <w:rPr>
          <w:rFonts w:hint="eastAsia" w:ascii="仿宋" w:hAnsi="仿宋" w:eastAsia="仿宋" w:cs="仿宋"/>
          <w:b/>
          <w:bCs/>
          <w:color w:val="auto"/>
          <w:sz w:val="32"/>
          <w:szCs w:val="32"/>
          <w:highlight w:val="none"/>
        </w:rPr>
        <w:t>第一部分 合同协议书</w:t>
      </w:r>
      <w:bookmarkEnd w:id="220"/>
      <w:bookmarkEnd w:id="221"/>
    </w:p>
    <w:p w14:paraId="5E2C20E3">
      <w:pPr>
        <w:snapToGrid w:val="0"/>
        <w:spacing w:line="400" w:lineRule="exact"/>
        <w:jc w:val="center"/>
        <w:rPr>
          <w:rFonts w:ascii="宋体" w:cs="宋体"/>
          <w:b/>
          <w:bCs/>
          <w:color w:val="auto"/>
          <w:sz w:val="24"/>
          <w:highlight w:val="none"/>
        </w:rPr>
      </w:pPr>
    </w:p>
    <w:p w14:paraId="178B7D7C">
      <w:pPr>
        <w:spacing w:line="440" w:lineRule="exact"/>
        <w:rPr>
          <w:rFonts w:hint="eastAsia" w:ascii="宋体" w:hAnsi="宋体" w:cs="宋体" w:eastAsiaTheme="minorEastAsia"/>
          <w:color w:val="auto"/>
          <w:sz w:val="24"/>
          <w:szCs w:val="24"/>
          <w:highlight w:val="none"/>
          <w:u w:val="single"/>
          <w:lang w:eastAsia="zh-CN"/>
        </w:rPr>
      </w:pPr>
      <w:r>
        <w:rPr>
          <w:rFonts w:hint="eastAsia" w:ascii="宋体" w:hAnsi="宋体" w:cs="宋体"/>
          <w:color w:val="auto"/>
          <w:sz w:val="24"/>
          <w:szCs w:val="24"/>
          <w:highlight w:val="none"/>
        </w:rPr>
        <w:t>发包人（全称）：</w:t>
      </w:r>
    </w:p>
    <w:p w14:paraId="47C6CF3C">
      <w:pPr>
        <w:spacing w:line="44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承包人（全称）：</w:t>
      </w:r>
      <w:r>
        <w:rPr>
          <w:rFonts w:hint="eastAsia" w:ascii="宋体" w:hAnsi="宋体" w:cs="宋体"/>
          <w:color w:val="auto"/>
          <w:sz w:val="24"/>
          <w:szCs w:val="24"/>
          <w:highlight w:val="none"/>
          <w:u w:val="single"/>
        </w:rPr>
        <w:t xml:space="preserve">                 </w:t>
      </w:r>
    </w:p>
    <w:p w14:paraId="4D883412">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根据《中华人民共和国民法典》、《中华人民共和国建筑法》及有关法律规定，遵循平等、自愿、公平和诚实信用的原则，双方就</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施工及有关事项协商一致，共同达成如下协议：</w:t>
      </w:r>
    </w:p>
    <w:p w14:paraId="1336F697">
      <w:pPr>
        <w:spacing w:line="440" w:lineRule="exact"/>
        <w:ind w:firstLine="482" w:firstLineChars="200"/>
        <w:outlineLvl w:val="2"/>
        <w:rPr>
          <w:rFonts w:ascii="宋体" w:hAnsi="宋体" w:cs="宋体"/>
          <w:b/>
          <w:bCs/>
          <w:color w:val="auto"/>
          <w:sz w:val="24"/>
          <w:szCs w:val="24"/>
          <w:highlight w:val="none"/>
        </w:rPr>
      </w:pPr>
      <w:bookmarkStart w:id="222" w:name="_Toc51599533"/>
      <w:r>
        <w:rPr>
          <w:rFonts w:hint="eastAsia" w:ascii="宋体" w:hAnsi="宋体" w:cs="宋体"/>
          <w:b/>
          <w:bCs/>
          <w:color w:val="auto"/>
          <w:sz w:val="24"/>
          <w:szCs w:val="24"/>
          <w:highlight w:val="none"/>
        </w:rPr>
        <w:t>一、工程概况</w:t>
      </w:r>
      <w:bookmarkEnd w:id="222"/>
    </w:p>
    <w:p w14:paraId="0A4CC2D0">
      <w:pPr>
        <w:spacing w:line="440" w:lineRule="exact"/>
        <w:ind w:firstLine="470" w:firstLineChars="196"/>
        <w:rPr>
          <w:rFonts w:ascii="宋体" w:hAnsi="宋体" w:cs="宋体"/>
          <w:color w:val="auto"/>
          <w:sz w:val="24"/>
          <w:szCs w:val="24"/>
          <w:highlight w:val="none"/>
          <w:u w:val="single"/>
        </w:rPr>
      </w:pPr>
      <w:r>
        <w:rPr>
          <w:rFonts w:hint="eastAsia" w:ascii="宋体" w:hAnsi="宋体" w:cs="宋体"/>
          <w:color w:val="auto"/>
          <w:sz w:val="24"/>
          <w:szCs w:val="24"/>
          <w:highlight w:val="none"/>
        </w:rPr>
        <w:t>1. 工程名称：</w:t>
      </w:r>
      <w:r>
        <w:rPr>
          <w:rFonts w:hint="eastAsia" w:ascii="宋体" w:hAnsi="宋体" w:cs="宋体"/>
          <w:bCs/>
          <w:color w:val="auto"/>
          <w:sz w:val="24"/>
          <w:szCs w:val="24"/>
          <w:highlight w:val="none"/>
          <w:u w:val="single"/>
        </w:rPr>
        <w:t xml:space="preserve">               </w:t>
      </w:r>
      <w:r>
        <w:rPr>
          <w:rFonts w:hint="eastAsia" w:ascii="宋体" w:hAnsi="宋体" w:cs="宋体"/>
          <w:color w:val="auto"/>
          <w:sz w:val="24"/>
          <w:szCs w:val="24"/>
          <w:highlight w:val="none"/>
        </w:rPr>
        <w:t>。</w:t>
      </w:r>
    </w:p>
    <w:p w14:paraId="3BE35026">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 工程地点：</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281045BB">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 资金来源：</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0A74EF54">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 工程内容：</w:t>
      </w:r>
      <w:r>
        <w:rPr>
          <w:rFonts w:hint="eastAsia" w:ascii="宋体" w:hAnsi="宋体" w:cs="宋体"/>
          <w:color w:val="auto"/>
          <w:sz w:val="24"/>
          <w:szCs w:val="24"/>
          <w:highlight w:val="none"/>
          <w:u w:val="single"/>
        </w:rPr>
        <w:t xml:space="preserve">详见竞争性磋商文件、招标工程量清单及工程施工图设计  </w:t>
      </w:r>
      <w:r>
        <w:rPr>
          <w:rFonts w:hint="eastAsia" w:ascii="宋体" w:hAnsi="宋体" w:cs="宋体"/>
          <w:color w:val="auto"/>
          <w:sz w:val="24"/>
          <w:szCs w:val="24"/>
          <w:highlight w:val="none"/>
        </w:rPr>
        <w:t>。</w:t>
      </w:r>
    </w:p>
    <w:p w14:paraId="1F2295CA">
      <w:pPr>
        <w:spacing w:line="440" w:lineRule="exact"/>
        <w:ind w:firstLine="482" w:firstLineChars="200"/>
        <w:outlineLvl w:val="2"/>
        <w:rPr>
          <w:rFonts w:ascii="宋体" w:hAnsi="宋体" w:cs="宋体"/>
          <w:b/>
          <w:bCs/>
          <w:color w:val="auto"/>
          <w:sz w:val="24"/>
          <w:szCs w:val="24"/>
          <w:highlight w:val="none"/>
        </w:rPr>
      </w:pPr>
      <w:bookmarkStart w:id="223" w:name="_Toc51599534"/>
      <w:r>
        <w:rPr>
          <w:rFonts w:hint="eastAsia" w:ascii="宋体" w:hAnsi="宋体" w:cs="宋体"/>
          <w:b/>
          <w:bCs/>
          <w:color w:val="auto"/>
          <w:sz w:val="24"/>
          <w:szCs w:val="24"/>
          <w:highlight w:val="none"/>
        </w:rPr>
        <w:t>二、合同工期</w:t>
      </w:r>
      <w:bookmarkEnd w:id="223"/>
    </w:p>
    <w:p w14:paraId="609BC432">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计划开工日期：</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日。（具体以发包人书面通知为准）</w:t>
      </w:r>
    </w:p>
    <w:p w14:paraId="6F30A02F">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计划竣工日期：</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w:t>
      </w:r>
    </w:p>
    <w:p w14:paraId="68429B4E">
      <w:pPr>
        <w:spacing w:line="440" w:lineRule="exact"/>
        <w:ind w:firstLine="459"/>
        <w:rPr>
          <w:rFonts w:ascii="宋体" w:hAnsi="宋体" w:cs="宋体"/>
          <w:color w:val="auto"/>
          <w:sz w:val="24"/>
          <w:szCs w:val="24"/>
          <w:highlight w:val="none"/>
        </w:rPr>
      </w:pPr>
      <w:r>
        <w:rPr>
          <w:rFonts w:hint="eastAsia" w:ascii="宋体" w:hAnsi="宋体" w:cs="宋体"/>
          <w:color w:val="auto"/>
          <w:sz w:val="24"/>
          <w:szCs w:val="24"/>
          <w:highlight w:val="none"/>
        </w:rPr>
        <w:t>工期总日历天数：</w:t>
      </w:r>
      <w:r>
        <w:rPr>
          <w:rFonts w:hint="eastAsia" w:ascii="宋体" w:hAnsi="宋体" w:cs="宋体"/>
          <w:color w:val="auto"/>
          <w:sz w:val="24"/>
          <w:szCs w:val="24"/>
          <w:highlight w:val="none"/>
          <w:u w:val="single"/>
          <w:lang w:val="en-US" w:eastAsia="zh-CN"/>
        </w:rPr>
        <w:t>90日历天</w:t>
      </w:r>
      <w:r>
        <w:rPr>
          <w:rFonts w:hint="eastAsia" w:ascii="宋体" w:hAnsi="宋体" w:cs="宋体"/>
          <w:color w:val="auto"/>
          <w:sz w:val="24"/>
          <w:szCs w:val="24"/>
          <w:highlight w:val="none"/>
        </w:rPr>
        <w:t>。工期总日历天数与根据前述计划开竣工日期计算的工期天数不一致的，以工期总日历天数为准。</w:t>
      </w:r>
    </w:p>
    <w:p w14:paraId="3806BC99">
      <w:pPr>
        <w:spacing w:line="440" w:lineRule="exact"/>
        <w:ind w:firstLine="482" w:firstLineChars="200"/>
        <w:outlineLvl w:val="2"/>
        <w:rPr>
          <w:rFonts w:ascii="宋体" w:hAnsi="宋体" w:cs="宋体"/>
          <w:b/>
          <w:bCs/>
          <w:color w:val="auto"/>
          <w:sz w:val="24"/>
          <w:szCs w:val="24"/>
          <w:highlight w:val="none"/>
        </w:rPr>
      </w:pPr>
      <w:bookmarkStart w:id="224" w:name="_Toc51599535"/>
      <w:r>
        <w:rPr>
          <w:rFonts w:hint="eastAsia" w:ascii="宋体" w:hAnsi="宋体" w:cs="宋体"/>
          <w:b/>
          <w:bCs/>
          <w:color w:val="auto"/>
          <w:sz w:val="24"/>
          <w:szCs w:val="24"/>
          <w:highlight w:val="none"/>
        </w:rPr>
        <w:t>三、质量标准</w:t>
      </w:r>
      <w:bookmarkEnd w:id="224"/>
    </w:p>
    <w:p w14:paraId="76F245BB">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工程质量符合</w:t>
      </w:r>
      <w:r>
        <w:rPr>
          <w:rFonts w:hint="eastAsia" w:ascii="宋体" w:hAnsi="宋体" w:cs="宋体"/>
          <w:color w:val="auto"/>
          <w:sz w:val="24"/>
          <w:szCs w:val="24"/>
          <w:highlight w:val="none"/>
          <w:u w:val="single"/>
        </w:rPr>
        <w:t xml:space="preserve">  达到国家和行业颁发的施工及验收规程规范要求  </w:t>
      </w:r>
      <w:r>
        <w:rPr>
          <w:rFonts w:hint="eastAsia" w:ascii="宋体" w:hAnsi="宋体" w:cs="宋体"/>
          <w:color w:val="auto"/>
          <w:sz w:val="24"/>
          <w:szCs w:val="24"/>
          <w:highlight w:val="none"/>
        </w:rPr>
        <w:t>标准。</w:t>
      </w:r>
    </w:p>
    <w:p w14:paraId="52FABDEF">
      <w:pPr>
        <w:spacing w:line="440" w:lineRule="exact"/>
        <w:ind w:firstLine="482" w:firstLineChars="200"/>
        <w:outlineLvl w:val="2"/>
        <w:rPr>
          <w:rFonts w:ascii="宋体" w:hAnsi="宋体" w:cs="宋体"/>
          <w:b/>
          <w:bCs/>
          <w:color w:val="auto"/>
          <w:sz w:val="24"/>
          <w:szCs w:val="24"/>
          <w:highlight w:val="none"/>
        </w:rPr>
      </w:pPr>
      <w:bookmarkStart w:id="225" w:name="_Toc51599536"/>
      <w:r>
        <w:rPr>
          <w:rFonts w:hint="eastAsia" w:ascii="宋体" w:hAnsi="宋体" w:cs="宋体"/>
          <w:b/>
          <w:bCs/>
          <w:color w:val="auto"/>
          <w:sz w:val="24"/>
          <w:szCs w:val="24"/>
          <w:highlight w:val="none"/>
        </w:rPr>
        <w:t>四、合同中标价与合同价格形式</w:t>
      </w:r>
      <w:bookmarkEnd w:id="225"/>
    </w:p>
    <w:p w14:paraId="4491E116">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 合同中标价为：人民币（大写）</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r>
        <w:rPr>
          <w:rFonts w:hint="eastAsia" w:ascii="宋体" w:hAnsi="宋体" w:cs="宋体"/>
          <w:b/>
          <w:bCs/>
          <w:color w:val="auto"/>
          <w:sz w:val="24"/>
          <w:szCs w:val="24"/>
          <w:highlight w:val="none"/>
          <w:u w:val="single"/>
        </w:rPr>
        <w:t xml:space="preserve"> </w:t>
      </w:r>
      <w:r>
        <w:rPr>
          <w:rFonts w:hint="eastAsia" w:ascii="宋体" w:hAnsi="宋体" w:cs="宋体"/>
          <w:color w:val="auto"/>
          <w:sz w:val="24"/>
          <w:szCs w:val="24"/>
          <w:highlight w:val="none"/>
          <w:u w:val="single"/>
        </w:rPr>
        <w:t xml:space="preserve">            </w:t>
      </w:r>
      <w:r>
        <w:rPr>
          <w:rFonts w:hint="eastAsia" w:ascii="宋体" w:hAnsi="宋体" w:cs="宋体"/>
          <w:b/>
          <w:bCs/>
          <w:color w:val="auto"/>
          <w:sz w:val="24"/>
          <w:szCs w:val="24"/>
          <w:highlight w:val="none"/>
          <w:u w:val="single"/>
        </w:rPr>
        <w:t xml:space="preserve"> </w:t>
      </w:r>
      <w:r>
        <w:rPr>
          <w:rFonts w:hint="eastAsia" w:ascii="宋体" w:hAnsi="宋体" w:cs="宋体"/>
          <w:color w:val="auto"/>
          <w:sz w:val="24"/>
          <w:szCs w:val="24"/>
          <w:highlight w:val="none"/>
        </w:rPr>
        <w:t>元）；</w:t>
      </w:r>
    </w:p>
    <w:p w14:paraId="189B4606">
      <w:pPr>
        <w:numPr>
          <w:ilvl w:val="0"/>
          <w:numId w:val="5"/>
        </w:num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合同价格形式：包工包料，</w:t>
      </w:r>
      <w:r>
        <w:rPr>
          <w:rFonts w:hint="eastAsia" w:ascii="宋体" w:hAnsi="宋体" w:cs="宋体"/>
          <w:color w:val="auto"/>
          <w:sz w:val="24"/>
          <w:szCs w:val="24"/>
          <w:highlight w:val="none"/>
          <w:lang w:eastAsia="zh-CN"/>
        </w:rPr>
        <w:t>单价固定</w:t>
      </w:r>
      <w:r>
        <w:rPr>
          <w:rFonts w:hint="eastAsia" w:ascii="宋体" w:hAnsi="宋体" w:cs="宋体"/>
          <w:color w:val="auto"/>
          <w:sz w:val="24"/>
          <w:szCs w:val="24"/>
          <w:highlight w:val="none"/>
          <w:lang w:val="en-US" w:eastAsia="zh-CN"/>
        </w:rPr>
        <w:t>。</w:t>
      </w:r>
    </w:p>
    <w:p w14:paraId="6E297D22">
      <w:pPr>
        <w:spacing w:line="440" w:lineRule="exact"/>
        <w:ind w:firstLine="482" w:firstLineChars="200"/>
        <w:outlineLvl w:val="2"/>
        <w:rPr>
          <w:rFonts w:ascii="宋体" w:hAnsi="宋体" w:cs="宋体"/>
          <w:b/>
          <w:bCs/>
          <w:color w:val="auto"/>
          <w:sz w:val="24"/>
          <w:szCs w:val="24"/>
          <w:highlight w:val="none"/>
        </w:rPr>
      </w:pPr>
      <w:bookmarkStart w:id="226" w:name="_Toc351203485"/>
      <w:bookmarkStart w:id="227" w:name="_Toc51599537"/>
      <w:r>
        <w:rPr>
          <w:rFonts w:hint="eastAsia" w:ascii="宋体" w:hAnsi="宋体" w:cs="宋体"/>
          <w:b/>
          <w:bCs/>
          <w:color w:val="auto"/>
          <w:sz w:val="24"/>
          <w:szCs w:val="24"/>
          <w:highlight w:val="none"/>
        </w:rPr>
        <w:t>五、</w:t>
      </w:r>
      <w:bookmarkEnd w:id="226"/>
      <w:r>
        <w:rPr>
          <w:rFonts w:hint="eastAsia" w:ascii="宋体" w:hAnsi="宋体" w:cs="宋体"/>
          <w:b/>
          <w:bCs/>
          <w:color w:val="auto"/>
          <w:sz w:val="24"/>
          <w:szCs w:val="24"/>
          <w:highlight w:val="none"/>
        </w:rPr>
        <w:t>项目经理</w:t>
      </w:r>
      <w:bookmarkEnd w:id="227"/>
    </w:p>
    <w:p w14:paraId="18608B43">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承包人项目经理：</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729AFAF2">
      <w:pPr>
        <w:spacing w:line="440" w:lineRule="exact"/>
        <w:ind w:firstLine="482" w:firstLineChars="200"/>
        <w:outlineLvl w:val="2"/>
        <w:rPr>
          <w:rFonts w:ascii="宋体" w:hAnsi="宋体" w:cs="宋体"/>
          <w:b/>
          <w:bCs/>
          <w:color w:val="auto"/>
          <w:sz w:val="24"/>
          <w:szCs w:val="24"/>
          <w:highlight w:val="none"/>
        </w:rPr>
      </w:pPr>
      <w:bookmarkStart w:id="228" w:name="_Toc51599538"/>
      <w:r>
        <w:rPr>
          <w:rFonts w:hint="eastAsia" w:ascii="宋体" w:hAnsi="宋体" w:cs="宋体"/>
          <w:b/>
          <w:bCs/>
          <w:color w:val="auto"/>
          <w:sz w:val="24"/>
          <w:szCs w:val="24"/>
          <w:highlight w:val="none"/>
        </w:rPr>
        <w:t>六、合同文件构成</w:t>
      </w:r>
      <w:bookmarkEnd w:id="228"/>
    </w:p>
    <w:p w14:paraId="01E577F9">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本协议书与下列文件一起构成合同文件：</w:t>
      </w:r>
    </w:p>
    <w:p w14:paraId="03BF923D">
      <w:pPr>
        <w:autoSpaceDE w:val="0"/>
        <w:autoSpaceDN w:val="0"/>
        <w:adjustRightInd w:val="0"/>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（1）成交通知书（如有）；</w:t>
      </w:r>
    </w:p>
    <w:p w14:paraId="5E2AF7A2">
      <w:pPr>
        <w:autoSpaceDE w:val="0"/>
        <w:autoSpaceDN w:val="0"/>
        <w:adjustRightInd w:val="0"/>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（2）磋商函及其附录（如有）； </w:t>
      </w:r>
    </w:p>
    <w:p w14:paraId="0E7E0CB1">
      <w:pPr>
        <w:autoSpaceDE w:val="0"/>
        <w:autoSpaceDN w:val="0"/>
        <w:adjustRightInd w:val="0"/>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（3）专用合同条款及其附件；</w:t>
      </w:r>
    </w:p>
    <w:p w14:paraId="22A3EF5D">
      <w:pPr>
        <w:autoSpaceDE w:val="0"/>
        <w:autoSpaceDN w:val="0"/>
        <w:adjustRightInd w:val="0"/>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（4）通用合同条款；</w:t>
      </w:r>
    </w:p>
    <w:p w14:paraId="70350B26">
      <w:pPr>
        <w:autoSpaceDE w:val="0"/>
        <w:autoSpaceDN w:val="0"/>
        <w:adjustRightInd w:val="0"/>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（5）技术标准和要求；</w:t>
      </w:r>
    </w:p>
    <w:p w14:paraId="1EFC918F">
      <w:pPr>
        <w:autoSpaceDE w:val="0"/>
        <w:autoSpaceDN w:val="0"/>
        <w:adjustRightInd w:val="0"/>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（6）已标价工程量清单或预算书； </w:t>
      </w:r>
    </w:p>
    <w:p w14:paraId="6F74F81A">
      <w:pPr>
        <w:autoSpaceDE w:val="0"/>
        <w:autoSpaceDN w:val="0"/>
        <w:adjustRightInd w:val="0"/>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（7）图纸；</w:t>
      </w:r>
    </w:p>
    <w:p w14:paraId="7771FA38">
      <w:pPr>
        <w:autoSpaceDE w:val="0"/>
        <w:autoSpaceDN w:val="0"/>
        <w:adjustRightInd w:val="0"/>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（8）其他合同文件：</w:t>
      </w:r>
    </w:p>
    <w:p w14:paraId="0E75F2E9">
      <w:pPr>
        <w:autoSpaceDE w:val="0"/>
        <w:autoSpaceDN w:val="0"/>
        <w:adjustRightInd w:val="0"/>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磋商文件及附件（含所有补充通知）；</w:t>
      </w:r>
    </w:p>
    <w:p w14:paraId="6BC7B7E9">
      <w:pPr>
        <w:autoSpaceDE w:val="0"/>
        <w:autoSpaceDN w:val="0"/>
        <w:adjustRightInd w:val="0"/>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在合同订立及履行过程中形成的与合同有关的文件均构成合同文件组成部分。</w:t>
      </w:r>
    </w:p>
    <w:p w14:paraId="6CBFC250">
      <w:pPr>
        <w:autoSpaceDE w:val="0"/>
        <w:autoSpaceDN w:val="0"/>
        <w:adjustRightInd w:val="0"/>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上述各项合同文件包括合同当事人就该项合同文件所作出的补充和修改，属于同一类内容的文件，应以最新签署的为准。专用合同条款及其附件须经合同当事人签字或盖章。</w:t>
      </w:r>
    </w:p>
    <w:p w14:paraId="3E1B515E">
      <w:pPr>
        <w:spacing w:line="440" w:lineRule="exact"/>
        <w:ind w:firstLine="482" w:firstLineChars="200"/>
        <w:outlineLvl w:val="2"/>
        <w:rPr>
          <w:rFonts w:ascii="宋体" w:hAnsi="宋体" w:cs="宋体"/>
          <w:b/>
          <w:bCs/>
          <w:color w:val="auto"/>
          <w:sz w:val="24"/>
          <w:szCs w:val="24"/>
          <w:highlight w:val="none"/>
        </w:rPr>
      </w:pPr>
      <w:bookmarkStart w:id="229" w:name="_Toc51599539"/>
      <w:r>
        <w:rPr>
          <w:rFonts w:hint="eastAsia" w:ascii="宋体" w:hAnsi="宋体" w:cs="宋体"/>
          <w:b/>
          <w:bCs/>
          <w:color w:val="auto"/>
          <w:sz w:val="24"/>
          <w:szCs w:val="24"/>
          <w:highlight w:val="none"/>
        </w:rPr>
        <w:t>七、承诺</w:t>
      </w:r>
      <w:bookmarkEnd w:id="229"/>
    </w:p>
    <w:p w14:paraId="5BC01416">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 发包人承诺按照法律规定履行项目审批手续、筹集工程建设资金并按照合同约定的期限和方式支付合同价款。</w:t>
      </w:r>
    </w:p>
    <w:p w14:paraId="5B00955F">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 承包人承诺按照法律规定及合同约定组织完成工程施工，确保工程质量和安全，不进行转包及违法分包，并在缺陷责任期及保修期内承担相应的工程维修责任。</w:t>
      </w:r>
    </w:p>
    <w:p w14:paraId="18DC52F9">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 发包人和承包人通过招投标形式签订合同的，双方理解并承诺不再就同一工程另行签订与合同实质性内容相背离的协议。</w:t>
      </w:r>
    </w:p>
    <w:p w14:paraId="139DD922">
      <w:pPr>
        <w:spacing w:line="42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4.为施工单位提供现场施工用电，用水及解决材料堆放问题。</w:t>
      </w:r>
    </w:p>
    <w:p w14:paraId="2F4F2952">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本协议书中词语含义与第二部分通用合同条款中赋予的含义相同。</w:t>
      </w:r>
    </w:p>
    <w:p w14:paraId="66489587">
      <w:pPr>
        <w:spacing w:line="440" w:lineRule="exact"/>
        <w:ind w:firstLine="482" w:firstLineChars="200"/>
        <w:outlineLvl w:val="2"/>
        <w:rPr>
          <w:rFonts w:ascii="宋体" w:hAnsi="宋体" w:cs="宋体"/>
          <w:b/>
          <w:bCs/>
          <w:color w:val="auto"/>
          <w:sz w:val="24"/>
          <w:szCs w:val="24"/>
          <w:highlight w:val="none"/>
        </w:rPr>
      </w:pPr>
      <w:bookmarkStart w:id="230" w:name="_Toc51599541"/>
      <w:r>
        <w:rPr>
          <w:rFonts w:hint="eastAsia" w:ascii="宋体" w:hAnsi="宋体" w:cs="宋体"/>
          <w:b/>
          <w:bCs/>
          <w:color w:val="auto"/>
          <w:sz w:val="24"/>
          <w:szCs w:val="24"/>
          <w:highlight w:val="none"/>
        </w:rPr>
        <w:t>九、签订时间</w:t>
      </w:r>
      <w:bookmarkEnd w:id="230"/>
    </w:p>
    <w:p w14:paraId="1C5B4A86">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本合同于</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日签订。</w:t>
      </w:r>
    </w:p>
    <w:p w14:paraId="5A5DD9FF">
      <w:pPr>
        <w:spacing w:line="440" w:lineRule="exact"/>
        <w:ind w:firstLine="482" w:firstLineChars="200"/>
        <w:outlineLvl w:val="2"/>
        <w:rPr>
          <w:rFonts w:ascii="宋体" w:hAnsi="宋体" w:cs="宋体"/>
          <w:b/>
          <w:bCs/>
          <w:color w:val="auto"/>
          <w:sz w:val="24"/>
          <w:szCs w:val="24"/>
          <w:highlight w:val="none"/>
        </w:rPr>
      </w:pPr>
      <w:bookmarkStart w:id="231" w:name="_Toc51599542"/>
      <w:r>
        <w:rPr>
          <w:rFonts w:hint="eastAsia" w:ascii="宋体" w:hAnsi="宋体" w:cs="宋体"/>
          <w:b/>
          <w:bCs/>
          <w:color w:val="auto"/>
          <w:sz w:val="24"/>
          <w:szCs w:val="24"/>
          <w:highlight w:val="none"/>
        </w:rPr>
        <w:t>十、签订地点</w:t>
      </w:r>
      <w:bookmarkEnd w:id="231"/>
    </w:p>
    <w:p w14:paraId="57BF4257">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本合同在</w:t>
      </w:r>
      <w:r>
        <w:rPr>
          <w:rFonts w:hint="eastAsia" w:ascii="宋体" w:hAnsi="宋体" w:cs="宋体"/>
          <w:color w:val="auto"/>
          <w:sz w:val="24"/>
          <w:szCs w:val="24"/>
          <w:highlight w:val="none"/>
          <w:u w:val="single"/>
        </w:rPr>
        <w:t xml:space="preserve">  梧州市  </w:t>
      </w:r>
      <w:r>
        <w:rPr>
          <w:rFonts w:hint="eastAsia" w:ascii="宋体" w:hAnsi="宋体" w:cs="宋体"/>
          <w:color w:val="auto"/>
          <w:sz w:val="24"/>
          <w:szCs w:val="24"/>
          <w:highlight w:val="none"/>
        </w:rPr>
        <w:t>签订。</w:t>
      </w:r>
    </w:p>
    <w:p w14:paraId="4DDE5217">
      <w:pPr>
        <w:spacing w:line="360" w:lineRule="auto"/>
        <w:ind w:firstLine="482" w:firstLineChars="200"/>
        <w:outlineLvl w:val="2"/>
        <w:rPr>
          <w:rFonts w:ascii="宋体" w:hAnsi="宋体" w:cs="宋体"/>
          <w:b/>
          <w:bCs/>
          <w:color w:val="auto"/>
          <w:sz w:val="24"/>
          <w:szCs w:val="24"/>
          <w:highlight w:val="none"/>
        </w:rPr>
      </w:pPr>
      <w:bookmarkStart w:id="232" w:name="_Toc51599543"/>
      <w:r>
        <w:rPr>
          <w:rFonts w:hint="eastAsia" w:ascii="宋体" w:hAnsi="宋体" w:cs="宋体"/>
          <w:b/>
          <w:bCs/>
          <w:color w:val="auto"/>
          <w:sz w:val="24"/>
          <w:szCs w:val="24"/>
          <w:highlight w:val="none"/>
        </w:rPr>
        <w:t>十一、补充协议</w:t>
      </w:r>
    </w:p>
    <w:p w14:paraId="78A48C43">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合同未尽事宜，合同当事人另行签订补充协议，补充协议是合同的组成部分。</w:t>
      </w:r>
    </w:p>
    <w:bookmarkEnd w:id="232"/>
    <w:p w14:paraId="3E2D84E8">
      <w:pPr>
        <w:spacing w:line="440" w:lineRule="exact"/>
        <w:ind w:firstLine="482" w:firstLineChars="200"/>
        <w:outlineLvl w:val="2"/>
        <w:rPr>
          <w:rFonts w:ascii="宋体" w:hAnsi="宋体" w:cs="宋体"/>
          <w:b/>
          <w:bCs/>
          <w:color w:val="auto"/>
          <w:sz w:val="24"/>
          <w:szCs w:val="24"/>
          <w:highlight w:val="none"/>
        </w:rPr>
      </w:pPr>
      <w:bookmarkStart w:id="233" w:name="_Toc51599544"/>
      <w:r>
        <w:rPr>
          <w:rFonts w:hint="eastAsia" w:ascii="宋体" w:hAnsi="宋体" w:cs="宋体"/>
          <w:b/>
          <w:bCs/>
          <w:color w:val="auto"/>
          <w:sz w:val="24"/>
          <w:szCs w:val="24"/>
          <w:highlight w:val="none"/>
        </w:rPr>
        <w:t>十二、合同生效</w:t>
      </w:r>
      <w:bookmarkEnd w:id="233"/>
    </w:p>
    <w:p w14:paraId="3D6C598A">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本合同自</w:t>
      </w:r>
      <w:r>
        <w:rPr>
          <w:rFonts w:hint="eastAsia" w:ascii="宋体" w:hAnsi="宋体" w:cs="宋体"/>
          <w:color w:val="auto"/>
          <w:sz w:val="24"/>
          <w:szCs w:val="24"/>
          <w:highlight w:val="none"/>
          <w:u w:val="single"/>
        </w:rPr>
        <w:t xml:space="preserve">  双方法定代表人或其委托代理人签字并盖公章之日  </w:t>
      </w:r>
      <w:r>
        <w:rPr>
          <w:rFonts w:hint="eastAsia" w:ascii="宋体" w:hAnsi="宋体" w:cs="宋体"/>
          <w:color w:val="auto"/>
          <w:sz w:val="24"/>
          <w:szCs w:val="24"/>
          <w:highlight w:val="none"/>
        </w:rPr>
        <w:t>生效。</w:t>
      </w:r>
    </w:p>
    <w:p w14:paraId="6A1C419E">
      <w:pPr>
        <w:spacing w:line="440" w:lineRule="exact"/>
        <w:ind w:firstLine="482" w:firstLineChars="200"/>
        <w:outlineLvl w:val="2"/>
        <w:rPr>
          <w:rFonts w:ascii="宋体" w:hAnsi="宋体" w:cs="宋体"/>
          <w:b/>
          <w:bCs/>
          <w:color w:val="auto"/>
          <w:sz w:val="24"/>
          <w:szCs w:val="24"/>
          <w:highlight w:val="none"/>
        </w:rPr>
      </w:pPr>
      <w:bookmarkStart w:id="234" w:name="_Toc51599545"/>
      <w:r>
        <w:rPr>
          <w:rFonts w:hint="eastAsia" w:ascii="宋体" w:hAnsi="宋体" w:cs="宋体"/>
          <w:b/>
          <w:bCs/>
          <w:color w:val="auto"/>
          <w:sz w:val="24"/>
          <w:szCs w:val="24"/>
          <w:highlight w:val="none"/>
        </w:rPr>
        <w:t>十三、合同份数</w:t>
      </w:r>
      <w:bookmarkEnd w:id="234"/>
    </w:p>
    <w:p w14:paraId="64835D7E">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本合同一式</w:t>
      </w:r>
      <w:r>
        <w:rPr>
          <w:rFonts w:hint="eastAsia" w:ascii="宋体" w:hAnsi="宋体" w:cs="宋体"/>
          <w:color w:val="auto"/>
          <w:sz w:val="24"/>
          <w:szCs w:val="24"/>
          <w:highlight w:val="none"/>
          <w:u w:val="single"/>
        </w:rPr>
        <w:t xml:space="preserve">  捌  </w:t>
      </w:r>
      <w:r>
        <w:rPr>
          <w:rFonts w:hint="eastAsia" w:ascii="宋体" w:hAnsi="宋体" w:cs="宋体"/>
          <w:color w:val="auto"/>
          <w:sz w:val="24"/>
          <w:szCs w:val="24"/>
          <w:highlight w:val="none"/>
        </w:rPr>
        <w:t>份，均具有同等法律效力，发包人执</w:t>
      </w:r>
      <w:r>
        <w:rPr>
          <w:rFonts w:hint="eastAsia" w:ascii="宋体" w:hAnsi="宋体" w:cs="宋体"/>
          <w:color w:val="auto"/>
          <w:sz w:val="24"/>
          <w:szCs w:val="24"/>
          <w:highlight w:val="none"/>
          <w:u w:val="single"/>
        </w:rPr>
        <w:t xml:space="preserve">  肆  </w:t>
      </w:r>
      <w:r>
        <w:rPr>
          <w:rFonts w:hint="eastAsia" w:ascii="宋体" w:hAnsi="宋体" w:cs="宋体"/>
          <w:color w:val="auto"/>
          <w:sz w:val="24"/>
          <w:szCs w:val="24"/>
          <w:highlight w:val="none"/>
        </w:rPr>
        <w:t>份，承包人执</w:t>
      </w:r>
      <w:r>
        <w:rPr>
          <w:rFonts w:hint="eastAsia" w:ascii="宋体" w:hAnsi="宋体" w:cs="宋体"/>
          <w:color w:val="auto"/>
          <w:sz w:val="24"/>
          <w:szCs w:val="24"/>
          <w:highlight w:val="none"/>
          <w:u w:val="single"/>
        </w:rPr>
        <w:t xml:space="preserve">  肆  </w:t>
      </w:r>
      <w:r>
        <w:rPr>
          <w:rFonts w:hint="eastAsia" w:ascii="宋体" w:hAnsi="宋体" w:cs="宋体"/>
          <w:color w:val="auto"/>
          <w:sz w:val="24"/>
          <w:szCs w:val="24"/>
          <w:highlight w:val="none"/>
        </w:rPr>
        <w:t>份。</w:t>
      </w:r>
    </w:p>
    <w:p w14:paraId="740604E9">
      <w:pPr>
        <w:spacing w:line="440" w:lineRule="exact"/>
        <w:ind w:right="-733" w:rightChars="-349"/>
        <w:rPr>
          <w:rFonts w:ascii="宋体" w:hAnsi="宋体" w:cs="宋体"/>
          <w:color w:val="auto"/>
          <w:sz w:val="24"/>
          <w:szCs w:val="24"/>
          <w:highlight w:val="none"/>
        </w:rPr>
      </w:pPr>
    </w:p>
    <w:p w14:paraId="6BE50D0B">
      <w:pPr>
        <w:spacing w:line="440" w:lineRule="exact"/>
        <w:ind w:right="-733" w:rightChars="-349"/>
        <w:rPr>
          <w:rFonts w:ascii="宋体" w:hAnsi="宋体" w:cs="宋体"/>
          <w:color w:val="auto"/>
          <w:sz w:val="24"/>
          <w:szCs w:val="24"/>
          <w:highlight w:val="none"/>
        </w:rPr>
      </w:pPr>
      <w:r>
        <w:rPr>
          <w:rFonts w:hint="eastAsia" w:ascii="宋体" w:hAnsi="宋体" w:cs="宋体"/>
          <w:color w:val="auto"/>
          <w:sz w:val="24"/>
          <w:szCs w:val="24"/>
          <w:highlight w:val="none"/>
        </w:rPr>
        <w:t>发包人：</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 xml:space="preserve">（公章） </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承包人：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（公章）</w:t>
      </w:r>
    </w:p>
    <w:p w14:paraId="65587F1C">
      <w:pPr>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法定代表人（签字或盖章）：                  法定代表人（签字或盖章）：</w:t>
      </w:r>
    </w:p>
    <w:p w14:paraId="7A43423B">
      <w:pPr>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 xml:space="preserve">                               </w:t>
      </w:r>
    </w:p>
    <w:p w14:paraId="7240AC25">
      <w:pPr>
        <w:tabs>
          <w:tab w:val="left" w:pos="4410"/>
        </w:tabs>
        <w:spacing w:line="440" w:lineRule="exact"/>
        <w:ind w:right="-733" w:rightChars="-349"/>
        <w:rPr>
          <w:rFonts w:hint="eastAsia" w:ascii="宋体" w:hAnsi="宋体" w:cs="宋体"/>
          <w:bCs/>
          <w:color w:val="auto"/>
          <w:sz w:val="24"/>
          <w:szCs w:val="24"/>
          <w:highlight w:val="none"/>
          <w:u w:val="single"/>
        </w:rPr>
      </w:pPr>
      <w:r>
        <w:rPr>
          <w:rFonts w:hint="eastAsia" w:ascii="宋体" w:hAnsi="宋体" w:cs="宋体"/>
          <w:color w:val="auto"/>
          <w:sz w:val="24"/>
          <w:szCs w:val="24"/>
          <w:highlight w:val="none"/>
        </w:rPr>
        <w:t>统一社会信用代码：</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 xml:space="preserve">   统一社会信用代码：</w:t>
      </w:r>
    </w:p>
    <w:p w14:paraId="33D1F30E">
      <w:pPr>
        <w:spacing w:line="440" w:lineRule="exact"/>
        <w:ind w:right="-512" w:rightChars="-244"/>
        <w:jc w:val="both"/>
        <w:rPr>
          <w:rFonts w:ascii="宋体" w:hAnsi="宋体" w:cs="宋体"/>
          <w:color w:val="auto"/>
          <w:sz w:val="24"/>
          <w:szCs w:val="24"/>
          <w:highlight w:val="none"/>
        </w:rPr>
      </w:pPr>
      <w:r>
        <w:rPr>
          <w:rFonts w:hint="eastAsia" w:ascii="宋体" w:hAnsi="宋体" w:cs="宋体"/>
          <w:color w:val="auto"/>
          <w:sz w:val="24"/>
          <w:szCs w:val="24"/>
          <w:highlight w:val="none"/>
        </w:rPr>
        <w:t>地  址：</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地  址：</w:t>
      </w:r>
      <w:r>
        <w:rPr>
          <w:rFonts w:hint="eastAsia" w:ascii="宋体" w:hAnsi="宋体" w:cs="宋体"/>
          <w:color w:val="auto"/>
          <w:sz w:val="24"/>
          <w:szCs w:val="24"/>
          <w:highlight w:val="none"/>
          <w:u w:val="single"/>
          <w:lang w:val="en-US" w:eastAsia="zh-CN"/>
        </w:rPr>
        <w:t xml:space="preserve"> </w:t>
      </w:r>
    </w:p>
    <w:p w14:paraId="03CA3A23">
      <w:pPr>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 xml:space="preserve">邮政编码：  </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邮政编码：</w:t>
      </w:r>
      <w:r>
        <w:rPr>
          <w:rFonts w:hint="eastAsia" w:ascii="宋体" w:hAnsi="宋体" w:cs="宋体"/>
          <w:color w:val="auto"/>
          <w:sz w:val="24"/>
          <w:szCs w:val="24"/>
          <w:highlight w:val="none"/>
          <w:u w:val="single"/>
        </w:rPr>
        <w:t xml:space="preserve">        </w:t>
      </w:r>
    </w:p>
    <w:p w14:paraId="259B5B7F">
      <w:pPr>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 xml:space="preserve">电  话：   </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电  话：</w:t>
      </w:r>
      <w:r>
        <w:rPr>
          <w:rFonts w:hint="eastAsia" w:ascii="宋体" w:hAnsi="宋体" w:cs="宋体"/>
          <w:color w:val="auto"/>
          <w:sz w:val="24"/>
          <w:szCs w:val="24"/>
          <w:highlight w:val="none"/>
          <w:u w:val="single"/>
        </w:rPr>
        <w:t xml:space="preserve">        </w:t>
      </w:r>
    </w:p>
    <w:p w14:paraId="321666CB">
      <w:pPr>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 xml:space="preserve">传  真：   </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传  真：</w:t>
      </w:r>
      <w:r>
        <w:rPr>
          <w:rFonts w:hint="eastAsia" w:ascii="宋体" w:hAnsi="宋体" w:cs="宋体"/>
          <w:color w:val="auto"/>
          <w:sz w:val="24"/>
          <w:szCs w:val="24"/>
          <w:highlight w:val="none"/>
          <w:u w:val="single"/>
        </w:rPr>
        <w:t xml:space="preserve">         </w:t>
      </w:r>
    </w:p>
    <w:p w14:paraId="7640889C">
      <w:pPr>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 xml:space="preserve">电子信箱：   </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电子信箱：</w:t>
      </w:r>
      <w:r>
        <w:rPr>
          <w:rFonts w:hint="eastAsia" w:ascii="宋体" w:hAnsi="宋体" w:cs="宋体"/>
          <w:color w:val="auto"/>
          <w:sz w:val="24"/>
          <w:szCs w:val="24"/>
          <w:highlight w:val="none"/>
          <w:u w:val="single"/>
        </w:rPr>
        <w:t xml:space="preserve">  </w:t>
      </w:r>
    </w:p>
    <w:p w14:paraId="07170B76">
      <w:pPr>
        <w:spacing w:line="440" w:lineRule="exact"/>
        <w:ind w:left="6720" w:hanging="6720" w:hangingChars="2800"/>
        <w:rPr>
          <w:rFonts w:ascii="宋体" w:hAnsi="宋体" w:cs="宋体"/>
          <w:color w:val="auto"/>
          <w:sz w:val="24"/>
          <w:szCs w:val="24"/>
          <w:highlight w:val="none"/>
        </w:rPr>
      </w:pPr>
      <w:r>
        <w:rPr>
          <w:rFonts w:hint="eastAsia" w:ascii="宋体" w:hAnsi="宋体" w:cs="宋体"/>
          <w:color w:val="auto"/>
          <w:sz w:val="24"/>
          <w:szCs w:val="24"/>
          <w:highlight w:val="none"/>
        </w:rPr>
        <w:t xml:space="preserve">开户银行：  </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开户银行：</w:t>
      </w:r>
      <w:r>
        <w:rPr>
          <w:rFonts w:hint="eastAsia" w:ascii="宋体" w:hAnsi="宋体" w:cs="宋体"/>
          <w:color w:val="auto"/>
          <w:sz w:val="24"/>
          <w:szCs w:val="24"/>
          <w:highlight w:val="none"/>
          <w:u w:val="single"/>
        </w:rPr>
        <w:t xml:space="preserve">  </w:t>
      </w:r>
    </w:p>
    <w:p w14:paraId="5483931F">
      <w:pPr>
        <w:spacing w:line="44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 xml:space="preserve">账  号：   </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账  号：</w:t>
      </w:r>
      <w:r>
        <w:rPr>
          <w:rFonts w:hint="eastAsia" w:ascii="宋体" w:hAnsi="宋体" w:cs="宋体"/>
          <w:color w:val="auto"/>
          <w:sz w:val="24"/>
          <w:szCs w:val="24"/>
          <w:highlight w:val="none"/>
          <w:u w:val="single"/>
        </w:rPr>
        <w:t xml:space="preserve">  </w:t>
      </w:r>
    </w:p>
    <w:p w14:paraId="085DB48B">
      <w:pPr>
        <w:pStyle w:val="13"/>
        <w:ind w:right="63"/>
        <w:rPr>
          <w:rFonts w:ascii="宋体" w:hAnsi="宋体" w:cs="宋体"/>
          <w:color w:val="auto"/>
          <w:sz w:val="24"/>
          <w:szCs w:val="24"/>
          <w:highlight w:val="none"/>
        </w:rPr>
      </w:pPr>
      <w:bookmarkStart w:id="235" w:name="_Toc487632689"/>
      <w:bookmarkStart w:id="236" w:name="_Toc389065256"/>
      <w:bookmarkStart w:id="237" w:name="_Toc407135192"/>
      <w:bookmarkStart w:id="238" w:name="_Toc373227691"/>
      <w:bookmarkStart w:id="239" w:name="_Toc373478338"/>
    </w:p>
    <w:p w14:paraId="28ACA667">
      <w:pPr>
        <w:rPr>
          <w:rFonts w:ascii="宋体" w:hAnsi="宋体" w:cs="宋体"/>
          <w:color w:val="auto"/>
          <w:sz w:val="24"/>
          <w:szCs w:val="24"/>
          <w:highlight w:val="none"/>
        </w:rPr>
      </w:pPr>
      <w:r>
        <w:rPr>
          <w:rFonts w:hint="eastAsia" w:ascii="宋体" w:hAnsi="宋体" w:cs="宋体"/>
          <w:color w:val="auto"/>
          <w:sz w:val="24"/>
          <w:szCs w:val="24"/>
          <w:highlight w:val="none"/>
        </w:rPr>
        <w:t xml:space="preserve"> </w:t>
      </w:r>
    </w:p>
    <w:p w14:paraId="0924BC78">
      <w:pPr>
        <w:spacing w:line="360" w:lineRule="auto"/>
        <w:ind w:firstLine="480" w:firstLineChars="200"/>
        <w:jc w:val="center"/>
        <w:outlineLvl w:val="2"/>
        <w:rPr>
          <w:rFonts w:ascii="宋体" w:hAnsi="宋体" w:cs="宋体"/>
          <w:color w:val="auto"/>
          <w:kern w:val="0"/>
          <w:sz w:val="28"/>
          <w:szCs w:val="28"/>
          <w:highlight w:val="none"/>
        </w:rPr>
      </w:pPr>
      <w:r>
        <w:rPr>
          <w:rFonts w:hint="eastAsia" w:ascii="宋体" w:hAnsi="宋体" w:cs="宋体"/>
          <w:color w:val="auto"/>
          <w:sz w:val="24"/>
          <w:szCs w:val="24"/>
          <w:highlight w:val="none"/>
        </w:rPr>
        <w:br w:type="page"/>
      </w:r>
      <w:bookmarkStart w:id="240" w:name="_Toc51599546"/>
      <w:r>
        <w:rPr>
          <w:rFonts w:hint="eastAsia" w:ascii="宋体" w:hAnsi="宋体" w:cs="宋体"/>
          <w:b/>
          <w:bCs/>
          <w:color w:val="auto"/>
          <w:sz w:val="28"/>
          <w:szCs w:val="28"/>
          <w:highlight w:val="none"/>
        </w:rPr>
        <w:t>第二部分 通用合同条款</w:t>
      </w:r>
      <w:bookmarkEnd w:id="235"/>
      <w:bookmarkEnd w:id="236"/>
      <w:bookmarkEnd w:id="237"/>
      <w:bookmarkEnd w:id="240"/>
    </w:p>
    <w:p w14:paraId="2B98B3F7">
      <w:pPr>
        <w:spacing w:line="360" w:lineRule="auto"/>
        <w:ind w:firstLine="562" w:firstLineChars="200"/>
        <w:jc w:val="center"/>
        <w:rPr>
          <w:rFonts w:ascii="宋体" w:hAnsi="宋体" w:cs="宋体"/>
          <w:b/>
          <w:bCs/>
          <w:color w:val="auto"/>
          <w:kern w:val="0"/>
          <w:sz w:val="28"/>
          <w:szCs w:val="28"/>
          <w:highlight w:val="none"/>
        </w:rPr>
      </w:pPr>
      <w:bookmarkStart w:id="241" w:name="_Hlk52266215"/>
      <w:r>
        <w:rPr>
          <w:rFonts w:hint="eastAsia" w:ascii="宋体" w:hAnsi="宋体" w:cs="宋体"/>
          <w:b/>
          <w:bCs/>
          <w:color w:val="auto"/>
          <w:kern w:val="0"/>
          <w:sz w:val="28"/>
          <w:szCs w:val="28"/>
          <w:highlight w:val="none"/>
        </w:rPr>
        <w:t>采用《建设工程施工合同（示范文本）》（GF-2017-0201）。</w:t>
      </w:r>
    </w:p>
    <w:bookmarkEnd w:id="241"/>
    <w:p w14:paraId="4001422E">
      <w:pPr>
        <w:rPr>
          <w:rFonts w:ascii="宋体" w:hAnsi="宋体" w:cs="宋体"/>
          <w:color w:val="auto"/>
          <w:sz w:val="28"/>
          <w:szCs w:val="28"/>
          <w:highlight w:val="none"/>
        </w:rPr>
      </w:pPr>
    </w:p>
    <w:p w14:paraId="058B3645">
      <w:pPr>
        <w:spacing w:line="360" w:lineRule="auto"/>
        <w:ind w:firstLine="562" w:firstLineChars="200"/>
        <w:jc w:val="center"/>
        <w:outlineLvl w:val="2"/>
        <w:rPr>
          <w:rFonts w:ascii="宋体" w:hAnsi="宋体" w:cs="宋体"/>
          <w:b/>
          <w:bCs/>
          <w:color w:val="auto"/>
          <w:sz w:val="28"/>
          <w:szCs w:val="28"/>
          <w:highlight w:val="none"/>
        </w:rPr>
      </w:pPr>
      <w:bookmarkStart w:id="242" w:name="_Toc487632690"/>
      <w:bookmarkStart w:id="243" w:name="_Toc389065257"/>
      <w:bookmarkStart w:id="244" w:name="_Toc51599547"/>
      <w:bookmarkStart w:id="245" w:name="_Toc407135193"/>
      <w:r>
        <w:rPr>
          <w:rFonts w:hint="eastAsia" w:ascii="宋体" w:hAnsi="宋体" w:cs="宋体"/>
          <w:b/>
          <w:bCs/>
          <w:color w:val="auto"/>
          <w:sz w:val="28"/>
          <w:szCs w:val="28"/>
          <w:highlight w:val="none"/>
        </w:rPr>
        <w:t>第三部分 专用合同条款</w:t>
      </w:r>
      <w:bookmarkEnd w:id="238"/>
      <w:bookmarkEnd w:id="239"/>
      <w:bookmarkEnd w:id="242"/>
      <w:bookmarkEnd w:id="243"/>
      <w:bookmarkEnd w:id="244"/>
      <w:bookmarkEnd w:id="245"/>
    </w:p>
    <w:p w14:paraId="4DD259CC">
      <w:pPr>
        <w:spacing w:line="360" w:lineRule="auto"/>
        <w:jc w:val="center"/>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（注：专用合同条款每一条均应填写完整！）</w:t>
      </w:r>
    </w:p>
    <w:p w14:paraId="43A84344">
      <w:pPr>
        <w:keepNext/>
        <w:keepLines/>
        <w:spacing w:before="120" w:after="120" w:line="440" w:lineRule="exact"/>
        <w:outlineLvl w:val="1"/>
        <w:rPr>
          <w:rFonts w:ascii="宋体" w:hAnsi="宋体" w:cs="宋体"/>
          <w:b/>
          <w:bCs/>
          <w:color w:val="auto"/>
          <w:sz w:val="24"/>
          <w:szCs w:val="24"/>
          <w:highlight w:val="none"/>
        </w:rPr>
      </w:pPr>
      <w:bookmarkStart w:id="246" w:name="_Toc389065258"/>
      <w:bookmarkStart w:id="247" w:name="_Toc51599548"/>
      <w:bookmarkStart w:id="248" w:name="_Toc373478339"/>
      <w:bookmarkStart w:id="249" w:name="_Toc487632691"/>
      <w:bookmarkStart w:id="250" w:name="_Toc351203633"/>
      <w:bookmarkStart w:id="251" w:name="_Toc407135194"/>
      <w:bookmarkStart w:id="252" w:name="_Toc373227692"/>
      <w:r>
        <w:rPr>
          <w:rFonts w:hint="eastAsia" w:ascii="宋体" w:hAnsi="宋体" w:cs="宋体"/>
          <w:b/>
          <w:bCs/>
          <w:color w:val="auto"/>
          <w:sz w:val="24"/>
          <w:szCs w:val="24"/>
          <w:highlight w:val="none"/>
        </w:rPr>
        <w:t>1</w:t>
      </w:r>
      <w:bookmarkStart w:id="253" w:name="_Toc296503156"/>
      <w:bookmarkStart w:id="254" w:name="_Toc296890984"/>
      <w:bookmarkStart w:id="255" w:name="_Toc297048342"/>
      <w:bookmarkStart w:id="256" w:name="_Toc296347155"/>
      <w:bookmarkStart w:id="257" w:name="_Toc296944495"/>
      <w:bookmarkStart w:id="258" w:name="_Toc292559866"/>
      <w:bookmarkStart w:id="259" w:name="_Toc296891196"/>
      <w:bookmarkStart w:id="260" w:name="_Toc296346657"/>
      <w:bookmarkStart w:id="261" w:name="_Toc297120456"/>
      <w:bookmarkStart w:id="262" w:name="_Toc292559361"/>
      <w:r>
        <w:rPr>
          <w:rFonts w:hint="eastAsia" w:ascii="宋体" w:hAnsi="宋体" w:cs="宋体"/>
          <w:b/>
          <w:bCs/>
          <w:color w:val="auto"/>
          <w:sz w:val="24"/>
          <w:szCs w:val="24"/>
          <w:highlight w:val="none"/>
        </w:rPr>
        <w:t>. 一般约定</w:t>
      </w:r>
      <w:bookmarkEnd w:id="246"/>
      <w:bookmarkEnd w:id="247"/>
      <w:bookmarkEnd w:id="248"/>
      <w:bookmarkEnd w:id="249"/>
      <w:bookmarkEnd w:id="250"/>
      <w:bookmarkEnd w:id="251"/>
      <w:bookmarkEnd w:id="252"/>
    </w:p>
    <w:bookmarkEnd w:id="253"/>
    <w:bookmarkEnd w:id="254"/>
    <w:bookmarkEnd w:id="255"/>
    <w:bookmarkEnd w:id="256"/>
    <w:bookmarkEnd w:id="257"/>
    <w:bookmarkEnd w:id="258"/>
    <w:bookmarkEnd w:id="259"/>
    <w:bookmarkEnd w:id="260"/>
    <w:bookmarkEnd w:id="261"/>
    <w:bookmarkEnd w:id="262"/>
    <w:p w14:paraId="684C3BBA">
      <w:pPr>
        <w:keepNext/>
        <w:keepLines/>
        <w:spacing w:before="120" w:after="120" w:line="440" w:lineRule="exact"/>
        <w:outlineLvl w:val="2"/>
        <w:rPr>
          <w:rFonts w:ascii="宋体" w:hAnsi="宋体" w:cs="宋体"/>
          <w:b/>
          <w:bCs/>
          <w:color w:val="auto"/>
          <w:sz w:val="24"/>
          <w:szCs w:val="24"/>
          <w:highlight w:val="none"/>
        </w:rPr>
      </w:pPr>
      <w:bookmarkStart w:id="263" w:name="_Toc51599549"/>
      <w:bookmarkStart w:id="264" w:name="_Toc373478340"/>
      <w:bookmarkStart w:id="265" w:name="_Toc407135195"/>
      <w:bookmarkStart w:id="266" w:name="_Toc487632692"/>
      <w:bookmarkStart w:id="267" w:name="_Toc373227693"/>
      <w:bookmarkStart w:id="268" w:name="_Toc389065259"/>
      <w:r>
        <w:rPr>
          <w:rFonts w:hint="eastAsia" w:ascii="宋体" w:hAnsi="宋体" w:cs="宋体"/>
          <w:b/>
          <w:bCs/>
          <w:color w:val="auto"/>
          <w:sz w:val="24"/>
          <w:szCs w:val="24"/>
          <w:highlight w:val="none"/>
        </w:rPr>
        <w:t>1.1 词语定义</w:t>
      </w:r>
      <w:bookmarkEnd w:id="263"/>
      <w:bookmarkEnd w:id="264"/>
      <w:bookmarkEnd w:id="265"/>
      <w:bookmarkEnd w:id="266"/>
      <w:bookmarkEnd w:id="267"/>
      <w:bookmarkEnd w:id="268"/>
    </w:p>
    <w:p w14:paraId="03AE46B8">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1.1.1 合同</w:t>
      </w:r>
    </w:p>
    <w:p w14:paraId="3AC0E4BD">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1.1.1.10 其他合同文件包括：</w:t>
      </w:r>
      <w:r>
        <w:rPr>
          <w:rFonts w:hint="eastAsia" w:ascii="宋体" w:hAnsi="宋体" w:cs="宋体"/>
          <w:color w:val="auto"/>
          <w:sz w:val="24"/>
          <w:szCs w:val="24"/>
          <w:highlight w:val="none"/>
          <w:u w:val="single"/>
        </w:rPr>
        <w:t xml:space="preserve">  合同协议书；中标通知书；</w:t>
      </w:r>
      <w:r>
        <w:rPr>
          <w:rFonts w:hint="eastAsia" w:ascii="宋体" w:hAnsi="宋体" w:cs="宋体"/>
          <w:color w:val="auto"/>
          <w:kern w:val="0"/>
          <w:sz w:val="24"/>
          <w:szCs w:val="24"/>
          <w:highlight w:val="none"/>
          <w:u w:val="single"/>
        </w:rPr>
        <w:t>投标函及其附录；</w:t>
      </w:r>
      <w:r>
        <w:rPr>
          <w:rFonts w:hint="eastAsia" w:ascii="宋体" w:hAnsi="宋体" w:cs="宋体"/>
          <w:color w:val="auto"/>
          <w:sz w:val="24"/>
          <w:szCs w:val="24"/>
          <w:highlight w:val="none"/>
          <w:u w:val="single"/>
        </w:rPr>
        <w:t xml:space="preserve">专用合同条款及其附件；通用合同条款；技术标准和要求；磋商工程量清单和图纸；磋商文件；投标文件；其他合同文件；补充协议；工程洽商；经发包人同意监理人发布的变更指示和工程签证；工程会议纪要；备忘录     </w:t>
      </w:r>
      <w:r>
        <w:rPr>
          <w:rFonts w:hint="eastAsia" w:ascii="宋体" w:hAnsi="宋体" w:cs="宋体"/>
          <w:color w:val="auto"/>
          <w:sz w:val="24"/>
          <w:szCs w:val="24"/>
          <w:highlight w:val="none"/>
        </w:rPr>
        <w:t>。</w:t>
      </w:r>
    </w:p>
    <w:p w14:paraId="5AD01C9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1.1.2 合同当事人及其他相关方</w:t>
      </w:r>
    </w:p>
    <w:p w14:paraId="305A8B7B">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1.1.2.4 监理人：</w:t>
      </w:r>
    </w:p>
    <w:p w14:paraId="1A479186">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名    称：</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w:t>
      </w:r>
    </w:p>
    <w:p w14:paraId="267A361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1.1.2.5 设计人：</w:t>
      </w:r>
    </w:p>
    <w:p w14:paraId="3A7E3362">
      <w:pPr>
        <w:spacing w:line="440" w:lineRule="exact"/>
        <w:rPr>
          <w:rFonts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    名    称：</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w:t>
      </w:r>
    </w:p>
    <w:p w14:paraId="06FC9B29">
      <w:pPr>
        <w:spacing w:line="440" w:lineRule="exact"/>
        <w:rPr>
          <w:rFonts w:ascii="宋体" w:hAnsi="宋体" w:cs="宋体"/>
          <w:color w:val="auto"/>
          <w:sz w:val="24"/>
          <w:szCs w:val="24"/>
          <w:highlight w:val="none"/>
        </w:rPr>
      </w:pPr>
      <w:r>
        <w:rPr>
          <w:rFonts w:hint="eastAsia" w:ascii="宋体" w:hAnsi="宋体" w:cs="宋体"/>
          <w:color w:val="auto"/>
          <w:kern w:val="0"/>
          <w:sz w:val="24"/>
          <w:szCs w:val="24"/>
          <w:highlight w:val="none"/>
        </w:rPr>
        <w:t xml:space="preserve">    </w:t>
      </w:r>
      <w:r>
        <w:rPr>
          <w:rFonts w:hint="eastAsia" w:ascii="宋体" w:hAnsi="宋体" w:cs="宋体"/>
          <w:color w:val="auto"/>
          <w:sz w:val="24"/>
          <w:szCs w:val="24"/>
          <w:highlight w:val="none"/>
        </w:rPr>
        <w:t>1.1.3 工程和设备</w:t>
      </w:r>
    </w:p>
    <w:p w14:paraId="7CD13E6A">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1.1.3.7 作为施工现场组成部分的其他场所包括：</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59D8D1F7">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1.1.3.9 永久占地包括：</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rPr>
        <w:t>。</w:t>
      </w:r>
    </w:p>
    <w:p w14:paraId="73091BA8">
      <w:pPr>
        <w:spacing w:line="440" w:lineRule="exact"/>
        <w:ind w:firstLine="480" w:firstLineChars="200"/>
        <w:rPr>
          <w:rFonts w:ascii="宋体" w:hAnsi="宋体" w:cs="宋体"/>
          <w:color w:val="auto"/>
          <w:sz w:val="24"/>
          <w:szCs w:val="24"/>
          <w:highlight w:val="none"/>
        </w:rPr>
      </w:pPr>
      <w:r>
        <w:rPr>
          <w:rFonts w:hint="eastAsia" w:ascii="宋体" w:hAnsi="宋体" w:cs="宋体"/>
          <w:color w:val="auto"/>
          <w:kern w:val="0"/>
          <w:sz w:val="24"/>
          <w:szCs w:val="24"/>
          <w:highlight w:val="none"/>
        </w:rPr>
        <w:t>1.1.3.10 临时占地包括：</w:t>
      </w:r>
      <w:r>
        <w:rPr>
          <w:rFonts w:hint="eastAsia" w:ascii="宋体" w:hAnsi="宋体" w:cs="宋体"/>
          <w:color w:val="auto"/>
          <w:sz w:val="24"/>
          <w:szCs w:val="24"/>
          <w:highlight w:val="none"/>
          <w:u w:val="single"/>
        </w:rPr>
        <w:t xml:space="preserve">  需要临时占地的，由承包人办理相关申报手续，发包人予以协助，发生的费用由承包人承担    </w:t>
      </w:r>
      <w:r>
        <w:rPr>
          <w:rFonts w:hint="eastAsia" w:ascii="宋体" w:hAnsi="宋体" w:cs="宋体"/>
          <w:color w:val="auto"/>
          <w:kern w:val="0"/>
          <w:sz w:val="24"/>
          <w:szCs w:val="24"/>
          <w:highlight w:val="none"/>
        </w:rPr>
        <w:t>。</w:t>
      </w:r>
    </w:p>
    <w:p w14:paraId="09264257">
      <w:pPr>
        <w:keepNext/>
        <w:keepLines/>
        <w:spacing w:before="120" w:after="120" w:line="440" w:lineRule="exact"/>
        <w:outlineLvl w:val="2"/>
        <w:rPr>
          <w:rFonts w:ascii="宋体" w:hAnsi="宋体" w:cs="宋体"/>
          <w:b/>
          <w:bCs/>
          <w:color w:val="auto"/>
          <w:sz w:val="24"/>
          <w:szCs w:val="24"/>
          <w:highlight w:val="none"/>
        </w:rPr>
      </w:pPr>
      <w:bookmarkStart w:id="269" w:name="_Toc51599550"/>
      <w:bookmarkStart w:id="270" w:name="_Toc407135196"/>
      <w:bookmarkStart w:id="271" w:name="_Toc373478341"/>
      <w:bookmarkStart w:id="272" w:name="_Toc487632693"/>
      <w:bookmarkStart w:id="273" w:name="_Toc389065260"/>
      <w:bookmarkStart w:id="274" w:name="_Toc373227694"/>
      <w:r>
        <w:rPr>
          <w:rFonts w:hint="eastAsia" w:ascii="宋体" w:hAnsi="宋体" w:cs="宋体"/>
          <w:b/>
          <w:bCs/>
          <w:color w:val="auto"/>
          <w:sz w:val="24"/>
          <w:szCs w:val="24"/>
          <w:highlight w:val="none"/>
        </w:rPr>
        <w:t>1.3 法律</w:t>
      </w:r>
      <w:bookmarkEnd w:id="269"/>
      <w:bookmarkEnd w:id="270"/>
      <w:bookmarkEnd w:id="271"/>
      <w:bookmarkEnd w:id="272"/>
      <w:bookmarkEnd w:id="273"/>
      <w:bookmarkEnd w:id="274"/>
    </w:p>
    <w:p w14:paraId="23B44DF5">
      <w:pPr>
        <w:autoSpaceDE w:val="0"/>
        <w:autoSpaceDN w:val="0"/>
        <w:adjustRightInd w:val="0"/>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适用于合同的其他规范性文件：</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0BADC4CD">
      <w:pPr>
        <w:keepNext/>
        <w:keepLines/>
        <w:spacing w:before="120" w:after="120" w:line="440" w:lineRule="exact"/>
        <w:outlineLvl w:val="2"/>
        <w:rPr>
          <w:rFonts w:ascii="宋体" w:hAnsi="宋体" w:cs="宋体"/>
          <w:b/>
          <w:bCs/>
          <w:color w:val="auto"/>
          <w:sz w:val="24"/>
          <w:szCs w:val="24"/>
          <w:highlight w:val="none"/>
        </w:rPr>
      </w:pPr>
      <w:bookmarkStart w:id="275" w:name="_Toc373227695"/>
      <w:bookmarkStart w:id="276" w:name="_Toc487632694"/>
      <w:bookmarkStart w:id="277" w:name="_Toc51599551"/>
      <w:bookmarkStart w:id="278" w:name="_Toc407135197"/>
      <w:bookmarkStart w:id="279" w:name="_Toc389065261"/>
      <w:bookmarkStart w:id="280" w:name="_Toc373478342"/>
      <w:r>
        <w:rPr>
          <w:rFonts w:hint="eastAsia" w:ascii="宋体" w:hAnsi="宋体" w:cs="宋体"/>
          <w:b/>
          <w:bCs/>
          <w:color w:val="auto"/>
          <w:sz w:val="24"/>
          <w:szCs w:val="24"/>
          <w:highlight w:val="none"/>
        </w:rPr>
        <w:t>1.4 标准和规范</w:t>
      </w:r>
      <w:bookmarkEnd w:id="275"/>
      <w:bookmarkEnd w:id="276"/>
      <w:bookmarkEnd w:id="277"/>
      <w:bookmarkEnd w:id="278"/>
      <w:bookmarkEnd w:id="279"/>
      <w:bookmarkEnd w:id="280"/>
    </w:p>
    <w:p w14:paraId="1D27AB41">
      <w:pPr>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1.4.1 适用于工程的标准规范包括：</w:t>
      </w:r>
      <w:r>
        <w:rPr>
          <w:rFonts w:hint="eastAsia" w:ascii="宋体" w:hAnsi="宋体" w:cs="宋体"/>
          <w:color w:val="auto"/>
          <w:sz w:val="24"/>
          <w:szCs w:val="24"/>
          <w:highlight w:val="none"/>
          <w:u w:val="single"/>
        </w:rPr>
        <w:t xml:space="preserve">  现行的国家标准、行业标准、地方规范性文件    </w:t>
      </w:r>
      <w:r>
        <w:rPr>
          <w:rFonts w:hint="eastAsia" w:ascii="宋体" w:hAnsi="宋体" w:cs="宋体"/>
          <w:color w:val="auto"/>
          <w:sz w:val="24"/>
          <w:szCs w:val="24"/>
          <w:highlight w:val="none"/>
        </w:rPr>
        <w:t>。</w:t>
      </w:r>
    </w:p>
    <w:p w14:paraId="3799428B">
      <w:pPr>
        <w:spacing w:line="440" w:lineRule="exact"/>
        <w:rPr>
          <w:rFonts w:ascii="宋体" w:hAnsi="宋体" w:cs="宋体"/>
          <w:color w:val="auto"/>
          <w:kern w:val="0"/>
          <w:sz w:val="24"/>
          <w:szCs w:val="24"/>
          <w:highlight w:val="none"/>
        </w:rPr>
      </w:pPr>
      <w:r>
        <w:rPr>
          <w:rFonts w:hint="eastAsia" w:ascii="宋体" w:hAnsi="宋体" w:cs="宋体"/>
          <w:color w:val="auto"/>
          <w:kern w:val="0"/>
          <w:sz w:val="24"/>
          <w:szCs w:val="24"/>
          <w:highlight w:val="none"/>
        </w:rPr>
        <w:t>1.4.2 发包人提供国外标准、规范的名称：</w:t>
      </w:r>
      <w:r>
        <w:rPr>
          <w:rFonts w:hint="eastAsia" w:ascii="宋体" w:hAnsi="宋体" w:cs="宋体"/>
          <w:color w:val="auto"/>
          <w:sz w:val="24"/>
          <w:szCs w:val="24"/>
          <w:highlight w:val="none"/>
          <w:u w:val="single"/>
        </w:rPr>
        <w:t xml:space="preserve">      无    </w:t>
      </w:r>
      <w:r>
        <w:rPr>
          <w:rFonts w:hint="eastAsia" w:ascii="宋体" w:hAnsi="宋体" w:cs="宋体"/>
          <w:color w:val="auto"/>
          <w:sz w:val="24"/>
          <w:szCs w:val="24"/>
          <w:highlight w:val="none"/>
        </w:rPr>
        <w:t>；</w:t>
      </w:r>
    </w:p>
    <w:p w14:paraId="13F00A40">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发包人提供国外标准、规范的份数：</w:t>
      </w:r>
      <w:r>
        <w:rPr>
          <w:rFonts w:hint="eastAsia" w:ascii="宋体" w:hAnsi="宋体" w:cs="宋体"/>
          <w:color w:val="auto"/>
          <w:kern w:val="0"/>
          <w:sz w:val="24"/>
          <w:szCs w:val="24"/>
          <w:highlight w:val="none"/>
          <w:u w:val="single"/>
        </w:rPr>
        <w:t xml:space="preserve">       </w:t>
      </w:r>
      <w:r>
        <w:rPr>
          <w:rFonts w:hint="eastAsia" w:ascii="宋体" w:hAnsi="宋体" w:cs="宋体"/>
          <w:color w:val="auto"/>
          <w:sz w:val="24"/>
          <w:szCs w:val="24"/>
          <w:highlight w:val="none"/>
          <w:u w:val="single"/>
        </w:rPr>
        <w:t xml:space="preserve">无 </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w:t>
      </w:r>
    </w:p>
    <w:p w14:paraId="1D3F78FC">
      <w:pPr>
        <w:spacing w:line="440" w:lineRule="exact"/>
        <w:ind w:firstLine="480" w:firstLineChars="200"/>
        <w:rPr>
          <w:rFonts w:ascii="宋体" w:hAnsi="宋体" w:cs="宋体"/>
          <w:color w:val="auto"/>
          <w:sz w:val="24"/>
          <w:szCs w:val="24"/>
          <w:highlight w:val="none"/>
        </w:rPr>
      </w:pPr>
      <w:r>
        <w:rPr>
          <w:rFonts w:hint="eastAsia" w:ascii="宋体" w:hAnsi="宋体" w:cs="宋体"/>
          <w:color w:val="auto"/>
          <w:kern w:val="0"/>
          <w:sz w:val="24"/>
          <w:szCs w:val="24"/>
          <w:highlight w:val="none"/>
        </w:rPr>
        <w:t>发包人提供国外标准、规范的名称：</w:t>
      </w:r>
      <w:r>
        <w:rPr>
          <w:rFonts w:hint="eastAsia" w:ascii="宋体" w:hAnsi="宋体" w:cs="宋体"/>
          <w:color w:val="auto"/>
          <w:kern w:val="0"/>
          <w:sz w:val="24"/>
          <w:szCs w:val="24"/>
          <w:highlight w:val="none"/>
          <w:u w:val="single"/>
        </w:rPr>
        <w:t xml:space="preserve">       </w:t>
      </w:r>
      <w:r>
        <w:rPr>
          <w:rFonts w:hint="eastAsia" w:ascii="宋体" w:hAnsi="宋体" w:cs="宋体"/>
          <w:color w:val="auto"/>
          <w:sz w:val="24"/>
          <w:szCs w:val="24"/>
          <w:highlight w:val="none"/>
          <w:u w:val="single"/>
        </w:rPr>
        <w:t xml:space="preserve">无 </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w:t>
      </w:r>
    </w:p>
    <w:p w14:paraId="626F1FE2">
      <w:pPr>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1.4.3 发包人对工程的技术标准和功能要求的特殊要求：</w:t>
      </w:r>
      <w:r>
        <w:rPr>
          <w:rFonts w:hint="eastAsia" w:ascii="宋体" w:hAnsi="宋体" w:cs="宋体"/>
          <w:color w:val="auto"/>
          <w:sz w:val="24"/>
          <w:szCs w:val="24"/>
          <w:highlight w:val="none"/>
          <w:u w:val="single"/>
        </w:rPr>
        <w:t xml:space="preserve">    无     </w:t>
      </w:r>
      <w:r>
        <w:rPr>
          <w:rFonts w:hint="eastAsia" w:ascii="宋体" w:hAnsi="宋体" w:cs="宋体"/>
          <w:color w:val="auto"/>
          <w:sz w:val="24"/>
          <w:szCs w:val="24"/>
          <w:highlight w:val="none"/>
        </w:rPr>
        <w:t>。</w:t>
      </w:r>
    </w:p>
    <w:p w14:paraId="0A70E17A">
      <w:pPr>
        <w:keepNext/>
        <w:keepLines/>
        <w:spacing w:before="120" w:after="120" w:line="440" w:lineRule="exact"/>
        <w:outlineLvl w:val="2"/>
        <w:rPr>
          <w:rFonts w:ascii="宋体" w:hAnsi="宋体" w:cs="宋体"/>
          <w:b/>
          <w:bCs/>
          <w:color w:val="auto"/>
          <w:sz w:val="24"/>
          <w:szCs w:val="24"/>
          <w:highlight w:val="none"/>
        </w:rPr>
      </w:pPr>
      <w:bookmarkStart w:id="281" w:name="_Toc487632695"/>
      <w:bookmarkStart w:id="282" w:name="_Toc373478343"/>
      <w:bookmarkStart w:id="283" w:name="_Toc389065262"/>
      <w:bookmarkStart w:id="284" w:name="_Toc407135198"/>
      <w:bookmarkStart w:id="285" w:name="_Toc51599552"/>
      <w:bookmarkStart w:id="286" w:name="_Toc373227696"/>
      <w:r>
        <w:rPr>
          <w:rFonts w:hint="eastAsia" w:ascii="宋体" w:hAnsi="宋体" w:cs="宋体"/>
          <w:b/>
          <w:bCs/>
          <w:color w:val="auto"/>
          <w:sz w:val="24"/>
          <w:szCs w:val="24"/>
          <w:highlight w:val="none"/>
        </w:rPr>
        <w:t>1.5 合同文件的优先顺序</w:t>
      </w:r>
      <w:bookmarkEnd w:id="281"/>
      <w:bookmarkEnd w:id="282"/>
      <w:bookmarkEnd w:id="283"/>
      <w:bookmarkEnd w:id="284"/>
      <w:bookmarkEnd w:id="285"/>
      <w:bookmarkEnd w:id="286"/>
    </w:p>
    <w:p w14:paraId="10861EAE">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合同文件组成及优先顺序为：</w:t>
      </w:r>
    </w:p>
    <w:p w14:paraId="1C9407BB">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（1）合同协议书；</w:t>
      </w:r>
    </w:p>
    <w:p w14:paraId="2DC906E3">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（2）成交通知书；</w:t>
      </w:r>
    </w:p>
    <w:p w14:paraId="5188C962">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（3）磋商函及其附录；</w:t>
      </w:r>
    </w:p>
    <w:p w14:paraId="6B49CF8B">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（4）专用合同条款及其附件；</w:t>
      </w:r>
    </w:p>
    <w:p w14:paraId="6793CC00">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（5）通用合同条款；</w:t>
      </w:r>
    </w:p>
    <w:p w14:paraId="12122D6C">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（6）</w:t>
      </w:r>
      <w:r>
        <w:rPr>
          <w:rFonts w:hint="eastAsia" w:ascii="宋体" w:hAnsi="宋体" w:cs="宋体"/>
          <w:color w:val="auto"/>
          <w:kern w:val="0"/>
          <w:sz w:val="24"/>
          <w:szCs w:val="24"/>
          <w:highlight w:val="none"/>
          <w:u w:val="single"/>
        </w:rPr>
        <w:t xml:space="preserve">  技术标准和要求      </w:t>
      </w:r>
      <w:r>
        <w:rPr>
          <w:rFonts w:hint="eastAsia" w:ascii="宋体" w:hAnsi="宋体" w:cs="宋体"/>
          <w:color w:val="auto"/>
          <w:kern w:val="0"/>
          <w:sz w:val="24"/>
          <w:szCs w:val="24"/>
          <w:highlight w:val="none"/>
        </w:rPr>
        <w:t>；</w:t>
      </w:r>
    </w:p>
    <w:p w14:paraId="058BF551">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（7）</w:t>
      </w:r>
      <w:r>
        <w:rPr>
          <w:rFonts w:hint="eastAsia" w:ascii="宋体" w:hAnsi="宋体" w:cs="宋体"/>
          <w:color w:val="auto"/>
          <w:kern w:val="0"/>
          <w:sz w:val="24"/>
          <w:szCs w:val="24"/>
          <w:highlight w:val="none"/>
          <w:u w:val="single"/>
        </w:rPr>
        <w:t xml:space="preserve">  已标价工程量清单或预算书      </w:t>
      </w:r>
      <w:r>
        <w:rPr>
          <w:rFonts w:hint="eastAsia" w:ascii="宋体" w:hAnsi="宋体" w:cs="宋体"/>
          <w:color w:val="auto"/>
          <w:kern w:val="0"/>
          <w:sz w:val="24"/>
          <w:szCs w:val="24"/>
          <w:highlight w:val="none"/>
        </w:rPr>
        <w:t>；</w:t>
      </w:r>
    </w:p>
    <w:p w14:paraId="703BDE2B">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（8）</w:t>
      </w:r>
      <w:r>
        <w:rPr>
          <w:rFonts w:hint="eastAsia" w:ascii="宋体" w:hAnsi="宋体" w:cs="宋体"/>
          <w:color w:val="auto"/>
          <w:kern w:val="0"/>
          <w:sz w:val="24"/>
          <w:szCs w:val="24"/>
          <w:highlight w:val="none"/>
          <w:u w:val="single"/>
        </w:rPr>
        <w:t xml:space="preserve">  图纸           </w:t>
      </w:r>
      <w:r>
        <w:rPr>
          <w:rFonts w:hint="eastAsia" w:ascii="宋体" w:hAnsi="宋体" w:cs="宋体"/>
          <w:color w:val="auto"/>
          <w:kern w:val="0"/>
          <w:sz w:val="24"/>
          <w:szCs w:val="24"/>
          <w:highlight w:val="none"/>
        </w:rPr>
        <w:t>；</w:t>
      </w:r>
    </w:p>
    <w:p w14:paraId="61C6D077">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（9）</w:t>
      </w:r>
      <w:r>
        <w:rPr>
          <w:rFonts w:hint="eastAsia" w:ascii="宋体" w:hAnsi="宋体" w:cs="宋体"/>
          <w:color w:val="auto"/>
          <w:kern w:val="0"/>
          <w:sz w:val="24"/>
          <w:szCs w:val="24"/>
          <w:highlight w:val="none"/>
          <w:u w:val="single"/>
        </w:rPr>
        <w:t xml:space="preserve">  其他合同文件    </w:t>
      </w:r>
      <w:r>
        <w:rPr>
          <w:rFonts w:hint="eastAsia" w:ascii="宋体" w:hAnsi="宋体" w:cs="宋体"/>
          <w:color w:val="auto"/>
          <w:kern w:val="0"/>
          <w:sz w:val="24"/>
          <w:szCs w:val="24"/>
          <w:highlight w:val="none"/>
        </w:rPr>
        <w:t>。</w:t>
      </w:r>
    </w:p>
    <w:p w14:paraId="00C16D9B">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10）《建设工程工程量清单计价规范（GB5050-2013）》及其广西实施细则及《关于建筑业实施营业税改征增值税后广西壮族自治区建设工程计价依据调整的通知》（桂建标〔2016〕17号）、《建设工程工程量清单计算规范（GB5854~50862-2013）》及其广西实施细则（修订本）。</w:t>
      </w:r>
    </w:p>
    <w:p w14:paraId="46C4F45B">
      <w:pPr>
        <w:spacing w:line="440" w:lineRule="exact"/>
        <w:ind w:firstLine="480" w:firstLineChars="200"/>
        <w:rPr>
          <w:rFonts w:ascii="宋体" w:hAnsi="宋体" w:cs="宋体"/>
          <w:color w:val="auto"/>
          <w:sz w:val="24"/>
          <w:szCs w:val="24"/>
          <w:highlight w:val="none"/>
        </w:rPr>
      </w:pPr>
      <w:r>
        <w:rPr>
          <w:rFonts w:hint="eastAsia" w:ascii="宋体" w:hAnsi="宋体" w:cs="宋体"/>
          <w:color w:val="auto"/>
          <w:kern w:val="0"/>
          <w:sz w:val="24"/>
          <w:szCs w:val="24"/>
          <w:highlight w:val="none"/>
        </w:rPr>
        <w:t>说明：（6）、（7）、（8）、（9）填空内容分别限于技术标准和要求、图纸、已标价工程量清单或预算书、其他合同文件四者之一，其优先顺序可根据采取的不同合同方式由双方约定。</w:t>
      </w:r>
    </w:p>
    <w:p w14:paraId="5F63FB96">
      <w:pPr>
        <w:keepNext/>
        <w:keepLines/>
        <w:spacing w:before="120" w:after="120" w:line="440" w:lineRule="exact"/>
        <w:outlineLvl w:val="2"/>
        <w:rPr>
          <w:rFonts w:ascii="宋体" w:hAnsi="宋体" w:cs="宋体"/>
          <w:b/>
          <w:bCs/>
          <w:color w:val="auto"/>
          <w:sz w:val="24"/>
          <w:szCs w:val="24"/>
          <w:highlight w:val="none"/>
        </w:rPr>
      </w:pPr>
      <w:bookmarkStart w:id="287" w:name="_Toc487632696"/>
      <w:bookmarkStart w:id="288" w:name="_Toc407135199"/>
      <w:bookmarkStart w:id="289" w:name="_Toc51599553"/>
      <w:bookmarkStart w:id="290" w:name="_Toc373478344"/>
      <w:bookmarkStart w:id="291" w:name="_Toc389065263"/>
      <w:bookmarkStart w:id="292" w:name="_Toc373227697"/>
      <w:r>
        <w:rPr>
          <w:rFonts w:hint="eastAsia" w:ascii="宋体" w:hAnsi="宋体" w:cs="宋体"/>
          <w:b/>
          <w:bCs/>
          <w:color w:val="auto"/>
          <w:sz w:val="24"/>
          <w:szCs w:val="24"/>
          <w:highlight w:val="none"/>
        </w:rPr>
        <w:t>1.6 图纸和承包人文件</w:t>
      </w:r>
      <w:bookmarkEnd w:id="287"/>
      <w:bookmarkEnd w:id="288"/>
      <w:bookmarkEnd w:id="289"/>
      <w:bookmarkEnd w:id="290"/>
      <w:bookmarkEnd w:id="291"/>
      <w:bookmarkEnd w:id="292"/>
      <w:r>
        <w:rPr>
          <w:rFonts w:hint="eastAsia" w:ascii="宋体" w:hAnsi="宋体" w:cs="宋体"/>
          <w:b/>
          <w:bCs/>
          <w:color w:val="auto"/>
          <w:sz w:val="24"/>
          <w:szCs w:val="24"/>
          <w:highlight w:val="none"/>
        </w:rPr>
        <w:tab/>
      </w:r>
    </w:p>
    <w:p w14:paraId="23618A45">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1.6.1 图纸的提供</w:t>
      </w:r>
    </w:p>
    <w:p w14:paraId="7EA1CBBC">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发包人向承包人提供图纸的期限：</w:t>
      </w:r>
      <w:r>
        <w:rPr>
          <w:rFonts w:hint="eastAsia" w:ascii="宋体" w:hAnsi="宋体" w:cs="宋体"/>
          <w:color w:val="auto"/>
          <w:sz w:val="24"/>
          <w:szCs w:val="24"/>
          <w:highlight w:val="none"/>
          <w:u w:val="single"/>
        </w:rPr>
        <w:t xml:space="preserve">    签订合同后5天内       </w:t>
      </w:r>
      <w:r>
        <w:rPr>
          <w:rFonts w:hint="eastAsia" w:ascii="宋体" w:hAnsi="宋体" w:cs="宋体"/>
          <w:color w:val="auto"/>
          <w:sz w:val="24"/>
          <w:szCs w:val="24"/>
          <w:highlight w:val="none"/>
        </w:rPr>
        <w:t>；</w:t>
      </w:r>
    </w:p>
    <w:p w14:paraId="37BD0927">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发包人向承包人提供图纸的数量：</w:t>
      </w:r>
      <w:r>
        <w:rPr>
          <w:rFonts w:hint="eastAsia" w:ascii="宋体" w:hAnsi="宋体" w:cs="宋体"/>
          <w:color w:val="auto"/>
          <w:sz w:val="24"/>
          <w:szCs w:val="24"/>
          <w:highlight w:val="none"/>
          <w:u w:val="single"/>
        </w:rPr>
        <w:t xml:space="preserve">  叁  </w:t>
      </w:r>
      <w:r>
        <w:rPr>
          <w:rFonts w:hint="eastAsia" w:ascii="宋体" w:hAnsi="宋体" w:cs="宋体"/>
          <w:color w:val="auto"/>
          <w:sz w:val="24"/>
          <w:szCs w:val="24"/>
          <w:highlight w:val="none"/>
        </w:rPr>
        <w:t>套（承包人需要增加图纸套数的，发包人应代为复制，复制费用由承包人承担）；</w:t>
      </w:r>
    </w:p>
    <w:p w14:paraId="7CAA311D">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发包人向承包人提供图纸的内容：</w:t>
      </w:r>
      <w:r>
        <w:rPr>
          <w:rFonts w:hint="eastAsia" w:ascii="宋体" w:hAnsi="宋体" w:cs="宋体"/>
          <w:color w:val="auto"/>
          <w:sz w:val="24"/>
          <w:szCs w:val="24"/>
          <w:highlight w:val="none"/>
          <w:u w:val="single"/>
        </w:rPr>
        <w:t xml:space="preserve">    经政府部门相关机构审核合格后的施工图和设计单位提供的图纸。详见图纸目录    </w:t>
      </w:r>
      <w:r>
        <w:rPr>
          <w:rFonts w:hint="eastAsia" w:ascii="宋体" w:hAnsi="宋体" w:cs="宋体"/>
          <w:color w:val="auto"/>
          <w:sz w:val="24"/>
          <w:szCs w:val="24"/>
          <w:highlight w:val="none"/>
        </w:rPr>
        <w:t>。</w:t>
      </w:r>
    </w:p>
    <w:p w14:paraId="15B54069">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1.6.4 承包人文件</w:t>
      </w:r>
    </w:p>
    <w:p w14:paraId="3E4C5D96">
      <w:pPr>
        <w:spacing w:line="440" w:lineRule="exact"/>
        <w:ind w:firstLine="480" w:firstLineChars="200"/>
        <w:rPr>
          <w:rFonts w:ascii="宋体" w:hAnsi="宋体" w:cs="宋体"/>
          <w:color w:val="auto"/>
          <w:sz w:val="24"/>
          <w:szCs w:val="24"/>
          <w:highlight w:val="none"/>
          <w:u w:val="single"/>
        </w:rPr>
      </w:pPr>
      <w:bookmarkStart w:id="293" w:name="_Toc373227698"/>
      <w:bookmarkStart w:id="294" w:name="_Toc487632697"/>
      <w:bookmarkStart w:id="295" w:name="_Toc389065264"/>
      <w:bookmarkStart w:id="296" w:name="_Toc373478345"/>
      <w:bookmarkStart w:id="297" w:name="_Toc407135200"/>
      <w:r>
        <w:rPr>
          <w:rFonts w:hint="eastAsia" w:ascii="宋体" w:hAnsi="宋体" w:cs="宋体"/>
          <w:color w:val="auto"/>
          <w:sz w:val="24"/>
          <w:szCs w:val="24"/>
          <w:highlight w:val="none"/>
        </w:rPr>
        <w:t>需要由承包人提供的文件，包括：</w:t>
      </w:r>
      <w:r>
        <w:rPr>
          <w:rFonts w:hint="eastAsia" w:ascii="宋体" w:hAnsi="宋体" w:cs="宋体"/>
          <w:color w:val="auto"/>
          <w:sz w:val="24"/>
          <w:szCs w:val="24"/>
          <w:highlight w:val="none"/>
          <w:u w:val="single"/>
        </w:rPr>
        <w:t xml:space="preserve">因承包人原因提出的设计变更方案、质量处理整改方案 </w:t>
      </w:r>
      <w:r>
        <w:rPr>
          <w:rFonts w:hint="eastAsia" w:ascii="宋体" w:hAnsi="宋体" w:cs="宋体"/>
          <w:color w:val="auto"/>
          <w:sz w:val="24"/>
          <w:szCs w:val="24"/>
          <w:highlight w:val="none"/>
        </w:rPr>
        <w:t>；</w:t>
      </w:r>
    </w:p>
    <w:p w14:paraId="3EA025B6">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承包人提供的文件的期限为：</w:t>
      </w:r>
      <w:r>
        <w:rPr>
          <w:rFonts w:hint="eastAsia" w:ascii="宋体" w:hAnsi="宋体" w:cs="宋体"/>
          <w:color w:val="auto"/>
          <w:sz w:val="24"/>
          <w:szCs w:val="24"/>
          <w:highlight w:val="none"/>
          <w:u w:val="single"/>
        </w:rPr>
        <w:t xml:space="preserve">    文件实施前3天      </w:t>
      </w:r>
      <w:r>
        <w:rPr>
          <w:rFonts w:hint="eastAsia" w:ascii="宋体" w:hAnsi="宋体" w:cs="宋体"/>
          <w:color w:val="auto"/>
          <w:sz w:val="24"/>
          <w:szCs w:val="24"/>
          <w:highlight w:val="none"/>
        </w:rPr>
        <w:t>；</w:t>
      </w:r>
    </w:p>
    <w:p w14:paraId="47D23FF2">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承包人提供的文件的数量为：</w:t>
      </w:r>
      <w:r>
        <w:rPr>
          <w:rFonts w:hint="eastAsia" w:ascii="宋体" w:hAnsi="宋体" w:cs="宋体"/>
          <w:color w:val="auto"/>
          <w:sz w:val="24"/>
          <w:szCs w:val="24"/>
          <w:highlight w:val="none"/>
          <w:u w:val="single"/>
        </w:rPr>
        <w:t xml:space="preserve">  按发包人要求提供      </w:t>
      </w:r>
      <w:r>
        <w:rPr>
          <w:rFonts w:hint="eastAsia" w:ascii="宋体" w:hAnsi="宋体" w:cs="宋体"/>
          <w:color w:val="auto"/>
          <w:sz w:val="24"/>
          <w:szCs w:val="24"/>
          <w:highlight w:val="none"/>
        </w:rPr>
        <w:t>；</w:t>
      </w:r>
    </w:p>
    <w:p w14:paraId="1B081450">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承包人提供的文件的形式为：</w:t>
      </w:r>
      <w:r>
        <w:rPr>
          <w:rFonts w:hint="eastAsia" w:ascii="宋体" w:hAnsi="宋体" w:cs="宋体"/>
          <w:color w:val="auto"/>
          <w:sz w:val="24"/>
          <w:szCs w:val="24"/>
          <w:highlight w:val="none"/>
          <w:u w:val="single"/>
        </w:rPr>
        <w:t xml:space="preserve"> 加盖单位公章的纸质文件  </w:t>
      </w:r>
      <w:r>
        <w:rPr>
          <w:rFonts w:hint="eastAsia" w:ascii="宋体" w:hAnsi="宋体" w:cs="宋体"/>
          <w:color w:val="auto"/>
          <w:sz w:val="24"/>
          <w:szCs w:val="24"/>
          <w:highlight w:val="none"/>
        </w:rPr>
        <w:t>；</w:t>
      </w:r>
    </w:p>
    <w:p w14:paraId="1158EEE5">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发包人审批承包人文件的期限：</w:t>
      </w:r>
      <w:r>
        <w:rPr>
          <w:rFonts w:hint="eastAsia" w:ascii="宋体" w:hAnsi="宋体" w:cs="宋体"/>
          <w:color w:val="auto"/>
          <w:sz w:val="24"/>
          <w:szCs w:val="24"/>
          <w:highlight w:val="none"/>
          <w:u w:val="single"/>
        </w:rPr>
        <w:t xml:space="preserve">    收到文件后7天内   </w:t>
      </w:r>
      <w:r>
        <w:rPr>
          <w:rFonts w:hint="eastAsia" w:ascii="宋体" w:hAnsi="宋体" w:cs="宋体"/>
          <w:color w:val="auto"/>
          <w:sz w:val="24"/>
          <w:szCs w:val="24"/>
          <w:highlight w:val="none"/>
        </w:rPr>
        <w:t>。</w:t>
      </w:r>
    </w:p>
    <w:p w14:paraId="4FC8F378">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1.6.5 现场图纸准备</w:t>
      </w:r>
    </w:p>
    <w:p w14:paraId="4B4B36F3">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关于现场图纸准备的约定：</w:t>
      </w:r>
      <w:r>
        <w:rPr>
          <w:rFonts w:hint="eastAsia" w:ascii="宋体" w:hAnsi="宋体" w:cs="宋体"/>
          <w:color w:val="auto"/>
          <w:sz w:val="24"/>
          <w:szCs w:val="24"/>
          <w:highlight w:val="none"/>
          <w:u w:val="single"/>
        </w:rPr>
        <w:t xml:space="preserve">   按通用合同条款执行       </w:t>
      </w:r>
      <w:r>
        <w:rPr>
          <w:rFonts w:hint="eastAsia" w:ascii="宋体" w:hAnsi="宋体" w:cs="宋体"/>
          <w:color w:val="auto"/>
          <w:sz w:val="24"/>
          <w:szCs w:val="24"/>
          <w:highlight w:val="none"/>
        </w:rPr>
        <w:t>。</w:t>
      </w:r>
    </w:p>
    <w:p w14:paraId="59FA4895">
      <w:pPr>
        <w:keepNext/>
        <w:keepLines/>
        <w:spacing w:before="120" w:after="120" w:line="440" w:lineRule="exact"/>
        <w:outlineLvl w:val="2"/>
        <w:rPr>
          <w:rFonts w:ascii="宋体" w:hAnsi="宋体" w:cs="宋体"/>
          <w:b/>
          <w:bCs/>
          <w:color w:val="auto"/>
          <w:sz w:val="24"/>
          <w:szCs w:val="24"/>
          <w:highlight w:val="none"/>
        </w:rPr>
      </w:pPr>
      <w:bookmarkStart w:id="298" w:name="_Toc51599554"/>
      <w:r>
        <w:rPr>
          <w:rFonts w:hint="eastAsia" w:ascii="宋体" w:hAnsi="宋体" w:cs="宋体"/>
          <w:b/>
          <w:bCs/>
          <w:color w:val="auto"/>
          <w:sz w:val="24"/>
          <w:szCs w:val="24"/>
          <w:highlight w:val="none"/>
        </w:rPr>
        <w:t>1.7 联络</w:t>
      </w:r>
      <w:bookmarkEnd w:id="293"/>
      <w:bookmarkEnd w:id="294"/>
      <w:bookmarkEnd w:id="295"/>
      <w:bookmarkEnd w:id="296"/>
      <w:bookmarkEnd w:id="297"/>
      <w:bookmarkEnd w:id="298"/>
    </w:p>
    <w:p w14:paraId="330E41FF">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1.7.1发包人和承包人应当在</w:t>
      </w:r>
      <w:r>
        <w:rPr>
          <w:rFonts w:hint="eastAsia" w:ascii="宋体" w:hAnsi="宋体" w:cs="宋体"/>
          <w:color w:val="auto"/>
          <w:sz w:val="24"/>
          <w:szCs w:val="24"/>
          <w:highlight w:val="none"/>
          <w:u w:val="single"/>
        </w:rPr>
        <w:t xml:space="preserve">  3  </w:t>
      </w:r>
      <w:r>
        <w:rPr>
          <w:rFonts w:hint="eastAsia" w:ascii="宋体" w:hAnsi="宋体" w:cs="宋体"/>
          <w:color w:val="auto"/>
          <w:kern w:val="0"/>
          <w:sz w:val="24"/>
          <w:szCs w:val="24"/>
          <w:highlight w:val="none"/>
        </w:rPr>
        <w:t>天内将与合同有关的通知、批准、证明、证书、指示、指令、要求、请求、同意、意见、确定和决定等书面函件送达对方当事人。</w:t>
      </w:r>
    </w:p>
    <w:p w14:paraId="1E72D54F">
      <w:pPr>
        <w:spacing w:line="440" w:lineRule="exact"/>
        <w:ind w:firstLine="480" w:firstLineChars="200"/>
        <w:rPr>
          <w:rFonts w:ascii="宋体" w:hAnsi="宋体" w:cs="宋体"/>
          <w:color w:val="auto"/>
          <w:kern w:val="0"/>
          <w:sz w:val="24"/>
          <w:szCs w:val="24"/>
          <w:highlight w:val="none"/>
        </w:rPr>
      </w:pPr>
      <w:bookmarkStart w:id="299" w:name="_Toc389065265"/>
      <w:bookmarkStart w:id="300" w:name="_Toc373227699"/>
      <w:bookmarkStart w:id="301" w:name="_Toc373478346"/>
      <w:bookmarkStart w:id="302" w:name="_Toc407135201"/>
      <w:bookmarkStart w:id="303" w:name="_Toc487632698"/>
      <w:r>
        <w:rPr>
          <w:rFonts w:hint="eastAsia" w:ascii="宋体" w:hAnsi="宋体" w:cs="宋体"/>
          <w:color w:val="auto"/>
          <w:kern w:val="0"/>
          <w:sz w:val="24"/>
          <w:szCs w:val="24"/>
          <w:highlight w:val="none"/>
        </w:rPr>
        <w:t>1.7.2 发包人接收文件的地点：</w:t>
      </w:r>
      <w:r>
        <w:rPr>
          <w:rFonts w:hint="eastAsia" w:ascii="宋体" w:hAnsi="宋体" w:cs="宋体"/>
          <w:color w:val="auto"/>
          <w:sz w:val="24"/>
          <w:szCs w:val="24"/>
          <w:highlight w:val="none"/>
          <w:u w:val="single"/>
        </w:rPr>
        <w:t xml:space="preserve">       发包人办公室      </w:t>
      </w:r>
      <w:r>
        <w:rPr>
          <w:rFonts w:hint="eastAsia" w:ascii="宋体" w:hAnsi="宋体" w:cs="宋体"/>
          <w:color w:val="auto"/>
          <w:kern w:val="0"/>
          <w:sz w:val="24"/>
          <w:szCs w:val="24"/>
          <w:highlight w:val="none"/>
        </w:rPr>
        <w:t>；</w:t>
      </w:r>
    </w:p>
    <w:p w14:paraId="0763A12C">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发包人指定的接收人为：</w:t>
      </w:r>
      <w:r>
        <w:rPr>
          <w:rFonts w:hint="eastAsia" w:ascii="宋体" w:hAnsi="宋体" w:cs="宋体"/>
          <w:color w:val="auto"/>
          <w:sz w:val="24"/>
          <w:szCs w:val="24"/>
          <w:highlight w:val="none"/>
          <w:u w:val="single"/>
        </w:rPr>
        <w:t xml:space="preserve">      工地代表（可委托）       </w:t>
      </w:r>
      <w:r>
        <w:rPr>
          <w:rFonts w:hint="eastAsia" w:ascii="宋体" w:hAnsi="宋体" w:cs="宋体"/>
          <w:color w:val="auto"/>
          <w:kern w:val="0"/>
          <w:sz w:val="24"/>
          <w:szCs w:val="24"/>
          <w:highlight w:val="none"/>
        </w:rPr>
        <w:t>。</w:t>
      </w:r>
    </w:p>
    <w:p w14:paraId="5DEE8CB1">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承包人接收文件的地点：</w:t>
      </w:r>
      <w:r>
        <w:rPr>
          <w:rFonts w:hint="eastAsia" w:ascii="宋体" w:hAnsi="宋体" w:cs="宋体"/>
          <w:color w:val="auto"/>
          <w:sz w:val="24"/>
          <w:szCs w:val="24"/>
          <w:highlight w:val="none"/>
          <w:u w:val="single"/>
        </w:rPr>
        <w:t xml:space="preserve">      承包人项目部办公室       </w:t>
      </w:r>
      <w:r>
        <w:rPr>
          <w:rFonts w:hint="eastAsia" w:ascii="宋体" w:hAnsi="宋体" w:cs="宋体"/>
          <w:color w:val="auto"/>
          <w:kern w:val="0"/>
          <w:sz w:val="24"/>
          <w:szCs w:val="24"/>
          <w:highlight w:val="none"/>
        </w:rPr>
        <w:t>；</w:t>
      </w:r>
    </w:p>
    <w:p w14:paraId="52732F11">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承包人指定的接收人为：</w:t>
      </w:r>
      <w:r>
        <w:rPr>
          <w:rFonts w:hint="eastAsia" w:ascii="宋体" w:hAnsi="宋体" w:cs="宋体"/>
          <w:color w:val="auto"/>
          <w:sz w:val="24"/>
          <w:szCs w:val="24"/>
          <w:highlight w:val="none"/>
          <w:u w:val="single"/>
        </w:rPr>
        <w:t xml:space="preserve">        项目经理               </w:t>
      </w:r>
      <w:r>
        <w:rPr>
          <w:rFonts w:hint="eastAsia" w:ascii="宋体" w:hAnsi="宋体" w:cs="宋体"/>
          <w:color w:val="auto"/>
          <w:kern w:val="0"/>
          <w:sz w:val="24"/>
          <w:szCs w:val="24"/>
          <w:highlight w:val="none"/>
        </w:rPr>
        <w:t>。</w:t>
      </w:r>
    </w:p>
    <w:p w14:paraId="24C3D763">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监理人接收文件的地点：</w:t>
      </w:r>
      <w:r>
        <w:rPr>
          <w:rFonts w:hint="eastAsia" w:ascii="宋体" w:hAnsi="宋体" w:cs="宋体"/>
          <w:color w:val="auto"/>
          <w:sz w:val="24"/>
          <w:szCs w:val="24"/>
          <w:highlight w:val="none"/>
          <w:u w:val="single"/>
        </w:rPr>
        <w:t xml:space="preserve">       项目监理部              </w:t>
      </w:r>
      <w:r>
        <w:rPr>
          <w:rFonts w:hint="eastAsia" w:ascii="宋体" w:hAnsi="宋体" w:cs="宋体"/>
          <w:color w:val="auto"/>
          <w:kern w:val="0"/>
          <w:sz w:val="24"/>
          <w:szCs w:val="24"/>
          <w:highlight w:val="none"/>
        </w:rPr>
        <w:t>；</w:t>
      </w:r>
    </w:p>
    <w:p w14:paraId="352AEB0C">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监理人指定的接收人为：</w:t>
      </w:r>
      <w:r>
        <w:rPr>
          <w:rFonts w:hint="eastAsia" w:ascii="宋体" w:hAnsi="宋体" w:cs="宋体"/>
          <w:color w:val="auto"/>
          <w:sz w:val="24"/>
          <w:szCs w:val="24"/>
          <w:highlight w:val="none"/>
          <w:u w:val="single"/>
        </w:rPr>
        <w:t xml:space="preserve">       总监理工程师（可委托）  </w:t>
      </w:r>
      <w:r>
        <w:rPr>
          <w:rFonts w:hint="eastAsia" w:ascii="宋体" w:hAnsi="宋体" w:cs="宋体"/>
          <w:color w:val="auto"/>
          <w:kern w:val="0"/>
          <w:sz w:val="24"/>
          <w:szCs w:val="24"/>
          <w:highlight w:val="none"/>
        </w:rPr>
        <w:t>。</w:t>
      </w:r>
    </w:p>
    <w:p w14:paraId="41B46202">
      <w:pPr>
        <w:keepNext/>
        <w:keepLines/>
        <w:spacing w:before="120" w:after="120" w:line="440" w:lineRule="exact"/>
        <w:outlineLvl w:val="2"/>
        <w:rPr>
          <w:rFonts w:ascii="宋体" w:hAnsi="宋体" w:cs="宋体"/>
          <w:b/>
          <w:bCs/>
          <w:color w:val="auto"/>
          <w:sz w:val="24"/>
          <w:szCs w:val="24"/>
          <w:highlight w:val="none"/>
        </w:rPr>
      </w:pPr>
      <w:bookmarkStart w:id="304" w:name="_Toc51599555"/>
      <w:r>
        <w:rPr>
          <w:rFonts w:hint="eastAsia" w:ascii="宋体" w:hAnsi="宋体" w:cs="宋体"/>
          <w:b/>
          <w:bCs/>
          <w:color w:val="auto"/>
          <w:sz w:val="24"/>
          <w:szCs w:val="24"/>
          <w:highlight w:val="none"/>
        </w:rPr>
        <w:t>1.10 交通运输</w:t>
      </w:r>
      <w:bookmarkEnd w:id="299"/>
      <w:bookmarkEnd w:id="300"/>
      <w:bookmarkEnd w:id="301"/>
      <w:bookmarkEnd w:id="302"/>
      <w:bookmarkEnd w:id="303"/>
      <w:bookmarkEnd w:id="304"/>
    </w:p>
    <w:p w14:paraId="31FD30A6">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w:t>
      </w:r>
      <w:bookmarkStart w:id="305" w:name="_Toc303539100"/>
      <w:bookmarkStart w:id="306" w:name="_Toc318581155"/>
      <w:bookmarkStart w:id="307" w:name="_Toc312677986"/>
      <w:bookmarkStart w:id="308" w:name="_Toc300934943"/>
      <w:bookmarkStart w:id="309" w:name="_Toc304295521"/>
      <w:r>
        <w:rPr>
          <w:rFonts w:hint="eastAsia" w:ascii="宋体" w:hAnsi="宋体" w:cs="宋体"/>
          <w:color w:val="auto"/>
          <w:sz w:val="24"/>
          <w:szCs w:val="24"/>
          <w:highlight w:val="none"/>
        </w:rPr>
        <w:t>.10.1 出入现场的权利</w:t>
      </w:r>
    </w:p>
    <w:p w14:paraId="7C04848A">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关于出入现场的权利的约定：</w:t>
      </w:r>
      <w:r>
        <w:rPr>
          <w:rFonts w:hint="eastAsia" w:ascii="宋体" w:hAnsi="宋体" w:cs="宋体"/>
          <w:color w:val="auto"/>
          <w:sz w:val="24"/>
          <w:szCs w:val="24"/>
          <w:highlight w:val="none"/>
          <w:u w:val="single"/>
        </w:rPr>
        <w:t xml:space="preserve">  按现有出入现场的道路现状交付承包人，由承包人自行解决取得出入现场的道路通行的权利 ，发包人应协助办理有关手续  </w:t>
      </w:r>
      <w:r>
        <w:rPr>
          <w:rFonts w:hint="eastAsia" w:ascii="宋体" w:hAnsi="宋体" w:cs="宋体"/>
          <w:color w:val="auto"/>
          <w:sz w:val="24"/>
          <w:szCs w:val="24"/>
          <w:highlight w:val="none"/>
        </w:rPr>
        <w:t>。</w:t>
      </w:r>
    </w:p>
    <w:bookmarkEnd w:id="305"/>
    <w:bookmarkEnd w:id="306"/>
    <w:bookmarkEnd w:id="307"/>
    <w:bookmarkEnd w:id="308"/>
    <w:bookmarkEnd w:id="309"/>
    <w:p w14:paraId="50012F74">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w:t>
      </w:r>
      <w:bookmarkStart w:id="310" w:name="_Toc318581156"/>
      <w:bookmarkStart w:id="311" w:name="_Toc312677987"/>
      <w:bookmarkStart w:id="312" w:name="_Toc300934944"/>
      <w:bookmarkStart w:id="313" w:name="_Toc303539101"/>
      <w:bookmarkStart w:id="314" w:name="_Toc304295522"/>
      <w:r>
        <w:rPr>
          <w:rFonts w:hint="eastAsia" w:ascii="宋体" w:hAnsi="宋体" w:cs="宋体"/>
          <w:color w:val="auto"/>
          <w:sz w:val="24"/>
          <w:szCs w:val="24"/>
          <w:highlight w:val="none"/>
        </w:rPr>
        <w:t>.10.3 场内交通</w:t>
      </w:r>
    </w:p>
    <w:p w14:paraId="4155723C">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关于场外交通和场内交通的边界的约定：</w:t>
      </w:r>
      <w:r>
        <w:rPr>
          <w:rFonts w:hint="eastAsia" w:ascii="宋体" w:hAnsi="宋体" w:cs="宋体"/>
          <w:color w:val="auto"/>
          <w:sz w:val="24"/>
          <w:szCs w:val="24"/>
          <w:highlight w:val="none"/>
          <w:u w:val="single"/>
        </w:rPr>
        <w:t xml:space="preserve"> 由承包方按照规划红线进行封闭围挡，施工现场封闭围挡范围以内为场内交通；范围以外为场外交通   </w:t>
      </w:r>
      <w:r>
        <w:rPr>
          <w:rFonts w:hint="eastAsia" w:ascii="宋体" w:hAnsi="宋体" w:cs="宋体"/>
          <w:color w:val="auto"/>
          <w:sz w:val="24"/>
          <w:szCs w:val="24"/>
          <w:highlight w:val="none"/>
        </w:rPr>
        <w:t>。</w:t>
      </w:r>
    </w:p>
    <w:p w14:paraId="68909325">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关于发包人向承包人免费提供满足工程施工需要的场内道路和交通设施的约定：</w:t>
      </w:r>
      <w:r>
        <w:rPr>
          <w:rFonts w:hint="eastAsia" w:ascii="宋体" w:hAnsi="宋体" w:cs="宋体"/>
          <w:color w:val="auto"/>
          <w:sz w:val="24"/>
          <w:szCs w:val="24"/>
          <w:highlight w:val="none"/>
          <w:u w:val="single"/>
        </w:rPr>
        <w:t xml:space="preserve">发包人按照施工现场现状提供施工需要的场内道路和交通设施，承包人负责修建、维修、养护和管理施工所需的其他场内临时道路和交通设施，并承担相应的费用 </w:t>
      </w:r>
      <w:r>
        <w:rPr>
          <w:rFonts w:hint="eastAsia" w:ascii="宋体" w:hAnsi="宋体" w:cs="宋体"/>
          <w:color w:val="auto"/>
          <w:sz w:val="24"/>
          <w:szCs w:val="24"/>
          <w:highlight w:val="none"/>
        </w:rPr>
        <w:t>。</w:t>
      </w:r>
      <w:bookmarkEnd w:id="310"/>
      <w:bookmarkEnd w:id="311"/>
      <w:bookmarkEnd w:id="312"/>
      <w:bookmarkEnd w:id="313"/>
      <w:bookmarkEnd w:id="314"/>
      <w:bookmarkStart w:id="315" w:name="_Toc318581157"/>
    </w:p>
    <w:p w14:paraId="6DDAF662">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1.10.4 超大件和超重件的运输</w:t>
      </w:r>
    </w:p>
    <w:p w14:paraId="79FBF49A">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运输超大件或超重件所需的道路和桥梁临时加固改造费用和其他有关费用由</w:t>
      </w:r>
      <w:r>
        <w:rPr>
          <w:rFonts w:hint="eastAsia" w:ascii="宋体" w:hAnsi="宋体" w:cs="宋体"/>
          <w:color w:val="auto"/>
          <w:sz w:val="24"/>
          <w:szCs w:val="24"/>
          <w:highlight w:val="none"/>
          <w:u w:val="single"/>
        </w:rPr>
        <w:t xml:space="preserve">  承包方  </w:t>
      </w:r>
      <w:r>
        <w:rPr>
          <w:rFonts w:hint="eastAsia" w:ascii="宋体" w:hAnsi="宋体" w:cs="宋体"/>
          <w:color w:val="auto"/>
          <w:sz w:val="24"/>
          <w:szCs w:val="24"/>
          <w:highlight w:val="none"/>
        </w:rPr>
        <w:t>承担。</w:t>
      </w:r>
    </w:p>
    <w:bookmarkEnd w:id="315"/>
    <w:p w14:paraId="75108FF2">
      <w:pPr>
        <w:keepNext/>
        <w:keepLines/>
        <w:spacing w:before="120" w:after="120" w:line="440" w:lineRule="exact"/>
        <w:outlineLvl w:val="2"/>
        <w:rPr>
          <w:rFonts w:ascii="宋体" w:hAnsi="宋体" w:cs="宋体"/>
          <w:b/>
          <w:bCs/>
          <w:color w:val="auto"/>
          <w:sz w:val="24"/>
          <w:szCs w:val="24"/>
          <w:highlight w:val="none"/>
        </w:rPr>
      </w:pPr>
      <w:bookmarkStart w:id="316" w:name="_Toc373478347"/>
      <w:bookmarkStart w:id="317" w:name="_Toc487632699"/>
      <w:bookmarkStart w:id="318" w:name="_Toc373227700"/>
      <w:bookmarkStart w:id="319" w:name="_Toc51599556"/>
      <w:bookmarkStart w:id="320" w:name="_Toc389065266"/>
      <w:bookmarkStart w:id="321" w:name="_Toc407135202"/>
      <w:r>
        <w:rPr>
          <w:rFonts w:hint="eastAsia" w:ascii="宋体" w:hAnsi="宋体" w:cs="宋体"/>
          <w:b/>
          <w:bCs/>
          <w:color w:val="auto"/>
          <w:sz w:val="24"/>
          <w:szCs w:val="24"/>
          <w:highlight w:val="none"/>
        </w:rPr>
        <w:t>1.11 知识产权</w:t>
      </w:r>
      <w:bookmarkEnd w:id="316"/>
      <w:bookmarkEnd w:id="317"/>
      <w:bookmarkEnd w:id="318"/>
      <w:bookmarkEnd w:id="319"/>
      <w:bookmarkEnd w:id="320"/>
      <w:bookmarkEnd w:id="321"/>
    </w:p>
    <w:p w14:paraId="44F06C6C">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1.11.1 关于发包人提供给承包人的图纸、发包人为实施工程自行编制或委托编制的技术规范以及反映发包人关于合同要求或其他类似性质的文件的著作权的归属：</w:t>
      </w:r>
      <w:r>
        <w:rPr>
          <w:rFonts w:hint="eastAsia" w:ascii="宋体" w:hAnsi="宋体" w:cs="宋体"/>
          <w:color w:val="auto"/>
          <w:sz w:val="24"/>
          <w:szCs w:val="24"/>
          <w:highlight w:val="none"/>
          <w:u w:val="single"/>
        </w:rPr>
        <w:t xml:space="preserve">   归发包人  </w:t>
      </w:r>
      <w:r>
        <w:rPr>
          <w:rFonts w:hint="eastAsia" w:ascii="宋体" w:hAnsi="宋体" w:cs="宋体"/>
          <w:color w:val="auto"/>
          <w:sz w:val="24"/>
          <w:szCs w:val="24"/>
          <w:highlight w:val="none"/>
        </w:rPr>
        <w:t>。</w:t>
      </w:r>
    </w:p>
    <w:p w14:paraId="5BB488B4">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关于发包人提供的上述文件的使用限制的要求：</w:t>
      </w:r>
      <w:r>
        <w:rPr>
          <w:rFonts w:hint="eastAsia" w:ascii="宋体" w:hAnsi="宋体" w:cs="宋体"/>
          <w:color w:val="auto"/>
          <w:sz w:val="24"/>
          <w:szCs w:val="24"/>
          <w:highlight w:val="none"/>
          <w:u w:val="single"/>
        </w:rPr>
        <w:t xml:space="preserve">   未经发包人书面同意，承包人不得为了合同以外的目的而复制、使用上述文件或将之提供给任何第三方    </w:t>
      </w:r>
      <w:r>
        <w:rPr>
          <w:rFonts w:hint="eastAsia" w:ascii="宋体" w:hAnsi="宋体" w:cs="宋体"/>
          <w:color w:val="auto"/>
          <w:sz w:val="24"/>
          <w:szCs w:val="24"/>
          <w:highlight w:val="none"/>
        </w:rPr>
        <w:t>。</w:t>
      </w:r>
    </w:p>
    <w:p w14:paraId="5BA4050D">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1.11.2 关于承包人为实施工程所编制文件的著作权的归属：</w:t>
      </w:r>
      <w:r>
        <w:rPr>
          <w:rFonts w:hint="eastAsia" w:ascii="宋体" w:hAnsi="宋体" w:cs="宋体"/>
          <w:color w:val="auto"/>
          <w:sz w:val="24"/>
          <w:szCs w:val="24"/>
          <w:highlight w:val="none"/>
          <w:u w:val="single"/>
        </w:rPr>
        <w:t xml:space="preserve">   按通用合同条款执行  </w:t>
      </w:r>
      <w:r>
        <w:rPr>
          <w:rFonts w:hint="eastAsia" w:ascii="宋体" w:hAnsi="宋体" w:cs="宋体"/>
          <w:color w:val="auto"/>
          <w:sz w:val="24"/>
          <w:szCs w:val="24"/>
          <w:highlight w:val="none"/>
        </w:rPr>
        <w:t>。</w:t>
      </w:r>
    </w:p>
    <w:p w14:paraId="0B8F0C6B">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1.11.3关于承包人提供的上述文件的使用限制的要求：</w:t>
      </w:r>
      <w:r>
        <w:rPr>
          <w:rFonts w:hint="eastAsia" w:ascii="宋体" w:hAnsi="宋体" w:cs="宋体"/>
          <w:color w:val="auto"/>
          <w:sz w:val="24"/>
          <w:szCs w:val="24"/>
          <w:highlight w:val="none"/>
          <w:u w:val="single"/>
        </w:rPr>
        <w:t xml:space="preserve"> 未经发包人书面同意，承包人不得为了合同以外的目的而复制、使用上述文件或将之提供给任何第三方   </w:t>
      </w:r>
      <w:r>
        <w:rPr>
          <w:rFonts w:hint="eastAsia" w:ascii="宋体" w:hAnsi="宋体" w:cs="宋体"/>
          <w:color w:val="auto"/>
          <w:sz w:val="24"/>
          <w:szCs w:val="24"/>
          <w:highlight w:val="none"/>
        </w:rPr>
        <w:t>。</w:t>
      </w:r>
    </w:p>
    <w:p w14:paraId="220A827F">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1.11.4 承包人在施工过程中所采用的专利、专有技术、技术秘密的使用费的承担方式：</w:t>
      </w:r>
    </w:p>
    <w:p w14:paraId="40C15337">
      <w:pPr>
        <w:spacing w:line="440" w:lineRule="exact"/>
        <w:rPr>
          <w:rFonts w:ascii="宋体" w:hAnsi="宋体" w:cs="宋体"/>
          <w:color w:val="auto"/>
          <w:kern w:val="0"/>
          <w:sz w:val="24"/>
          <w:szCs w:val="24"/>
          <w:highlight w:val="none"/>
        </w:rPr>
      </w:pPr>
      <w:r>
        <w:rPr>
          <w:rFonts w:hint="eastAsia" w:ascii="宋体" w:hAnsi="宋体" w:cs="宋体"/>
          <w:color w:val="auto"/>
          <w:sz w:val="24"/>
          <w:szCs w:val="24"/>
          <w:highlight w:val="none"/>
          <w:u w:val="single"/>
        </w:rPr>
        <w:t xml:space="preserve">  按通用合同条款执行  </w:t>
      </w:r>
      <w:r>
        <w:rPr>
          <w:rFonts w:hint="eastAsia" w:ascii="宋体" w:hAnsi="宋体" w:cs="宋体"/>
          <w:color w:val="auto"/>
          <w:kern w:val="0"/>
          <w:sz w:val="24"/>
          <w:szCs w:val="24"/>
          <w:highlight w:val="none"/>
        </w:rPr>
        <w:t>。</w:t>
      </w:r>
    </w:p>
    <w:p w14:paraId="5FF8A4FE">
      <w:pPr>
        <w:keepNext/>
        <w:keepLines/>
        <w:spacing w:before="120" w:after="120" w:line="440" w:lineRule="exact"/>
        <w:outlineLvl w:val="2"/>
        <w:rPr>
          <w:rFonts w:ascii="宋体" w:hAnsi="宋体" w:cs="宋体"/>
          <w:b/>
          <w:bCs/>
          <w:color w:val="auto"/>
          <w:sz w:val="24"/>
          <w:szCs w:val="24"/>
          <w:highlight w:val="none"/>
        </w:rPr>
      </w:pPr>
      <w:bookmarkStart w:id="322" w:name="_Toc373478348"/>
      <w:bookmarkStart w:id="323" w:name="_Toc389065267"/>
      <w:bookmarkStart w:id="324" w:name="_Toc51599557"/>
      <w:bookmarkStart w:id="325" w:name="_Toc407135203"/>
      <w:bookmarkStart w:id="326" w:name="_Toc373227701"/>
      <w:bookmarkStart w:id="327" w:name="_Toc487632700"/>
      <w:r>
        <w:rPr>
          <w:rFonts w:hint="eastAsia" w:ascii="宋体" w:hAnsi="宋体" w:cs="宋体"/>
          <w:b/>
          <w:bCs/>
          <w:color w:val="auto"/>
          <w:sz w:val="24"/>
          <w:szCs w:val="24"/>
          <w:highlight w:val="none"/>
        </w:rPr>
        <w:t>1.13工程量清单错误的修正</w:t>
      </w:r>
      <w:bookmarkEnd w:id="322"/>
      <w:bookmarkEnd w:id="323"/>
      <w:bookmarkEnd w:id="324"/>
      <w:bookmarkEnd w:id="325"/>
      <w:bookmarkEnd w:id="326"/>
      <w:bookmarkEnd w:id="327"/>
    </w:p>
    <w:p w14:paraId="73F70AF0">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出现工程量清单工程量偏差时，是否调整合同价格：</w:t>
      </w:r>
      <w:r>
        <w:rPr>
          <w:rFonts w:hint="eastAsia" w:ascii="宋体" w:hAnsi="宋体" w:cs="宋体"/>
          <w:color w:val="auto"/>
          <w:sz w:val="24"/>
          <w:szCs w:val="24"/>
          <w:highlight w:val="none"/>
          <w:u w:val="single"/>
        </w:rPr>
        <w:t xml:space="preserve">  除设计变更可调整合同价（但总结算价不能超该项目的上限控制价）以外，其余情况下不得调整合同价    </w:t>
      </w:r>
      <w:r>
        <w:rPr>
          <w:rFonts w:hint="eastAsia" w:ascii="宋体" w:hAnsi="宋体" w:cs="宋体"/>
          <w:color w:val="auto"/>
          <w:kern w:val="0"/>
          <w:sz w:val="24"/>
          <w:szCs w:val="24"/>
          <w:highlight w:val="none"/>
        </w:rPr>
        <w:t>。</w:t>
      </w:r>
    </w:p>
    <w:p w14:paraId="1F08C769">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允许调整合同价格的工程量偏差范围及其调整办法：</w:t>
      </w:r>
      <w:r>
        <w:rPr>
          <w:rFonts w:hint="eastAsia" w:ascii="宋体" w:hAnsi="宋体" w:cs="宋体"/>
          <w:color w:val="auto"/>
          <w:sz w:val="24"/>
          <w:szCs w:val="24"/>
          <w:highlight w:val="none"/>
          <w:u w:val="single"/>
        </w:rPr>
        <w:t xml:space="preserve"> 按10.4.1 变更估价原则</w:t>
      </w:r>
      <w:r>
        <w:rPr>
          <w:rFonts w:hint="eastAsia" w:ascii="宋体" w:hAnsi="宋体" w:cs="宋体"/>
          <w:color w:val="auto"/>
          <w:kern w:val="0"/>
          <w:sz w:val="24"/>
          <w:szCs w:val="24"/>
          <w:highlight w:val="none"/>
        </w:rPr>
        <w:t>。</w:t>
      </w:r>
    </w:p>
    <w:p w14:paraId="6112E224">
      <w:pPr>
        <w:keepNext/>
        <w:keepLines/>
        <w:spacing w:before="120" w:after="120" w:line="440" w:lineRule="exact"/>
        <w:outlineLvl w:val="1"/>
        <w:rPr>
          <w:rFonts w:ascii="宋体" w:hAnsi="宋体" w:cs="宋体"/>
          <w:b/>
          <w:bCs/>
          <w:color w:val="auto"/>
          <w:sz w:val="24"/>
          <w:szCs w:val="24"/>
          <w:highlight w:val="none"/>
        </w:rPr>
      </w:pPr>
      <w:bookmarkStart w:id="328" w:name="_Toc487632701"/>
      <w:bookmarkStart w:id="329" w:name="_Toc373227702"/>
      <w:bookmarkStart w:id="330" w:name="_Toc51599558"/>
      <w:bookmarkStart w:id="331" w:name="_Toc373478349"/>
      <w:bookmarkStart w:id="332" w:name="_Toc407135204"/>
      <w:bookmarkStart w:id="333" w:name="_Toc389065268"/>
      <w:bookmarkStart w:id="334" w:name="_Toc351203634"/>
      <w:r>
        <w:rPr>
          <w:rFonts w:hint="eastAsia" w:ascii="宋体" w:hAnsi="宋体" w:cs="宋体"/>
          <w:b/>
          <w:bCs/>
          <w:color w:val="auto"/>
          <w:sz w:val="24"/>
          <w:szCs w:val="24"/>
          <w:highlight w:val="none"/>
        </w:rPr>
        <w:t>2</w:t>
      </w:r>
      <w:bookmarkStart w:id="335" w:name="_Toc296944496"/>
      <w:bookmarkStart w:id="336" w:name="_Toc296347156"/>
      <w:bookmarkStart w:id="337" w:name="_Toc292559362"/>
      <w:bookmarkStart w:id="338" w:name="_Toc296891197"/>
      <w:bookmarkStart w:id="339" w:name="_Toc296890985"/>
      <w:bookmarkStart w:id="340" w:name="_Toc297120457"/>
      <w:bookmarkStart w:id="341" w:name="_Toc296346658"/>
      <w:bookmarkStart w:id="342" w:name="_Toc292559867"/>
      <w:bookmarkStart w:id="343" w:name="_Toc297048343"/>
      <w:bookmarkStart w:id="344" w:name="_Toc296503157"/>
      <w:r>
        <w:rPr>
          <w:rFonts w:hint="eastAsia" w:ascii="宋体" w:hAnsi="宋体" w:cs="宋体"/>
          <w:b/>
          <w:bCs/>
          <w:color w:val="auto"/>
          <w:sz w:val="24"/>
          <w:szCs w:val="24"/>
          <w:highlight w:val="none"/>
        </w:rPr>
        <w:t>. 发包人</w:t>
      </w:r>
      <w:bookmarkEnd w:id="328"/>
      <w:bookmarkEnd w:id="329"/>
      <w:bookmarkEnd w:id="330"/>
      <w:bookmarkEnd w:id="331"/>
      <w:bookmarkEnd w:id="332"/>
      <w:bookmarkEnd w:id="333"/>
      <w:bookmarkEnd w:id="334"/>
    </w:p>
    <w:bookmarkEnd w:id="335"/>
    <w:bookmarkEnd w:id="336"/>
    <w:bookmarkEnd w:id="337"/>
    <w:bookmarkEnd w:id="338"/>
    <w:bookmarkEnd w:id="339"/>
    <w:bookmarkEnd w:id="340"/>
    <w:bookmarkEnd w:id="341"/>
    <w:bookmarkEnd w:id="342"/>
    <w:bookmarkEnd w:id="343"/>
    <w:bookmarkEnd w:id="344"/>
    <w:p w14:paraId="539ABFC1">
      <w:pPr>
        <w:keepNext/>
        <w:keepLines/>
        <w:spacing w:before="120" w:after="120" w:line="440" w:lineRule="exact"/>
        <w:outlineLvl w:val="2"/>
        <w:rPr>
          <w:rFonts w:ascii="宋体" w:hAnsi="宋体" w:cs="宋体"/>
          <w:b/>
          <w:bCs/>
          <w:color w:val="auto"/>
          <w:sz w:val="24"/>
          <w:szCs w:val="24"/>
          <w:highlight w:val="none"/>
        </w:rPr>
      </w:pPr>
      <w:bookmarkStart w:id="345" w:name="_Toc407135205"/>
      <w:bookmarkStart w:id="346" w:name="_Toc373478350"/>
      <w:bookmarkStart w:id="347" w:name="_Toc51599559"/>
      <w:bookmarkStart w:id="348" w:name="_Toc373227703"/>
      <w:bookmarkStart w:id="349" w:name="_Toc487632702"/>
      <w:bookmarkStart w:id="350" w:name="_Toc389065269"/>
      <w:r>
        <w:rPr>
          <w:rFonts w:hint="eastAsia" w:ascii="宋体" w:hAnsi="宋体" w:cs="宋体"/>
          <w:b/>
          <w:bCs/>
          <w:color w:val="auto"/>
          <w:sz w:val="24"/>
          <w:szCs w:val="24"/>
          <w:highlight w:val="none"/>
        </w:rPr>
        <w:t>2.2 发包人代表</w:t>
      </w:r>
      <w:bookmarkEnd w:id="345"/>
      <w:bookmarkEnd w:id="346"/>
      <w:bookmarkEnd w:id="347"/>
      <w:bookmarkEnd w:id="348"/>
      <w:bookmarkEnd w:id="349"/>
      <w:bookmarkEnd w:id="350"/>
    </w:p>
    <w:p w14:paraId="12B626B2">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发包人代表：</w:t>
      </w:r>
    </w:p>
    <w:p w14:paraId="3F4D88E8">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姓    名：</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598F28EC">
      <w:pPr>
        <w:spacing w:line="440" w:lineRule="exact"/>
        <w:ind w:firstLine="480" w:firstLineChars="200"/>
        <w:rPr>
          <w:rFonts w:ascii="宋体" w:hAnsi="宋体" w:cs="宋体"/>
          <w:color w:val="auto"/>
          <w:sz w:val="24"/>
          <w:szCs w:val="24"/>
          <w:highlight w:val="none"/>
          <w:u w:val="single"/>
        </w:rPr>
      </w:pPr>
      <w:bookmarkStart w:id="351" w:name="_Toc407135206"/>
      <w:bookmarkStart w:id="352" w:name="_Toc389065270"/>
      <w:bookmarkStart w:id="353" w:name="_Toc373227704"/>
      <w:bookmarkStart w:id="354" w:name="_Toc373478351"/>
      <w:bookmarkStart w:id="355" w:name="_Toc487632703"/>
      <w:r>
        <w:rPr>
          <w:rFonts w:hint="eastAsia" w:ascii="宋体" w:hAnsi="宋体" w:cs="宋体"/>
          <w:color w:val="auto"/>
          <w:sz w:val="24"/>
          <w:szCs w:val="24"/>
          <w:highlight w:val="none"/>
        </w:rPr>
        <w:t>发包人对发包人代表的授权范围如下：</w:t>
      </w:r>
      <w:r>
        <w:rPr>
          <w:rFonts w:hint="eastAsia" w:ascii="宋体" w:hAnsi="宋体" w:cs="宋体"/>
          <w:color w:val="auto"/>
          <w:sz w:val="24"/>
          <w:szCs w:val="24"/>
          <w:highlight w:val="none"/>
          <w:u w:val="single"/>
        </w:rPr>
        <w:t>除以下事项以外，发包人代表有权处理合同履行过程中与发包人有关的事宜：</w:t>
      </w:r>
    </w:p>
    <w:p w14:paraId="0E88C538">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（1）发布暂停施工命令</w:t>
      </w:r>
    </w:p>
    <w:p w14:paraId="43247F70">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（2）同意组织竣工验收</w:t>
      </w:r>
    </w:p>
    <w:p w14:paraId="68D98056">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（3）签认竣工付款证书</w:t>
      </w:r>
    </w:p>
    <w:p w14:paraId="7F17101B">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（4）签发工程接收证书</w:t>
      </w:r>
    </w:p>
    <w:p w14:paraId="5FA15038">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（5）签发缺陷责任终止证书</w:t>
      </w:r>
    </w:p>
    <w:p w14:paraId="0D33B010">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（6）签发最终结清证书。</w:t>
      </w:r>
    </w:p>
    <w:bookmarkEnd w:id="351"/>
    <w:bookmarkEnd w:id="352"/>
    <w:bookmarkEnd w:id="353"/>
    <w:bookmarkEnd w:id="354"/>
    <w:bookmarkEnd w:id="355"/>
    <w:p w14:paraId="7F69A974">
      <w:pPr>
        <w:keepNext/>
        <w:keepLines/>
        <w:spacing w:before="120" w:after="120" w:line="440" w:lineRule="exact"/>
        <w:outlineLvl w:val="2"/>
        <w:rPr>
          <w:rFonts w:ascii="宋体" w:hAnsi="宋体" w:cs="宋体"/>
          <w:b/>
          <w:bCs/>
          <w:color w:val="auto"/>
          <w:sz w:val="24"/>
          <w:szCs w:val="24"/>
          <w:highlight w:val="none"/>
        </w:rPr>
      </w:pPr>
      <w:bookmarkStart w:id="356" w:name="_Toc407135207"/>
      <w:bookmarkStart w:id="357" w:name="_Toc51599561"/>
      <w:bookmarkStart w:id="358" w:name="_Toc487632704"/>
      <w:bookmarkStart w:id="359" w:name="_Toc389065271"/>
      <w:bookmarkStart w:id="360" w:name="_Toc373478352"/>
      <w:bookmarkStart w:id="361" w:name="_Toc373227705"/>
      <w:r>
        <w:rPr>
          <w:rFonts w:hint="eastAsia" w:ascii="宋体" w:hAnsi="宋体" w:cs="宋体"/>
          <w:b/>
          <w:bCs/>
          <w:color w:val="auto"/>
          <w:sz w:val="24"/>
          <w:szCs w:val="24"/>
          <w:highlight w:val="none"/>
        </w:rPr>
        <w:t>2.4资金来源证明及支付担保</w:t>
      </w:r>
      <w:bookmarkEnd w:id="356"/>
      <w:bookmarkEnd w:id="357"/>
      <w:bookmarkEnd w:id="358"/>
      <w:bookmarkEnd w:id="359"/>
      <w:bookmarkEnd w:id="360"/>
      <w:bookmarkEnd w:id="361"/>
    </w:p>
    <w:p w14:paraId="20E06476">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发包人提供资金来源证明的期限要求：</w:t>
      </w:r>
      <w:r>
        <w:rPr>
          <w:rFonts w:hint="eastAsia" w:ascii="宋体" w:hAnsi="宋体" w:cs="宋体"/>
          <w:color w:val="auto"/>
          <w:sz w:val="24"/>
          <w:szCs w:val="24"/>
          <w:highlight w:val="none"/>
          <w:u w:val="single"/>
        </w:rPr>
        <w:t xml:space="preserve">    无         </w:t>
      </w:r>
      <w:r>
        <w:rPr>
          <w:rFonts w:hint="eastAsia" w:ascii="宋体" w:hAnsi="宋体" w:cs="宋体"/>
          <w:color w:val="auto"/>
          <w:sz w:val="24"/>
          <w:szCs w:val="24"/>
          <w:highlight w:val="none"/>
        </w:rPr>
        <w:t>。</w:t>
      </w:r>
    </w:p>
    <w:p w14:paraId="080B9C13">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发包人是否提供支付担保：</w:t>
      </w:r>
      <w:r>
        <w:rPr>
          <w:rFonts w:hint="eastAsia" w:ascii="宋体" w:hAnsi="宋体" w:cs="宋体"/>
          <w:color w:val="auto"/>
          <w:sz w:val="24"/>
          <w:szCs w:val="24"/>
          <w:highlight w:val="none"/>
          <w:u w:val="single"/>
        </w:rPr>
        <w:t xml:space="preserve">     否          </w:t>
      </w:r>
      <w:r>
        <w:rPr>
          <w:rFonts w:hint="eastAsia" w:ascii="宋体" w:hAnsi="宋体" w:cs="宋体"/>
          <w:color w:val="auto"/>
          <w:sz w:val="24"/>
          <w:szCs w:val="24"/>
          <w:highlight w:val="none"/>
        </w:rPr>
        <w:t>。</w:t>
      </w:r>
    </w:p>
    <w:p w14:paraId="5C02F957">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发包人提供支付担保的形式：</w:t>
      </w:r>
      <w:r>
        <w:rPr>
          <w:rFonts w:hint="eastAsia" w:ascii="宋体" w:hAnsi="宋体" w:cs="宋体"/>
          <w:color w:val="auto"/>
          <w:sz w:val="24"/>
          <w:szCs w:val="24"/>
          <w:highlight w:val="none"/>
          <w:u w:val="single"/>
        </w:rPr>
        <w:t xml:space="preserve">     无           </w:t>
      </w:r>
      <w:r>
        <w:rPr>
          <w:rFonts w:hint="eastAsia" w:ascii="宋体" w:hAnsi="宋体" w:cs="宋体"/>
          <w:color w:val="auto"/>
          <w:sz w:val="24"/>
          <w:szCs w:val="24"/>
          <w:highlight w:val="none"/>
        </w:rPr>
        <w:t>。</w:t>
      </w:r>
    </w:p>
    <w:p w14:paraId="7763395B">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发包人提供的支付担保格式见合同附件2。</w:t>
      </w:r>
    </w:p>
    <w:p w14:paraId="1720F681">
      <w:pPr>
        <w:keepNext/>
        <w:keepLines/>
        <w:spacing w:before="120" w:after="120" w:line="440" w:lineRule="exact"/>
        <w:outlineLvl w:val="1"/>
        <w:rPr>
          <w:rFonts w:ascii="宋体" w:hAnsi="宋体" w:cs="宋体"/>
          <w:b/>
          <w:bCs/>
          <w:color w:val="auto"/>
          <w:sz w:val="24"/>
          <w:szCs w:val="24"/>
          <w:highlight w:val="none"/>
        </w:rPr>
      </w:pPr>
      <w:bookmarkStart w:id="362" w:name="_Toc51599562"/>
      <w:bookmarkStart w:id="363" w:name="_Toc389065272"/>
      <w:bookmarkStart w:id="364" w:name="_Toc407135208"/>
      <w:bookmarkStart w:id="365" w:name="_Toc373227706"/>
      <w:bookmarkStart w:id="366" w:name="_Toc487632705"/>
      <w:bookmarkStart w:id="367" w:name="_Toc373478353"/>
      <w:bookmarkStart w:id="368" w:name="_Toc351203635"/>
      <w:r>
        <w:rPr>
          <w:rFonts w:hint="eastAsia" w:ascii="宋体" w:hAnsi="宋体" w:cs="宋体"/>
          <w:b/>
          <w:bCs/>
          <w:color w:val="auto"/>
          <w:sz w:val="24"/>
          <w:szCs w:val="24"/>
          <w:highlight w:val="none"/>
        </w:rPr>
        <w:t>3</w:t>
      </w:r>
      <w:bookmarkStart w:id="369" w:name="_Toc296890986"/>
      <w:bookmarkStart w:id="370" w:name="_Toc296944497"/>
      <w:bookmarkStart w:id="371" w:name="_Toc296346659"/>
      <w:bookmarkStart w:id="372" w:name="_Toc296347157"/>
      <w:bookmarkStart w:id="373" w:name="_Toc292559363"/>
      <w:bookmarkStart w:id="374" w:name="_Toc297048344"/>
      <w:bookmarkStart w:id="375" w:name="_Toc297120458"/>
      <w:bookmarkStart w:id="376" w:name="_Toc296891198"/>
      <w:bookmarkStart w:id="377" w:name="_Toc296503158"/>
      <w:bookmarkStart w:id="378" w:name="_Toc292559868"/>
      <w:r>
        <w:rPr>
          <w:rFonts w:hint="eastAsia" w:ascii="宋体" w:hAnsi="宋体" w:cs="宋体"/>
          <w:b/>
          <w:bCs/>
          <w:color w:val="auto"/>
          <w:sz w:val="24"/>
          <w:szCs w:val="24"/>
          <w:highlight w:val="none"/>
        </w:rPr>
        <w:t>. 承包人</w:t>
      </w:r>
      <w:bookmarkEnd w:id="362"/>
      <w:bookmarkEnd w:id="363"/>
      <w:bookmarkEnd w:id="364"/>
      <w:bookmarkEnd w:id="365"/>
      <w:bookmarkEnd w:id="366"/>
      <w:bookmarkEnd w:id="367"/>
      <w:bookmarkEnd w:id="368"/>
    </w:p>
    <w:bookmarkEnd w:id="369"/>
    <w:bookmarkEnd w:id="370"/>
    <w:bookmarkEnd w:id="371"/>
    <w:bookmarkEnd w:id="372"/>
    <w:bookmarkEnd w:id="373"/>
    <w:bookmarkEnd w:id="374"/>
    <w:bookmarkEnd w:id="375"/>
    <w:bookmarkEnd w:id="376"/>
    <w:bookmarkEnd w:id="377"/>
    <w:bookmarkEnd w:id="378"/>
    <w:p w14:paraId="27DB4937">
      <w:pPr>
        <w:keepNext/>
        <w:keepLines/>
        <w:spacing w:before="120" w:after="120" w:line="440" w:lineRule="exact"/>
        <w:outlineLvl w:val="2"/>
        <w:rPr>
          <w:rFonts w:ascii="宋体" w:hAnsi="宋体" w:cs="宋体"/>
          <w:b/>
          <w:bCs/>
          <w:color w:val="auto"/>
          <w:sz w:val="24"/>
          <w:szCs w:val="24"/>
          <w:highlight w:val="none"/>
        </w:rPr>
      </w:pPr>
      <w:bookmarkStart w:id="379" w:name="_Toc487632706"/>
      <w:bookmarkStart w:id="380" w:name="_Toc373227707"/>
      <w:bookmarkStart w:id="381" w:name="_Toc389065273"/>
      <w:bookmarkStart w:id="382" w:name="_Toc373478354"/>
      <w:bookmarkStart w:id="383" w:name="_Toc51599563"/>
      <w:bookmarkStart w:id="384" w:name="_Toc407135209"/>
      <w:r>
        <w:rPr>
          <w:rFonts w:hint="eastAsia" w:ascii="宋体" w:hAnsi="宋体" w:cs="宋体"/>
          <w:b/>
          <w:bCs/>
          <w:color w:val="auto"/>
          <w:sz w:val="24"/>
          <w:szCs w:val="24"/>
          <w:highlight w:val="none"/>
        </w:rPr>
        <w:t>3.1 承包人的一般义务</w:t>
      </w:r>
      <w:bookmarkEnd w:id="379"/>
      <w:bookmarkEnd w:id="380"/>
      <w:bookmarkEnd w:id="381"/>
      <w:bookmarkEnd w:id="382"/>
      <w:bookmarkEnd w:id="383"/>
      <w:bookmarkEnd w:id="384"/>
    </w:p>
    <w:p w14:paraId="462488F7">
      <w:pPr>
        <w:spacing w:line="440" w:lineRule="exact"/>
        <w:ind w:firstLine="480" w:firstLineChars="200"/>
        <w:rPr>
          <w:rFonts w:ascii="宋体" w:hAnsi="宋体" w:cs="宋体"/>
          <w:color w:val="auto"/>
          <w:sz w:val="24"/>
          <w:szCs w:val="24"/>
          <w:highlight w:val="none"/>
          <w:u w:val="single"/>
        </w:rPr>
      </w:pPr>
      <w:bookmarkStart w:id="385" w:name="_Toc407135210"/>
      <w:bookmarkStart w:id="386" w:name="_Toc389065274"/>
      <w:bookmarkStart w:id="387" w:name="_Toc487632707"/>
      <w:bookmarkStart w:id="388" w:name="_Toc373227708"/>
      <w:bookmarkStart w:id="389" w:name="_Toc373478355"/>
      <w:r>
        <w:rPr>
          <w:rFonts w:hint="eastAsia" w:ascii="宋体" w:hAnsi="宋体" w:cs="宋体"/>
          <w:color w:val="auto"/>
          <w:sz w:val="24"/>
          <w:szCs w:val="24"/>
          <w:highlight w:val="none"/>
          <w:u w:val="single"/>
        </w:rPr>
        <w:t xml:space="preserve">按照现行的建设工程文件归档规范，符合竣工验收要求的竣工图、施工管理资料、施工技术资料、检验（测）资料、评定（价）资料及国家、地方规定的其他资料  </w:t>
      </w:r>
      <w:r>
        <w:rPr>
          <w:rFonts w:hint="eastAsia" w:ascii="宋体" w:hAnsi="宋体" w:cs="宋体"/>
          <w:color w:val="auto"/>
          <w:sz w:val="24"/>
          <w:szCs w:val="24"/>
          <w:highlight w:val="none"/>
        </w:rPr>
        <w:t>。</w:t>
      </w:r>
    </w:p>
    <w:p w14:paraId="54140FB3">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承包人需要提交的竣工资料套数：</w:t>
      </w:r>
      <w:r>
        <w:rPr>
          <w:rFonts w:hint="eastAsia" w:ascii="宋体" w:hAnsi="宋体" w:cs="宋体"/>
          <w:color w:val="auto"/>
          <w:sz w:val="24"/>
          <w:szCs w:val="24"/>
          <w:highlight w:val="none"/>
          <w:u w:val="single"/>
        </w:rPr>
        <w:t xml:space="preserve">     5套       </w:t>
      </w:r>
      <w:r>
        <w:rPr>
          <w:rFonts w:hint="eastAsia" w:ascii="宋体" w:hAnsi="宋体" w:cs="宋体"/>
          <w:color w:val="auto"/>
          <w:sz w:val="24"/>
          <w:szCs w:val="24"/>
          <w:highlight w:val="none"/>
        </w:rPr>
        <w:t>。</w:t>
      </w:r>
    </w:p>
    <w:p w14:paraId="04473066">
      <w:pPr>
        <w:spacing w:line="440" w:lineRule="exact"/>
        <w:ind w:left="424" w:leftChars="202"/>
        <w:rPr>
          <w:rFonts w:ascii="宋体" w:hAnsi="宋体" w:cs="宋体"/>
          <w:color w:val="auto"/>
          <w:sz w:val="24"/>
          <w:szCs w:val="24"/>
          <w:highlight w:val="none"/>
        </w:rPr>
      </w:pPr>
      <w:r>
        <w:rPr>
          <w:rFonts w:hint="eastAsia" w:ascii="宋体" w:hAnsi="宋体" w:cs="宋体"/>
          <w:color w:val="auto"/>
          <w:sz w:val="24"/>
          <w:szCs w:val="24"/>
          <w:highlight w:val="none"/>
        </w:rPr>
        <w:t>承包人提交的竣工资料的费用承担：</w:t>
      </w:r>
      <w:r>
        <w:rPr>
          <w:rFonts w:hint="eastAsia" w:ascii="宋体" w:hAnsi="宋体" w:cs="宋体"/>
          <w:color w:val="auto"/>
          <w:sz w:val="24"/>
          <w:szCs w:val="24"/>
          <w:highlight w:val="none"/>
          <w:u w:val="single"/>
        </w:rPr>
        <w:t xml:space="preserve">   承包人承担  </w:t>
      </w:r>
      <w:r>
        <w:rPr>
          <w:rFonts w:hint="eastAsia" w:ascii="宋体" w:hAnsi="宋体" w:cs="宋体"/>
          <w:color w:val="auto"/>
          <w:sz w:val="24"/>
          <w:szCs w:val="24"/>
          <w:highlight w:val="none"/>
        </w:rPr>
        <w:t>。</w:t>
      </w:r>
    </w:p>
    <w:p w14:paraId="59A3636F">
      <w:pPr>
        <w:spacing w:line="440" w:lineRule="exact"/>
        <w:ind w:left="424" w:leftChars="202"/>
        <w:rPr>
          <w:rFonts w:ascii="宋体" w:hAnsi="宋体" w:cs="宋体"/>
          <w:color w:val="auto"/>
          <w:sz w:val="24"/>
          <w:szCs w:val="24"/>
          <w:highlight w:val="none"/>
        </w:rPr>
      </w:pPr>
      <w:r>
        <w:rPr>
          <w:rFonts w:hint="eastAsia" w:ascii="宋体" w:hAnsi="宋体" w:cs="宋体"/>
          <w:color w:val="auto"/>
          <w:sz w:val="24"/>
          <w:szCs w:val="24"/>
          <w:highlight w:val="none"/>
        </w:rPr>
        <w:t>承包人提交的竣工资料移交时间：</w:t>
      </w:r>
      <w:r>
        <w:rPr>
          <w:rFonts w:hint="eastAsia" w:ascii="宋体" w:hAnsi="宋体" w:cs="宋体"/>
          <w:color w:val="auto"/>
          <w:sz w:val="24"/>
          <w:szCs w:val="24"/>
          <w:highlight w:val="none"/>
          <w:u w:val="single"/>
        </w:rPr>
        <w:t xml:space="preserve">   工程竣工验收合格后7日内  </w:t>
      </w:r>
      <w:r>
        <w:rPr>
          <w:rFonts w:hint="eastAsia" w:ascii="宋体" w:hAnsi="宋体" w:cs="宋体"/>
          <w:color w:val="auto"/>
          <w:sz w:val="24"/>
          <w:szCs w:val="24"/>
          <w:highlight w:val="none"/>
        </w:rPr>
        <w:t>。</w:t>
      </w:r>
    </w:p>
    <w:p w14:paraId="17AB8800">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承包人提交的竣工资料形式要求：</w:t>
      </w:r>
      <w:r>
        <w:rPr>
          <w:rFonts w:hint="eastAsia" w:ascii="宋体" w:hAnsi="宋体" w:cs="宋体"/>
          <w:color w:val="auto"/>
          <w:sz w:val="24"/>
          <w:szCs w:val="24"/>
          <w:highlight w:val="none"/>
          <w:u w:val="single"/>
        </w:rPr>
        <w:t xml:space="preserve">   纸质4套，电子扫描件文档1套  </w:t>
      </w:r>
      <w:r>
        <w:rPr>
          <w:rFonts w:hint="eastAsia" w:ascii="宋体" w:hAnsi="宋体" w:cs="宋体"/>
          <w:color w:val="auto"/>
          <w:sz w:val="24"/>
          <w:szCs w:val="24"/>
          <w:highlight w:val="none"/>
        </w:rPr>
        <w:t>。</w:t>
      </w:r>
    </w:p>
    <w:p w14:paraId="7231453A">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（10）承包人应履行的其他义务：</w:t>
      </w:r>
      <w:r>
        <w:rPr>
          <w:rFonts w:hint="eastAsia" w:ascii="宋体" w:hAnsi="宋体" w:cs="宋体"/>
          <w:color w:val="auto"/>
          <w:kern w:val="0"/>
          <w:sz w:val="24"/>
          <w:szCs w:val="24"/>
          <w:highlight w:val="none"/>
          <w:u w:val="single"/>
        </w:rPr>
        <w:t xml:space="preserve">   严格执行建筑节能相关法律法规，在施工过程中节约资源，杜绝浪费     </w:t>
      </w:r>
      <w:r>
        <w:rPr>
          <w:rFonts w:hint="eastAsia" w:ascii="宋体" w:hAnsi="宋体" w:cs="宋体"/>
          <w:color w:val="auto"/>
          <w:kern w:val="0"/>
          <w:sz w:val="24"/>
          <w:szCs w:val="24"/>
          <w:highlight w:val="none"/>
        </w:rPr>
        <w:t>。</w:t>
      </w:r>
    </w:p>
    <w:p w14:paraId="46D56152">
      <w:pPr>
        <w:keepNext/>
        <w:keepLines/>
        <w:spacing w:before="120" w:after="120" w:line="440" w:lineRule="exact"/>
        <w:outlineLvl w:val="2"/>
        <w:rPr>
          <w:rFonts w:ascii="宋体" w:hAnsi="宋体" w:cs="宋体"/>
          <w:b/>
          <w:bCs/>
          <w:color w:val="auto"/>
          <w:sz w:val="24"/>
          <w:szCs w:val="24"/>
          <w:highlight w:val="none"/>
        </w:rPr>
      </w:pPr>
      <w:bookmarkStart w:id="390" w:name="_Toc51599564"/>
      <w:r>
        <w:rPr>
          <w:rFonts w:hint="eastAsia" w:ascii="宋体" w:hAnsi="宋体" w:cs="宋体"/>
          <w:b/>
          <w:bCs/>
          <w:color w:val="auto"/>
          <w:sz w:val="24"/>
          <w:szCs w:val="24"/>
          <w:highlight w:val="none"/>
        </w:rPr>
        <w:t>3.2 项目经理</w:t>
      </w:r>
      <w:bookmarkEnd w:id="385"/>
      <w:bookmarkEnd w:id="386"/>
      <w:bookmarkEnd w:id="387"/>
      <w:bookmarkEnd w:id="388"/>
      <w:bookmarkEnd w:id="389"/>
      <w:bookmarkEnd w:id="390"/>
    </w:p>
    <w:p w14:paraId="0E533B6A">
      <w:pPr>
        <w:spacing w:line="440" w:lineRule="exact"/>
        <w:ind w:firstLine="480" w:firstLineChars="200"/>
        <w:rPr>
          <w:rFonts w:ascii="宋体" w:hAnsi="宋体" w:cs="宋体"/>
          <w:color w:val="auto"/>
          <w:sz w:val="24"/>
          <w:szCs w:val="24"/>
          <w:highlight w:val="none"/>
        </w:rPr>
      </w:pPr>
      <w:r>
        <w:rPr>
          <w:rFonts w:hint="eastAsia" w:ascii="宋体" w:hAnsi="宋体" w:cs="宋体"/>
          <w:color w:val="auto"/>
          <w:kern w:val="0"/>
          <w:sz w:val="24"/>
          <w:szCs w:val="24"/>
          <w:highlight w:val="none"/>
        </w:rPr>
        <w:t xml:space="preserve">3.2.1 </w:t>
      </w:r>
      <w:r>
        <w:rPr>
          <w:rFonts w:hint="eastAsia" w:ascii="宋体" w:hAnsi="宋体" w:cs="宋体"/>
          <w:color w:val="auto"/>
          <w:sz w:val="24"/>
          <w:szCs w:val="24"/>
          <w:highlight w:val="none"/>
        </w:rPr>
        <w:t>项目经理：</w:t>
      </w:r>
    </w:p>
    <w:p w14:paraId="0E2D951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姓    名：</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565A1A6D">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身份证号：</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4782CCB6">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建造师执业资格等级：</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35C5DDA4">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建造师注册证书号：</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710F9575">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安全生产考核合格证书号：</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5842872D">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 xml:space="preserve">承包人对项目经理的授权范围如下：  </w:t>
      </w:r>
      <w:r>
        <w:rPr>
          <w:rFonts w:hint="eastAsia" w:ascii="宋体" w:hAnsi="宋体" w:cs="宋体"/>
          <w:color w:val="auto"/>
          <w:sz w:val="24"/>
          <w:szCs w:val="24"/>
          <w:highlight w:val="none"/>
          <w:u w:val="single"/>
        </w:rPr>
        <w:t>项目经理经承包人授权后代表承包人负责履行合同，但是下列事项必须经承包人同意，并加盖承包人单位公章方为有效：</w:t>
      </w:r>
    </w:p>
    <w:p w14:paraId="1E159FC2">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u w:val="single"/>
        </w:rPr>
        <w:t>1）与本工程相关的任何补充协议的签订；</w:t>
      </w:r>
    </w:p>
    <w:p w14:paraId="13BCA6D5">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u w:val="single"/>
        </w:rPr>
        <w:t>2）与本工程相关的任何分包合同、采购合同、聘任合同的签订：</w:t>
      </w:r>
    </w:p>
    <w:p w14:paraId="2D62D3D3">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u w:val="single"/>
        </w:rPr>
        <w:t>3）同意涉及合同价款变化超过1万元或合同工期变化超过3天的变更指示；</w:t>
      </w:r>
    </w:p>
    <w:p w14:paraId="3BFF3B08">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u w:val="single"/>
        </w:rPr>
        <w:t>4）进度款支付申请；</w:t>
      </w:r>
    </w:p>
    <w:p w14:paraId="5CB16092">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u w:val="single"/>
        </w:rPr>
        <w:t>5）竣工验收申请；</w:t>
      </w:r>
    </w:p>
    <w:p w14:paraId="189998F3">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u w:val="single"/>
        </w:rPr>
        <w:t xml:space="preserve">6）最终结清申请单 </w:t>
      </w:r>
      <w:r>
        <w:rPr>
          <w:rFonts w:hint="eastAsia" w:ascii="宋体" w:hAnsi="宋体" w:cs="宋体"/>
          <w:color w:val="auto"/>
          <w:sz w:val="24"/>
          <w:szCs w:val="24"/>
          <w:highlight w:val="none"/>
        </w:rPr>
        <w:t>。</w:t>
      </w:r>
    </w:p>
    <w:p w14:paraId="49577B9E">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关于项目经理每月在施工现场的时间要求：</w:t>
      </w:r>
      <w:r>
        <w:rPr>
          <w:rFonts w:hint="eastAsia" w:ascii="宋体" w:hAnsi="宋体" w:cs="宋体"/>
          <w:color w:val="auto"/>
          <w:sz w:val="24"/>
          <w:szCs w:val="24"/>
          <w:highlight w:val="none"/>
          <w:u w:val="single"/>
        </w:rPr>
        <w:t xml:space="preserve"> 80%/月  </w:t>
      </w:r>
      <w:r>
        <w:rPr>
          <w:rFonts w:hint="eastAsia" w:ascii="宋体" w:hAnsi="宋体" w:cs="宋体"/>
          <w:color w:val="auto"/>
          <w:sz w:val="24"/>
          <w:szCs w:val="24"/>
          <w:highlight w:val="none"/>
        </w:rPr>
        <w:t>。</w:t>
      </w:r>
    </w:p>
    <w:p w14:paraId="56975044">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承包人未提交劳动合同，以及没有为项目经理缴纳社会保险证明的违约责任：</w:t>
      </w:r>
      <w:r>
        <w:rPr>
          <w:rFonts w:hint="eastAsia" w:ascii="宋体" w:hAnsi="宋体" w:cs="宋体"/>
          <w:color w:val="auto"/>
          <w:sz w:val="24"/>
          <w:szCs w:val="24"/>
          <w:highlight w:val="none"/>
          <w:u w:val="single"/>
        </w:rPr>
        <w:t xml:space="preserve"> 监理人限期承包人在收到提交要求后3日内补交，并承担违约金1000元；3日内不能补交的，发包人有权要求承包人更换项目经理，并承担违约金10000元。由此增加的费用和（或）延误的工期由承包人承担   </w:t>
      </w:r>
      <w:r>
        <w:rPr>
          <w:rFonts w:hint="eastAsia" w:ascii="宋体" w:hAnsi="宋体" w:cs="宋体"/>
          <w:color w:val="auto"/>
          <w:sz w:val="24"/>
          <w:szCs w:val="24"/>
          <w:highlight w:val="none"/>
        </w:rPr>
        <w:t>。</w:t>
      </w:r>
    </w:p>
    <w:p w14:paraId="6484F0EF">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kern w:val="0"/>
          <w:sz w:val="24"/>
          <w:szCs w:val="24"/>
          <w:highlight w:val="none"/>
        </w:rPr>
        <w:t>项目经理未经批准，擅自离开施工现场的违约责任：</w:t>
      </w:r>
      <w:r>
        <w:rPr>
          <w:rFonts w:hint="eastAsia" w:ascii="宋体" w:hAnsi="宋体" w:cs="宋体"/>
          <w:color w:val="auto"/>
          <w:sz w:val="24"/>
          <w:szCs w:val="24"/>
          <w:highlight w:val="none"/>
          <w:u w:val="single"/>
        </w:rPr>
        <w:t xml:space="preserve">项目经理每月在岗带班时间不得少于当月施工时间的80%。未经发包人同意或正当理由，项目经理每月在岗带班时间少于当月施工时间80%的，少在岗带班一天，发包人有权处违约金1000元/日（人民币）  </w:t>
      </w:r>
      <w:r>
        <w:rPr>
          <w:rFonts w:hint="eastAsia" w:ascii="宋体" w:hAnsi="宋体" w:cs="宋体"/>
          <w:color w:val="auto"/>
          <w:sz w:val="24"/>
          <w:szCs w:val="24"/>
          <w:highlight w:val="none"/>
        </w:rPr>
        <w:t>。</w:t>
      </w:r>
    </w:p>
    <w:p w14:paraId="61625C29">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3.2.3 承包人擅自更换项目经理的违约责任：</w:t>
      </w:r>
      <w:r>
        <w:rPr>
          <w:rFonts w:hint="eastAsia" w:ascii="宋体" w:hAnsi="宋体" w:cs="宋体"/>
          <w:color w:val="auto"/>
          <w:sz w:val="24"/>
          <w:szCs w:val="24"/>
          <w:highlight w:val="none"/>
          <w:u w:val="single"/>
        </w:rPr>
        <w:t>承包人项目经理必须与承包人投标时所承诺的人员一致，并在  （开工日期）  前到任。在监理人向承包人颁发    （竣工证明材料名称）    前，项目经理不得同时兼任其他任何项目的项目经理</w:t>
      </w:r>
      <w:r>
        <w:rPr>
          <w:rFonts w:hint="eastAsia" w:ascii="宋体" w:hAnsi="宋体" w:cs="宋体"/>
          <w:color w:val="auto"/>
          <w:kern w:val="0"/>
          <w:sz w:val="24"/>
          <w:szCs w:val="24"/>
          <w:highlight w:val="none"/>
          <w:u w:val="single"/>
        </w:rPr>
        <w:t>（符合桂建管</w:t>
      </w:r>
      <w:r>
        <w:rPr>
          <w:rFonts w:hint="eastAsia" w:ascii="宋体" w:hAnsi="宋体" w:cs="宋体"/>
          <w:color w:val="auto"/>
          <w:sz w:val="24"/>
          <w:szCs w:val="24"/>
          <w:highlight w:val="none"/>
          <w:u w:val="single"/>
        </w:rPr>
        <w:t>﹝2013﹞</w:t>
      </w:r>
      <w:r>
        <w:rPr>
          <w:rFonts w:hint="eastAsia" w:ascii="宋体" w:hAnsi="宋体" w:cs="宋体"/>
          <w:color w:val="auto"/>
          <w:kern w:val="0"/>
          <w:sz w:val="24"/>
          <w:szCs w:val="24"/>
          <w:highlight w:val="none"/>
          <w:u w:val="single"/>
        </w:rPr>
        <w:t>17号和</w:t>
      </w:r>
      <w:r>
        <w:rPr>
          <w:rFonts w:hint="eastAsia" w:ascii="宋体" w:hAnsi="宋体" w:cs="宋体"/>
          <w:color w:val="auto"/>
          <w:sz w:val="24"/>
          <w:szCs w:val="24"/>
          <w:highlight w:val="none"/>
          <w:u w:val="single"/>
        </w:rPr>
        <w:t>桂建管﹝2014﹞25号</w:t>
      </w:r>
      <w:r>
        <w:rPr>
          <w:rFonts w:hint="eastAsia" w:ascii="宋体" w:hAnsi="宋体" w:cs="宋体"/>
          <w:color w:val="auto"/>
          <w:kern w:val="0"/>
          <w:sz w:val="24"/>
          <w:szCs w:val="24"/>
          <w:highlight w:val="none"/>
          <w:u w:val="single"/>
        </w:rPr>
        <w:t>文除外）</w:t>
      </w:r>
      <w:r>
        <w:rPr>
          <w:rFonts w:hint="eastAsia" w:ascii="宋体" w:hAnsi="宋体" w:cs="宋体"/>
          <w:color w:val="auto"/>
          <w:sz w:val="24"/>
          <w:szCs w:val="24"/>
          <w:highlight w:val="none"/>
          <w:u w:val="single"/>
        </w:rPr>
        <w:t>。未经发包人书面同意，承包人擅自更换项目经理的视为违约，违约金处 3000元/人•次（人民币）</w:t>
      </w:r>
      <w:r>
        <w:rPr>
          <w:rFonts w:hint="eastAsia" w:ascii="宋体" w:hAnsi="宋体" w:cs="宋体"/>
          <w:color w:val="auto"/>
          <w:sz w:val="24"/>
          <w:szCs w:val="24"/>
          <w:highlight w:val="none"/>
        </w:rPr>
        <w:t>。</w:t>
      </w:r>
    </w:p>
    <w:p w14:paraId="65CE3F42">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3.2.4 承包人无正当理由拒绝更换项目经理的违约责任：</w:t>
      </w:r>
      <w:r>
        <w:rPr>
          <w:rFonts w:hint="eastAsia" w:ascii="宋体" w:hAnsi="宋体" w:cs="宋体"/>
          <w:color w:val="auto"/>
          <w:sz w:val="24"/>
          <w:szCs w:val="24"/>
          <w:highlight w:val="none"/>
          <w:u w:val="single"/>
        </w:rPr>
        <w:t>因承包人项目经理不称职，发包人要求调换而未及时调换的，视为承包人违约，必须向发包人交纳处罚金 5000元/人•次（人民币）</w:t>
      </w:r>
      <w:r>
        <w:rPr>
          <w:rFonts w:hint="eastAsia" w:ascii="宋体" w:hAnsi="宋体" w:cs="宋体"/>
          <w:color w:val="auto"/>
          <w:sz w:val="24"/>
          <w:szCs w:val="24"/>
          <w:highlight w:val="none"/>
        </w:rPr>
        <w:t>。</w:t>
      </w:r>
    </w:p>
    <w:p w14:paraId="402FE3F8">
      <w:pPr>
        <w:keepNext/>
        <w:keepLines/>
        <w:spacing w:before="120" w:after="120" w:line="440" w:lineRule="exact"/>
        <w:outlineLvl w:val="2"/>
        <w:rPr>
          <w:rFonts w:ascii="宋体" w:hAnsi="宋体" w:cs="宋体"/>
          <w:b/>
          <w:bCs/>
          <w:color w:val="auto"/>
          <w:sz w:val="24"/>
          <w:szCs w:val="24"/>
          <w:highlight w:val="none"/>
        </w:rPr>
      </w:pPr>
      <w:bookmarkStart w:id="391" w:name="_Toc373478356"/>
      <w:bookmarkStart w:id="392" w:name="_Toc389065275"/>
      <w:bookmarkStart w:id="393" w:name="_Toc407135211"/>
      <w:bookmarkStart w:id="394" w:name="_Toc487632708"/>
      <w:bookmarkStart w:id="395" w:name="_Toc51599565"/>
      <w:bookmarkStart w:id="396" w:name="_Toc373227709"/>
      <w:r>
        <w:rPr>
          <w:rFonts w:hint="eastAsia" w:ascii="宋体" w:hAnsi="宋体" w:cs="宋体"/>
          <w:b/>
          <w:bCs/>
          <w:color w:val="auto"/>
          <w:sz w:val="24"/>
          <w:szCs w:val="24"/>
          <w:highlight w:val="none"/>
        </w:rPr>
        <w:t>3.3 承包人人员</w:t>
      </w:r>
      <w:bookmarkEnd w:id="391"/>
      <w:bookmarkEnd w:id="392"/>
      <w:bookmarkEnd w:id="393"/>
      <w:bookmarkEnd w:id="394"/>
      <w:bookmarkEnd w:id="395"/>
      <w:bookmarkEnd w:id="396"/>
    </w:p>
    <w:p w14:paraId="1B3B3880">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3.3.1 承包人提交项目管理机构及施工现场管理人员安排报告（格式见合同附件3）的期限：</w:t>
      </w:r>
      <w:r>
        <w:rPr>
          <w:rFonts w:hint="eastAsia" w:ascii="宋体" w:hAnsi="宋体" w:cs="宋体"/>
          <w:color w:val="auto"/>
          <w:sz w:val="24"/>
          <w:szCs w:val="24"/>
          <w:highlight w:val="none"/>
          <w:u w:val="single"/>
        </w:rPr>
        <w:t xml:space="preserve">接到开工通知后7天内    </w:t>
      </w:r>
      <w:r>
        <w:rPr>
          <w:rFonts w:hint="eastAsia" w:ascii="宋体" w:hAnsi="宋体" w:cs="宋体"/>
          <w:color w:val="auto"/>
          <w:sz w:val="24"/>
          <w:szCs w:val="24"/>
          <w:highlight w:val="none"/>
        </w:rPr>
        <w:t>。</w:t>
      </w:r>
    </w:p>
    <w:p w14:paraId="6A720CC3">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3.3.3 承包人无正当理由拒绝撤换主要施工管理人员的违约责任：</w:t>
      </w:r>
      <w:r>
        <w:rPr>
          <w:rFonts w:hint="eastAsia" w:ascii="宋体" w:hAnsi="宋体" w:cs="宋体"/>
          <w:color w:val="auto"/>
          <w:sz w:val="24"/>
          <w:szCs w:val="24"/>
          <w:highlight w:val="none"/>
          <w:u w:val="single"/>
        </w:rPr>
        <w:t>因承包人主要施工管理人员不称职，发包人要求调换而无正当理由拒绝撤换或未及时调换的，视为承包人违约，必须向发包人交纳处罚金，处罚标准：技术负责人 1000  元/人•次（人民币）；专业工程师500元/人•次（人民币）</w:t>
      </w:r>
      <w:r>
        <w:rPr>
          <w:rFonts w:hint="eastAsia" w:ascii="宋体" w:hAnsi="宋体" w:cs="宋体"/>
          <w:color w:val="auto"/>
          <w:sz w:val="24"/>
          <w:szCs w:val="24"/>
          <w:highlight w:val="none"/>
        </w:rPr>
        <w:t>。</w:t>
      </w:r>
    </w:p>
    <w:p w14:paraId="4B112E3A">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3.3.4 承包人主要施工管理人员离开施工现场的批准要求：</w:t>
      </w:r>
      <w:r>
        <w:rPr>
          <w:rFonts w:hint="eastAsia" w:ascii="宋体" w:hAnsi="宋体" w:cs="宋体"/>
          <w:color w:val="auto"/>
          <w:sz w:val="24"/>
          <w:szCs w:val="24"/>
          <w:highlight w:val="none"/>
          <w:u w:val="single"/>
        </w:rPr>
        <w:t xml:space="preserve">  按通用合同条款执行  </w:t>
      </w:r>
      <w:r>
        <w:rPr>
          <w:rFonts w:hint="eastAsia" w:ascii="宋体" w:hAnsi="宋体" w:cs="宋体"/>
          <w:color w:val="auto"/>
          <w:sz w:val="24"/>
          <w:szCs w:val="24"/>
          <w:highlight w:val="none"/>
        </w:rPr>
        <w:t>。</w:t>
      </w:r>
    </w:p>
    <w:p w14:paraId="231AB7B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3.3.5 承包人擅自更换主要施工管理人员的违约责任：</w:t>
      </w:r>
      <w:r>
        <w:rPr>
          <w:rFonts w:hint="eastAsia" w:ascii="宋体" w:hAnsi="宋体" w:cs="宋体"/>
          <w:color w:val="auto"/>
          <w:sz w:val="24"/>
          <w:szCs w:val="24"/>
          <w:highlight w:val="none"/>
          <w:u w:val="single"/>
        </w:rPr>
        <w:t>项目技术负责人、专职安全员及其承诺的其它在场管理人员未经发包人书面同意不准擅自更换，擅自更换项目技术负责人处 1000 元/人•次（人民币）违约金；擅自更换专职安全员处500元/人•次（人民币）违约金；擅自更换其它在场管理人员处500元/人•次（人民币）违约金</w:t>
      </w:r>
      <w:r>
        <w:rPr>
          <w:rFonts w:hint="eastAsia" w:ascii="宋体" w:hAnsi="宋体" w:cs="宋体"/>
          <w:color w:val="auto"/>
          <w:sz w:val="24"/>
          <w:szCs w:val="24"/>
          <w:highlight w:val="none"/>
        </w:rPr>
        <w:t>。</w:t>
      </w:r>
    </w:p>
    <w:p w14:paraId="6DDDEFE9">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承包人主要施工管理人员擅自离开施工现场的违约责任：</w:t>
      </w:r>
      <w:r>
        <w:rPr>
          <w:rFonts w:hint="eastAsia" w:ascii="宋体" w:hAnsi="宋体" w:cs="宋体"/>
          <w:color w:val="auto"/>
          <w:sz w:val="24"/>
          <w:szCs w:val="24"/>
          <w:highlight w:val="none"/>
          <w:u w:val="single"/>
        </w:rPr>
        <w:t>未经发包人同意，项目技术负责人擅自离岗的，视为承包人违约，发包人有权处违约金  3000  元/人•次（人民币）；未经发包人同意，专职安全员擅自离岗的，视为承包人违约，发包人有权处违约金1000元/人•次（人民币）；其它在场管理人员擅自离岗的，视为承包人违约，发包人有权处违约金1000元/人•次（人民币）</w:t>
      </w:r>
      <w:r>
        <w:rPr>
          <w:rFonts w:hint="eastAsia" w:ascii="宋体" w:hAnsi="宋体" w:cs="宋体"/>
          <w:color w:val="auto"/>
          <w:sz w:val="24"/>
          <w:szCs w:val="24"/>
          <w:highlight w:val="none"/>
        </w:rPr>
        <w:t>。</w:t>
      </w:r>
    </w:p>
    <w:p w14:paraId="4D3648BA">
      <w:pPr>
        <w:keepNext/>
        <w:keepLines/>
        <w:spacing w:before="120" w:after="120" w:line="440" w:lineRule="exact"/>
        <w:outlineLvl w:val="2"/>
        <w:rPr>
          <w:rFonts w:ascii="宋体" w:hAnsi="宋体" w:cs="宋体"/>
          <w:b/>
          <w:bCs/>
          <w:color w:val="auto"/>
          <w:sz w:val="24"/>
          <w:szCs w:val="24"/>
          <w:highlight w:val="none"/>
        </w:rPr>
      </w:pPr>
      <w:bookmarkStart w:id="397" w:name="_Toc407135212"/>
      <w:bookmarkStart w:id="398" w:name="_Toc373227710"/>
      <w:bookmarkStart w:id="399" w:name="_Toc373478357"/>
      <w:bookmarkStart w:id="400" w:name="_Toc389065276"/>
      <w:bookmarkStart w:id="401" w:name="_Toc487632709"/>
      <w:bookmarkStart w:id="402" w:name="_Toc51599566"/>
      <w:r>
        <w:rPr>
          <w:rFonts w:hint="eastAsia" w:ascii="宋体" w:hAnsi="宋体" w:cs="宋体"/>
          <w:b/>
          <w:bCs/>
          <w:color w:val="auto"/>
          <w:sz w:val="24"/>
          <w:szCs w:val="24"/>
          <w:highlight w:val="none"/>
        </w:rPr>
        <w:t>3</w:t>
      </w:r>
      <w:bookmarkStart w:id="403" w:name="_Toc296890987"/>
      <w:bookmarkStart w:id="404" w:name="_Toc297123492"/>
      <w:bookmarkStart w:id="405" w:name="_Toc296347158"/>
      <w:bookmarkStart w:id="406" w:name="_Toc292559869"/>
      <w:bookmarkStart w:id="407" w:name="_Toc304295523"/>
      <w:bookmarkStart w:id="408" w:name="_Toc297120459"/>
      <w:bookmarkStart w:id="409" w:name="_Toc296503159"/>
      <w:bookmarkStart w:id="410" w:name="_Toc300934945"/>
      <w:bookmarkStart w:id="411" w:name="_Toc296944498"/>
      <w:bookmarkStart w:id="412" w:name="_Toc292559364"/>
      <w:bookmarkStart w:id="413" w:name="_Toc297216151"/>
      <w:bookmarkStart w:id="414" w:name="_Toc303539102"/>
      <w:bookmarkStart w:id="415" w:name="_Toc312677988"/>
      <w:bookmarkStart w:id="416" w:name="_Toc297048345"/>
      <w:bookmarkStart w:id="417" w:name="_Toc296346660"/>
      <w:bookmarkStart w:id="418" w:name="_Toc296891199"/>
      <w:r>
        <w:rPr>
          <w:rFonts w:hint="eastAsia" w:ascii="宋体" w:hAnsi="宋体" w:cs="宋体"/>
          <w:b/>
          <w:bCs/>
          <w:color w:val="auto"/>
          <w:sz w:val="24"/>
          <w:szCs w:val="24"/>
          <w:highlight w:val="none"/>
        </w:rPr>
        <w:t>.5 分包</w:t>
      </w:r>
      <w:bookmarkEnd w:id="397"/>
      <w:bookmarkEnd w:id="398"/>
      <w:bookmarkEnd w:id="399"/>
      <w:bookmarkEnd w:id="400"/>
      <w:bookmarkEnd w:id="401"/>
      <w:bookmarkEnd w:id="402"/>
    </w:p>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14:paraId="578C0B93">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w:t>
      </w:r>
      <w:bookmarkStart w:id="419" w:name="_Toc296944499"/>
      <w:bookmarkStart w:id="420" w:name="_Toc297120460"/>
      <w:bookmarkStart w:id="421" w:name="_Toc303539103"/>
      <w:bookmarkStart w:id="422" w:name="_Toc300934946"/>
      <w:bookmarkStart w:id="423" w:name="_Toc318581158"/>
      <w:bookmarkStart w:id="424" w:name="_Toc297123493"/>
      <w:bookmarkStart w:id="425" w:name="_Toc296346661"/>
      <w:bookmarkStart w:id="426" w:name="_Toc296503160"/>
      <w:bookmarkStart w:id="427" w:name="_Toc292559870"/>
      <w:bookmarkStart w:id="428" w:name="_Toc312677989"/>
      <w:bookmarkStart w:id="429" w:name="_Toc296347159"/>
      <w:bookmarkStart w:id="430" w:name="_Toc297216152"/>
      <w:bookmarkStart w:id="431" w:name="_Toc297048346"/>
      <w:bookmarkStart w:id="432" w:name="_Toc304295524"/>
      <w:bookmarkStart w:id="433" w:name="_Toc296890988"/>
      <w:bookmarkStart w:id="434" w:name="_Toc292559365"/>
      <w:bookmarkStart w:id="435" w:name="_Toc296891200"/>
      <w:r>
        <w:rPr>
          <w:rFonts w:hint="eastAsia" w:ascii="宋体" w:hAnsi="宋体" w:cs="宋体"/>
          <w:color w:val="auto"/>
          <w:sz w:val="24"/>
          <w:szCs w:val="24"/>
          <w:highlight w:val="none"/>
        </w:rPr>
        <w:t>.5.1 分包的一般约定</w:t>
      </w:r>
    </w:p>
    <w:p w14:paraId="007E9864">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禁止分包的工程包括：</w:t>
      </w:r>
      <w:r>
        <w:rPr>
          <w:rFonts w:hint="eastAsia" w:ascii="宋体" w:hAnsi="宋体" w:cs="宋体"/>
          <w:color w:val="auto"/>
          <w:sz w:val="24"/>
          <w:szCs w:val="24"/>
          <w:highlight w:val="none"/>
          <w:u w:val="single"/>
        </w:rPr>
        <w:t xml:space="preserve">   本工程不允许分包、转包     </w:t>
      </w:r>
      <w:r>
        <w:rPr>
          <w:rFonts w:hint="eastAsia" w:ascii="宋体" w:hAnsi="宋体" w:cs="宋体"/>
          <w:color w:val="auto"/>
          <w:sz w:val="24"/>
          <w:szCs w:val="24"/>
          <w:highlight w:val="none"/>
        </w:rPr>
        <w:t>。</w:t>
      </w:r>
    </w:p>
    <w:p w14:paraId="108556DD">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主体结构、关键性工作的范围：</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14:paraId="7075B542">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w:t>
      </w:r>
      <w:bookmarkStart w:id="436" w:name="_Toc318581159"/>
      <w:bookmarkStart w:id="437" w:name="_Toc312677990"/>
      <w:r>
        <w:rPr>
          <w:rFonts w:hint="eastAsia" w:ascii="宋体" w:hAnsi="宋体" w:cs="宋体"/>
          <w:color w:val="auto"/>
          <w:sz w:val="24"/>
          <w:szCs w:val="24"/>
          <w:highlight w:val="none"/>
        </w:rPr>
        <w:t>.5.2 分包的确定</w:t>
      </w:r>
    </w:p>
    <w:p w14:paraId="6F59C026">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允许分包的专业工程包括：</w:t>
      </w:r>
      <w:r>
        <w:rPr>
          <w:rFonts w:hint="eastAsia" w:ascii="宋体" w:hAnsi="宋体" w:cs="宋体"/>
          <w:color w:val="auto"/>
          <w:sz w:val="24"/>
          <w:szCs w:val="24"/>
          <w:highlight w:val="none"/>
          <w:u w:val="single"/>
        </w:rPr>
        <w:t xml:space="preserve">   无      </w:t>
      </w:r>
      <w:r>
        <w:rPr>
          <w:rFonts w:hint="eastAsia" w:ascii="宋体" w:hAnsi="宋体" w:cs="宋体"/>
          <w:color w:val="auto"/>
          <w:sz w:val="24"/>
          <w:szCs w:val="24"/>
          <w:highlight w:val="none"/>
        </w:rPr>
        <w:t>。</w:t>
      </w:r>
    </w:p>
    <w:p w14:paraId="5E1AA5F3">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其他关于分包的约定：</w:t>
      </w:r>
    </w:p>
    <w:p w14:paraId="7BF68438">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4。</w:t>
      </w:r>
    </w:p>
    <w:p w14:paraId="6F655E7B">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（2）在相关分包合同签订并报送有关建设行政主管部门备案后7天内，承包人应当将一份副本提交给监理人，承包人应保障分包工作不得再次分包。</w:t>
      </w:r>
    </w:p>
    <w:p w14:paraId="4D795786">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（3）未经承包人和监理人审批同意的分包工程和分包人，承包人有权拒绝验收分包工程和支付相应款项，由此引起的发包人费用增加和(或)延误的工期由发包人承担。</w:t>
      </w:r>
    </w:p>
    <w:p w14:paraId="2B4B4B5F">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（4）承包人有以下情况之一者，发包人有权解除合同：</w:t>
      </w:r>
    </w:p>
    <w:p w14:paraId="7EFD7668">
      <w:pPr>
        <w:spacing w:line="440" w:lineRule="exact"/>
        <w:ind w:firstLine="504" w:firstLineChars="210"/>
        <w:rPr>
          <w:rFonts w:hint="eastAsia" w:ascii="宋体" w:hAnsi="宋体" w:cs="宋体"/>
          <w:color w:val="auto"/>
          <w:sz w:val="24"/>
          <w:szCs w:val="24"/>
          <w:highlight w:val="none"/>
        </w:rPr>
      </w:pPr>
      <w:r>
        <w:rPr>
          <w:rFonts w:hint="eastAsia" w:ascii="宋体" w:hAnsi="宋体" w:cs="宋体"/>
          <w:color w:val="auto"/>
          <w:sz w:val="24"/>
          <w:szCs w:val="24"/>
          <w:highlight w:val="none"/>
        </w:rPr>
        <w:t>①个人承包工程，包括本人单位及外单位人员承包，发包人不承认其个人拥有任何资质等级及营业许可资格。</w:t>
      </w:r>
    </w:p>
    <w:p w14:paraId="33A4A9AB">
      <w:pPr>
        <w:spacing w:line="440" w:lineRule="exact"/>
        <w:ind w:firstLine="504" w:firstLineChars="210"/>
        <w:rPr>
          <w:rFonts w:ascii="宋体" w:hAnsi="宋体" w:cs="宋体"/>
          <w:color w:val="auto"/>
          <w:sz w:val="24"/>
          <w:szCs w:val="24"/>
          <w:highlight w:val="none"/>
        </w:rPr>
      </w:pPr>
      <w:r>
        <w:rPr>
          <w:rFonts w:hint="eastAsia" w:ascii="宋体" w:hAnsi="宋体" w:cs="宋体"/>
          <w:color w:val="auto"/>
          <w:sz w:val="24"/>
          <w:szCs w:val="24"/>
          <w:highlight w:val="none"/>
        </w:rPr>
        <w:t>②几个人联合承包工程，就地组织暗分包队伍，不具备完成本工程的技术、机械能力，被发包人判定为没有能力履行的承包人。</w:t>
      </w:r>
    </w:p>
    <w:p w14:paraId="6DA60074">
      <w:pPr>
        <w:spacing w:line="440" w:lineRule="exact"/>
        <w:ind w:firstLine="504" w:firstLineChars="210"/>
        <w:rPr>
          <w:rFonts w:ascii="宋体" w:hAnsi="宋体" w:cs="宋体"/>
          <w:color w:val="auto"/>
          <w:sz w:val="24"/>
          <w:szCs w:val="24"/>
          <w:highlight w:val="none"/>
        </w:rPr>
      </w:pPr>
      <w:r>
        <w:rPr>
          <w:rFonts w:hint="eastAsia" w:ascii="宋体" w:hAnsi="宋体" w:cs="宋体"/>
          <w:color w:val="auto"/>
          <w:sz w:val="24"/>
          <w:szCs w:val="24"/>
          <w:highlight w:val="none"/>
        </w:rPr>
        <w:t>③就地转包全部的工程，以谋取高额转让费、管理费的承包人。</w:t>
      </w:r>
    </w:p>
    <w:p w14:paraId="19AA5569">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④承包人有部分分包现象（其中包括冒充承包人下属单位的挂勾单位，凭口头协议参与施工的分包人及其他暗分包个体户），一经发现核实，发包人将采取驱逐该暗分包人措施。</w:t>
      </w:r>
    </w:p>
    <w:p w14:paraId="22F6F1A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3.5.4 分包合同价款</w:t>
      </w:r>
    </w:p>
    <w:bookmarkEnd w:id="436"/>
    <w:bookmarkEnd w:id="437"/>
    <w:p w14:paraId="4798AC41">
      <w:pPr>
        <w:spacing w:line="440" w:lineRule="exact"/>
        <w:ind w:firstLine="480" w:firstLineChars="200"/>
        <w:rPr>
          <w:rFonts w:ascii="宋体" w:hAnsi="宋体" w:cs="宋体"/>
          <w:color w:val="auto"/>
          <w:sz w:val="24"/>
          <w:szCs w:val="24"/>
          <w:highlight w:val="none"/>
        </w:rPr>
      </w:pPr>
      <w:bookmarkStart w:id="438" w:name="_Toc389065277"/>
      <w:bookmarkStart w:id="439" w:name="_Toc373227711"/>
      <w:bookmarkStart w:id="440" w:name="_Toc373478358"/>
      <w:r>
        <w:rPr>
          <w:rFonts w:hint="eastAsia" w:ascii="宋体" w:hAnsi="宋体" w:cs="宋体"/>
          <w:color w:val="auto"/>
          <w:sz w:val="24"/>
          <w:szCs w:val="24"/>
          <w:highlight w:val="none"/>
        </w:rPr>
        <w:t>关于分包合同价款支付的约定：</w:t>
      </w:r>
      <w:r>
        <w:rPr>
          <w:rFonts w:hint="eastAsia" w:ascii="宋体" w:hAnsi="宋体" w:cs="宋体"/>
          <w:color w:val="auto"/>
          <w:sz w:val="24"/>
          <w:szCs w:val="24"/>
          <w:highlight w:val="none"/>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23C7D19A">
      <w:pPr>
        <w:keepNext/>
        <w:keepLines/>
        <w:spacing w:before="120" w:after="120" w:line="440" w:lineRule="exact"/>
        <w:outlineLvl w:val="2"/>
        <w:rPr>
          <w:rFonts w:ascii="宋体" w:hAnsi="宋体" w:cs="宋体"/>
          <w:b/>
          <w:bCs/>
          <w:color w:val="auto"/>
          <w:sz w:val="24"/>
          <w:szCs w:val="24"/>
          <w:highlight w:val="none"/>
        </w:rPr>
      </w:pPr>
      <w:bookmarkStart w:id="441" w:name="_Toc51599567"/>
      <w:bookmarkStart w:id="442" w:name="_Toc487632710"/>
      <w:bookmarkStart w:id="443" w:name="_Toc407135213"/>
      <w:r>
        <w:rPr>
          <w:rFonts w:hint="eastAsia" w:ascii="宋体" w:hAnsi="宋体" w:cs="宋体"/>
          <w:b/>
          <w:bCs/>
          <w:color w:val="auto"/>
          <w:sz w:val="24"/>
          <w:szCs w:val="24"/>
          <w:highlight w:val="none"/>
        </w:rPr>
        <w:t>3.6 工程照管与成品、半成品保护</w:t>
      </w:r>
      <w:bookmarkEnd w:id="438"/>
      <w:bookmarkEnd w:id="439"/>
      <w:bookmarkEnd w:id="440"/>
      <w:bookmarkEnd w:id="441"/>
      <w:bookmarkEnd w:id="442"/>
      <w:bookmarkEnd w:id="443"/>
    </w:p>
    <w:p w14:paraId="190A119C">
      <w:pPr>
        <w:spacing w:line="440" w:lineRule="exact"/>
        <w:ind w:firstLine="480" w:firstLineChars="200"/>
        <w:rPr>
          <w:rFonts w:ascii="宋体" w:hAnsi="宋体" w:cs="宋体"/>
          <w:color w:val="auto"/>
          <w:kern w:val="0"/>
          <w:sz w:val="24"/>
          <w:szCs w:val="24"/>
          <w:highlight w:val="none"/>
          <w:u w:val="single"/>
        </w:rPr>
      </w:pPr>
      <w:r>
        <w:rPr>
          <w:rFonts w:hint="eastAsia" w:ascii="宋体" w:hAnsi="宋体" w:cs="宋体"/>
          <w:color w:val="auto"/>
          <w:kern w:val="0"/>
          <w:sz w:val="24"/>
          <w:szCs w:val="24"/>
          <w:highlight w:val="none"/>
        </w:rPr>
        <w:t>承包人负责照管工程及工程相关的材料、工程设备的起始时间：</w:t>
      </w:r>
      <w:r>
        <w:rPr>
          <w:rFonts w:hint="eastAsia" w:ascii="宋体" w:hAnsi="宋体" w:cs="宋体"/>
          <w:color w:val="auto"/>
          <w:kern w:val="0"/>
          <w:sz w:val="24"/>
          <w:szCs w:val="24"/>
          <w:highlight w:val="none"/>
          <w:u w:val="single"/>
        </w:rPr>
        <w:t xml:space="preserve">  从合同签订之日起至竣工验收合格并移交使用方接管之日止，期间所发生的半成品、成品损坏一切责任由承包人负责修复至设计要求    </w:t>
      </w:r>
      <w:r>
        <w:rPr>
          <w:rFonts w:hint="eastAsia" w:ascii="宋体" w:hAnsi="宋体" w:cs="宋体"/>
          <w:color w:val="auto"/>
          <w:kern w:val="0"/>
          <w:sz w:val="24"/>
          <w:szCs w:val="24"/>
          <w:highlight w:val="none"/>
        </w:rPr>
        <w:t>。</w:t>
      </w:r>
    </w:p>
    <w:p w14:paraId="7C8D37D7">
      <w:pPr>
        <w:keepNext/>
        <w:keepLines/>
        <w:spacing w:before="120" w:after="120" w:line="440" w:lineRule="exact"/>
        <w:outlineLvl w:val="2"/>
        <w:rPr>
          <w:rFonts w:ascii="宋体" w:hAnsi="宋体" w:cs="宋体"/>
          <w:b/>
          <w:bCs/>
          <w:color w:val="auto"/>
          <w:sz w:val="24"/>
          <w:szCs w:val="24"/>
          <w:highlight w:val="none"/>
        </w:rPr>
      </w:pPr>
      <w:bookmarkStart w:id="444" w:name="_Toc389065278"/>
      <w:bookmarkStart w:id="445" w:name="_Toc373478359"/>
      <w:bookmarkStart w:id="446" w:name="_Toc373227712"/>
      <w:bookmarkStart w:id="447" w:name="_Toc51599568"/>
      <w:bookmarkStart w:id="448" w:name="_Toc407135214"/>
      <w:bookmarkStart w:id="449" w:name="_Toc487632711"/>
      <w:r>
        <w:rPr>
          <w:rFonts w:hint="eastAsia" w:ascii="宋体" w:hAnsi="宋体" w:cs="宋体"/>
          <w:b/>
          <w:bCs/>
          <w:color w:val="auto"/>
          <w:sz w:val="24"/>
          <w:szCs w:val="24"/>
          <w:highlight w:val="none"/>
        </w:rPr>
        <w:t>3.7 履约</w:t>
      </w:r>
      <w:bookmarkEnd w:id="444"/>
      <w:bookmarkEnd w:id="445"/>
      <w:bookmarkEnd w:id="446"/>
      <w:r>
        <w:rPr>
          <w:rFonts w:hint="eastAsia" w:ascii="宋体" w:hAnsi="宋体" w:cs="宋体"/>
          <w:b/>
          <w:bCs/>
          <w:color w:val="auto"/>
          <w:sz w:val="24"/>
          <w:szCs w:val="24"/>
          <w:highlight w:val="none"/>
        </w:rPr>
        <w:t>保证金</w:t>
      </w:r>
      <w:bookmarkEnd w:id="447"/>
      <w:bookmarkEnd w:id="448"/>
      <w:bookmarkEnd w:id="449"/>
    </w:p>
    <w:p w14:paraId="3C5C0913">
      <w:pPr>
        <w:spacing w:line="440" w:lineRule="exact"/>
        <w:ind w:firstLine="480" w:firstLineChars="200"/>
        <w:rPr>
          <w:rFonts w:ascii="宋体" w:hAnsi="宋体" w:cs="宋体"/>
          <w:color w:val="auto"/>
          <w:sz w:val="24"/>
          <w:szCs w:val="24"/>
          <w:highlight w:val="none"/>
          <w:u w:val="single"/>
        </w:rPr>
      </w:pPr>
      <w:bookmarkStart w:id="450" w:name="_Toc351203636"/>
      <w:bookmarkStart w:id="451" w:name="_Toc373478360"/>
      <w:bookmarkStart w:id="452" w:name="_Toc373227713"/>
      <w:bookmarkStart w:id="453" w:name="_Toc389065279"/>
      <w:r>
        <w:rPr>
          <w:rFonts w:hint="eastAsia" w:ascii="宋体" w:hAnsi="宋体" w:cs="宋体"/>
          <w:color w:val="auto"/>
          <w:sz w:val="24"/>
          <w:szCs w:val="24"/>
          <w:highlight w:val="none"/>
        </w:rPr>
        <w:t>承包人提供履约担保的形式、金额及期限的：</w:t>
      </w:r>
      <w:r>
        <w:rPr>
          <w:rFonts w:hint="eastAsia" w:ascii="宋体" w:hAnsi="宋体" w:cs="宋体"/>
          <w:color w:val="auto"/>
          <w:sz w:val="24"/>
          <w:szCs w:val="24"/>
          <w:highlight w:val="none"/>
          <w:u w:val="single"/>
          <w:lang w:val="en-US" w:eastAsia="zh-CN"/>
        </w:rPr>
        <w:t>无</w:t>
      </w:r>
      <w:r>
        <w:rPr>
          <w:rFonts w:hint="eastAsia" w:ascii="宋体" w:hAnsi="宋体" w:cs="宋体"/>
          <w:color w:val="auto"/>
          <w:sz w:val="24"/>
          <w:szCs w:val="24"/>
          <w:highlight w:val="none"/>
          <w:u w:val="single"/>
        </w:rPr>
        <w:t>。</w:t>
      </w:r>
    </w:p>
    <w:p w14:paraId="4452E196">
      <w:pPr>
        <w:keepNext/>
        <w:keepLines/>
        <w:spacing w:before="120" w:after="120" w:line="440" w:lineRule="exact"/>
        <w:outlineLvl w:val="1"/>
        <w:rPr>
          <w:rFonts w:ascii="宋体" w:hAnsi="宋体" w:cs="宋体"/>
          <w:b/>
          <w:bCs/>
          <w:color w:val="auto"/>
          <w:sz w:val="24"/>
          <w:szCs w:val="24"/>
          <w:highlight w:val="none"/>
        </w:rPr>
      </w:pPr>
      <w:bookmarkStart w:id="454" w:name="_Toc407135215"/>
      <w:bookmarkStart w:id="455" w:name="_Toc51599569"/>
      <w:bookmarkStart w:id="456" w:name="_Toc487632712"/>
      <w:r>
        <w:rPr>
          <w:rFonts w:hint="eastAsia" w:ascii="宋体" w:hAnsi="宋体" w:cs="宋体"/>
          <w:b/>
          <w:bCs/>
          <w:color w:val="auto"/>
          <w:sz w:val="24"/>
          <w:szCs w:val="24"/>
          <w:highlight w:val="none"/>
        </w:rPr>
        <w:t>4</w:t>
      </w:r>
      <w:bookmarkStart w:id="457" w:name="_Toc297120462"/>
      <w:bookmarkStart w:id="458" w:name="_Toc292559366"/>
      <w:bookmarkStart w:id="459" w:name="_Toc296891202"/>
      <w:bookmarkStart w:id="460" w:name="_Toc296503162"/>
      <w:bookmarkStart w:id="461" w:name="_Toc296944501"/>
      <w:bookmarkStart w:id="462" w:name="_Toc296346663"/>
      <w:bookmarkStart w:id="463" w:name="_Toc297048348"/>
      <w:bookmarkStart w:id="464" w:name="_Toc267251413"/>
      <w:bookmarkStart w:id="465" w:name="_Toc296347161"/>
      <w:bookmarkStart w:id="466" w:name="_Toc292559871"/>
      <w:bookmarkStart w:id="467" w:name="_Toc296890990"/>
      <w:r>
        <w:rPr>
          <w:rFonts w:hint="eastAsia" w:ascii="宋体" w:hAnsi="宋体" w:cs="宋体"/>
          <w:b/>
          <w:bCs/>
          <w:color w:val="auto"/>
          <w:sz w:val="24"/>
          <w:szCs w:val="24"/>
          <w:highlight w:val="none"/>
        </w:rPr>
        <w:t>. 监</w:t>
      </w:r>
      <w:bookmarkEnd w:id="457"/>
      <w:bookmarkEnd w:id="458"/>
      <w:bookmarkEnd w:id="459"/>
      <w:bookmarkEnd w:id="460"/>
      <w:bookmarkEnd w:id="461"/>
      <w:bookmarkEnd w:id="462"/>
      <w:bookmarkEnd w:id="463"/>
      <w:bookmarkEnd w:id="464"/>
      <w:bookmarkEnd w:id="465"/>
      <w:bookmarkEnd w:id="466"/>
      <w:bookmarkEnd w:id="467"/>
      <w:r>
        <w:rPr>
          <w:rFonts w:hint="eastAsia" w:ascii="宋体" w:hAnsi="宋体" w:cs="宋体"/>
          <w:b/>
          <w:bCs/>
          <w:color w:val="auto"/>
          <w:sz w:val="24"/>
          <w:szCs w:val="24"/>
          <w:highlight w:val="none"/>
        </w:rPr>
        <w:t>理人</w:t>
      </w:r>
      <w:bookmarkEnd w:id="450"/>
      <w:bookmarkEnd w:id="451"/>
      <w:bookmarkEnd w:id="452"/>
      <w:bookmarkEnd w:id="453"/>
      <w:bookmarkEnd w:id="454"/>
      <w:bookmarkEnd w:id="455"/>
      <w:bookmarkEnd w:id="456"/>
    </w:p>
    <w:p w14:paraId="05F8C6C4">
      <w:pPr>
        <w:keepNext/>
        <w:keepLines/>
        <w:spacing w:before="120" w:after="120" w:line="440" w:lineRule="exact"/>
        <w:outlineLvl w:val="2"/>
        <w:rPr>
          <w:rFonts w:ascii="宋体" w:hAnsi="宋体" w:cs="宋体"/>
          <w:b/>
          <w:bCs/>
          <w:color w:val="auto"/>
          <w:sz w:val="24"/>
          <w:szCs w:val="24"/>
          <w:highlight w:val="none"/>
        </w:rPr>
      </w:pPr>
      <w:bookmarkStart w:id="468" w:name="_Toc487632713"/>
      <w:bookmarkStart w:id="469" w:name="_Toc389065280"/>
      <w:bookmarkStart w:id="470" w:name="_Toc51599570"/>
      <w:bookmarkStart w:id="471" w:name="_Toc373227714"/>
      <w:bookmarkStart w:id="472" w:name="_Toc373478361"/>
      <w:bookmarkStart w:id="473" w:name="_Toc407135216"/>
      <w:r>
        <w:rPr>
          <w:rFonts w:hint="eastAsia" w:ascii="宋体" w:hAnsi="宋体" w:cs="宋体"/>
          <w:b/>
          <w:bCs/>
          <w:color w:val="auto"/>
          <w:sz w:val="24"/>
          <w:szCs w:val="24"/>
          <w:highlight w:val="none"/>
        </w:rPr>
        <w:t>4.1 监理人的一般规定</w:t>
      </w:r>
      <w:bookmarkEnd w:id="468"/>
      <w:bookmarkEnd w:id="469"/>
      <w:bookmarkEnd w:id="470"/>
      <w:bookmarkEnd w:id="471"/>
      <w:bookmarkEnd w:id="472"/>
      <w:bookmarkEnd w:id="473"/>
    </w:p>
    <w:p w14:paraId="76B95166">
      <w:pPr>
        <w:spacing w:line="440" w:lineRule="exact"/>
        <w:ind w:firstLine="480" w:firstLineChars="200"/>
        <w:rPr>
          <w:rFonts w:ascii="宋体" w:hAnsi="宋体" w:cs="宋体"/>
          <w:color w:val="auto"/>
          <w:sz w:val="24"/>
          <w:szCs w:val="24"/>
          <w:highlight w:val="none"/>
        </w:rPr>
      </w:pPr>
      <w:bookmarkStart w:id="474" w:name="_Toc389065281"/>
      <w:bookmarkStart w:id="475" w:name="_Toc373478362"/>
      <w:bookmarkStart w:id="476" w:name="_Toc407135217"/>
      <w:bookmarkStart w:id="477" w:name="_Toc487632714"/>
      <w:bookmarkStart w:id="478" w:name="_Toc373227715"/>
      <w:r>
        <w:rPr>
          <w:rFonts w:hint="eastAsia" w:ascii="宋体" w:hAnsi="宋体" w:cs="宋体"/>
          <w:color w:val="auto"/>
          <w:sz w:val="24"/>
          <w:szCs w:val="24"/>
          <w:highlight w:val="none"/>
        </w:rPr>
        <w:t>关于监理人的监理内容：</w:t>
      </w:r>
      <w:r>
        <w:rPr>
          <w:rFonts w:hint="eastAsia" w:ascii="宋体" w:hAnsi="宋体" w:cs="宋体"/>
          <w:color w:val="auto"/>
          <w:sz w:val="24"/>
          <w:szCs w:val="24"/>
          <w:highlight w:val="none"/>
          <w:u w:val="single"/>
        </w:rPr>
        <w:t xml:space="preserve">图纸或工程量清单范围内的全部内容（包括设计变更）  </w:t>
      </w:r>
      <w:r>
        <w:rPr>
          <w:rFonts w:hint="eastAsia" w:ascii="宋体" w:hAnsi="宋体" w:cs="宋体"/>
          <w:color w:val="auto"/>
          <w:sz w:val="24"/>
          <w:szCs w:val="24"/>
          <w:highlight w:val="none"/>
        </w:rPr>
        <w:t>。</w:t>
      </w:r>
    </w:p>
    <w:p w14:paraId="32A890FA">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关于监理人的监理权限：</w:t>
      </w:r>
      <w:r>
        <w:rPr>
          <w:rFonts w:hint="eastAsia" w:ascii="宋体" w:hAnsi="宋体" w:cs="宋体"/>
          <w:color w:val="auto"/>
          <w:sz w:val="24"/>
          <w:szCs w:val="24"/>
          <w:highlight w:val="none"/>
          <w:u w:val="single"/>
        </w:rPr>
        <w:t xml:space="preserve">  按监理合同约定    </w:t>
      </w:r>
      <w:r>
        <w:rPr>
          <w:rFonts w:hint="eastAsia" w:ascii="宋体" w:hAnsi="宋体" w:cs="宋体"/>
          <w:color w:val="auto"/>
          <w:sz w:val="24"/>
          <w:szCs w:val="24"/>
          <w:highlight w:val="none"/>
        </w:rPr>
        <w:t xml:space="preserve">。 </w:t>
      </w:r>
    </w:p>
    <w:p w14:paraId="314A4D4D">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关于监理人在施工现场的办公场所、生活场所的提供和费用承担的约定：</w:t>
      </w:r>
      <w:r>
        <w:rPr>
          <w:rFonts w:hint="eastAsia" w:ascii="宋体" w:hAnsi="宋体" w:cs="宋体"/>
          <w:color w:val="auto"/>
          <w:sz w:val="24"/>
          <w:szCs w:val="24"/>
          <w:highlight w:val="none"/>
          <w:u w:val="single"/>
        </w:rPr>
        <w:t xml:space="preserve">由承包人承担，承包人投标报价时综合考虑此项费用  </w:t>
      </w:r>
      <w:r>
        <w:rPr>
          <w:rFonts w:hint="eastAsia" w:ascii="宋体" w:hAnsi="宋体" w:cs="宋体"/>
          <w:color w:val="auto"/>
          <w:sz w:val="24"/>
          <w:szCs w:val="24"/>
          <w:highlight w:val="none"/>
        </w:rPr>
        <w:t>。</w:t>
      </w:r>
    </w:p>
    <w:p w14:paraId="334FBA66">
      <w:pPr>
        <w:keepNext/>
        <w:keepLines/>
        <w:spacing w:before="120" w:after="120" w:line="440" w:lineRule="exact"/>
        <w:outlineLvl w:val="2"/>
        <w:rPr>
          <w:rFonts w:ascii="宋体" w:hAnsi="宋体" w:cs="宋体"/>
          <w:b/>
          <w:bCs/>
          <w:color w:val="auto"/>
          <w:sz w:val="24"/>
          <w:szCs w:val="24"/>
          <w:highlight w:val="none"/>
        </w:rPr>
      </w:pPr>
      <w:bookmarkStart w:id="479" w:name="_Toc51599571"/>
      <w:r>
        <w:rPr>
          <w:rFonts w:hint="eastAsia" w:ascii="宋体" w:hAnsi="宋体" w:cs="宋体"/>
          <w:b/>
          <w:bCs/>
          <w:color w:val="auto"/>
          <w:sz w:val="24"/>
          <w:szCs w:val="24"/>
          <w:highlight w:val="none"/>
        </w:rPr>
        <w:t>4.2 监理人员</w:t>
      </w:r>
      <w:bookmarkEnd w:id="474"/>
      <w:bookmarkEnd w:id="475"/>
      <w:bookmarkEnd w:id="476"/>
      <w:bookmarkEnd w:id="477"/>
      <w:bookmarkEnd w:id="478"/>
      <w:bookmarkEnd w:id="479"/>
    </w:p>
    <w:p w14:paraId="0FE98EBD">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关于监理人的其他约定：</w:t>
      </w:r>
      <w:r>
        <w:rPr>
          <w:rFonts w:hint="eastAsia" w:ascii="宋体" w:hAnsi="宋体" w:cs="宋体"/>
          <w:color w:val="auto"/>
          <w:sz w:val="24"/>
          <w:szCs w:val="24"/>
          <w:highlight w:val="none"/>
          <w:u w:val="single"/>
        </w:rPr>
        <w:t>协助发包人做好施工现场的协调工作</w:t>
      </w:r>
      <w:r>
        <w:rPr>
          <w:rFonts w:hint="eastAsia" w:ascii="宋体" w:hAnsi="宋体" w:cs="宋体"/>
          <w:color w:val="auto"/>
          <w:sz w:val="24"/>
          <w:szCs w:val="24"/>
          <w:highlight w:val="none"/>
        </w:rPr>
        <w:t>。</w:t>
      </w:r>
    </w:p>
    <w:p w14:paraId="000C169A">
      <w:pPr>
        <w:keepNext/>
        <w:keepLines/>
        <w:spacing w:before="120" w:after="120" w:line="440" w:lineRule="exact"/>
        <w:outlineLvl w:val="2"/>
        <w:rPr>
          <w:rFonts w:ascii="宋体" w:hAnsi="宋体" w:cs="宋体"/>
          <w:b/>
          <w:bCs/>
          <w:color w:val="auto"/>
          <w:sz w:val="24"/>
          <w:szCs w:val="24"/>
          <w:highlight w:val="none"/>
        </w:rPr>
      </w:pPr>
      <w:bookmarkStart w:id="480" w:name="_Toc373478363"/>
      <w:bookmarkStart w:id="481" w:name="_Toc407135218"/>
      <w:bookmarkStart w:id="482" w:name="_Toc389065282"/>
      <w:bookmarkStart w:id="483" w:name="_Toc373227716"/>
      <w:bookmarkStart w:id="484" w:name="_Toc51599572"/>
      <w:bookmarkStart w:id="485" w:name="_Toc487632715"/>
      <w:r>
        <w:rPr>
          <w:rFonts w:hint="eastAsia" w:ascii="宋体" w:hAnsi="宋体" w:cs="宋体"/>
          <w:b/>
          <w:bCs/>
          <w:color w:val="auto"/>
          <w:sz w:val="24"/>
          <w:szCs w:val="24"/>
          <w:highlight w:val="none"/>
        </w:rPr>
        <w:t>4.4 商定或确定</w:t>
      </w:r>
      <w:bookmarkEnd w:id="480"/>
      <w:bookmarkEnd w:id="481"/>
      <w:bookmarkEnd w:id="482"/>
      <w:bookmarkEnd w:id="483"/>
      <w:bookmarkEnd w:id="484"/>
      <w:bookmarkEnd w:id="485"/>
    </w:p>
    <w:p w14:paraId="5A168CC6">
      <w:pPr>
        <w:spacing w:line="440" w:lineRule="exact"/>
        <w:ind w:firstLine="480" w:firstLineChars="200"/>
        <w:rPr>
          <w:rFonts w:ascii="宋体" w:hAnsi="宋体" w:cs="宋体"/>
          <w:color w:val="auto"/>
          <w:sz w:val="24"/>
          <w:szCs w:val="24"/>
          <w:highlight w:val="none"/>
        </w:rPr>
      </w:pPr>
      <w:bookmarkStart w:id="486" w:name="_Toc267251418"/>
      <w:r>
        <w:rPr>
          <w:rFonts w:hint="eastAsia" w:ascii="宋体" w:hAnsi="宋体" w:cs="宋体"/>
          <w:color w:val="auto"/>
          <w:sz w:val="24"/>
          <w:szCs w:val="24"/>
          <w:highlight w:val="none"/>
        </w:rPr>
        <w:t>在发包人和承包人不能通过协商达成一致意见时，发包人授权监理人对以下事项进行确定：</w:t>
      </w:r>
    </w:p>
    <w:p w14:paraId="3B900E4E">
      <w:pPr>
        <w:autoSpaceDE w:val="0"/>
        <w:autoSpaceDN w:val="0"/>
        <w:adjustRightInd w:val="0"/>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24007FCC">
      <w:pPr>
        <w:autoSpaceDE w:val="0"/>
        <w:autoSpaceDN w:val="0"/>
        <w:adjustRightInd w:val="0"/>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4BEFC2CA">
      <w:pPr>
        <w:autoSpaceDE w:val="0"/>
        <w:autoSpaceDN w:val="0"/>
        <w:adjustRightInd w:val="0"/>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12F05FCF">
      <w:pPr>
        <w:keepNext/>
        <w:keepLines/>
        <w:spacing w:before="120" w:after="120" w:line="440" w:lineRule="exact"/>
        <w:outlineLvl w:val="1"/>
        <w:rPr>
          <w:rFonts w:ascii="宋体" w:hAnsi="宋体" w:cs="宋体"/>
          <w:b/>
          <w:bCs/>
          <w:color w:val="auto"/>
          <w:sz w:val="24"/>
          <w:szCs w:val="24"/>
          <w:highlight w:val="none"/>
        </w:rPr>
      </w:pPr>
      <w:bookmarkStart w:id="487" w:name="_Toc351203637"/>
      <w:bookmarkStart w:id="488" w:name="_Toc487632716"/>
      <w:bookmarkStart w:id="489" w:name="_Toc407135219"/>
      <w:bookmarkStart w:id="490" w:name="_Toc389065283"/>
      <w:bookmarkStart w:id="491" w:name="_Toc373227717"/>
      <w:bookmarkStart w:id="492" w:name="_Toc51599573"/>
      <w:bookmarkStart w:id="493" w:name="_Toc373478364"/>
      <w:r>
        <w:rPr>
          <w:rFonts w:hint="eastAsia" w:ascii="宋体" w:hAnsi="宋体" w:cs="宋体"/>
          <w:b/>
          <w:bCs/>
          <w:color w:val="auto"/>
          <w:sz w:val="24"/>
          <w:szCs w:val="24"/>
          <w:highlight w:val="none"/>
        </w:rPr>
        <w:t>5</w:t>
      </w:r>
      <w:bookmarkEnd w:id="486"/>
      <w:bookmarkStart w:id="494" w:name="_Toc296944502"/>
      <w:bookmarkStart w:id="495" w:name="_Toc296891203"/>
      <w:bookmarkStart w:id="496" w:name="_Toc296347162"/>
      <w:bookmarkStart w:id="497" w:name="_Toc296346664"/>
      <w:bookmarkStart w:id="498" w:name="_Toc296890991"/>
      <w:bookmarkStart w:id="499" w:name="_Toc297048349"/>
      <w:bookmarkStart w:id="500" w:name="_Toc297120463"/>
      <w:bookmarkStart w:id="501" w:name="_Toc292559872"/>
      <w:bookmarkStart w:id="502" w:name="_Toc296503163"/>
      <w:bookmarkStart w:id="503" w:name="_Toc292559367"/>
      <w:r>
        <w:rPr>
          <w:rFonts w:hint="eastAsia" w:ascii="宋体" w:hAnsi="宋体" w:cs="宋体"/>
          <w:b/>
          <w:bCs/>
          <w:color w:val="auto"/>
          <w:sz w:val="24"/>
          <w:szCs w:val="24"/>
          <w:highlight w:val="none"/>
        </w:rPr>
        <w:t>. 工程质量</w:t>
      </w:r>
      <w:bookmarkEnd w:id="487"/>
      <w:bookmarkEnd w:id="488"/>
      <w:bookmarkEnd w:id="489"/>
      <w:bookmarkEnd w:id="490"/>
      <w:bookmarkEnd w:id="491"/>
      <w:bookmarkEnd w:id="492"/>
      <w:bookmarkEnd w:id="493"/>
    </w:p>
    <w:p w14:paraId="1451D310">
      <w:pPr>
        <w:keepNext/>
        <w:keepLines/>
        <w:spacing w:before="120" w:after="120" w:line="440" w:lineRule="exact"/>
        <w:outlineLvl w:val="2"/>
        <w:rPr>
          <w:rFonts w:ascii="宋体" w:hAnsi="宋体" w:cs="宋体"/>
          <w:b/>
          <w:bCs/>
          <w:color w:val="auto"/>
          <w:sz w:val="24"/>
          <w:szCs w:val="24"/>
          <w:highlight w:val="none"/>
        </w:rPr>
      </w:pPr>
      <w:bookmarkStart w:id="504" w:name="_Toc407135220"/>
      <w:bookmarkStart w:id="505" w:name="_Toc389065284"/>
      <w:bookmarkStart w:id="506" w:name="_Toc487632717"/>
      <w:bookmarkStart w:id="507" w:name="_Toc373227718"/>
      <w:bookmarkStart w:id="508" w:name="_Toc373478365"/>
      <w:bookmarkStart w:id="509" w:name="_Toc51599574"/>
      <w:r>
        <w:rPr>
          <w:rFonts w:hint="eastAsia" w:ascii="宋体" w:hAnsi="宋体" w:cs="宋体"/>
          <w:b/>
          <w:bCs/>
          <w:color w:val="auto"/>
          <w:sz w:val="24"/>
          <w:szCs w:val="24"/>
          <w:highlight w:val="none"/>
        </w:rPr>
        <w:t>5.1 质量要求</w:t>
      </w:r>
      <w:bookmarkEnd w:id="504"/>
      <w:bookmarkEnd w:id="505"/>
      <w:bookmarkEnd w:id="506"/>
      <w:bookmarkEnd w:id="507"/>
      <w:bookmarkEnd w:id="508"/>
      <w:bookmarkEnd w:id="509"/>
    </w:p>
    <w:p w14:paraId="2077BF3A">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5</w:t>
      </w:r>
      <w:bookmarkStart w:id="510" w:name="_Toc303539106"/>
      <w:bookmarkStart w:id="511" w:name="_Toc297216155"/>
      <w:bookmarkStart w:id="512" w:name="_Toc297123496"/>
      <w:bookmarkStart w:id="513" w:name="_Toc318581164"/>
      <w:bookmarkStart w:id="514" w:name="_Toc300934949"/>
      <w:bookmarkStart w:id="515" w:name="_Toc312677997"/>
      <w:bookmarkStart w:id="516" w:name="_Toc304295527"/>
      <w:r>
        <w:rPr>
          <w:rFonts w:hint="eastAsia" w:ascii="宋体" w:hAnsi="宋体" w:cs="宋体"/>
          <w:color w:val="auto"/>
          <w:sz w:val="24"/>
          <w:szCs w:val="24"/>
          <w:highlight w:val="none"/>
        </w:rPr>
        <w:t>.1.1 特殊质量标准和要求：</w:t>
      </w:r>
      <w:r>
        <w:rPr>
          <w:rFonts w:hint="eastAsia" w:ascii="宋体" w:hAnsi="宋体" w:cs="宋体"/>
          <w:color w:val="auto"/>
          <w:sz w:val="24"/>
          <w:szCs w:val="24"/>
          <w:highlight w:val="none"/>
          <w:u w:val="single"/>
        </w:rPr>
        <w:t xml:space="preserve">  符合验收标准的合格要求             </w:t>
      </w:r>
      <w:r>
        <w:rPr>
          <w:rFonts w:hint="eastAsia" w:ascii="宋体" w:hAnsi="宋体" w:cs="宋体"/>
          <w:color w:val="auto"/>
          <w:sz w:val="24"/>
          <w:szCs w:val="24"/>
          <w:highlight w:val="none"/>
        </w:rPr>
        <w:t>。</w:t>
      </w:r>
    </w:p>
    <w:p w14:paraId="1E80C510">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关于工程奖项的约定：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0F11962F">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5.3 隐蔽工程检查</w:t>
      </w:r>
    </w:p>
    <w:p w14:paraId="19971BA0">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5.3.2承包人提前通知监理人隐蔽工程检查的期限的约定：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68E93049">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监理人不能按时进行检查时，应提前</w:t>
      </w:r>
      <w:r>
        <w:rPr>
          <w:rFonts w:hint="eastAsia" w:ascii="宋体" w:hAnsi="宋体" w:cs="宋体"/>
          <w:color w:val="auto"/>
          <w:sz w:val="24"/>
          <w:szCs w:val="24"/>
          <w:highlight w:val="none"/>
          <w:u w:val="single"/>
        </w:rPr>
        <w:t xml:space="preserve">  24  </w:t>
      </w:r>
      <w:r>
        <w:rPr>
          <w:rFonts w:hint="eastAsia" w:ascii="宋体" w:hAnsi="宋体" w:cs="宋体"/>
          <w:color w:val="auto"/>
          <w:sz w:val="24"/>
          <w:szCs w:val="24"/>
          <w:highlight w:val="none"/>
        </w:rPr>
        <w:t>小时提交书面延期要求。</w:t>
      </w:r>
    </w:p>
    <w:p w14:paraId="58411B9E">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关于延期最长不得超过：</w:t>
      </w:r>
      <w:r>
        <w:rPr>
          <w:rFonts w:hint="eastAsia" w:ascii="宋体" w:hAnsi="宋体" w:cs="宋体"/>
          <w:color w:val="auto"/>
          <w:sz w:val="24"/>
          <w:szCs w:val="24"/>
          <w:highlight w:val="none"/>
          <w:u w:val="single"/>
        </w:rPr>
        <w:t xml:space="preserve">    48    </w:t>
      </w:r>
      <w:r>
        <w:rPr>
          <w:rFonts w:hint="eastAsia" w:ascii="宋体" w:hAnsi="宋体" w:cs="宋体"/>
          <w:color w:val="auto"/>
          <w:sz w:val="24"/>
          <w:szCs w:val="24"/>
          <w:highlight w:val="none"/>
        </w:rPr>
        <w:t>小时。</w:t>
      </w:r>
    </w:p>
    <w:p w14:paraId="48908223">
      <w:pPr>
        <w:keepNext/>
        <w:keepLines/>
        <w:spacing w:before="120" w:after="120" w:line="440" w:lineRule="exact"/>
        <w:outlineLvl w:val="1"/>
        <w:rPr>
          <w:rFonts w:ascii="宋体" w:hAnsi="宋体" w:cs="宋体"/>
          <w:b/>
          <w:bCs/>
          <w:color w:val="auto"/>
          <w:sz w:val="24"/>
          <w:szCs w:val="24"/>
          <w:highlight w:val="none"/>
        </w:rPr>
      </w:pPr>
      <w:bookmarkStart w:id="517" w:name="_Toc351203638"/>
      <w:bookmarkStart w:id="518" w:name="_Toc51599575"/>
      <w:bookmarkStart w:id="519" w:name="_Toc407135221"/>
      <w:bookmarkStart w:id="520" w:name="_Toc373478366"/>
      <w:bookmarkStart w:id="521" w:name="_Toc487632718"/>
      <w:bookmarkStart w:id="522" w:name="_Toc389065285"/>
      <w:bookmarkStart w:id="523" w:name="_Toc373227719"/>
      <w:r>
        <w:rPr>
          <w:rFonts w:hint="eastAsia" w:ascii="宋体" w:hAnsi="宋体" w:cs="宋体"/>
          <w:b/>
          <w:bCs/>
          <w:color w:val="auto"/>
          <w:sz w:val="24"/>
          <w:szCs w:val="24"/>
          <w:highlight w:val="none"/>
        </w:rPr>
        <w:t>6. 安全文明施工与环境保护</w:t>
      </w:r>
      <w:bookmarkEnd w:id="517"/>
      <w:bookmarkEnd w:id="518"/>
      <w:bookmarkEnd w:id="519"/>
      <w:bookmarkEnd w:id="520"/>
      <w:bookmarkEnd w:id="521"/>
      <w:bookmarkEnd w:id="522"/>
      <w:bookmarkEnd w:id="523"/>
    </w:p>
    <w:p w14:paraId="15565A37">
      <w:pPr>
        <w:keepNext/>
        <w:keepLines/>
        <w:spacing w:before="120" w:after="120" w:line="440" w:lineRule="exact"/>
        <w:outlineLvl w:val="2"/>
        <w:rPr>
          <w:rFonts w:ascii="宋体" w:hAnsi="宋体" w:cs="宋体"/>
          <w:b/>
          <w:bCs/>
          <w:color w:val="auto"/>
          <w:sz w:val="24"/>
          <w:szCs w:val="24"/>
          <w:highlight w:val="none"/>
        </w:rPr>
      </w:pPr>
      <w:bookmarkStart w:id="524" w:name="_Toc373478367"/>
      <w:bookmarkStart w:id="525" w:name="_Toc373227720"/>
      <w:bookmarkStart w:id="526" w:name="_Toc487632719"/>
      <w:bookmarkStart w:id="527" w:name="_Toc51599576"/>
      <w:bookmarkStart w:id="528" w:name="_Toc389065286"/>
      <w:bookmarkStart w:id="529" w:name="_Toc407135222"/>
      <w:r>
        <w:rPr>
          <w:rFonts w:hint="eastAsia" w:ascii="宋体" w:hAnsi="宋体" w:cs="宋体"/>
          <w:b/>
          <w:bCs/>
          <w:color w:val="auto"/>
          <w:sz w:val="24"/>
          <w:szCs w:val="24"/>
          <w:highlight w:val="none"/>
        </w:rPr>
        <w:t>6.1 安全文明施工</w:t>
      </w:r>
      <w:bookmarkEnd w:id="524"/>
      <w:bookmarkEnd w:id="525"/>
      <w:bookmarkEnd w:id="526"/>
      <w:bookmarkEnd w:id="527"/>
      <w:bookmarkEnd w:id="528"/>
      <w:bookmarkEnd w:id="529"/>
    </w:p>
    <w:p w14:paraId="7436C1D2">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6.1.1 项目安全生产的达标目标及相应事项的约定：</w:t>
      </w:r>
      <w:r>
        <w:rPr>
          <w:rFonts w:hint="eastAsia" w:ascii="宋体" w:hAnsi="宋体" w:cs="宋体"/>
          <w:color w:val="auto"/>
          <w:sz w:val="24"/>
          <w:szCs w:val="24"/>
          <w:highlight w:val="none"/>
          <w:u w:val="single"/>
        </w:rPr>
        <w:t>符合安全文明施工工地标准，配备消防设备（符合消防安全规定），防止火灾发生，费用由承包人承担。承包人承担一切由于自身安全措施不力而造成的安全事故责任及因此而发生的费用</w:t>
      </w:r>
      <w:r>
        <w:rPr>
          <w:rFonts w:hint="eastAsia" w:ascii="宋体" w:hAnsi="宋体" w:cs="宋体"/>
          <w:color w:val="auto"/>
          <w:sz w:val="24"/>
          <w:szCs w:val="24"/>
          <w:highlight w:val="none"/>
        </w:rPr>
        <w:t>。</w:t>
      </w:r>
    </w:p>
    <w:p w14:paraId="519B3E22">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关于安全文明施工奖项的约定：</w:t>
      </w:r>
      <w:r>
        <w:rPr>
          <w:rFonts w:hint="eastAsia" w:ascii="宋体" w:hAnsi="宋体" w:cs="宋体"/>
          <w:color w:val="auto"/>
          <w:sz w:val="24"/>
          <w:szCs w:val="24"/>
          <w:highlight w:val="none"/>
          <w:u w:val="single"/>
        </w:rPr>
        <w:t xml:space="preserve">      无                     </w:t>
      </w:r>
      <w:r>
        <w:rPr>
          <w:rFonts w:hint="eastAsia" w:ascii="宋体" w:hAnsi="宋体" w:cs="宋体"/>
          <w:color w:val="auto"/>
          <w:sz w:val="24"/>
          <w:szCs w:val="24"/>
          <w:highlight w:val="none"/>
        </w:rPr>
        <w:t>。</w:t>
      </w:r>
    </w:p>
    <w:p w14:paraId="68953681">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6.1.4 关于治安保卫的特别约定：</w:t>
      </w:r>
      <w:r>
        <w:rPr>
          <w:rFonts w:hint="eastAsia" w:ascii="宋体" w:hAnsi="宋体" w:cs="宋体"/>
          <w:color w:val="auto"/>
          <w:sz w:val="24"/>
          <w:szCs w:val="24"/>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6FAFADB9">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关于编制施工场地治安管理计划的约定：</w:t>
      </w:r>
      <w:r>
        <w:rPr>
          <w:rFonts w:hint="eastAsia" w:ascii="宋体" w:hAnsi="宋体" w:cs="宋体"/>
          <w:color w:val="auto"/>
          <w:sz w:val="24"/>
          <w:szCs w:val="24"/>
          <w:highlight w:val="none"/>
          <w:u w:val="single"/>
        </w:rPr>
        <w:t xml:space="preserve">   由承包人负责编制和办理报批手续    </w:t>
      </w:r>
      <w:r>
        <w:rPr>
          <w:rFonts w:hint="eastAsia" w:ascii="宋体" w:hAnsi="宋体" w:cs="宋体"/>
          <w:color w:val="auto"/>
          <w:sz w:val="24"/>
          <w:szCs w:val="24"/>
          <w:highlight w:val="none"/>
        </w:rPr>
        <w:t>。</w:t>
      </w:r>
    </w:p>
    <w:p w14:paraId="106D4833">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6.1.5 文明施工</w:t>
      </w:r>
    </w:p>
    <w:p w14:paraId="520272C5">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合同当事人对文明施工的要求：</w:t>
      </w:r>
      <w:r>
        <w:rPr>
          <w:rFonts w:hint="eastAsia" w:ascii="宋体" w:hAnsi="宋体" w:cs="宋体"/>
          <w:color w:val="auto"/>
          <w:sz w:val="24"/>
          <w:szCs w:val="24"/>
          <w:highlight w:val="none"/>
          <w:u w:val="single"/>
        </w:rPr>
        <w:t>1、承包人在施工过程中，应遵守有关环境保护的法律，履行合同约定的环境保护义务，并对违反法律和合同约定义务所造成的环境破坏、人身伤害和财产损失负责。</w:t>
      </w:r>
    </w:p>
    <w:p w14:paraId="46A202DA">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u w:val="single"/>
        </w:rPr>
        <w:t>2、承包人应编制施工环保措施计划，报送监理人审批，其中所编制施工环保措施的实施标准不得低于承包人投标文件中相应措施的计划标准。</w:t>
      </w:r>
    </w:p>
    <w:p w14:paraId="46CF7FC6">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u w:val="single"/>
        </w:rPr>
        <w:t>3、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14:paraId="7D106B76">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u w:val="single"/>
        </w:rPr>
        <w:t xml:space="preserve">4、承包人应加强对噪声、粉尘、废气、废水和废油的控制，努力降低噪声，控制粉尘和废气浓度，做好废水和废油的治理和排放。因承包人原因造成的处罚由承包人负责   </w:t>
      </w:r>
      <w:r>
        <w:rPr>
          <w:rFonts w:hint="eastAsia" w:ascii="宋体" w:hAnsi="宋体" w:cs="宋体"/>
          <w:color w:val="auto"/>
          <w:sz w:val="24"/>
          <w:szCs w:val="24"/>
          <w:highlight w:val="none"/>
        </w:rPr>
        <w:t>。</w:t>
      </w:r>
    </w:p>
    <w:p w14:paraId="0F940DD0">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6.1.6 关于安全文明施工费支付比例和支付期限的约定：</w:t>
      </w:r>
    </w:p>
    <w:p w14:paraId="719C9892">
      <w:pPr>
        <w:autoSpaceDE w:val="0"/>
        <w:autoSpaceDN w:val="0"/>
        <w:adjustRightInd w:val="0"/>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（1）本合同价款已包含安全文明施工费。</w:t>
      </w:r>
    </w:p>
    <w:p w14:paraId="5A66DA2B">
      <w:pPr>
        <w:autoSpaceDE w:val="0"/>
        <w:autoSpaceDN w:val="0"/>
        <w:adjustRightInd w:val="0"/>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（2）使用要求：专款专用。具体按</w:t>
      </w:r>
      <w:r>
        <w:rPr>
          <w:rFonts w:hint="eastAsia" w:ascii="宋体" w:hAnsi="宋体" w:cs="宋体"/>
          <w:color w:val="auto"/>
          <w:kern w:val="0"/>
          <w:sz w:val="24"/>
          <w:szCs w:val="24"/>
          <w:highlight w:val="none"/>
          <w:u w:val="single"/>
        </w:rPr>
        <w:t>《广西壮族自治区建设工程安全文明施工费使用管理细则》（桂建质〔2015〕16号）</w:t>
      </w:r>
      <w:r>
        <w:rPr>
          <w:rFonts w:hint="eastAsia" w:ascii="宋体" w:hAnsi="宋体" w:cs="宋体"/>
          <w:color w:val="auto"/>
          <w:kern w:val="0"/>
          <w:sz w:val="24"/>
          <w:szCs w:val="24"/>
          <w:highlight w:val="none"/>
        </w:rPr>
        <w:t>和</w:t>
      </w:r>
      <w:r>
        <w:rPr>
          <w:rFonts w:hint="eastAsia" w:ascii="宋体" w:hAnsi="宋体" w:cs="宋体"/>
          <w:color w:val="auto"/>
          <w:kern w:val="0"/>
          <w:sz w:val="24"/>
          <w:szCs w:val="24"/>
          <w:highlight w:val="none"/>
          <w:u w:val="single"/>
        </w:rPr>
        <w:t xml:space="preserve">    梧州   </w:t>
      </w:r>
      <w:r>
        <w:rPr>
          <w:rFonts w:hint="eastAsia" w:ascii="宋体" w:hAnsi="宋体" w:cs="宋体"/>
          <w:color w:val="auto"/>
          <w:kern w:val="0"/>
          <w:sz w:val="24"/>
          <w:szCs w:val="24"/>
          <w:highlight w:val="none"/>
        </w:rPr>
        <w:t>市相关规定执行。</w:t>
      </w:r>
    </w:p>
    <w:p w14:paraId="370A3088">
      <w:pPr>
        <w:keepNext/>
        <w:keepLines/>
        <w:spacing w:before="120" w:after="120" w:line="440" w:lineRule="exact"/>
        <w:outlineLvl w:val="2"/>
        <w:rPr>
          <w:rFonts w:ascii="宋体" w:hAnsi="宋体" w:cs="宋体"/>
          <w:b/>
          <w:bCs/>
          <w:color w:val="auto"/>
          <w:sz w:val="24"/>
          <w:szCs w:val="24"/>
          <w:highlight w:val="none"/>
        </w:rPr>
      </w:pPr>
      <w:bookmarkStart w:id="530" w:name="_Toc487632720"/>
      <w:bookmarkStart w:id="531" w:name="_Toc373227721"/>
      <w:bookmarkStart w:id="532" w:name="_Toc389065287"/>
      <w:bookmarkStart w:id="533" w:name="_Toc373478368"/>
      <w:bookmarkStart w:id="534" w:name="_Toc51599577"/>
      <w:bookmarkStart w:id="535" w:name="_Toc407135223"/>
      <w:r>
        <w:rPr>
          <w:rFonts w:hint="eastAsia" w:ascii="宋体" w:hAnsi="宋体" w:cs="宋体"/>
          <w:b/>
          <w:bCs/>
          <w:color w:val="auto"/>
          <w:sz w:val="24"/>
          <w:szCs w:val="24"/>
          <w:highlight w:val="none"/>
        </w:rPr>
        <w:t>6.3 环境保护</w:t>
      </w:r>
      <w:bookmarkEnd w:id="530"/>
      <w:bookmarkEnd w:id="531"/>
      <w:bookmarkEnd w:id="532"/>
      <w:bookmarkEnd w:id="533"/>
      <w:bookmarkEnd w:id="534"/>
      <w:bookmarkEnd w:id="535"/>
    </w:p>
    <w:p w14:paraId="05FA62C6">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u w:val="single"/>
        </w:rPr>
        <w:t>因施工需要，经发包人批准，由承包人办理有关施工场地交通、环卫和施工噪音管理等手续，费用由承包人负责。</w:t>
      </w:r>
    </w:p>
    <w:p w14:paraId="0BBF137F">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u w:val="single"/>
        </w:rPr>
        <w:t>经过城市道路的施工车辆，必须按交警、城管、运输等部门相关规定执行。由于施工车辆造成的道路、环境等污染，其责任和费用均由承包人承担。</w:t>
      </w:r>
    </w:p>
    <w:bookmarkEnd w:id="510"/>
    <w:bookmarkEnd w:id="511"/>
    <w:bookmarkEnd w:id="512"/>
    <w:bookmarkEnd w:id="513"/>
    <w:bookmarkEnd w:id="514"/>
    <w:bookmarkEnd w:id="515"/>
    <w:bookmarkEnd w:id="516"/>
    <w:p w14:paraId="62C2037F">
      <w:pPr>
        <w:keepNext/>
        <w:keepLines/>
        <w:spacing w:before="120" w:after="120" w:line="440" w:lineRule="exact"/>
        <w:outlineLvl w:val="1"/>
        <w:rPr>
          <w:rFonts w:ascii="宋体" w:hAnsi="宋体" w:cs="宋体"/>
          <w:b/>
          <w:bCs/>
          <w:color w:val="auto"/>
          <w:sz w:val="24"/>
          <w:szCs w:val="24"/>
          <w:highlight w:val="none"/>
        </w:rPr>
      </w:pPr>
      <w:bookmarkStart w:id="536" w:name="_Toc351203639"/>
      <w:bookmarkStart w:id="537" w:name="_Toc487632721"/>
      <w:bookmarkStart w:id="538" w:name="_Toc373227722"/>
      <w:bookmarkStart w:id="539" w:name="_Toc51599578"/>
      <w:bookmarkStart w:id="540" w:name="_Toc407135224"/>
      <w:bookmarkStart w:id="541" w:name="_Toc389065288"/>
      <w:bookmarkStart w:id="542" w:name="_Toc373478369"/>
      <w:r>
        <w:rPr>
          <w:rFonts w:hint="eastAsia" w:ascii="宋体" w:hAnsi="宋体" w:cs="宋体"/>
          <w:b/>
          <w:bCs/>
          <w:color w:val="auto"/>
          <w:sz w:val="24"/>
          <w:szCs w:val="24"/>
          <w:highlight w:val="none"/>
        </w:rPr>
        <w:t>7. 工期和进度</w:t>
      </w:r>
      <w:bookmarkEnd w:id="536"/>
      <w:bookmarkEnd w:id="537"/>
      <w:bookmarkEnd w:id="538"/>
      <w:bookmarkEnd w:id="539"/>
      <w:bookmarkEnd w:id="540"/>
      <w:bookmarkEnd w:id="541"/>
      <w:bookmarkEnd w:id="542"/>
    </w:p>
    <w:p w14:paraId="45B3B032">
      <w:pPr>
        <w:keepNext/>
        <w:keepLines/>
        <w:spacing w:before="120" w:after="120" w:line="440" w:lineRule="exact"/>
        <w:outlineLvl w:val="2"/>
        <w:rPr>
          <w:rFonts w:ascii="宋体" w:hAnsi="宋体" w:cs="宋体"/>
          <w:b/>
          <w:bCs/>
          <w:color w:val="auto"/>
          <w:sz w:val="24"/>
          <w:szCs w:val="24"/>
          <w:highlight w:val="none"/>
        </w:rPr>
      </w:pPr>
      <w:bookmarkStart w:id="543" w:name="_Toc373227723"/>
      <w:bookmarkStart w:id="544" w:name="_Toc407135225"/>
      <w:bookmarkStart w:id="545" w:name="_Toc389065289"/>
      <w:bookmarkStart w:id="546" w:name="_Toc487632722"/>
      <w:bookmarkStart w:id="547" w:name="_Toc51599579"/>
      <w:bookmarkStart w:id="548" w:name="_Toc373478370"/>
      <w:r>
        <w:rPr>
          <w:rFonts w:hint="eastAsia" w:ascii="宋体" w:hAnsi="宋体" w:cs="宋体"/>
          <w:b/>
          <w:bCs/>
          <w:color w:val="auto"/>
          <w:sz w:val="24"/>
          <w:szCs w:val="24"/>
          <w:highlight w:val="none"/>
        </w:rPr>
        <w:t>7.1 施工组织设计</w:t>
      </w:r>
      <w:bookmarkEnd w:id="543"/>
      <w:bookmarkEnd w:id="544"/>
      <w:bookmarkEnd w:id="545"/>
      <w:bookmarkEnd w:id="546"/>
      <w:bookmarkEnd w:id="547"/>
      <w:bookmarkEnd w:id="548"/>
    </w:p>
    <w:p w14:paraId="191838F3">
      <w:pPr>
        <w:autoSpaceDE w:val="0"/>
        <w:autoSpaceDN w:val="0"/>
        <w:adjustRightInd w:val="0"/>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7.1.1 合</w:t>
      </w:r>
      <w:r>
        <w:rPr>
          <w:rFonts w:hint="eastAsia" w:ascii="宋体" w:hAnsi="宋体" w:cs="宋体"/>
          <w:color w:val="auto"/>
          <w:kern w:val="0"/>
          <w:sz w:val="24"/>
          <w:szCs w:val="24"/>
          <w:highlight w:val="none"/>
        </w:rPr>
        <w:t>同当事人约定的施工组织设计应包括的其他内容：</w:t>
      </w:r>
      <w:r>
        <w:rPr>
          <w:rFonts w:hint="eastAsia" w:ascii="宋体" w:hAnsi="宋体" w:cs="宋体"/>
          <w:color w:val="auto"/>
          <w:sz w:val="24"/>
          <w:szCs w:val="24"/>
          <w:highlight w:val="none"/>
          <w:u w:val="single"/>
        </w:rPr>
        <w:t xml:space="preserve">  按照工程特点和行业有关规定编制  </w:t>
      </w:r>
      <w:r>
        <w:rPr>
          <w:rFonts w:hint="eastAsia" w:ascii="宋体" w:hAnsi="宋体" w:cs="宋体"/>
          <w:color w:val="auto"/>
          <w:sz w:val="24"/>
          <w:szCs w:val="24"/>
          <w:highlight w:val="none"/>
        </w:rPr>
        <w:t>。</w:t>
      </w:r>
    </w:p>
    <w:p w14:paraId="562A2A4D">
      <w:pPr>
        <w:autoSpaceDE w:val="0"/>
        <w:autoSpaceDN w:val="0"/>
        <w:adjustRightInd w:val="0"/>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sz w:val="24"/>
          <w:szCs w:val="24"/>
          <w:highlight w:val="none"/>
        </w:rPr>
        <w:t xml:space="preserve">7.1.2 </w:t>
      </w:r>
      <w:r>
        <w:rPr>
          <w:rFonts w:hint="eastAsia" w:ascii="宋体" w:hAnsi="宋体" w:cs="宋体"/>
          <w:color w:val="auto"/>
          <w:kern w:val="0"/>
          <w:sz w:val="24"/>
          <w:szCs w:val="24"/>
          <w:highlight w:val="none"/>
        </w:rPr>
        <w:t>施工组织设计的提交和修改</w:t>
      </w:r>
    </w:p>
    <w:p w14:paraId="26F4A8E0">
      <w:pPr>
        <w:autoSpaceDE w:val="0"/>
        <w:autoSpaceDN w:val="0"/>
        <w:adjustRightInd w:val="0"/>
        <w:spacing w:line="440" w:lineRule="exact"/>
        <w:ind w:firstLine="480" w:firstLineChars="200"/>
        <w:rPr>
          <w:rFonts w:ascii="宋体" w:hAnsi="宋体" w:cs="宋体"/>
          <w:color w:val="auto"/>
          <w:sz w:val="24"/>
          <w:szCs w:val="24"/>
          <w:highlight w:val="none"/>
          <w:u w:val="single"/>
        </w:rPr>
      </w:pPr>
      <w:bookmarkStart w:id="549" w:name="_Toc407135226"/>
      <w:bookmarkStart w:id="550" w:name="_Toc389065290"/>
      <w:bookmarkStart w:id="551" w:name="_Toc487632723"/>
      <w:bookmarkStart w:id="552" w:name="_Toc373478371"/>
      <w:bookmarkStart w:id="553" w:name="_Toc373227724"/>
      <w:r>
        <w:rPr>
          <w:rFonts w:hint="eastAsia" w:ascii="宋体" w:hAnsi="宋体" w:cs="宋体"/>
          <w:color w:val="auto"/>
          <w:kern w:val="0"/>
          <w:sz w:val="24"/>
          <w:szCs w:val="24"/>
          <w:highlight w:val="none"/>
        </w:rPr>
        <w:t>承包人提交详细施工组织设计的期限的约定：</w:t>
      </w:r>
      <w:r>
        <w:rPr>
          <w:rFonts w:hint="eastAsia" w:ascii="宋体" w:hAnsi="宋体" w:cs="宋体"/>
          <w:color w:val="auto"/>
          <w:sz w:val="24"/>
          <w:szCs w:val="24"/>
          <w:highlight w:val="none"/>
          <w:u w:val="single"/>
        </w:rPr>
        <w:t xml:space="preserve">承包人应在投标文件施工组织设计的基础上，编制工程详细施工组织设计，要求后者的各项实施标准不得降低前者对应项目所计划的标准。承包人应在合同签订后14天内，但最迟不得晚于开工通知载明的开工日期前7天，向监理人提交详细的的施工组织设计，并由监理人报送发包人  </w:t>
      </w:r>
      <w:r>
        <w:rPr>
          <w:rFonts w:hint="eastAsia" w:ascii="宋体" w:hAnsi="宋体" w:cs="宋体"/>
          <w:color w:val="auto"/>
          <w:sz w:val="24"/>
          <w:szCs w:val="24"/>
          <w:highlight w:val="none"/>
        </w:rPr>
        <w:t>。</w:t>
      </w:r>
    </w:p>
    <w:p w14:paraId="00CFF94A">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发包人和监理人在收到详细的施工组织设计后确认或提出修改意见的期限：</w:t>
      </w:r>
      <w:r>
        <w:rPr>
          <w:rFonts w:hint="eastAsia" w:ascii="宋体" w:hAnsi="宋体" w:cs="宋体"/>
          <w:color w:val="auto"/>
          <w:sz w:val="24"/>
          <w:szCs w:val="24"/>
          <w:highlight w:val="none"/>
          <w:u w:val="single"/>
        </w:rPr>
        <w:t xml:space="preserve">收到后7天内 </w:t>
      </w:r>
      <w:r>
        <w:rPr>
          <w:rFonts w:hint="eastAsia" w:ascii="宋体" w:hAnsi="宋体" w:cs="宋体"/>
          <w:color w:val="auto"/>
          <w:sz w:val="24"/>
          <w:szCs w:val="24"/>
          <w:highlight w:val="none"/>
        </w:rPr>
        <w:t>。</w:t>
      </w:r>
    </w:p>
    <w:p w14:paraId="3337501A">
      <w:pPr>
        <w:keepNext/>
        <w:keepLines/>
        <w:spacing w:before="120" w:after="120" w:line="440" w:lineRule="exact"/>
        <w:outlineLvl w:val="2"/>
        <w:rPr>
          <w:rFonts w:ascii="宋体" w:hAnsi="宋体" w:cs="宋体"/>
          <w:b/>
          <w:bCs/>
          <w:color w:val="auto"/>
          <w:sz w:val="24"/>
          <w:szCs w:val="24"/>
          <w:highlight w:val="none"/>
        </w:rPr>
      </w:pPr>
      <w:bookmarkStart w:id="554" w:name="_Toc51599580"/>
      <w:r>
        <w:rPr>
          <w:rFonts w:hint="eastAsia" w:ascii="宋体" w:hAnsi="宋体" w:cs="宋体"/>
          <w:b/>
          <w:bCs/>
          <w:color w:val="auto"/>
          <w:sz w:val="24"/>
          <w:szCs w:val="24"/>
          <w:highlight w:val="none"/>
        </w:rPr>
        <w:t>7</w:t>
      </w:r>
      <w:bookmarkStart w:id="555" w:name="_Toc312678005"/>
      <w:bookmarkStart w:id="556" w:name="_Toc304295541"/>
      <w:bookmarkStart w:id="557" w:name="_Toc312677479"/>
      <w:bookmarkStart w:id="558" w:name="_Toc297216173"/>
      <w:bookmarkStart w:id="559" w:name="_Toc303539123"/>
      <w:bookmarkStart w:id="560" w:name="_Toc297123514"/>
      <w:bookmarkStart w:id="561" w:name="_Toc300934966"/>
      <w:r>
        <w:rPr>
          <w:rFonts w:hint="eastAsia" w:ascii="宋体" w:hAnsi="宋体" w:cs="宋体"/>
          <w:b/>
          <w:bCs/>
          <w:color w:val="auto"/>
          <w:sz w:val="24"/>
          <w:szCs w:val="24"/>
          <w:highlight w:val="none"/>
        </w:rPr>
        <w:t>.2 施工进度计划</w:t>
      </w:r>
      <w:bookmarkEnd w:id="549"/>
      <w:bookmarkEnd w:id="550"/>
      <w:bookmarkEnd w:id="551"/>
      <w:bookmarkEnd w:id="552"/>
      <w:bookmarkEnd w:id="553"/>
      <w:bookmarkEnd w:id="554"/>
    </w:p>
    <w:p w14:paraId="500DED8C">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7.2.2 施工进度计划的修订</w:t>
      </w:r>
    </w:p>
    <w:p w14:paraId="6751AA70">
      <w:pPr>
        <w:spacing w:line="440" w:lineRule="exact"/>
        <w:ind w:firstLine="240" w:firstLineChars="100"/>
        <w:rPr>
          <w:rFonts w:ascii="宋体" w:hAnsi="宋体" w:cs="宋体"/>
          <w:color w:val="auto"/>
          <w:sz w:val="24"/>
          <w:szCs w:val="24"/>
          <w:highlight w:val="none"/>
        </w:rPr>
      </w:pPr>
      <w:r>
        <w:rPr>
          <w:rFonts w:hint="eastAsia" w:ascii="宋体" w:hAnsi="宋体" w:cs="宋体"/>
          <w:color w:val="auto"/>
          <w:sz w:val="24"/>
          <w:szCs w:val="24"/>
          <w:highlight w:val="none"/>
        </w:rPr>
        <w:t>发包人和监理人在收到修订的施工进度计划后确认或提出修改意见的期限：</w:t>
      </w:r>
      <w:r>
        <w:rPr>
          <w:rFonts w:hint="eastAsia" w:ascii="宋体" w:hAnsi="宋体" w:cs="宋体"/>
          <w:color w:val="auto"/>
          <w:sz w:val="24"/>
          <w:szCs w:val="24"/>
          <w:highlight w:val="none"/>
          <w:u w:val="single"/>
        </w:rPr>
        <w:t xml:space="preserve"> 收到后7天内 </w:t>
      </w:r>
      <w:r>
        <w:rPr>
          <w:rFonts w:hint="eastAsia" w:ascii="宋体" w:hAnsi="宋体" w:cs="宋体"/>
          <w:color w:val="auto"/>
          <w:sz w:val="24"/>
          <w:szCs w:val="24"/>
          <w:highlight w:val="none"/>
        </w:rPr>
        <w:t>。</w:t>
      </w:r>
    </w:p>
    <w:p w14:paraId="5E43791C">
      <w:pPr>
        <w:keepNext/>
        <w:keepLines/>
        <w:spacing w:before="120" w:after="120" w:line="440" w:lineRule="exact"/>
        <w:outlineLvl w:val="2"/>
        <w:rPr>
          <w:rFonts w:ascii="宋体" w:hAnsi="宋体" w:cs="宋体"/>
          <w:b/>
          <w:bCs/>
          <w:color w:val="auto"/>
          <w:sz w:val="24"/>
          <w:szCs w:val="24"/>
          <w:highlight w:val="none"/>
        </w:rPr>
      </w:pPr>
      <w:bookmarkStart w:id="562" w:name="_Toc373227725"/>
      <w:bookmarkStart w:id="563" w:name="_Toc407135227"/>
      <w:bookmarkStart w:id="564" w:name="_Toc51599581"/>
      <w:bookmarkStart w:id="565" w:name="_Toc487632724"/>
      <w:bookmarkStart w:id="566" w:name="_Toc389065291"/>
      <w:bookmarkStart w:id="567" w:name="_Toc373478372"/>
      <w:r>
        <w:rPr>
          <w:rFonts w:hint="eastAsia" w:ascii="宋体" w:hAnsi="宋体" w:cs="宋体"/>
          <w:b/>
          <w:bCs/>
          <w:color w:val="auto"/>
          <w:sz w:val="24"/>
          <w:szCs w:val="24"/>
          <w:highlight w:val="none"/>
        </w:rPr>
        <w:t>7.3 开工</w:t>
      </w:r>
      <w:bookmarkEnd w:id="562"/>
      <w:bookmarkEnd w:id="563"/>
      <w:bookmarkEnd w:id="564"/>
      <w:bookmarkEnd w:id="565"/>
      <w:bookmarkEnd w:id="566"/>
      <w:bookmarkEnd w:id="567"/>
    </w:p>
    <w:p w14:paraId="1B74F98F">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7.3.1 开工准备</w:t>
      </w:r>
    </w:p>
    <w:p w14:paraId="672E9CCA">
      <w:pPr>
        <w:spacing w:line="440" w:lineRule="exact"/>
        <w:ind w:firstLine="426"/>
        <w:rPr>
          <w:rFonts w:ascii="宋体" w:hAnsi="宋体" w:cs="宋体"/>
          <w:color w:val="auto"/>
          <w:sz w:val="24"/>
          <w:szCs w:val="24"/>
          <w:highlight w:val="none"/>
          <w:u w:val="single"/>
        </w:rPr>
      </w:pPr>
      <w:r>
        <w:rPr>
          <w:rFonts w:hint="eastAsia" w:ascii="宋体" w:hAnsi="宋体" w:cs="宋体"/>
          <w:color w:val="auto"/>
          <w:sz w:val="24"/>
          <w:szCs w:val="24"/>
          <w:highlight w:val="none"/>
        </w:rPr>
        <w:t>关于承包人提交</w:t>
      </w:r>
      <w:r>
        <w:rPr>
          <w:rFonts w:hint="eastAsia" w:ascii="宋体" w:hAnsi="宋体" w:cs="宋体"/>
          <w:color w:val="auto"/>
          <w:kern w:val="0"/>
          <w:sz w:val="24"/>
          <w:szCs w:val="24"/>
          <w:highlight w:val="none"/>
        </w:rPr>
        <w:t>工程开工报审表的期限：</w:t>
      </w:r>
      <w:r>
        <w:rPr>
          <w:rFonts w:hint="eastAsia" w:ascii="宋体" w:hAnsi="宋体" w:cs="宋体"/>
          <w:color w:val="auto"/>
          <w:sz w:val="24"/>
          <w:szCs w:val="24"/>
          <w:highlight w:val="none"/>
          <w:u w:val="single"/>
        </w:rPr>
        <w:t xml:space="preserve">  开工前3天</w:t>
      </w:r>
      <w:r>
        <w:rPr>
          <w:rFonts w:hint="eastAsia" w:ascii="宋体" w:hAnsi="宋体" w:cs="宋体"/>
          <w:color w:val="auto"/>
          <w:sz w:val="24"/>
          <w:szCs w:val="24"/>
          <w:highlight w:val="none"/>
        </w:rPr>
        <w:t>。</w:t>
      </w:r>
    </w:p>
    <w:p w14:paraId="1F6D8F61">
      <w:pPr>
        <w:spacing w:line="440" w:lineRule="exact"/>
        <w:ind w:firstLine="426"/>
        <w:rPr>
          <w:rFonts w:ascii="宋体" w:hAnsi="宋体" w:cs="宋体"/>
          <w:color w:val="auto"/>
          <w:sz w:val="24"/>
          <w:szCs w:val="24"/>
          <w:highlight w:val="none"/>
          <w:u w:val="single"/>
        </w:rPr>
      </w:pPr>
      <w:r>
        <w:rPr>
          <w:rFonts w:hint="eastAsia" w:ascii="宋体" w:hAnsi="宋体" w:cs="宋体"/>
          <w:color w:val="auto"/>
          <w:sz w:val="24"/>
          <w:szCs w:val="24"/>
          <w:highlight w:val="none"/>
        </w:rPr>
        <w:t>关于发包人应完成的其他开工准备工作及期限：</w:t>
      </w:r>
      <w:r>
        <w:rPr>
          <w:rFonts w:hint="eastAsia" w:ascii="宋体" w:hAnsi="宋体" w:cs="宋体"/>
          <w:color w:val="auto"/>
          <w:sz w:val="24"/>
          <w:szCs w:val="24"/>
          <w:highlight w:val="none"/>
          <w:u w:val="single"/>
        </w:rPr>
        <w:t>开工前7天</w:t>
      </w:r>
      <w:r>
        <w:rPr>
          <w:rFonts w:hint="eastAsia" w:ascii="宋体" w:hAnsi="宋体" w:cs="宋体"/>
          <w:color w:val="auto"/>
          <w:sz w:val="24"/>
          <w:szCs w:val="24"/>
          <w:highlight w:val="none"/>
        </w:rPr>
        <w:t>。</w:t>
      </w:r>
    </w:p>
    <w:p w14:paraId="343AB13A">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关于承包人应完成的其他开工准备工作及期限：</w:t>
      </w:r>
      <w:r>
        <w:rPr>
          <w:rFonts w:hint="eastAsia" w:ascii="宋体" w:hAnsi="宋体" w:cs="宋体"/>
          <w:color w:val="auto"/>
          <w:sz w:val="24"/>
          <w:szCs w:val="24"/>
          <w:highlight w:val="none"/>
          <w:u w:val="single"/>
        </w:rPr>
        <w:t xml:space="preserve">  开工前7天</w:t>
      </w:r>
      <w:r>
        <w:rPr>
          <w:rFonts w:hint="eastAsia" w:ascii="宋体" w:hAnsi="宋体" w:cs="宋体"/>
          <w:color w:val="auto"/>
          <w:sz w:val="24"/>
          <w:szCs w:val="24"/>
          <w:highlight w:val="none"/>
        </w:rPr>
        <w:t>。</w:t>
      </w:r>
    </w:p>
    <w:p w14:paraId="04A13D86">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7.3.2 开工通知</w:t>
      </w:r>
    </w:p>
    <w:p w14:paraId="694D2D87">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因发包人原因造成监理人未能在计划开工日期之日起</w:t>
      </w:r>
      <w:r>
        <w:rPr>
          <w:rFonts w:hint="eastAsia" w:ascii="宋体" w:hAnsi="宋体" w:cs="宋体"/>
          <w:color w:val="auto"/>
          <w:sz w:val="24"/>
          <w:szCs w:val="24"/>
          <w:highlight w:val="none"/>
          <w:u w:val="single"/>
        </w:rPr>
        <w:t xml:space="preserve"> 5 </w:t>
      </w:r>
      <w:r>
        <w:rPr>
          <w:rFonts w:hint="eastAsia" w:ascii="宋体" w:hAnsi="宋体" w:cs="宋体"/>
          <w:color w:val="auto"/>
          <w:sz w:val="24"/>
          <w:szCs w:val="24"/>
          <w:highlight w:val="none"/>
        </w:rPr>
        <w:t>天内发出开工通知的，承包人有权提出价格调整要求，或者解除合同。</w:t>
      </w:r>
    </w:p>
    <w:bookmarkEnd w:id="555"/>
    <w:bookmarkEnd w:id="556"/>
    <w:bookmarkEnd w:id="557"/>
    <w:bookmarkEnd w:id="558"/>
    <w:bookmarkEnd w:id="559"/>
    <w:bookmarkEnd w:id="560"/>
    <w:bookmarkEnd w:id="561"/>
    <w:p w14:paraId="49CA1C0F">
      <w:pPr>
        <w:keepNext/>
        <w:keepLines/>
        <w:spacing w:before="120" w:after="120" w:line="440" w:lineRule="exact"/>
        <w:outlineLvl w:val="2"/>
        <w:rPr>
          <w:rFonts w:ascii="宋体" w:hAnsi="宋体" w:cs="宋体"/>
          <w:b/>
          <w:bCs/>
          <w:color w:val="auto"/>
          <w:sz w:val="24"/>
          <w:szCs w:val="24"/>
          <w:highlight w:val="none"/>
        </w:rPr>
      </w:pPr>
      <w:bookmarkStart w:id="568" w:name="_Toc389065292"/>
      <w:bookmarkStart w:id="569" w:name="_Toc373227726"/>
      <w:bookmarkStart w:id="570" w:name="_Toc487632725"/>
      <w:bookmarkStart w:id="571" w:name="_Toc373478373"/>
      <w:bookmarkStart w:id="572" w:name="_Toc51599582"/>
      <w:bookmarkStart w:id="573" w:name="_Toc407135228"/>
      <w:r>
        <w:rPr>
          <w:rFonts w:hint="eastAsia" w:ascii="宋体" w:hAnsi="宋体" w:cs="宋体"/>
          <w:b/>
          <w:bCs/>
          <w:color w:val="auto"/>
          <w:sz w:val="24"/>
          <w:szCs w:val="24"/>
          <w:highlight w:val="none"/>
        </w:rPr>
        <w:t>7.4 测量放线</w:t>
      </w:r>
      <w:bookmarkEnd w:id="568"/>
      <w:bookmarkEnd w:id="569"/>
      <w:bookmarkEnd w:id="570"/>
      <w:bookmarkEnd w:id="571"/>
      <w:bookmarkEnd w:id="572"/>
      <w:bookmarkEnd w:id="573"/>
    </w:p>
    <w:p w14:paraId="292BA268">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7.4.1发包人通过监理人向承包人提供测量基准点、基准线和水准点及其书面资料的期限：</w:t>
      </w:r>
      <w:r>
        <w:rPr>
          <w:rFonts w:hint="eastAsia" w:ascii="宋体" w:hAnsi="宋体" w:cs="宋体"/>
          <w:color w:val="auto"/>
          <w:sz w:val="24"/>
          <w:szCs w:val="24"/>
          <w:highlight w:val="none"/>
          <w:u w:val="single"/>
        </w:rPr>
        <w:t xml:space="preserve">  开工通知载明的开工日期前7天  </w:t>
      </w:r>
      <w:r>
        <w:rPr>
          <w:rFonts w:hint="eastAsia" w:ascii="宋体" w:hAnsi="宋体" w:cs="宋体"/>
          <w:color w:val="auto"/>
          <w:sz w:val="24"/>
          <w:szCs w:val="24"/>
          <w:highlight w:val="none"/>
        </w:rPr>
        <w:t>。</w:t>
      </w:r>
    </w:p>
    <w:p w14:paraId="2B119B14">
      <w:pPr>
        <w:keepNext/>
        <w:keepLines/>
        <w:spacing w:before="120" w:after="120" w:line="440" w:lineRule="exact"/>
        <w:outlineLvl w:val="2"/>
        <w:rPr>
          <w:rFonts w:ascii="宋体" w:hAnsi="宋体" w:cs="宋体"/>
          <w:b/>
          <w:bCs/>
          <w:color w:val="auto"/>
          <w:sz w:val="24"/>
          <w:szCs w:val="24"/>
          <w:highlight w:val="none"/>
        </w:rPr>
      </w:pPr>
      <w:bookmarkStart w:id="574" w:name="_Toc373478374"/>
      <w:bookmarkStart w:id="575" w:name="_Toc407135229"/>
      <w:bookmarkStart w:id="576" w:name="_Toc373227727"/>
      <w:bookmarkStart w:id="577" w:name="_Toc487632726"/>
      <w:bookmarkStart w:id="578" w:name="_Toc389065293"/>
      <w:bookmarkStart w:id="579" w:name="_Toc51599583"/>
      <w:r>
        <w:rPr>
          <w:rFonts w:hint="eastAsia" w:ascii="宋体" w:hAnsi="宋体" w:cs="宋体"/>
          <w:b/>
          <w:bCs/>
          <w:color w:val="auto"/>
          <w:sz w:val="24"/>
          <w:szCs w:val="24"/>
          <w:highlight w:val="none"/>
        </w:rPr>
        <w:t>7</w:t>
      </w:r>
      <w:bookmarkStart w:id="580" w:name="_Toc304295546"/>
      <w:bookmarkStart w:id="581" w:name="_Toc300934968"/>
      <w:bookmarkStart w:id="582" w:name="_Toc312677484"/>
      <w:bookmarkStart w:id="583" w:name="_Toc297216175"/>
      <w:bookmarkStart w:id="584" w:name="_Toc297123516"/>
      <w:bookmarkStart w:id="585" w:name="_Toc312678010"/>
      <w:bookmarkStart w:id="586" w:name="_Toc303539125"/>
      <w:r>
        <w:rPr>
          <w:rFonts w:hint="eastAsia" w:ascii="宋体" w:hAnsi="宋体" w:cs="宋体"/>
          <w:b/>
          <w:bCs/>
          <w:color w:val="auto"/>
          <w:sz w:val="24"/>
          <w:szCs w:val="24"/>
          <w:highlight w:val="none"/>
        </w:rPr>
        <w:t>.5 工期延误</w:t>
      </w:r>
      <w:bookmarkEnd w:id="574"/>
      <w:bookmarkEnd w:id="575"/>
      <w:bookmarkEnd w:id="576"/>
      <w:bookmarkEnd w:id="577"/>
      <w:bookmarkEnd w:id="578"/>
      <w:bookmarkEnd w:id="579"/>
    </w:p>
    <w:bookmarkEnd w:id="580"/>
    <w:bookmarkEnd w:id="581"/>
    <w:bookmarkEnd w:id="582"/>
    <w:bookmarkEnd w:id="583"/>
    <w:bookmarkEnd w:id="584"/>
    <w:bookmarkEnd w:id="585"/>
    <w:bookmarkEnd w:id="586"/>
    <w:p w14:paraId="53C9CAA3">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7.5.1 因发包人原因导致工期延误</w:t>
      </w:r>
    </w:p>
    <w:p w14:paraId="6F5D1F3A">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（7）因发包人原因导致工期延误的其他情形：</w:t>
      </w:r>
      <w:r>
        <w:rPr>
          <w:rFonts w:hint="eastAsia" w:ascii="宋体" w:hAnsi="宋体" w:cs="宋体"/>
          <w:color w:val="auto"/>
          <w:sz w:val="24"/>
          <w:szCs w:val="24"/>
          <w:highlight w:val="none"/>
          <w:u w:val="single"/>
        </w:rPr>
        <w:t>①重大图纸变更影响关健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如：雨水天无法进行施工)</w:t>
      </w:r>
      <w:r>
        <w:rPr>
          <w:rFonts w:hint="eastAsia" w:ascii="宋体" w:hAnsi="宋体" w:cs="宋体"/>
          <w:color w:val="auto"/>
          <w:sz w:val="24"/>
          <w:szCs w:val="24"/>
          <w:highlight w:val="none"/>
        </w:rPr>
        <w:t xml:space="preserve"> 。</w:t>
      </w:r>
    </w:p>
    <w:p w14:paraId="53C5F3FD">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w:t>
      </w:r>
      <w:bookmarkStart w:id="587" w:name="_Toc312677486"/>
      <w:bookmarkStart w:id="588" w:name="_Toc312678012"/>
      <w:bookmarkStart w:id="589" w:name="_Toc318581169"/>
      <w:bookmarkStart w:id="590" w:name="_Toc297216177"/>
      <w:bookmarkStart w:id="591" w:name="_Toc304295548"/>
      <w:bookmarkStart w:id="592" w:name="_Toc300934970"/>
      <w:bookmarkStart w:id="593" w:name="_Toc303539127"/>
      <w:bookmarkStart w:id="594" w:name="_Toc297123518"/>
      <w:r>
        <w:rPr>
          <w:rFonts w:hint="eastAsia" w:ascii="宋体" w:hAnsi="宋体" w:cs="宋体"/>
          <w:color w:val="auto"/>
          <w:sz w:val="24"/>
          <w:szCs w:val="24"/>
          <w:highlight w:val="none"/>
        </w:rPr>
        <w:t>.5.2 因承包人原因导致工期延误</w:t>
      </w:r>
    </w:p>
    <w:bookmarkEnd w:id="587"/>
    <w:bookmarkEnd w:id="588"/>
    <w:bookmarkEnd w:id="589"/>
    <w:p w14:paraId="5F6E134C">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双方约定经监理工程师确认，工期相应顺延的情况：</w:t>
      </w:r>
      <w:r>
        <w:rPr>
          <w:rFonts w:hint="eastAsia" w:ascii="宋体" w:hAnsi="宋体" w:cs="宋体"/>
          <w:color w:val="auto"/>
          <w:sz w:val="24"/>
          <w:szCs w:val="24"/>
          <w:highlight w:val="none"/>
          <w:u w:val="single"/>
        </w:rPr>
        <w:t xml:space="preserve">   按通用条款执行    </w:t>
      </w:r>
      <w:r>
        <w:rPr>
          <w:rFonts w:hint="eastAsia" w:ascii="宋体" w:hAnsi="宋体" w:cs="宋体"/>
          <w:color w:val="auto"/>
          <w:sz w:val="24"/>
          <w:szCs w:val="24"/>
          <w:highlight w:val="none"/>
        </w:rPr>
        <w:t>。</w:t>
      </w:r>
    </w:p>
    <w:p w14:paraId="6E6A5D3A">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因</w:t>
      </w:r>
      <w:bookmarkStart w:id="595" w:name="_Toc318581170"/>
      <w:bookmarkStart w:id="596" w:name="_Toc312678013"/>
      <w:bookmarkStart w:id="597" w:name="_Toc312677487"/>
      <w:r>
        <w:rPr>
          <w:rFonts w:hint="eastAsia" w:ascii="宋体" w:hAnsi="宋体" w:cs="宋体"/>
          <w:color w:val="auto"/>
          <w:sz w:val="24"/>
          <w:szCs w:val="24"/>
          <w:highlight w:val="none"/>
        </w:rPr>
        <w:t>承包人原因造成工期延误，逾期竣工违约金的计算方法为：</w:t>
      </w:r>
      <w:r>
        <w:rPr>
          <w:rFonts w:hint="eastAsia" w:ascii="宋体" w:hAnsi="宋体" w:cs="宋体"/>
          <w:color w:val="auto"/>
          <w:sz w:val="24"/>
          <w:szCs w:val="24"/>
          <w:highlight w:val="none"/>
          <w:u w:val="single"/>
        </w:rPr>
        <w:t xml:space="preserve">非上述原因，承包人不能按合同约定的时间竣工，承包人应承担违约责任。应向发包人支付误期赔偿费（监理人可向承包人发出整改通知，承包人未能按合同约定，已造成工期延误，向承包人索赔每天5000元的违约金，若因此给发包人造成实际损失的，承包人还应对此承担赔偿责任，罚款直接从结算款中扣除。），误期时间从规定竣工日期起直到实际竣工日期的天数（扣除发包人批准顺延的工期）。发包人可从应向承包人支付的任何金额中扣除此项赔款费或其他方式收回此款，此赔偿款的支付并不能解除承包人应完成工程的责任或合同规定的其他责任。 </w:t>
      </w:r>
    </w:p>
    <w:bookmarkEnd w:id="590"/>
    <w:bookmarkEnd w:id="591"/>
    <w:bookmarkEnd w:id="592"/>
    <w:bookmarkEnd w:id="593"/>
    <w:bookmarkEnd w:id="594"/>
    <w:bookmarkEnd w:id="595"/>
    <w:bookmarkEnd w:id="596"/>
    <w:bookmarkEnd w:id="597"/>
    <w:p w14:paraId="2C418DC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因承包人原因造成工期延误，逾</w:t>
      </w:r>
      <w:bookmarkStart w:id="598" w:name="_Toc318581171"/>
      <w:bookmarkStart w:id="599" w:name="_Toc312678014"/>
      <w:r>
        <w:rPr>
          <w:rFonts w:hint="eastAsia" w:ascii="宋体" w:hAnsi="宋体" w:cs="宋体"/>
          <w:color w:val="auto"/>
          <w:sz w:val="24"/>
          <w:szCs w:val="24"/>
          <w:highlight w:val="none"/>
        </w:rPr>
        <w:t>期竣工违约金的上限：</w:t>
      </w:r>
      <w:r>
        <w:rPr>
          <w:rFonts w:hint="eastAsia" w:ascii="宋体" w:hAnsi="宋体" w:cs="宋体"/>
          <w:color w:val="auto"/>
          <w:sz w:val="24"/>
          <w:szCs w:val="24"/>
          <w:highlight w:val="none"/>
          <w:u w:val="single"/>
        </w:rPr>
        <w:t>逾期竣工的单位工程结算造价扣除建安劳保费、发包人材料价款、暂估专业工程、暂列金额后的10%</w:t>
      </w:r>
      <w:r>
        <w:rPr>
          <w:rFonts w:hint="eastAsia" w:ascii="宋体" w:hAnsi="宋体" w:cs="宋体"/>
          <w:color w:val="auto"/>
          <w:sz w:val="24"/>
          <w:szCs w:val="24"/>
          <w:highlight w:val="none"/>
        </w:rPr>
        <w:t>。</w:t>
      </w:r>
    </w:p>
    <w:bookmarkEnd w:id="598"/>
    <w:bookmarkEnd w:id="599"/>
    <w:p w14:paraId="0A05CBFF">
      <w:pPr>
        <w:keepNext/>
        <w:keepLines/>
        <w:spacing w:before="120" w:after="120" w:line="440" w:lineRule="exact"/>
        <w:outlineLvl w:val="2"/>
        <w:rPr>
          <w:rFonts w:ascii="宋体" w:hAnsi="宋体" w:cs="宋体"/>
          <w:b/>
          <w:bCs/>
          <w:color w:val="auto"/>
          <w:sz w:val="24"/>
          <w:szCs w:val="24"/>
          <w:highlight w:val="none"/>
        </w:rPr>
      </w:pPr>
      <w:bookmarkStart w:id="600" w:name="_Toc487632727"/>
      <w:bookmarkStart w:id="601" w:name="_Toc51599584"/>
      <w:bookmarkStart w:id="602" w:name="_Toc373227728"/>
      <w:bookmarkStart w:id="603" w:name="_Toc389065294"/>
      <w:bookmarkStart w:id="604" w:name="_Toc373478375"/>
      <w:bookmarkStart w:id="605" w:name="_Toc407135230"/>
      <w:r>
        <w:rPr>
          <w:rFonts w:hint="eastAsia" w:ascii="宋体" w:hAnsi="宋体" w:cs="宋体"/>
          <w:b/>
          <w:bCs/>
          <w:color w:val="auto"/>
          <w:sz w:val="24"/>
          <w:szCs w:val="24"/>
          <w:highlight w:val="none"/>
        </w:rPr>
        <w:t>7</w:t>
      </w:r>
      <w:bookmarkStart w:id="606" w:name="_Toc300934971"/>
      <w:bookmarkStart w:id="607" w:name="_Toc303539128"/>
      <w:bookmarkStart w:id="608" w:name="_Toc304295549"/>
      <w:bookmarkStart w:id="609" w:name="_Toc297123519"/>
      <w:bookmarkStart w:id="610" w:name="_Toc312678015"/>
      <w:bookmarkStart w:id="611" w:name="_Toc297216178"/>
      <w:r>
        <w:rPr>
          <w:rFonts w:hint="eastAsia" w:ascii="宋体" w:hAnsi="宋体" w:cs="宋体"/>
          <w:b/>
          <w:bCs/>
          <w:color w:val="auto"/>
          <w:sz w:val="24"/>
          <w:szCs w:val="24"/>
          <w:highlight w:val="none"/>
        </w:rPr>
        <w:t>.6 不</w:t>
      </w:r>
      <w:bookmarkEnd w:id="606"/>
      <w:bookmarkEnd w:id="607"/>
      <w:bookmarkEnd w:id="608"/>
      <w:bookmarkEnd w:id="609"/>
      <w:bookmarkEnd w:id="610"/>
      <w:bookmarkEnd w:id="611"/>
      <w:r>
        <w:rPr>
          <w:rFonts w:hint="eastAsia" w:ascii="宋体" w:hAnsi="宋体" w:cs="宋体"/>
          <w:b/>
          <w:bCs/>
          <w:color w:val="auto"/>
          <w:sz w:val="24"/>
          <w:szCs w:val="24"/>
          <w:highlight w:val="none"/>
        </w:rPr>
        <w:t>利物质条件</w:t>
      </w:r>
      <w:bookmarkEnd w:id="600"/>
      <w:bookmarkEnd w:id="601"/>
      <w:bookmarkEnd w:id="602"/>
      <w:bookmarkEnd w:id="603"/>
      <w:bookmarkEnd w:id="604"/>
      <w:bookmarkEnd w:id="605"/>
    </w:p>
    <w:p w14:paraId="0F200CA4">
      <w:pPr>
        <w:spacing w:line="440" w:lineRule="exact"/>
        <w:ind w:firstLine="480" w:firstLineChars="200"/>
        <w:rPr>
          <w:rFonts w:ascii="宋体" w:hAnsi="宋体" w:cs="宋体"/>
          <w:color w:val="auto"/>
          <w:sz w:val="24"/>
          <w:szCs w:val="24"/>
          <w:highlight w:val="none"/>
          <w:u w:val="single"/>
        </w:rPr>
      </w:pPr>
      <w:bookmarkStart w:id="612" w:name="_Toc300934972"/>
      <w:bookmarkStart w:id="613" w:name="_Toc304295550"/>
      <w:bookmarkStart w:id="614" w:name="_Toc312678016"/>
      <w:bookmarkStart w:id="615" w:name="_Toc303539129"/>
      <w:bookmarkStart w:id="616" w:name="_Toc318581172"/>
      <w:bookmarkStart w:id="617" w:name="_Toc297216179"/>
      <w:bookmarkStart w:id="618" w:name="_Toc297123520"/>
      <w:r>
        <w:rPr>
          <w:rFonts w:hint="eastAsia" w:ascii="宋体" w:hAnsi="宋体" w:cs="宋体"/>
          <w:color w:val="auto"/>
          <w:sz w:val="24"/>
          <w:szCs w:val="24"/>
          <w:highlight w:val="none"/>
        </w:rPr>
        <w:t>不利物质条件的其他情形和有关约定：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bookmarkEnd w:id="612"/>
    <w:bookmarkEnd w:id="613"/>
    <w:bookmarkEnd w:id="614"/>
    <w:bookmarkEnd w:id="615"/>
    <w:bookmarkEnd w:id="616"/>
    <w:bookmarkEnd w:id="617"/>
    <w:bookmarkEnd w:id="618"/>
    <w:p w14:paraId="5621CA2C">
      <w:pPr>
        <w:keepNext/>
        <w:keepLines/>
        <w:spacing w:before="120" w:after="120" w:line="440" w:lineRule="exact"/>
        <w:outlineLvl w:val="2"/>
        <w:rPr>
          <w:rFonts w:ascii="宋体" w:hAnsi="宋体" w:cs="宋体"/>
          <w:b/>
          <w:bCs/>
          <w:color w:val="auto"/>
          <w:sz w:val="24"/>
          <w:szCs w:val="24"/>
          <w:highlight w:val="none"/>
        </w:rPr>
      </w:pPr>
      <w:bookmarkStart w:id="619" w:name="_Toc373227729"/>
      <w:bookmarkStart w:id="620" w:name="_Toc407135231"/>
      <w:bookmarkStart w:id="621" w:name="_Toc373478376"/>
      <w:bookmarkStart w:id="622" w:name="_Toc389065295"/>
      <w:bookmarkStart w:id="623" w:name="_Toc487632728"/>
      <w:bookmarkStart w:id="624" w:name="_Toc51599585"/>
      <w:r>
        <w:rPr>
          <w:rFonts w:hint="eastAsia" w:ascii="宋体" w:hAnsi="宋体" w:cs="宋体"/>
          <w:b/>
          <w:bCs/>
          <w:color w:val="auto"/>
          <w:sz w:val="24"/>
          <w:szCs w:val="24"/>
          <w:highlight w:val="none"/>
        </w:rPr>
        <w:t>7</w:t>
      </w:r>
      <w:bookmarkStart w:id="625" w:name="_Toc300934973"/>
      <w:bookmarkStart w:id="626" w:name="_Toc297123521"/>
      <w:bookmarkStart w:id="627" w:name="_Toc304295551"/>
      <w:bookmarkStart w:id="628" w:name="_Toc297216180"/>
      <w:bookmarkStart w:id="629" w:name="_Toc303539130"/>
      <w:bookmarkStart w:id="630" w:name="_Toc312678017"/>
      <w:r>
        <w:rPr>
          <w:rFonts w:hint="eastAsia" w:ascii="宋体" w:hAnsi="宋体" w:cs="宋体"/>
          <w:b/>
          <w:bCs/>
          <w:color w:val="auto"/>
          <w:sz w:val="24"/>
          <w:szCs w:val="24"/>
          <w:highlight w:val="none"/>
        </w:rPr>
        <w:t>.7 异常恶劣的气候条件</w:t>
      </w:r>
      <w:bookmarkEnd w:id="619"/>
      <w:bookmarkEnd w:id="620"/>
      <w:bookmarkEnd w:id="621"/>
      <w:bookmarkEnd w:id="622"/>
      <w:bookmarkEnd w:id="623"/>
      <w:bookmarkEnd w:id="624"/>
    </w:p>
    <w:bookmarkEnd w:id="625"/>
    <w:bookmarkEnd w:id="626"/>
    <w:bookmarkEnd w:id="627"/>
    <w:bookmarkEnd w:id="628"/>
    <w:bookmarkEnd w:id="629"/>
    <w:bookmarkEnd w:id="630"/>
    <w:p w14:paraId="288C3640">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发包人和承包人同意以下情形视为异常恶劣的气候条件：</w:t>
      </w:r>
    </w:p>
    <w:p w14:paraId="3B3AEEBD">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u w:val="single"/>
        </w:rPr>
        <w:t xml:space="preserve">   八级以上台风 （以气象部门鉴定为准）     </w:t>
      </w:r>
      <w:r>
        <w:rPr>
          <w:rFonts w:hint="eastAsia" w:ascii="宋体" w:hAnsi="宋体" w:cs="宋体"/>
          <w:color w:val="auto"/>
          <w:sz w:val="24"/>
          <w:szCs w:val="24"/>
          <w:highlight w:val="none"/>
        </w:rPr>
        <w:t>；</w:t>
      </w:r>
    </w:p>
    <w:p w14:paraId="02494B62">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u w:val="single"/>
        </w:rPr>
        <w:t xml:space="preserve">   六级以上地震 （以相关部门鉴定为准）     </w:t>
      </w:r>
      <w:r>
        <w:rPr>
          <w:rFonts w:hint="eastAsia" w:ascii="宋体" w:hAnsi="宋体" w:cs="宋体"/>
          <w:color w:val="auto"/>
          <w:sz w:val="24"/>
          <w:szCs w:val="24"/>
          <w:highlight w:val="none"/>
        </w:rPr>
        <w:t>；</w:t>
      </w:r>
    </w:p>
    <w:p w14:paraId="122F758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u w:val="single"/>
        </w:rPr>
        <w:t xml:space="preserve">        暴雨及以上级别                     </w:t>
      </w:r>
      <w:r>
        <w:rPr>
          <w:rFonts w:hint="eastAsia" w:ascii="宋体" w:hAnsi="宋体" w:cs="宋体"/>
          <w:color w:val="auto"/>
          <w:sz w:val="24"/>
          <w:szCs w:val="24"/>
          <w:highlight w:val="none"/>
        </w:rPr>
        <w:t>。</w:t>
      </w:r>
    </w:p>
    <w:p w14:paraId="2CC0A067">
      <w:pPr>
        <w:keepNext/>
        <w:keepLines/>
        <w:spacing w:before="120" w:after="120" w:line="440" w:lineRule="exact"/>
        <w:outlineLvl w:val="2"/>
        <w:rPr>
          <w:rFonts w:ascii="宋体" w:hAnsi="宋体" w:cs="宋体"/>
          <w:b/>
          <w:bCs/>
          <w:color w:val="auto"/>
          <w:sz w:val="24"/>
          <w:szCs w:val="24"/>
          <w:highlight w:val="none"/>
        </w:rPr>
      </w:pPr>
      <w:bookmarkStart w:id="631" w:name="_Toc373478377"/>
      <w:bookmarkStart w:id="632" w:name="_Toc373227730"/>
      <w:bookmarkStart w:id="633" w:name="_Toc389065296"/>
      <w:bookmarkStart w:id="634" w:name="_Toc487632729"/>
      <w:bookmarkStart w:id="635" w:name="_Toc407135232"/>
      <w:bookmarkStart w:id="636" w:name="_Toc51599586"/>
      <w:r>
        <w:rPr>
          <w:rFonts w:hint="eastAsia" w:ascii="宋体" w:hAnsi="宋体" w:cs="宋体"/>
          <w:b/>
          <w:bCs/>
          <w:color w:val="auto"/>
          <w:sz w:val="24"/>
          <w:szCs w:val="24"/>
          <w:highlight w:val="none"/>
        </w:rPr>
        <w:t>7.9 提前竣工</w:t>
      </w:r>
      <w:bookmarkEnd w:id="631"/>
      <w:bookmarkEnd w:id="632"/>
      <w:bookmarkEnd w:id="633"/>
      <w:bookmarkEnd w:id="634"/>
      <w:bookmarkEnd w:id="635"/>
      <w:bookmarkEnd w:id="636"/>
    </w:p>
    <w:p w14:paraId="5DECFBD5">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7.9.2提前竣工（赶工）增加费的计算方法：</w:t>
      </w:r>
      <w:r>
        <w:rPr>
          <w:rFonts w:hint="eastAsia" w:ascii="宋体" w:hAnsi="宋体" w:cs="宋体"/>
          <w:color w:val="auto"/>
          <w:sz w:val="24"/>
          <w:szCs w:val="24"/>
          <w:highlight w:val="none"/>
          <w:u w:val="single"/>
        </w:rPr>
        <w:t xml:space="preserve">     无    </w:t>
      </w:r>
      <w:r>
        <w:rPr>
          <w:rFonts w:hint="eastAsia" w:ascii="宋体" w:hAnsi="宋体" w:cs="宋体"/>
          <w:color w:val="auto"/>
          <w:sz w:val="24"/>
          <w:szCs w:val="24"/>
          <w:highlight w:val="none"/>
        </w:rPr>
        <w:t>。</w:t>
      </w:r>
    </w:p>
    <w:p w14:paraId="19F76F76">
      <w:pPr>
        <w:keepNext/>
        <w:keepLines/>
        <w:spacing w:before="120" w:after="120" w:line="440" w:lineRule="exact"/>
        <w:outlineLvl w:val="1"/>
        <w:rPr>
          <w:rFonts w:ascii="宋体" w:hAnsi="宋体" w:cs="宋体"/>
          <w:b/>
          <w:bCs/>
          <w:color w:val="auto"/>
          <w:sz w:val="24"/>
          <w:szCs w:val="24"/>
          <w:highlight w:val="none"/>
        </w:rPr>
      </w:pPr>
      <w:bookmarkStart w:id="637" w:name="_Toc373227731"/>
      <w:bookmarkStart w:id="638" w:name="_Toc51599587"/>
      <w:bookmarkStart w:id="639" w:name="_Toc487632730"/>
      <w:bookmarkStart w:id="640" w:name="_Toc373478378"/>
      <w:bookmarkStart w:id="641" w:name="_Toc389065297"/>
      <w:bookmarkStart w:id="642" w:name="_Toc407135233"/>
      <w:bookmarkStart w:id="643" w:name="_Toc351203640"/>
      <w:r>
        <w:rPr>
          <w:rFonts w:hint="eastAsia" w:ascii="宋体" w:hAnsi="宋体" w:cs="宋体"/>
          <w:b/>
          <w:bCs/>
          <w:color w:val="auto"/>
          <w:sz w:val="24"/>
          <w:szCs w:val="24"/>
          <w:highlight w:val="none"/>
        </w:rPr>
        <w:t>8. 材料与设备</w:t>
      </w:r>
      <w:bookmarkEnd w:id="637"/>
      <w:bookmarkEnd w:id="638"/>
      <w:bookmarkEnd w:id="639"/>
      <w:bookmarkEnd w:id="640"/>
      <w:bookmarkEnd w:id="641"/>
      <w:bookmarkEnd w:id="642"/>
      <w:bookmarkEnd w:id="643"/>
    </w:p>
    <w:bookmarkEnd w:id="494"/>
    <w:bookmarkEnd w:id="495"/>
    <w:bookmarkEnd w:id="496"/>
    <w:bookmarkEnd w:id="497"/>
    <w:bookmarkEnd w:id="498"/>
    <w:bookmarkEnd w:id="499"/>
    <w:bookmarkEnd w:id="500"/>
    <w:bookmarkEnd w:id="501"/>
    <w:bookmarkEnd w:id="502"/>
    <w:bookmarkEnd w:id="503"/>
    <w:p w14:paraId="09FCB047">
      <w:pPr>
        <w:keepNext/>
        <w:keepLines/>
        <w:spacing w:before="120" w:after="120" w:line="440" w:lineRule="exact"/>
        <w:outlineLvl w:val="2"/>
        <w:rPr>
          <w:rFonts w:ascii="宋体" w:hAnsi="宋体" w:cs="宋体"/>
          <w:b/>
          <w:bCs/>
          <w:color w:val="auto"/>
          <w:sz w:val="24"/>
          <w:szCs w:val="24"/>
          <w:highlight w:val="none"/>
        </w:rPr>
      </w:pPr>
      <w:bookmarkStart w:id="644" w:name="_Toc407135234"/>
      <w:bookmarkStart w:id="645" w:name="_Toc373478379"/>
      <w:bookmarkStart w:id="646" w:name="_Toc487632731"/>
      <w:bookmarkStart w:id="647" w:name="_Toc51599588"/>
      <w:bookmarkStart w:id="648" w:name="_Toc389065298"/>
      <w:bookmarkStart w:id="649" w:name="_Toc373227732"/>
      <w:r>
        <w:rPr>
          <w:rFonts w:hint="eastAsia" w:ascii="宋体" w:hAnsi="宋体" w:cs="宋体"/>
          <w:b/>
          <w:bCs/>
          <w:color w:val="auto"/>
          <w:sz w:val="24"/>
          <w:szCs w:val="24"/>
          <w:highlight w:val="none"/>
        </w:rPr>
        <w:t>8.2 承包人采购材料与工程设备</w:t>
      </w:r>
      <w:bookmarkEnd w:id="644"/>
      <w:bookmarkEnd w:id="645"/>
      <w:bookmarkEnd w:id="646"/>
      <w:bookmarkEnd w:id="647"/>
      <w:bookmarkEnd w:id="648"/>
      <w:bookmarkEnd w:id="649"/>
    </w:p>
    <w:p w14:paraId="47D47DBB">
      <w:pPr>
        <w:autoSpaceDE w:val="0"/>
        <w:autoSpaceDN w:val="0"/>
        <w:adjustRightInd w:val="0"/>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除已标价工程量清单《发包人提供主要材料和工程设备一览表》（表-21）中明确的材料、工程设备外，由承包人负责材料和工程设备的采购、运输和保管。《</w:t>
      </w:r>
      <w:r>
        <w:rPr>
          <w:rFonts w:hint="eastAsia" w:ascii="宋体" w:hAnsi="宋体" w:cs="宋体"/>
          <w:color w:val="auto"/>
          <w:sz w:val="24"/>
          <w:szCs w:val="24"/>
          <w:highlight w:val="none"/>
        </w:rPr>
        <w:t>承包人提供主要材料和工程设备一览表》</w:t>
      </w:r>
      <w:r>
        <w:rPr>
          <w:rFonts w:hint="eastAsia" w:ascii="宋体" w:hAnsi="宋体" w:cs="宋体"/>
          <w:color w:val="auto"/>
          <w:kern w:val="0"/>
          <w:sz w:val="24"/>
          <w:szCs w:val="24"/>
          <w:highlight w:val="none"/>
        </w:rPr>
        <w:t>（表-22）见已标价工程量清单。</w:t>
      </w:r>
    </w:p>
    <w:p w14:paraId="6D3066D3">
      <w:pPr>
        <w:autoSpaceDE w:val="0"/>
        <w:autoSpaceDN w:val="0"/>
        <w:adjustRightInd w:val="0"/>
        <w:spacing w:line="440" w:lineRule="exact"/>
        <w:ind w:firstLine="480" w:firstLineChars="200"/>
        <w:rPr>
          <w:rFonts w:ascii="宋体" w:hAnsi="宋体" w:cs="宋体"/>
          <w:color w:val="auto"/>
          <w:sz w:val="24"/>
          <w:szCs w:val="24"/>
          <w:highlight w:val="none"/>
        </w:rPr>
      </w:pPr>
      <w:bookmarkStart w:id="650" w:name="_Toc389065299"/>
      <w:bookmarkStart w:id="651" w:name="_Toc373227733"/>
      <w:bookmarkStart w:id="652" w:name="_Toc373478380"/>
      <w:r>
        <w:rPr>
          <w:rFonts w:hint="eastAsia" w:ascii="宋体" w:hAnsi="宋体" w:cs="宋体"/>
          <w:color w:val="auto"/>
          <w:sz w:val="24"/>
          <w:szCs w:val="24"/>
          <w:highlight w:val="none"/>
        </w:rPr>
        <w:t>对发包人在磋商时有“参照或相当于**品牌、级别”约定的材料或设备，承包人采购时必须按类似于或优于所约定品牌、等级进行采购，施工期间该部分材料或设备如未超过磋商约定的风险幅度的，结算时按投标单价支付，不得调整。</w:t>
      </w:r>
    </w:p>
    <w:p w14:paraId="4BD90BE4">
      <w:pPr>
        <w:keepNext/>
        <w:keepLines/>
        <w:spacing w:before="120" w:after="120" w:line="440" w:lineRule="exact"/>
        <w:outlineLvl w:val="2"/>
        <w:rPr>
          <w:rFonts w:ascii="宋体" w:hAnsi="宋体" w:cs="宋体"/>
          <w:b/>
          <w:bCs/>
          <w:color w:val="auto"/>
          <w:sz w:val="24"/>
          <w:szCs w:val="24"/>
          <w:highlight w:val="none"/>
        </w:rPr>
      </w:pPr>
      <w:bookmarkStart w:id="653" w:name="_Toc407135235"/>
      <w:bookmarkStart w:id="654" w:name="_Toc51599589"/>
      <w:bookmarkStart w:id="655" w:name="_Toc487632732"/>
      <w:r>
        <w:rPr>
          <w:rFonts w:hint="eastAsia" w:ascii="宋体" w:hAnsi="宋体" w:cs="宋体"/>
          <w:b/>
          <w:bCs/>
          <w:color w:val="auto"/>
          <w:sz w:val="24"/>
          <w:szCs w:val="24"/>
          <w:highlight w:val="none"/>
        </w:rPr>
        <w:t>8</w:t>
      </w:r>
      <w:bookmarkStart w:id="656" w:name="_Toc303539136"/>
      <w:bookmarkStart w:id="657" w:name="_Toc297048353"/>
      <w:bookmarkStart w:id="658" w:name="_Toc280868654"/>
      <w:bookmarkStart w:id="659" w:name="_Toc296890995"/>
      <w:bookmarkStart w:id="660" w:name="_Toc297216186"/>
      <w:bookmarkStart w:id="661" w:name="_Toc296346668"/>
      <w:bookmarkStart w:id="662" w:name="_Toc296503167"/>
      <w:bookmarkStart w:id="663" w:name="_Toc292559372"/>
      <w:bookmarkStart w:id="664" w:name="_Toc296891207"/>
      <w:bookmarkStart w:id="665" w:name="_Toc292559877"/>
      <w:bookmarkStart w:id="666" w:name="_Toc312678019"/>
      <w:bookmarkStart w:id="667" w:name="_Toc296944506"/>
      <w:bookmarkStart w:id="668" w:name="_Toc297120467"/>
      <w:bookmarkStart w:id="669" w:name="_Toc312677493"/>
      <w:bookmarkStart w:id="670" w:name="_Toc297123527"/>
      <w:bookmarkStart w:id="671" w:name="_Toc304295556"/>
      <w:bookmarkStart w:id="672" w:name="_Toc296347166"/>
      <w:bookmarkStart w:id="673" w:name="_Toc300934979"/>
      <w:bookmarkStart w:id="674" w:name="_Toc280868655"/>
      <w:bookmarkStart w:id="675" w:name="_Toc267251424"/>
      <w:bookmarkStart w:id="676" w:name="_Toc280868656"/>
      <w:r>
        <w:rPr>
          <w:rFonts w:hint="eastAsia" w:ascii="宋体" w:hAnsi="宋体" w:cs="宋体"/>
          <w:b/>
          <w:bCs/>
          <w:color w:val="auto"/>
          <w:sz w:val="24"/>
          <w:szCs w:val="24"/>
          <w:highlight w:val="none"/>
        </w:rPr>
        <w:t>.4 材料与工程设备的保管与使用</w:t>
      </w:r>
      <w:bookmarkEnd w:id="650"/>
      <w:bookmarkEnd w:id="651"/>
      <w:bookmarkEnd w:id="652"/>
      <w:bookmarkEnd w:id="653"/>
      <w:bookmarkEnd w:id="654"/>
      <w:bookmarkEnd w:id="655"/>
    </w:p>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p w14:paraId="2544EC6B">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8</w:t>
      </w:r>
      <w:bookmarkStart w:id="677" w:name="_Toc292559878"/>
      <w:bookmarkStart w:id="678" w:name="_Toc292559373"/>
      <w:bookmarkStart w:id="679" w:name="_Toc304295557"/>
      <w:bookmarkStart w:id="680" w:name="_Toc297120468"/>
      <w:bookmarkStart w:id="681" w:name="_Toc296503168"/>
      <w:bookmarkStart w:id="682" w:name="_Toc297123528"/>
      <w:bookmarkStart w:id="683" w:name="_Toc318581173"/>
      <w:bookmarkStart w:id="684" w:name="_Toc296890996"/>
      <w:bookmarkStart w:id="685" w:name="_Toc303539137"/>
      <w:bookmarkStart w:id="686" w:name="_Toc312677494"/>
      <w:bookmarkStart w:id="687" w:name="_Toc296347167"/>
      <w:bookmarkStart w:id="688" w:name="_Toc300934980"/>
      <w:bookmarkStart w:id="689" w:name="_Toc296891208"/>
      <w:bookmarkStart w:id="690" w:name="_Toc297216187"/>
      <w:bookmarkStart w:id="691" w:name="_Toc296944507"/>
      <w:bookmarkStart w:id="692" w:name="_Toc312678020"/>
      <w:bookmarkStart w:id="693" w:name="_Toc296346669"/>
      <w:bookmarkStart w:id="694" w:name="_Toc297048354"/>
      <w:r>
        <w:rPr>
          <w:rFonts w:hint="eastAsia" w:ascii="宋体" w:hAnsi="宋体" w:cs="宋体"/>
          <w:color w:val="auto"/>
          <w:sz w:val="24"/>
          <w:szCs w:val="24"/>
          <w:highlight w:val="none"/>
        </w:rPr>
        <w:t>.4.1发包人供应的材料设备的保管费用的承担：</w:t>
      </w:r>
      <w:r>
        <w:rPr>
          <w:rFonts w:hint="eastAsia" w:ascii="宋体" w:hAnsi="宋体" w:cs="宋体"/>
          <w:color w:val="auto"/>
          <w:sz w:val="24"/>
          <w:szCs w:val="24"/>
          <w:highlight w:val="none"/>
          <w:u w:val="single"/>
        </w:rPr>
        <w:t xml:space="preserve">  由承包人承担  </w:t>
      </w:r>
      <w:r>
        <w:rPr>
          <w:rFonts w:hint="eastAsia" w:ascii="宋体" w:hAnsi="宋体" w:cs="宋体"/>
          <w:color w:val="auto"/>
          <w:sz w:val="24"/>
          <w:szCs w:val="24"/>
          <w:highlight w:val="none"/>
        </w:rPr>
        <w:t>。</w:t>
      </w:r>
    </w:p>
    <w:bookmarkEnd w:id="677"/>
    <w:bookmarkEnd w:id="678"/>
    <w:p w14:paraId="182ADF4D">
      <w:pPr>
        <w:keepNext/>
        <w:keepLines/>
        <w:spacing w:before="120" w:after="120" w:line="440" w:lineRule="exact"/>
        <w:outlineLvl w:val="2"/>
        <w:rPr>
          <w:rFonts w:ascii="宋体" w:hAnsi="宋体" w:cs="宋体"/>
          <w:b/>
          <w:bCs/>
          <w:color w:val="auto"/>
          <w:sz w:val="24"/>
          <w:szCs w:val="24"/>
          <w:highlight w:val="none"/>
        </w:rPr>
      </w:pPr>
      <w:bookmarkStart w:id="695" w:name="_Toc487632733"/>
      <w:bookmarkStart w:id="696" w:name="_Toc373227734"/>
      <w:bookmarkStart w:id="697" w:name="_Toc407135236"/>
      <w:bookmarkStart w:id="698" w:name="_Toc389065300"/>
      <w:bookmarkStart w:id="699" w:name="_Toc51599590"/>
      <w:bookmarkStart w:id="700" w:name="_Toc373478381"/>
      <w:r>
        <w:rPr>
          <w:rFonts w:hint="eastAsia" w:ascii="宋体" w:hAnsi="宋体" w:cs="宋体"/>
          <w:b/>
          <w:bCs/>
          <w:color w:val="auto"/>
          <w:sz w:val="24"/>
          <w:szCs w:val="24"/>
          <w:highlight w:val="none"/>
        </w:rPr>
        <w:t>8.6 样品</w:t>
      </w:r>
      <w:bookmarkEnd w:id="695"/>
      <w:bookmarkEnd w:id="696"/>
      <w:bookmarkEnd w:id="697"/>
      <w:bookmarkEnd w:id="698"/>
      <w:bookmarkEnd w:id="699"/>
      <w:bookmarkEnd w:id="700"/>
    </w:p>
    <w:p w14:paraId="01A2B050">
      <w:pPr>
        <w:autoSpaceDE w:val="0"/>
        <w:autoSpaceDN w:val="0"/>
        <w:adjustRightInd w:val="0"/>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8.6.1 样品的报送与封存</w:t>
      </w:r>
    </w:p>
    <w:p w14:paraId="2D6983B2">
      <w:pPr>
        <w:autoSpaceDE w:val="0"/>
        <w:autoSpaceDN w:val="0"/>
        <w:adjustRightInd w:val="0"/>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kern w:val="0"/>
          <w:sz w:val="24"/>
          <w:szCs w:val="24"/>
          <w:highlight w:val="none"/>
        </w:rPr>
        <w:t>需要承包人报送样品的材料或工程设备，样品的种类、名称、规格、数量要求：</w:t>
      </w:r>
      <w:r>
        <w:rPr>
          <w:rFonts w:hint="eastAsia" w:ascii="宋体" w:hAnsi="宋体" w:cs="宋体"/>
          <w:color w:val="auto"/>
          <w:sz w:val="24"/>
          <w:szCs w:val="24"/>
          <w:highlight w:val="none"/>
          <w:u w:val="single"/>
        </w:rPr>
        <w:t>主要材料涉及品种、款式、颜色等方面内容的，承包人应提交准备合格的材料样品送发包人选定。</w:t>
      </w:r>
    </w:p>
    <w:p w14:paraId="7228DB32">
      <w:pPr>
        <w:keepNext/>
        <w:keepLines/>
        <w:spacing w:before="120" w:after="120" w:line="440" w:lineRule="exact"/>
        <w:outlineLvl w:val="2"/>
        <w:rPr>
          <w:rFonts w:ascii="宋体" w:hAnsi="宋体" w:cs="宋体"/>
          <w:b/>
          <w:bCs/>
          <w:color w:val="auto"/>
          <w:sz w:val="24"/>
          <w:szCs w:val="24"/>
          <w:highlight w:val="none"/>
        </w:rPr>
      </w:pPr>
      <w:bookmarkStart w:id="701" w:name="_Toc407135237"/>
      <w:bookmarkStart w:id="702" w:name="_Toc51599591"/>
      <w:bookmarkStart w:id="703" w:name="_Toc373227735"/>
      <w:bookmarkStart w:id="704" w:name="_Toc487632734"/>
      <w:bookmarkStart w:id="705" w:name="_Toc389065301"/>
      <w:bookmarkStart w:id="706" w:name="_Toc373478382"/>
      <w:r>
        <w:rPr>
          <w:rFonts w:hint="eastAsia" w:ascii="宋体" w:hAnsi="宋体" w:cs="宋体"/>
          <w:b/>
          <w:bCs/>
          <w:color w:val="auto"/>
          <w:sz w:val="24"/>
          <w:szCs w:val="24"/>
          <w:highlight w:val="none"/>
        </w:rPr>
        <w:t>8.8 施工设备和临时设施</w:t>
      </w:r>
      <w:bookmarkEnd w:id="701"/>
      <w:bookmarkEnd w:id="702"/>
      <w:bookmarkEnd w:id="703"/>
      <w:bookmarkEnd w:id="704"/>
      <w:bookmarkEnd w:id="705"/>
      <w:bookmarkEnd w:id="706"/>
    </w:p>
    <w:p w14:paraId="1B303269">
      <w:pPr>
        <w:autoSpaceDE w:val="0"/>
        <w:autoSpaceDN w:val="0"/>
        <w:adjustRightInd w:val="0"/>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u w:val="single"/>
        </w:rPr>
        <w:t>①承包人的临时用地（含项目部驻地等）租用费（含拆迁补偿）、临时用地的环保、恢复、临时用地的青苗补偿及地面附着物拆除等费用均由承包人负责，以上费用在投标报价中综合考虑。</w:t>
      </w:r>
    </w:p>
    <w:p w14:paraId="67EFD831">
      <w:pPr>
        <w:autoSpaceDE w:val="0"/>
        <w:autoSpaceDN w:val="0"/>
        <w:adjustRightInd w:val="0"/>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u w:val="single"/>
        </w:rPr>
        <w:t>②承包人负责合同实施期间其合同段内临时交通道路（含场内外连接公共交通道路）和交通设施的修建、维修、养护和交通管理工作，并承担一切费用。</w:t>
      </w:r>
    </w:p>
    <w:p w14:paraId="322455B6">
      <w:pPr>
        <w:autoSpaceDE w:val="0"/>
        <w:autoSpaceDN w:val="0"/>
        <w:adjustRightInd w:val="0"/>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2A090734">
      <w:pPr>
        <w:autoSpaceDE w:val="0"/>
        <w:autoSpaceDN w:val="0"/>
        <w:adjustRightInd w:val="0"/>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8.8.2 发包人提供的施工设备和临时设施</w:t>
      </w:r>
    </w:p>
    <w:p w14:paraId="55AA9FD4">
      <w:pPr>
        <w:autoSpaceDE w:val="0"/>
        <w:autoSpaceDN w:val="0"/>
        <w:adjustRightInd w:val="0"/>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发包人提供的施工设备和临时设施：</w:t>
      </w:r>
      <w:r>
        <w:rPr>
          <w:rFonts w:hint="eastAsia" w:ascii="宋体" w:hAnsi="宋体" w:cs="宋体"/>
          <w:color w:val="auto"/>
          <w:sz w:val="24"/>
          <w:szCs w:val="24"/>
          <w:highlight w:val="none"/>
          <w:u w:val="single"/>
        </w:rPr>
        <w:t>发包人不提供任何施工设备和临时设施，临时设施的修建及施工所需的水、电管线的铺设等均由承包人自行解决，发包人予以协助</w:t>
      </w:r>
      <w:r>
        <w:rPr>
          <w:rFonts w:hint="eastAsia" w:ascii="宋体" w:hAnsi="宋体" w:cs="宋体"/>
          <w:color w:val="auto"/>
          <w:sz w:val="24"/>
          <w:szCs w:val="24"/>
          <w:highlight w:val="none"/>
        </w:rPr>
        <w:t>。</w:t>
      </w:r>
    </w:p>
    <w:p w14:paraId="38731026">
      <w:pPr>
        <w:autoSpaceDE w:val="0"/>
        <w:autoSpaceDN w:val="0"/>
        <w:adjustRightInd w:val="0"/>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发包人提供的施工设备和临时设施的运行、维护、拆除、清运费用的承担人：</w:t>
      </w:r>
      <w:r>
        <w:rPr>
          <w:rFonts w:hint="eastAsia" w:ascii="宋体" w:hAnsi="宋体" w:cs="宋体"/>
          <w:color w:val="auto"/>
          <w:sz w:val="24"/>
          <w:szCs w:val="24"/>
          <w:highlight w:val="none"/>
          <w:u w:val="single"/>
        </w:rPr>
        <w:t xml:space="preserve">  无     </w:t>
      </w:r>
      <w:r>
        <w:rPr>
          <w:rFonts w:hint="eastAsia" w:ascii="宋体" w:hAnsi="宋体" w:cs="宋体"/>
          <w:color w:val="auto"/>
          <w:sz w:val="24"/>
          <w:szCs w:val="24"/>
          <w:highlight w:val="none"/>
        </w:rPr>
        <w:t>。</w:t>
      </w:r>
    </w:p>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p w14:paraId="469900F0">
      <w:pPr>
        <w:keepNext/>
        <w:keepLines/>
        <w:spacing w:before="120" w:after="120" w:line="440" w:lineRule="exact"/>
        <w:outlineLvl w:val="1"/>
        <w:rPr>
          <w:rFonts w:ascii="宋体" w:hAnsi="宋体" w:cs="宋体"/>
          <w:b/>
          <w:bCs/>
          <w:color w:val="auto"/>
          <w:sz w:val="24"/>
          <w:szCs w:val="24"/>
          <w:highlight w:val="none"/>
        </w:rPr>
      </w:pPr>
      <w:bookmarkStart w:id="707" w:name="_Toc407135238"/>
      <w:bookmarkStart w:id="708" w:name="_Toc51599592"/>
      <w:bookmarkStart w:id="709" w:name="_Toc351203641"/>
      <w:bookmarkStart w:id="710" w:name="_Toc487632735"/>
      <w:bookmarkStart w:id="711" w:name="_Toc389065302"/>
      <w:bookmarkStart w:id="712" w:name="_Toc373478383"/>
      <w:bookmarkStart w:id="713" w:name="_Toc373227736"/>
      <w:r>
        <w:rPr>
          <w:rFonts w:hint="eastAsia" w:ascii="宋体" w:hAnsi="宋体" w:cs="宋体"/>
          <w:b/>
          <w:bCs/>
          <w:color w:val="auto"/>
          <w:sz w:val="24"/>
          <w:szCs w:val="24"/>
          <w:highlight w:val="none"/>
        </w:rPr>
        <w:t>9</w:t>
      </w:r>
      <w:bookmarkEnd w:id="674"/>
      <w:bookmarkEnd w:id="675"/>
      <w:bookmarkEnd w:id="676"/>
      <w:bookmarkStart w:id="714" w:name="_Toc312677495"/>
      <w:bookmarkStart w:id="715" w:name="_Toc304295559"/>
      <w:bookmarkStart w:id="716" w:name="_Toc297123533"/>
      <w:bookmarkStart w:id="717" w:name="_Toc300934982"/>
      <w:bookmarkStart w:id="718" w:name="_Toc312678021"/>
      <w:bookmarkStart w:id="719" w:name="_Toc303539139"/>
      <w:bookmarkStart w:id="720" w:name="_Toc297216192"/>
      <w:bookmarkStart w:id="721" w:name="_Toc296891001"/>
      <w:bookmarkStart w:id="722" w:name="_Toc297120473"/>
      <w:bookmarkStart w:id="723" w:name="_Toc296503173"/>
      <w:bookmarkStart w:id="724" w:name="_Toc297048359"/>
      <w:bookmarkStart w:id="725" w:name="_Toc292559378"/>
      <w:bookmarkStart w:id="726" w:name="_Toc296944512"/>
      <w:bookmarkStart w:id="727" w:name="_Toc292559883"/>
      <w:bookmarkStart w:id="728" w:name="_Toc296346674"/>
      <w:bookmarkStart w:id="729" w:name="_Toc267251427"/>
      <w:bookmarkStart w:id="730" w:name="_Toc267251428"/>
      <w:bookmarkStart w:id="731" w:name="_Toc296347172"/>
      <w:bookmarkStart w:id="732" w:name="_Toc296891213"/>
      <w:r>
        <w:rPr>
          <w:rFonts w:hint="eastAsia" w:ascii="宋体" w:hAnsi="宋体" w:cs="宋体"/>
          <w:b/>
          <w:bCs/>
          <w:color w:val="auto"/>
          <w:sz w:val="24"/>
          <w:szCs w:val="24"/>
          <w:highlight w:val="none"/>
        </w:rPr>
        <w:t>. 试验与检验</w:t>
      </w:r>
      <w:bookmarkEnd w:id="707"/>
      <w:bookmarkEnd w:id="708"/>
      <w:bookmarkEnd w:id="709"/>
      <w:bookmarkEnd w:id="710"/>
      <w:bookmarkEnd w:id="711"/>
      <w:bookmarkEnd w:id="712"/>
      <w:bookmarkEnd w:id="713"/>
    </w:p>
    <w:bookmarkEnd w:id="714"/>
    <w:bookmarkEnd w:id="715"/>
    <w:bookmarkEnd w:id="716"/>
    <w:bookmarkEnd w:id="717"/>
    <w:bookmarkEnd w:id="718"/>
    <w:bookmarkEnd w:id="719"/>
    <w:bookmarkEnd w:id="720"/>
    <w:p w14:paraId="201F4A76">
      <w:pPr>
        <w:keepNext/>
        <w:keepLines/>
        <w:spacing w:before="120" w:after="120" w:line="440" w:lineRule="exact"/>
        <w:outlineLvl w:val="2"/>
        <w:rPr>
          <w:rFonts w:ascii="宋体" w:hAnsi="宋体" w:cs="宋体"/>
          <w:b/>
          <w:bCs/>
          <w:color w:val="auto"/>
          <w:sz w:val="24"/>
          <w:szCs w:val="24"/>
          <w:highlight w:val="none"/>
        </w:rPr>
      </w:pPr>
      <w:bookmarkStart w:id="733" w:name="_Toc487632736"/>
      <w:bookmarkStart w:id="734" w:name="_Toc389065303"/>
      <w:bookmarkStart w:id="735" w:name="_Toc51599593"/>
      <w:bookmarkStart w:id="736" w:name="_Toc373478384"/>
      <w:bookmarkStart w:id="737" w:name="_Toc373227737"/>
      <w:bookmarkStart w:id="738" w:name="_Toc407135239"/>
      <w:r>
        <w:rPr>
          <w:rFonts w:hint="eastAsia" w:ascii="宋体" w:hAnsi="宋体" w:cs="宋体"/>
          <w:b/>
          <w:bCs/>
          <w:color w:val="auto"/>
          <w:sz w:val="24"/>
          <w:szCs w:val="24"/>
          <w:highlight w:val="none"/>
        </w:rPr>
        <w:t>9</w:t>
      </w:r>
      <w:bookmarkStart w:id="739" w:name="_Toc297123534"/>
      <w:bookmarkStart w:id="740" w:name="_Toc312677496"/>
      <w:bookmarkStart w:id="741" w:name="_Toc304295560"/>
      <w:bookmarkStart w:id="742" w:name="_Toc312678022"/>
      <w:bookmarkStart w:id="743" w:name="_Toc297216193"/>
      <w:bookmarkStart w:id="744" w:name="_Toc300934983"/>
      <w:bookmarkStart w:id="745" w:name="_Toc303539140"/>
      <w:r>
        <w:rPr>
          <w:rFonts w:hint="eastAsia" w:ascii="宋体" w:hAnsi="宋体" w:cs="宋体"/>
          <w:b/>
          <w:bCs/>
          <w:color w:val="auto"/>
          <w:sz w:val="24"/>
          <w:szCs w:val="24"/>
          <w:highlight w:val="none"/>
        </w:rPr>
        <w:t>.1 试验设备与试验人员</w:t>
      </w:r>
      <w:bookmarkEnd w:id="733"/>
      <w:bookmarkEnd w:id="734"/>
      <w:bookmarkEnd w:id="735"/>
      <w:bookmarkEnd w:id="736"/>
      <w:bookmarkEnd w:id="737"/>
      <w:bookmarkEnd w:id="738"/>
    </w:p>
    <w:bookmarkEnd w:id="739"/>
    <w:bookmarkEnd w:id="740"/>
    <w:bookmarkEnd w:id="741"/>
    <w:bookmarkEnd w:id="742"/>
    <w:bookmarkEnd w:id="743"/>
    <w:bookmarkEnd w:id="744"/>
    <w:bookmarkEnd w:id="745"/>
    <w:p w14:paraId="789FB34F">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9</w:t>
      </w:r>
      <w:bookmarkStart w:id="746" w:name="_Toc303539141"/>
      <w:bookmarkStart w:id="747" w:name="_Toc312677497"/>
      <w:bookmarkStart w:id="748" w:name="_Toc297216194"/>
      <w:bookmarkStart w:id="749" w:name="_Toc304295561"/>
      <w:bookmarkStart w:id="750" w:name="_Toc312678023"/>
      <w:bookmarkStart w:id="751" w:name="_Toc300934984"/>
      <w:bookmarkStart w:id="752" w:name="_Toc297123535"/>
      <w:bookmarkStart w:id="753" w:name="_Toc318581174"/>
      <w:r>
        <w:rPr>
          <w:rFonts w:hint="eastAsia" w:ascii="宋体" w:hAnsi="宋体" w:cs="宋体"/>
          <w:color w:val="auto"/>
          <w:sz w:val="24"/>
          <w:szCs w:val="24"/>
          <w:highlight w:val="none"/>
        </w:rPr>
        <w:t>.1.2 试验设备</w:t>
      </w:r>
    </w:p>
    <w:bookmarkEnd w:id="746"/>
    <w:bookmarkEnd w:id="747"/>
    <w:bookmarkEnd w:id="748"/>
    <w:bookmarkEnd w:id="749"/>
    <w:bookmarkEnd w:id="750"/>
    <w:bookmarkEnd w:id="751"/>
    <w:bookmarkEnd w:id="752"/>
    <w:p w14:paraId="3987CF84">
      <w:pPr>
        <w:spacing w:line="440" w:lineRule="exact"/>
        <w:ind w:firstLine="480" w:firstLineChars="200"/>
        <w:rPr>
          <w:rFonts w:ascii="宋体" w:hAnsi="宋体" w:cs="宋体"/>
          <w:color w:val="auto"/>
          <w:sz w:val="24"/>
          <w:szCs w:val="24"/>
          <w:highlight w:val="none"/>
          <w:u w:val="single"/>
        </w:rPr>
      </w:pPr>
      <w:bookmarkStart w:id="754" w:name="_Toc487632737"/>
      <w:bookmarkStart w:id="755" w:name="_Toc373478385"/>
      <w:bookmarkStart w:id="756" w:name="_Toc407135240"/>
      <w:bookmarkStart w:id="757" w:name="_Toc389065304"/>
      <w:bookmarkStart w:id="758" w:name="_Toc373227738"/>
      <w:bookmarkStart w:id="759" w:name="_Toc303539142"/>
      <w:bookmarkStart w:id="760" w:name="_Toc312677498"/>
      <w:bookmarkStart w:id="761" w:name="_Toc297123536"/>
      <w:bookmarkStart w:id="762" w:name="_Toc304295562"/>
      <w:bookmarkStart w:id="763" w:name="_Toc312678024"/>
      <w:bookmarkStart w:id="764" w:name="_Toc297216195"/>
      <w:bookmarkStart w:id="765" w:name="_Toc300934985"/>
      <w:r>
        <w:rPr>
          <w:rFonts w:hint="eastAsia" w:ascii="宋体" w:hAnsi="宋体" w:cs="宋体"/>
          <w:color w:val="auto"/>
          <w:sz w:val="24"/>
          <w:szCs w:val="24"/>
          <w:highlight w:val="none"/>
        </w:rPr>
        <w:t>施工现场需要配置的试验场所：</w:t>
      </w:r>
      <w:r>
        <w:rPr>
          <w:rFonts w:hint="eastAsia" w:ascii="宋体" w:hAnsi="宋体" w:cs="宋体"/>
          <w:color w:val="auto"/>
          <w:sz w:val="24"/>
          <w:szCs w:val="24"/>
          <w:highlight w:val="none"/>
          <w:u w:val="single"/>
        </w:rPr>
        <w:t xml:space="preserve">   按有关规定和监理人要求执行      </w:t>
      </w:r>
      <w:r>
        <w:rPr>
          <w:rFonts w:hint="eastAsia" w:ascii="宋体" w:hAnsi="宋体" w:cs="宋体"/>
          <w:color w:val="auto"/>
          <w:sz w:val="24"/>
          <w:szCs w:val="24"/>
          <w:highlight w:val="none"/>
        </w:rPr>
        <w:t>。</w:t>
      </w:r>
    </w:p>
    <w:p w14:paraId="093AB9CC">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施工现场需要配备的试验设备：</w:t>
      </w:r>
      <w:r>
        <w:rPr>
          <w:rFonts w:hint="eastAsia" w:ascii="宋体" w:hAnsi="宋体" w:cs="宋体"/>
          <w:color w:val="auto"/>
          <w:sz w:val="24"/>
          <w:szCs w:val="24"/>
          <w:highlight w:val="none"/>
          <w:u w:val="single"/>
        </w:rPr>
        <w:t xml:space="preserve">   按有关规定和监理人要求执行      </w:t>
      </w:r>
      <w:r>
        <w:rPr>
          <w:rFonts w:hint="eastAsia" w:ascii="宋体" w:hAnsi="宋体" w:cs="宋体"/>
          <w:color w:val="auto"/>
          <w:sz w:val="24"/>
          <w:szCs w:val="24"/>
          <w:highlight w:val="none"/>
        </w:rPr>
        <w:t>。</w:t>
      </w:r>
    </w:p>
    <w:p w14:paraId="5A26A117">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施工现场需要具备的其他试验条件：</w:t>
      </w:r>
      <w:r>
        <w:rPr>
          <w:rFonts w:hint="eastAsia" w:ascii="宋体" w:hAnsi="宋体" w:cs="宋体"/>
          <w:color w:val="auto"/>
          <w:sz w:val="24"/>
          <w:szCs w:val="24"/>
          <w:highlight w:val="none"/>
          <w:u w:val="single"/>
        </w:rPr>
        <w:t xml:space="preserve">   按有关规定和监理人要求执行      </w:t>
      </w:r>
      <w:r>
        <w:rPr>
          <w:rFonts w:hint="eastAsia" w:ascii="宋体" w:hAnsi="宋体" w:cs="宋体"/>
          <w:color w:val="auto"/>
          <w:sz w:val="24"/>
          <w:szCs w:val="24"/>
          <w:highlight w:val="none"/>
        </w:rPr>
        <w:t>。</w:t>
      </w:r>
    </w:p>
    <w:p w14:paraId="1854D774">
      <w:pPr>
        <w:keepNext/>
        <w:keepLines/>
        <w:spacing w:before="120" w:after="120" w:line="440" w:lineRule="exact"/>
        <w:outlineLvl w:val="2"/>
        <w:rPr>
          <w:rFonts w:ascii="宋体" w:hAnsi="宋体" w:cs="宋体"/>
          <w:b/>
          <w:bCs/>
          <w:color w:val="auto"/>
          <w:sz w:val="24"/>
          <w:szCs w:val="24"/>
          <w:highlight w:val="none"/>
        </w:rPr>
      </w:pPr>
      <w:bookmarkStart w:id="766" w:name="_Toc51599594"/>
      <w:r>
        <w:rPr>
          <w:rFonts w:hint="eastAsia" w:ascii="宋体" w:hAnsi="宋体" w:cs="宋体"/>
          <w:b/>
          <w:bCs/>
          <w:color w:val="auto"/>
          <w:sz w:val="24"/>
          <w:szCs w:val="24"/>
          <w:highlight w:val="none"/>
        </w:rPr>
        <w:t>9.4 现场工艺试验</w:t>
      </w:r>
      <w:bookmarkEnd w:id="754"/>
      <w:bookmarkEnd w:id="755"/>
      <w:bookmarkEnd w:id="756"/>
      <w:bookmarkEnd w:id="757"/>
      <w:bookmarkEnd w:id="758"/>
      <w:bookmarkEnd w:id="766"/>
      <w:r>
        <w:rPr>
          <w:rFonts w:hint="eastAsia" w:ascii="宋体" w:hAnsi="宋体" w:cs="宋体"/>
          <w:b/>
          <w:bCs/>
          <w:color w:val="auto"/>
          <w:sz w:val="24"/>
          <w:szCs w:val="24"/>
          <w:highlight w:val="none"/>
        </w:rPr>
        <w:t xml:space="preserve"> </w:t>
      </w:r>
    </w:p>
    <w:p w14:paraId="06076D5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现场工艺试验的有关约定：</w:t>
      </w:r>
      <w:r>
        <w:rPr>
          <w:rFonts w:hint="eastAsia" w:ascii="宋体" w:hAnsi="宋体" w:cs="宋体"/>
          <w:color w:val="auto"/>
          <w:sz w:val="24"/>
          <w:szCs w:val="24"/>
          <w:highlight w:val="none"/>
          <w:u w:val="single"/>
        </w:rPr>
        <w:t xml:space="preserve">   按规范要求执行      </w:t>
      </w:r>
      <w:r>
        <w:rPr>
          <w:rFonts w:hint="eastAsia" w:ascii="宋体" w:hAnsi="宋体" w:cs="宋体"/>
          <w:color w:val="auto"/>
          <w:sz w:val="24"/>
          <w:szCs w:val="24"/>
          <w:highlight w:val="none"/>
        </w:rPr>
        <w:t>。</w:t>
      </w:r>
    </w:p>
    <w:p w14:paraId="7EC207A6">
      <w:pPr>
        <w:keepNext/>
        <w:keepLines/>
        <w:spacing w:before="120" w:after="120" w:line="440" w:lineRule="exact"/>
        <w:outlineLvl w:val="2"/>
        <w:rPr>
          <w:rFonts w:ascii="宋体" w:hAnsi="宋体" w:cs="宋体"/>
          <w:b/>
          <w:bCs/>
          <w:color w:val="auto"/>
          <w:sz w:val="24"/>
          <w:szCs w:val="24"/>
          <w:highlight w:val="none"/>
        </w:rPr>
      </w:pPr>
      <w:bookmarkStart w:id="767" w:name="_Toc51599595"/>
      <w:bookmarkStart w:id="768" w:name="_Toc487632738"/>
      <w:bookmarkStart w:id="769" w:name="_Toc407135241"/>
      <w:r>
        <w:rPr>
          <w:rFonts w:hint="eastAsia" w:ascii="宋体" w:hAnsi="宋体" w:cs="宋体"/>
          <w:b/>
          <w:bCs/>
          <w:color w:val="auto"/>
          <w:sz w:val="24"/>
          <w:szCs w:val="24"/>
          <w:highlight w:val="none"/>
        </w:rPr>
        <w:t>9.5 检验费用</w:t>
      </w:r>
      <w:bookmarkEnd w:id="767"/>
      <w:bookmarkEnd w:id="768"/>
      <w:bookmarkEnd w:id="769"/>
    </w:p>
    <w:p w14:paraId="21DDE955">
      <w:pPr>
        <w:spacing w:line="440" w:lineRule="exact"/>
        <w:ind w:firstLine="470" w:firstLineChars="196"/>
        <w:rPr>
          <w:rFonts w:ascii="宋体" w:hAnsi="宋体" w:cs="宋体"/>
          <w:color w:val="auto"/>
          <w:sz w:val="24"/>
          <w:szCs w:val="24"/>
          <w:highlight w:val="none"/>
        </w:rPr>
      </w:pPr>
      <w:r>
        <w:rPr>
          <w:rFonts w:hint="eastAsia" w:ascii="宋体" w:hAnsi="宋体" w:cs="宋体"/>
          <w:color w:val="auto"/>
          <w:sz w:val="24"/>
          <w:szCs w:val="24"/>
          <w:highlight w:val="none"/>
        </w:rPr>
        <w:t>根据《建设工程质量检测管理办法》（建设部令第141号）以及《广西壮族自治区建设工程质量检测管理规定》（桂建管〔2013〕11号）规定，工程质量检测业务由发包人委托有相应资质的检测机构检测。费用含在合同价款内。</w:t>
      </w:r>
    </w:p>
    <w:bookmarkEnd w:id="753"/>
    <w:bookmarkEnd w:id="759"/>
    <w:bookmarkEnd w:id="760"/>
    <w:bookmarkEnd w:id="761"/>
    <w:bookmarkEnd w:id="762"/>
    <w:bookmarkEnd w:id="763"/>
    <w:bookmarkEnd w:id="764"/>
    <w:bookmarkEnd w:id="765"/>
    <w:p w14:paraId="4AF7D26E">
      <w:pPr>
        <w:keepNext/>
        <w:keepLines/>
        <w:spacing w:before="120" w:after="120" w:line="440" w:lineRule="exact"/>
        <w:outlineLvl w:val="1"/>
        <w:rPr>
          <w:rFonts w:ascii="宋体" w:hAnsi="宋体" w:cs="宋体"/>
          <w:b/>
          <w:bCs/>
          <w:color w:val="auto"/>
          <w:sz w:val="24"/>
          <w:szCs w:val="24"/>
          <w:highlight w:val="none"/>
        </w:rPr>
      </w:pPr>
      <w:bookmarkStart w:id="770" w:name="_Toc373478386"/>
      <w:bookmarkStart w:id="771" w:name="_Toc389065305"/>
      <w:bookmarkStart w:id="772" w:name="_Toc407135242"/>
      <w:bookmarkStart w:id="773" w:name="_Toc373227739"/>
      <w:bookmarkStart w:id="774" w:name="_Toc51599596"/>
      <w:bookmarkStart w:id="775" w:name="_Toc351203642"/>
      <w:bookmarkStart w:id="776" w:name="_Toc487632739"/>
      <w:r>
        <w:rPr>
          <w:rFonts w:hint="eastAsia" w:ascii="宋体" w:hAnsi="宋体" w:cs="宋体"/>
          <w:b/>
          <w:bCs/>
          <w:color w:val="auto"/>
          <w:sz w:val="24"/>
          <w:szCs w:val="24"/>
          <w:highlight w:val="none"/>
        </w:rPr>
        <w:t>1</w:t>
      </w:r>
      <w:bookmarkEnd w:id="721"/>
      <w:bookmarkEnd w:id="722"/>
      <w:bookmarkEnd w:id="723"/>
      <w:bookmarkEnd w:id="724"/>
      <w:bookmarkEnd w:id="725"/>
      <w:bookmarkEnd w:id="726"/>
      <w:bookmarkEnd w:id="727"/>
      <w:bookmarkEnd w:id="728"/>
      <w:bookmarkEnd w:id="729"/>
      <w:bookmarkEnd w:id="730"/>
      <w:bookmarkEnd w:id="731"/>
      <w:bookmarkEnd w:id="732"/>
      <w:bookmarkStart w:id="777" w:name="_Toc296944532"/>
      <w:bookmarkStart w:id="778" w:name="_Toc296347192"/>
      <w:bookmarkStart w:id="779" w:name="_Toc296891021"/>
      <w:bookmarkStart w:id="780" w:name="_Toc297120493"/>
      <w:bookmarkStart w:id="781" w:name="_Toc297048379"/>
      <w:bookmarkStart w:id="782" w:name="_Toc292559903"/>
      <w:bookmarkStart w:id="783" w:name="_Toc304295566"/>
      <w:bookmarkStart w:id="784" w:name="_Toc297123540"/>
      <w:bookmarkStart w:id="785" w:name="_Toc296346694"/>
      <w:bookmarkStart w:id="786" w:name="_Toc296503193"/>
      <w:bookmarkStart w:id="787" w:name="_Toc296891233"/>
      <w:bookmarkStart w:id="788" w:name="_Toc300934989"/>
      <w:bookmarkStart w:id="789" w:name="_Toc303539146"/>
      <w:bookmarkStart w:id="790" w:name="_Toc292559398"/>
      <w:bookmarkStart w:id="791" w:name="_Toc297216199"/>
      <w:bookmarkStart w:id="792" w:name="_Toc312677499"/>
      <w:bookmarkStart w:id="793" w:name="_Toc312678025"/>
      <w:bookmarkStart w:id="794" w:name="_Toc267251440"/>
      <w:bookmarkStart w:id="795" w:name="_Toc267251433"/>
      <w:bookmarkStart w:id="796" w:name="_Toc267251441"/>
      <w:bookmarkStart w:id="797" w:name="_Toc267251439"/>
      <w:bookmarkStart w:id="798" w:name="_Toc267251437"/>
      <w:bookmarkStart w:id="799" w:name="_Toc267251435"/>
      <w:bookmarkStart w:id="800" w:name="_Toc267251442"/>
      <w:r>
        <w:rPr>
          <w:rFonts w:hint="eastAsia" w:ascii="宋体" w:hAnsi="宋体" w:cs="宋体"/>
          <w:b/>
          <w:bCs/>
          <w:color w:val="auto"/>
          <w:sz w:val="24"/>
          <w:szCs w:val="24"/>
          <w:highlight w:val="none"/>
        </w:rPr>
        <w:t>0. 变更</w:t>
      </w:r>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p>
    <w:bookmarkEnd w:id="792"/>
    <w:bookmarkEnd w:id="793"/>
    <w:p w14:paraId="4C458985">
      <w:pPr>
        <w:keepNext/>
        <w:keepLines/>
        <w:spacing w:before="120" w:after="120" w:line="440" w:lineRule="exact"/>
        <w:outlineLvl w:val="2"/>
        <w:rPr>
          <w:rFonts w:ascii="宋体" w:hAnsi="宋体" w:cs="宋体"/>
          <w:b/>
          <w:bCs/>
          <w:color w:val="auto"/>
          <w:sz w:val="24"/>
          <w:szCs w:val="24"/>
          <w:highlight w:val="none"/>
        </w:rPr>
      </w:pPr>
      <w:bookmarkStart w:id="801" w:name="_Toc389065306"/>
      <w:bookmarkStart w:id="802" w:name="_Toc373478387"/>
      <w:bookmarkStart w:id="803" w:name="_Toc407135243"/>
      <w:bookmarkStart w:id="804" w:name="_Toc373227740"/>
      <w:bookmarkStart w:id="805" w:name="_Toc487632740"/>
      <w:bookmarkStart w:id="806" w:name="_Toc51599597"/>
      <w:r>
        <w:rPr>
          <w:rFonts w:hint="eastAsia" w:ascii="宋体" w:hAnsi="宋体" w:cs="宋体"/>
          <w:b/>
          <w:bCs/>
          <w:color w:val="auto"/>
          <w:sz w:val="24"/>
          <w:szCs w:val="24"/>
          <w:highlight w:val="none"/>
        </w:rPr>
        <w:t>1</w:t>
      </w:r>
      <w:bookmarkStart w:id="807" w:name="_Toc312678026"/>
      <w:bookmarkStart w:id="808" w:name="_Toc296944533"/>
      <w:bookmarkStart w:id="809" w:name="_Toc296346695"/>
      <w:bookmarkStart w:id="810" w:name="_Toc297120494"/>
      <w:bookmarkStart w:id="811" w:name="_Toc297216200"/>
      <w:bookmarkStart w:id="812" w:name="_Toc296891234"/>
      <w:bookmarkStart w:id="813" w:name="_Toc296503194"/>
      <w:bookmarkStart w:id="814" w:name="_Toc296891022"/>
      <w:bookmarkStart w:id="815" w:name="_Toc296347193"/>
      <w:bookmarkStart w:id="816" w:name="_Toc297123541"/>
      <w:bookmarkStart w:id="817" w:name="_Toc297048380"/>
      <w:bookmarkStart w:id="818" w:name="_Toc292559904"/>
      <w:bookmarkStart w:id="819" w:name="_Toc292559399"/>
      <w:bookmarkStart w:id="820" w:name="_Toc303539147"/>
      <w:bookmarkStart w:id="821" w:name="_Toc312677500"/>
      <w:bookmarkStart w:id="822" w:name="_Toc300934990"/>
      <w:bookmarkStart w:id="823" w:name="_Toc304295567"/>
      <w:r>
        <w:rPr>
          <w:rFonts w:hint="eastAsia" w:ascii="宋体" w:hAnsi="宋体" w:cs="宋体"/>
          <w:b/>
          <w:bCs/>
          <w:color w:val="auto"/>
          <w:sz w:val="24"/>
          <w:szCs w:val="24"/>
          <w:highlight w:val="none"/>
        </w:rPr>
        <w:t>0.1 变更的范围</w:t>
      </w:r>
      <w:bookmarkEnd w:id="801"/>
      <w:bookmarkEnd w:id="802"/>
      <w:bookmarkEnd w:id="803"/>
      <w:bookmarkEnd w:id="804"/>
      <w:bookmarkEnd w:id="805"/>
      <w:bookmarkEnd w:id="806"/>
    </w:p>
    <w:p w14:paraId="72103642">
      <w:pPr>
        <w:spacing w:line="440" w:lineRule="exact"/>
        <w:ind w:firstLine="426"/>
        <w:rPr>
          <w:rFonts w:ascii="宋体" w:hAnsi="宋体" w:cs="宋体"/>
          <w:color w:val="auto"/>
          <w:sz w:val="24"/>
          <w:szCs w:val="24"/>
          <w:highlight w:val="none"/>
        </w:rPr>
      </w:pPr>
      <w:r>
        <w:rPr>
          <w:rFonts w:hint="eastAsia" w:ascii="宋体" w:hAnsi="宋体" w:cs="宋体"/>
          <w:color w:val="auto"/>
          <w:sz w:val="24"/>
          <w:szCs w:val="24"/>
          <w:highlight w:val="none"/>
        </w:rPr>
        <w:t>关于变更的范围的约定：</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668FB2AB">
      <w:pPr>
        <w:keepNext/>
        <w:keepLines/>
        <w:spacing w:before="120" w:after="120" w:line="440" w:lineRule="exact"/>
        <w:outlineLvl w:val="2"/>
        <w:rPr>
          <w:rFonts w:ascii="宋体" w:hAnsi="宋体" w:cs="宋体"/>
          <w:b/>
          <w:bCs/>
          <w:color w:val="auto"/>
          <w:sz w:val="24"/>
          <w:szCs w:val="24"/>
          <w:highlight w:val="none"/>
        </w:rPr>
      </w:pPr>
      <w:bookmarkStart w:id="824" w:name="_Toc487632741"/>
      <w:bookmarkStart w:id="825" w:name="_Toc373478388"/>
      <w:bookmarkStart w:id="826" w:name="_Toc389065307"/>
      <w:bookmarkStart w:id="827" w:name="_Toc407135244"/>
      <w:bookmarkStart w:id="828" w:name="_Toc51599598"/>
      <w:bookmarkStart w:id="829" w:name="_Toc373227741"/>
      <w:r>
        <w:rPr>
          <w:rFonts w:hint="eastAsia" w:ascii="宋体" w:hAnsi="宋体" w:cs="宋体"/>
          <w:b/>
          <w:bCs/>
          <w:color w:val="auto"/>
          <w:sz w:val="24"/>
          <w:szCs w:val="24"/>
          <w:highlight w:val="none"/>
        </w:rPr>
        <w:t>10.3 变更程序</w:t>
      </w:r>
      <w:bookmarkEnd w:id="824"/>
      <w:bookmarkEnd w:id="825"/>
      <w:bookmarkEnd w:id="826"/>
      <w:bookmarkEnd w:id="827"/>
      <w:bookmarkEnd w:id="828"/>
      <w:bookmarkEnd w:id="829"/>
    </w:p>
    <w:p w14:paraId="7815E7C6">
      <w:pPr>
        <w:spacing w:line="440" w:lineRule="exact"/>
        <w:ind w:firstLine="504" w:firstLineChars="210"/>
        <w:rPr>
          <w:rFonts w:ascii="宋体" w:hAnsi="宋体" w:cs="宋体"/>
          <w:color w:val="auto"/>
          <w:sz w:val="24"/>
          <w:szCs w:val="24"/>
          <w:highlight w:val="none"/>
        </w:rPr>
      </w:pPr>
      <w:r>
        <w:rPr>
          <w:rFonts w:hint="eastAsia" w:ascii="宋体" w:hAnsi="宋体" w:cs="宋体"/>
          <w:color w:val="auto"/>
          <w:sz w:val="24"/>
          <w:szCs w:val="24"/>
          <w:highlight w:val="none"/>
        </w:rPr>
        <w:t>10.3.1国有投资项目：</w:t>
      </w:r>
    </w:p>
    <w:p w14:paraId="254770B6">
      <w:pPr>
        <w:spacing w:line="440" w:lineRule="exact"/>
        <w:ind w:firstLine="504" w:firstLineChars="210"/>
        <w:rPr>
          <w:rFonts w:ascii="宋体" w:hAnsi="宋体" w:cs="宋体"/>
          <w:bCs/>
          <w:color w:val="auto"/>
          <w:sz w:val="24"/>
          <w:szCs w:val="24"/>
          <w:highlight w:val="none"/>
        </w:rPr>
      </w:pPr>
      <w:r>
        <w:rPr>
          <w:rFonts w:hint="eastAsia" w:ascii="宋体" w:hAnsi="宋体" w:cs="宋体"/>
          <w:bCs/>
          <w:color w:val="auto"/>
          <w:sz w:val="24"/>
          <w:szCs w:val="24"/>
          <w:highlight w:val="none"/>
        </w:rPr>
        <w:t>⑴变更的增加工程审核和审批要求：按梧州市人民政府《关于进一步规范市本级政府投资项目资金管理有关事项的通知》（梧政发【2018】28号）及有关文件办理。如实施过程中，设计变更增加工程在未经相关管理部门审批就实施，造成日后结算财政不予以确认的一切责任，由承包人负责。按各市政府或相关部门的规定办理。属不可抗力（自然灾害、突发事件等）造成变更的，按特事特办原则予以办理。</w:t>
      </w:r>
    </w:p>
    <w:p w14:paraId="030D89B0">
      <w:pPr>
        <w:spacing w:line="440" w:lineRule="exact"/>
        <w:ind w:firstLine="504" w:firstLineChars="210"/>
        <w:rPr>
          <w:rFonts w:ascii="宋体" w:hAnsi="宋体" w:cs="宋体"/>
          <w:bCs/>
          <w:color w:val="auto"/>
          <w:sz w:val="24"/>
          <w:szCs w:val="24"/>
          <w:highlight w:val="none"/>
        </w:rPr>
      </w:pPr>
      <w:r>
        <w:rPr>
          <w:rFonts w:hint="eastAsia" w:ascii="宋体" w:hAnsi="宋体" w:cs="宋体"/>
          <w:bCs/>
          <w:color w:val="auto"/>
          <w:sz w:val="24"/>
          <w:szCs w:val="24"/>
          <w:highlight w:val="none"/>
        </w:rPr>
        <w:t>⑵建设单位在实施项目过程中，若发生单价变动，由建设单位、监理单位、施工单位及其他相关单位共同商定并签字确认。</w:t>
      </w:r>
    </w:p>
    <w:p w14:paraId="3A859D27">
      <w:pPr>
        <w:spacing w:line="440" w:lineRule="exact"/>
        <w:ind w:firstLine="504" w:firstLineChars="210"/>
        <w:rPr>
          <w:rFonts w:ascii="宋体" w:hAnsi="宋体" w:cs="宋体"/>
          <w:bCs/>
          <w:color w:val="auto"/>
          <w:sz w:val="24"/>
          <w:szCs w:val="24"/>
          <w:highlight w:val="none"/>
        </w:rPr>
      </w:pPr>
      <w:r>
        <w:rPr>
          <w:rFonts w:hint="eastAsia" w:ascii="宋体" w:hAnsi="宋体" w:cs="宋体"/>
          <w:bCs/>
          <w:color w:val="auto"/>
          <w:sz w:val="24"/>
          <w:szCs w:val="24"/>
          <w:highlight w:val="none"/>
        </w:rPr>
        <w:t>⑶ 当合同规定的合同价款调整情况发生后，承包人未在规定时间内通知发包人，或者未在规定时间内提出调整报告，发包人可以根据有关资料，决定是否调整和调整的金额，并书面通知承包人。</w:t>
      </w:r>
    </w:p>
    <w:p w14:paraId="27DECEED">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10.3.2 非国有投资项目： </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327D9540">
      <w:pPr>
        <w:keepNext/>
        <w:keepLines/>
        <w:spacing w:before="120" w:after="120" w:line="440" w:lineRule="exact"/>
        <w:outlineLvl w:val="2"/>
        <w:rPr>
          <w:rFonts w:ascii="宋体" w:hAnsi="宋体" w:cs="宋体"/>
          <w:b/>
          <w:bCs/>
          <w:color w:val="auto"/>
          <w:sz w:val="24"/>
          <w:szCs w:val="24"/>
          <w:highlight w:val="none"/>
        </w:rPr>
      </w:pPr>
      <w:bookmarkStart w:id="830" w:name="_Toc487632742"/>
      <w:bookmarkStart w:id="831" w:name="_Toc373478389"/>
      <w:bookmarkStart w:id="832" w:name="_Toc407135245"/>
      <w:bookmarkStart w:id="833" w:name="_Toc51599599"/>
      <w:bookmarkStart w:id="834" w:name="_Toc389065308"/>
      <w:bookmarkStart w:id="835" w:name="_Toc373227742"/>
      <w:r>
        <w:rPr>
          <w:rFonts w:hint="eastAsia" w:ascii="宋体" w:hAnsi="宋体" w:cs="宋体"/>
          <w:b/>
          <w:bCs/>
          <w:color w:val="auto"/>
          <w:sz w:val="24"/>
          <w:szCs w:val="24"/>
          <w:highlight w:val="none"/>
        </w:rPr>
        <w:t>10.4 变更估价</w:t>
      </w:r>
      <w:bookmarkEnd w:id="830"/>
      <w:bookmarkEnd w:id="831"/>
      <w:bookmarkEnd w:id="832"/>
      <w:bookmarkEnd w:id="833"/>
      <w:bookmarkEnd w:id="834"/>
      <w:bookmarkEnd w:id="835"/>
    </w:p>
    <w:p w14:paraId="6BFB7076">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10.4.1 变更估价原则</w:t>
      </w:r>
    </w:p>
    <w:p w14:paraId="7CF31CD8">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关于变更估价的约定:</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w:t>
      </w:r>
    </w:p>
    <w:p w14:paraId="39208D9A">
      <w:pPr>
        <w:keepNext/>
        <w:keepLines/>
        <w:spacing w:before="120" w:after="120" w:line="440" w:lineRule="exact"/>
        <w:outlineLvl w:val="2"/>
        <w:rPr>
          <w:rFonts w:ascii="宋体" w:hAnsi="宋体" w:cs="宋体"/>
          <w:b/>
          <w:bCs/>
          <w:color w:val="auto"/>
          <w:sz w:val="24"/>
          <w:szCs w:val="24"/>
          <w:highlight w:val="none"/>
        </w:rPr>
      </w:pPr>
      <w:bookmarkStart w:id="836" w:name="_Toc487632743"/>
      <w:bookmarkStart w:id="837" w:name="_Toc373227743"/>
      <w:bookmarkStart w:id="838" w:name="_Toc407135246"/>
      <w:bookmarkStart w:id="839" w:name="_Toc373478390"/>
      <w:bookmarkStart w:id="840" w:name="_Toc389065309"/>
      <w:bookmarkStart w:id="841" w:name="_Toc51599600"/>
      <w:r>
        <w:rPr>
          <w:rFonts w:hint="eastAsia" w:ascii="宋体" w:hAnsi="宋体" w:cs="宋体"/>
          <w:b/>
          <w:bCs/>
          <w:color w:val="auto"/>
          <w:sz w:val="24"/>
          <w:szCs w:val="24"/>
          <w:highlight w:val="none"/>
        </w:rPr>
        <w:t>1</w:t>
      </w:r>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Start w:id="842" w:name="_Toc292559402"/>
      <w:bookmarkStart w:id="843" w:name="_Toc296891237"/>
      <w:bookmarkStart w:id="844" w:name="_Toc296944536"/>
      <w:bookmarkStart w:id="845" w:name="_Toc303539150"/>
      <w:bookmarkStart w:id="846" w:name="_Toc297120497"/>
      <w:bookmarkStart w:id="847" w:name="_Toc292559907"/>
      <w:bookmarkStart w:id="848" w:name="_Toc297123544"/>
      <w:bookmarkStart w:id="849" w:name="_Toc297048383"/>
      <w:bookmarkStart w:id="850" w:name="_Toc296347196"/>
      <w:bookmarkStart w:id="851" w:name="_Toc296503197"/>
      <w:bookmarkStart w:id="852" w:name="_Toc297216203"/>
      <w:bookmarkStart w:id="853" w:name="_Toc300934993"/>
      <w:bookmarkStart w:id="854" w:name="_Toc296346698"/>
      <w:bookmarkStart w:id="855" w:name="_Toc296891025"/>
      <w:bookmarkStart w:id="856" w:name="_Toc312678029"/>
      <w:bookmarkStart w:id="857" w:name="_Toc312677503"/>
      <w:bookmarkStart w:id="858" w:name="_Toc304295570"/>
      <w:r>
        <w:rPr>
          <w:rFonts w:hint="eastAsia" w:ascii="宋体" w:hAnsi="宋体" w:cs="宋体"/>
          <w:b/>
          <w:bCs/>
          <w:color w:val="auto"/>
          <w:sz w:val="24"/>
          <w:szCs w:val="24"/>
          <w:highlight w:val="none"/>
        </w:rPr>
        <w:t>0.5 承</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Start w:id="859" w:name="_Toc296503203"/>
      <w:bookmarkStart w:id="860" w:name="_Toc297123545"/>
      <w:bookmarkStart w:id="861" w:name="_Toc296346704"/>
      <w:bookmarkStart w:id="862" w:name="_Toc300934994"/>
      <w:bookmarkStart w:id="863" w:name="_Toc292559408"/>
      <w:bookmarkStart w:id="864" w:name="_Toc297048389"/>
      <w:bookmarkStart w:id="865" w:name="_Toc296891243"/>
      <w:bookmarkStart w:id="866" w:name="_Toc292559913"/>
      <w:bookmarkStart w:id="867" w:name="_Toc296347202"/>
      <w:bookmarkStart w:id="868" w:name="_Toc296944542"/>
      <w:bookmarkStart w:id="869" w:name="_Toc296891031"/>
      <w:bookmarkStart w:id="870" w:name="_Toc297216204"/>
      <w:bookmarkStart w:id="871" w:name="_Toc303539151"/>
      <w:bookmarkStart w:id="872" w:name="_Toc297120503"/>
      <w:r>
        <w:rPr>
          <w:rFonts w:hint="eastAsia" w:ascii="宋体" w:hAnsi="宋体" w:cs="宋体"/>
          <w:b/>
          <w:bCs/>
          <w:color w:val="auto"/>
          <w:sz w:val="24"/>
          <w:szCs w:val="24"/>
          <w:highlight w:val="none"/>
        </w:rPr>
        <w:t>包人的合理化建议</w:t>
      </w:r>
      <w:bookmarkEnd w:id="836"/>
      <w:bookmarkEnd w:id="837"/>
      <w:bookmarkEnd w:id="838"/>
      <w:bookmarkEnd w:id="839"/>
      <w:bookmarkEnd w:id="840"/>
      <w:bookmarkEnd w:id="841"/>
    </w:p>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p w14:paraId="1E7341FB">
      <w:pPr>
        <w:spacing w:line="440" w:lineRule="exact"/>
        <w:ind w:firstLine="480" w:firstLineChars="200"/>
        <w:rPr>
          <w:rFonts w:ascii="宋体" w:hAnsi="宋体" w:cs="宋体"/>
          <w:color w:val="auto"/>
          <w:sz w:val="24"/>
          <w:szCs w:val="24"/>
          <w:highlight w:val="none"/>
        </w:rPr>
      </w:pPr>
      <w:bookmarkStart w:id="873" w:name="_Toc407135247"/>
      <w:bookmarkStart w:id="874" w:name="_Toc389065310"/>
      <w:bookmarkStart w:id="875" w:name="_Toc487632744"/>
      <w:bookmarkStart w:id="876" w:name="_Toc373227744"/>
      <w:bookmarkStart w:id="877" w:name="_Toc373478391"/>
      <w:r>
        <w:rPr>
          <w:rFonts w:hint="eastAsia" w:ascii="宋体" w:hAnsi="宋体" w:cs="宋体"/>
          <w:color w:val="auto"/>
          <w:sz w:val="24"/>
          <w:szCs w:val="24"/>
          <w:highlight w:val="none"/>
        </w:rPr>
        <w:t>监理人审查承包人合理化建议的期限：</w:t>
      </w:r>
      <w:r>
        <w:rPr>
          <w:rFonts w:hint="eastAsia" w:ascii="宋体" w:hAnsi="宋体" w:cs="宋体"/>
          <w:color w:val="auto"/>
          <w:sz w:val="24"/>
          <w:szCs w:val="24"/>
          <w:highlight w:val="none"/>
          <w:u w:val="single"/>
        </w:rPr>
        <w:t xml:space="preserve">     按通用条款执行      </w:t>
      </w:r>
      <w:r>
        <w:rPr>
          <w:rFonts w:hint="eastAsia" w:ascii="宋体" w:hAnsi="宋体" w:cs="宋体"/>
          <w:color w:val="auto"/>
          <w:sz w:val="24"/>
          <w:szCs w:val="24"/>
          <w:highlight w:val="none"/>
        </w:rPr>
        <w:t>。</w:t>
      </w:r>
    </w:p>
    <w:p w14:paraId="4E6CBC1F">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发包人审批承包人合理化建议的期限：</w:t>
      </w:r>
      <w:r>
        <w:rPr>
          <w:rFonts w:hint="eastAsia" w:ascii="宋体" w:hAnsi="宋体" w:cs="宋体"/>
          <w:color w:val="auto"/>
          <w:sz w:val="24"/>
          <w:szCs w:val="24"/>
          <w:highlight w:val="none"/>
          <w:u w:val="single"/>
        </w:rPr>
        <w:t xml:space="preserve">  按通用条款执行     </w:t>
      </w:r>
      <w:r>
        <w:rPr>
          <w:rFonts w:hint="eastAsia" w:ascii="宋体" w:hAnsi="宋体" w:cs="宋体"/>
          <w:color w:val="auto"/>
          <w:sz w:val="24"/>
          <w:szCs w:val="24"/>
          <w:highlight w:val="none"/>
        </w:rPr>
        <w:t>。</w:t>
      </w:r>
    </w:p>
    <w:p w14:paraId="06343B5D">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承</w:t>
      </w:r>
      <w:bookmarkStart w:id="878" w:name="_Toc297216205"/>
      <w:bookmarkStart w:id="879" w:name="_Toc292559409"/>
      <w:bookmarkStart w:id="880" w:name="_Toc297048390"/>
      <w:bookmarkStart w:id="881" w:name="_Toc318581175"/>
      <w:bookmarkStart w:id="882" w:name="_Toc297123546"/>
      <w:bookmarkStart w:id="883" w:name="_Toc296891032"/>
      <w:bookmarkStart w:id="884" w:name="_Toc304295571"/>
      <w:bookmarkStart w:id="885" w:name="_Toc296503204"/>
      <w:bookmarkStart w:id="886" w:name="_Toc312678030"/>
      <w:bookmarkStart w:id="887" w:name="_Toc297120504"/>
      <w:bookmarkStart w:id="888" w:name="_Toc296346705"/>
      <w:bookmarkStart w:id="889" w:name="_Toc303539152"/>
      <w:bookmarkStart w:id="890" w:name="_Toc312677504"/>
      <w:bookmarkStart w:id="891" w:name="_Toc296944543"/>
      <w:bookmarkStart w:id="892" w:name="_Toc292559914"/>
      <w:bookmarkStart w:id="893" w:name="_Toc296347203"/>
      <w:bookmarkStart w:id="894" w:name="_Toc296891244"/>
      <w:bookmarkStart w:id="895" w:name="_Toc300934995"/>
      <w:r>
        <w:rPr>
          <w:rFonts w:hint="eastAsia" w:ascii="宋体" w:hAnsi="宋体" w:cs="宋体"/>
          <w:color w:val="auto"/>
          <w:sz w:val="24"/>
          <w:szCs w:val="24"/>
          <w:highlight w:val="none"/>
        </w:rPr>
        <w:t>包人提出的合理化建议降低了合同价格或者提高了工程经济效益的奖励的方法和金额为：</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14:paraId="07BF785A">
      <w:pPr>
        <w:keepNext/>
        <w:keepLines/>
        <w:spacing w:before="120" w:after="120" w:line="440" w:lineRule="exact"/>
        <w:outlineLvl w:val="2"/>
        <w:rPr>
          <w:rFonts w:ascii="宋体" w:hAnsi="宋体" w:cs="宋体"/>
          <w:b/>
          <w:bCs/>
          <w:color w:val="auto"/>
          <w:sz w:val="24"/>
          <w:szCs w:val="24"/>
          <w:highlight w:val="none"/>
        </w:rPr>
      </w:pPr>
      <w:bookmarkStart w:id="896" w:name="_Toc51599602"/>
      <w:bookmarkStart w:id="897" w:name="_Toc407135248"/>
      <w:bookmarkStart w:id="898" w:name="_Toc373227745"/>
      <w:bookmarkStart w:id="899" w:name="_Toc373478392"/>
      <w:bookmarkStart w:id="900" w:name="_Toc487632745"/>
      <w:bookmarkStart w:id="901" w:name="_Toc389065311"/>
      <w:r>
        <w:rPr>
          <w:rFonts w:hint="eastAsia" w:ascii="宋体" w:hAnsi="宋体" w:cs="宋体"/>
          <w:b/>
          <w:bCs/>
          <w:color w:val="auto"/>
          <w:sz w:val="24"/>
          <w:szCs w:val="24"/>
          <w:highlight w:val="none"/>
        </w:rPr>
        <w:t>10.8 暂列金额</w:t>
      </w:r>
      <w:bookmarkEnd w:id="896"/>
      <w:bookmarkEnd w:id="897"/>
      <w:bookmarkEnd w:id="898"/>
      <w:bookmarkEnd w:id="899"/>
      <w:bookmarkEnd w:id="900"/>
      <w:bookmarkEnd w:id="901"/>
    </w:p>
    <w:p w14:paraId="35D96600">
      <w:pPr>
        <w:autoSpaceDE w:val="0"/>
        <w:autoSpaceDN w:val="0"/>
        <w:adjustRightInd w:val="0"/>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kern w:val="0"/>
          <w:sz w:val="24"/>
          <w:szCs w:val="24"/>
          <w:highlight w:val="none"/>
        </w:rPr>
        <w:t>合同当事人关于暂列金额使用的约定：</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rPr>
        <w:t>。</w:t>
      </w:r>
    </w:p>
    <w:p w14:paraId="53B5B14C">
      <w:pPr>
        <w:keepNext/>
        <w:keepLines/>
        <w:spacing w:before="120" w:after="120" w:line="440" w:lineRule="exact"/>
        <w:outlineLvl w:val="1"/>
        <w:rPr>
          <w:rFonts w:ascii="宋体" w:hAnsi="宋体" w:cs="宋体"/>
          <w:b/>
          <w:bCs/>
          <w:color w:val="auto"/>
          <w:sz w:val="24"/>
          <w:szCs w:val="24"/>
          <w:highlight w:val="none"/>
        </w:rPr>
      </w:pPr>
      <w:bookmarkStart w:id="902" w:name="_Toc373478393"/>
      <w:bookmarkStart w:id="903" w:name="_Toc407135249"/>
      <w:bookmarkStart w:id="904" w:name="_Toc351203643"/>
      <w:bookmarkStart w:id="905" w:name="_Toc389065312"/>
      <w:bookmarkStart w:id="906" w:name="_Toc373227746"/>
      <w:bookmarkStart w:id="907" w:name="_Toc487632746"/>
      <w:bookmarkStart w:id="908" w:name="_Toc51599603"/>
      <w:r>
        <w:rPr>
          <w:rFonts w:hint="eastAsia" w:ascii="宋体" w:hAnsi="宋体" w:cs="宋体"/>
          <w:b/>
          <w:bCs/>
          <w:color w:val="auto"/>
          <w:sz w:val="24"/>
          <w:szCs w:val="24"/>
          <w:highlight w:val="none"/>
        </w:rPr>
        <w:t>11. 价格调整</w:t>
      </w:r>
      <w:bookmarkEnd w:id="902"/>
      <w:bookmarkEnd w:id="903"/>
      <w:bookmarkEnd w:id="904"/>
      <w:bookmarkEnd w:id="905"/>
      <w:bookmarkEnd w:id="906"/>
      <w:bookmarkEnd w:id="907"/>
      <w:bookmarkEnd w:id="908"/>
    </w:p>
    <w:p w14:paraId="6DCC8B3A">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①法律变化引起的调整；</w:t>
      </w:r>
    </w:p>
    <w:p w14:paraId="2F7A0CA6">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②工程变更、项目特征不符、工程量清单缺项、工程量偏差引起的调整；</w:t>
      </w:r>
    </w:p>
    <w:p w14:paraId="5C446067">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③计日工引起的调整。</w:t>
      </w:r>
    </w:p>
    <w:p w14:paraId="2CFA2EE4">
      <w:pPr>
        <w:keepNext/>
        <w:keepLines/>
        <w:spacing w:before="120" w:after="120" w:line="440" w:lineRule="exact"/>
        <w:outlineLvl w:val="2"/>
        <w:rPr>
          <w:rFonts w:ascii="宋体" w:hAnsi="宋体" w:cs="宋体"/>
          <w:b/>
          <w:bCs/>
          <w:color w:val="auto"/>
          <w:sz w:val="24"/>
          <w:szCs w:val="24"/>
          <w:highlight w:val="none"/>
        </w:rPr>
      </w:pPr>
      <w:bookmarkStart w:id="909" w:name="_Toc51599604"/>
      <w:bookmarkStart w:id="910" w:name="_Toc407135250"/>
      <w:bookmarkStart w:id="911" w:name="_Toc487632747"/>
      <w:bookmarkStart w:id="912" w:name="_Toc373227747"/>
      <w:bookmarkStart w:id="913" w:name="_Toc389065313"/>
      <w:bookmarkStart w:id="914" w:name="_Toc373478394"/>
      <w:bookmarkStart w:id="915" w:name="_Toc296944540"/>
      <w:bookmarkStart w:id="916" w:name="_Toc296347200"/>
      <w:bookmarkStart w:id="917" w:name="_Toc304295577"/>
      <w:bookmarkStart w:id="918" w:name="_Toc296891241"/>
      <w:bookmarkStart w:id="919" w:name="_Toc292559911"/>
      <w:bookmarkStart w:id="920" w:name="_Toc300935000"/>
      <w:bookmarkStart w:id="921" w:name="_Toc312678039"/>
      <w:bookmarkStart w:id="922" w:name="_Toc296503201"/>
      <w:bookmarkStart w:id="923" w:name="_Toc297216209"/>
      <w:bookmarkStart w:id="924" w:name="_Toc296346702"/>
      <w:bookmarkStart w:id="925" w:name="_Toc303539157"/>
      <w:bookmarkStart w:id="926" w:name="_Toc297120501"/>
      <w:bookmarkStart w:id="927" w:name="_Toc297123550"/>
      <w:bookmarkStart w:id="928" w:name="_Toc296891029"/>
      <w:bookmarkStart w:id="929" w:name="_Toc297048387"/>
      <w:bookmarkStart w:id="930" w:name="_Toc292559406"/>
      <w:r>
        <w:rPr>
          <w:rFonts w:hint="eastAsia" w:ascii="宋体" w:hAnsi="宋体" w:cs="宋体"/>
          <w:b/>
          <w:bCs/>
          <w:color w:val="auto"/>
          <w:sz w:val="24"/>
          <w:szCs w:val="24"/>
          <w:highlight w:val="none"/>
        </w:rPr>
        <w:t>11.1 市场价格波动引起的调整</w:t>
      </w:r>
      <w:bookmarkEnd w:id="909"/>
      <w:bookmarkEnd w:id="910"/>
      <w:bookmarkEnd w:id="911"/>
      <w:bookmarkEnd w:id="912"/>
      <w:bookmarkEnd w:id="913"/>
      <w:bookmarkEnd w:id="914"/>
    </w:p>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p w14:paraId="150AAB78">
      <w:pPr>
        <w:spacing w:line="440" w:lineRule="exact"/>
        <w:ind w:firstLine="480" w:firstLineChars="200"/>
        <w:rPr>
          <w:rFonts w:ascii="宋体" w:hAnsi="宋体" w:cs="宋体"/>
          <w:color w:val="auto"/>
          <w:sz w:val="24"/>
          <w:szCs w:val="24"/>
          <w:highlight w:val="none"/>
        </w:rPr>
      </w:pPr>
      <w:r>
        <w:rPr>
          <w:rFonts w:hint="eastAsia" w:ascii="宋体" w:hAnsi="宋体" w:cs="宋体"/>
          <w:color w:val="auto"/>
          <w:kern w:val="0"/>
          <w:sz w:val="24"/>
          <w:szCs w:val="24"/>
          <w:highlight w:val="none"/>
        </w:rPr>
        <w:t>市场价格波动是否调整合同价格的约定：</w:t>
      </w:r>
      <w:r>
        <w:rPr>
          <w:rFonts w:hint="eastAsia" w:ascii="宋体" w:hAnsi="宋体" w:cs="宋体"/>
          <w:color w:val="auto"/>
          <w:sz w:val="24"/>
          <w:szCs w:val="24"/>
          <w:highlight w:val="none"/>
          <w:u w:val="single"/>
        </w:rPr>
        <w:t xml:space="preserve">   不作调整     </w:t>
      </w:r>
      <w:r>
        <w:rPr>
          <w:rFonts w:hint="eastAsia" w:ascii="宋体" w:hAnsi="宋体" w:cs="宋体"/>
          <w:color w:val="auto"/>
          <w:sz w:val="24"/>
          <w:szCs w:val="24"/>
          <w:highlight w:val="none"/>
        </w:rPr>
        <w:t>。</w:t>
      </w:r>
    </w:p>
    <w:p w14:paraId="661930E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因市场价格波动调整合同价格，采用以下第</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种方式对合同价格进行调整：</w:t>
      </w:r>
    </w:p>
    <w:p w14:paraId="3DC49986">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第1种方式：采用价格指数进行价格调整。</w:t>
      </w:r>
    </w:p>
    <w:p w14:paraId="1B20505D">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关于各可调因子、定值和变值权重，以及基本价格指数及其来源的约定：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 xml:space="preserve">；  </w:t>
      </w:r>
    </w:p>
    <w:p w14:paraId="4DED24B6">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第2种方式：采用造价信息进行价格调整。</w:t>
      </w:r>
    </w:p>
    <w:p w14:paraId="17CB67E9">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（1）允许调整的主要材料和设备、基期价格、风险系数、投标报价：详见《承包人提供主要材料和设备一览表》。</w:t>
      </w:r>
    </w:p>
    <w:p w14:paraId="1FF3F03E">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（2）主要材料和设备确认价：</w:t>
      </w:r>
    </w:p>
    <w:p w14:paraId="39DF12D9">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按施工期间《</w:t>
      </w:r>
      <w:r>
        <w:rPr>
          <w:rFonts w:hint="eastAsia" w:ascii="宋体" w:hAnsi="宋体" w:cs="宋体"/>
          <w:color w:val="auto"/>
          <w:sz w:val="24"/>
          <w:szCs w:val="24"/>
          <w:highlight w:val="none"/>
          <w:u w:val="single"/>
        </w:rPr>
        <w:t xml:space="preserve"> 梧州 </w:t>
      </w:r>
      <w:r>
        <w:rPr>
          <w:rFonts w:hint="eastAsia" w:ascii="宋体" w:hAnsi="宋体" w:cs="宋体"/>
          <w:color w:val="auto"/>
          <w:sz w:val="24"/>
          <w:szCs w:val="24"/>
          <w:highlight w:val="none"/>
        </w:rPr>
        <w:t>市建设工程造价信息》加权平均计算，信息价没有的按通用条款规定确定。</w:t>
      </w:r>
    </w:p>
    <w:p w14:paraId="12834DF6">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（3）价差计算方法：</w:t>
      </w:r>
    </w:p>
    <w:p w14:paraId="3F6667AB">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①《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其超过部分据实调整。</w:t>
      </w:r>
    </w:p>
    <w:p w14:paraId="339BD548">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②承包人在《承包人提供主要材料和设备一览表》中载明的材料和设备投标报价高于基准价格的：专用合同条款合同履行期间材料和设备单价跌幅以基准价格为基础超过约定的风险范围时，材料和设备单价涨幅以投标报价为基础超过约定的风险范围时，其超过部分据实调整。</w:t>
      </w:r>
    </w:p>
    <w:p w14:paraId="7B41D97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③承包人在《承包人提供主要材料和设备一览表》中载明的材料和设备单价等于基准单价的：合同履行期间材料和设备单价涨跌幅以基准单价为基础超过约定的风险范围时，其超过部分据实调整。</w:t>
      </w:r>
    </w:p>
    <w:p w14:paraId="68A001D0">
      <w:pPr>
        <w:spacing w:line="440" w:lineRule="exact"/>
        <w:ind w:firstLine="645"/>
        <w:rPr>
          <w:rFonts w:ascii="宋体" w:hAnsi="宋体" w:cs="宋体"/>
          <w:color w:val="auto"/>
          <w:sz w:val="24"/>
          <w:szCs w:val="24"/>
          <w:highlight w:val="none"/>
        </w:rPr>
      </w:pPr>
      <w:r>
        <w:rPr>
          <w:rFonts w:hint="eastAsia" w:ascii="宋体" w:hAnsi="宋体" w:cs="宋体"/>
          <w:color w:val="auto"/>
          <w:sz w:val="24"/>
          <w:szCs w:val="24"/>
          <w:highlight w:val="none"/>
        </w:rPr>
        <w:t>第3种方式：</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 xml:space="preserve"> 。</w:t>
      </w:r>
    </w:p>
    <w:bookmarkEnd w:id="794"/>
    <w:bookmarkEnd w:id="795"/>
    <w:bookmarkEnd w:id="796"/>
    <w:bookmarkEnd w:id="797"/>
    <w:bookmarkEnd w:id="798"/>
    <w:bookmarkEnd w:id="799"/>
    <w:p w14:paraId="251A2496">
      <w:pPr>
        <w:keepNext/>
        <w:keepLines/>
        <w:spacing w:before="120" w:after="120" w:line="440" w:lineRule="exact"/>
        <w:outlineLvl w:val="1"/>
        <w:rPr>
          <w:rFonts w:ascii="宋体" w:hAnsi="宋体" w:cs="宋体"/>
          <w:b/>
          <w:bCs/>
          <w:color w:val="auto"/>
          <w:sz w:val="24"/>
          <w:szCs w:val="24"/>
          <w:highlight w:val="none"/>
        </w:rPr>
      </w:pPr>
      <w:bookmarkStart w:id="931" w:name="_Toc296347204"/>
      <w:bookmarkStart w:id="932" w:name="_Toc297048391"/>
      <w:bookmarkStart w:id="933" w:name="_Toc296346706"/>
      <w:bookmarkStart w:id="934" w:name="_Toc292559915"/>
      <w:bookmarkStart w:id="935" w:name="_Toc296891245"/>
      <w:bookmarkStart w:id="936" w:name="_Toc297120505"/>
      <w:bookmarkStart w:id="937" w:name="_Toc292559410"/>
      <w:bookmarkStart w:id="938" w:name="_Toc296503205"/>
      <w:bookmarkStart w:id="939" w:name="_Toc296891033"/>
      <w:bookmarkStart w:id="940" w:name="_Toc296944544"/>
      <w:bookmarkStart w:id="941" w:name="_Toc51599605"/>
      <w:bookmarkStart w:id="942" w:name="_Toc407135251"/>
      <w:bookmarkStart w:id="943" w:name="_Toc373478395"/>
      <w:bookmarkStart w:id="944" w:name="_Toc487632748"/>
      <w:bookmarkStart w:id="945" w:name="_Toc373227748"/>
      <w:bookmarkStart w:id="946" w:name="_Toc351203644"/>
      <w:bookmarkStart w:id="947" w:name="_Toc297216211"/>
      <w:bookmarkStart w:id="948" w:name="_Toc297123552"/>
      <w:bookmarkStart w:id="949" w:name="_Toc312678040"/>
      <w:bookmarkStart w:id="950" w:name="_Toc303539159"/>
      <w:bookmarkStart w:id="951" w:name="_Toc300935002"/>
      <w:bookmarkStart w:id="952" w:name="_Toc304295579"/>
      <w:r>
        <w:rPr>
          <w:rFonts w:hint="eastAsia" w:ascii="宋体" w:hAnsi="宋体" w:cs="宋体"/>
          <w:b/>
          <w:bCs/>
          <w:color w:val="auto"/>
          <w:sz w:val="24"/>
          <w:szCs w:val="24"/>
          <w:highlight w:val="none"/>
        </w:rPr>
        <w:t xml:space="preserve">12. </w:t>
      </w:r>
      <w:bookmarkEnd w:id="931"/>
      <w:bookmarkEnd w:id="932"/>
      <w:bookmarkEnd w:id="933"/>
      <w:bookmarkEnd w:id="934"/>
      <w:bookmarkEnd w:id="935"/>
      <w:bookmarkEnd w:id="936"/>
      <w:bookmarkEnd w:id="937"/>
      <w:bookmarkEnd w:id="938"/>
      <w:bookmarkEnd w:id="939"/>
      <w:bookmarkEnd w:id="940"/>
      <w:r>
        <w:rPr>
          <w:rFonts w:hint="eastAsia" w:ascii="宋体" w:hAnsi="宋体" w:cs="宋体"/>
          <w:b/>
          <w:bCs/>
          <w:color w:val="auto"/>
          <w:sz w:val="24"/>
          <w:szCs w:val="24"/>
          <w:highlight w:val="none"/>
        </w:rPr>
        <w:t>合同价格、计量与支付</w:t>
      </w:r>
      <w:bookmarkEnd w:id="941"/>
      <w:bookmarkEnd w:id="942"/>
      <w:bookmarkEnd w:id="943"/>
      <w:bookmarkEnd w:id="944"/>
      <w:bookmarkEnd w:id="945"/>
      <w:bookmarkEnd w:id="946"/>
    </w:p>
    <w:bookmarkEnd w:id="947"/>
    <w:bookmarkEnd w:id="948"/>
    <w:bookmarkEnd w:id="949"/>
    <w:bookmarkEnd w:id="950"/>
    <w:bookmarkEnd w:id="951"/>
    <w:bookmarkEnd w:id="952"/>
    <w:p w14:paraId="745DAF54">
      <w:pPr>
        <w:keepNext/>
        <w:keepLines/>
        <w:spacing w:before="120" w:after="120" w:line="440" w:lineRule="exact"/>
        <w:outlineLvl w:val="2"/>
        <w:rPr>
          <w:rFonts w:ascii="宋体" w:hAnsi="宋体" w:cs="宋体"/>
          <w:b/>
          <w:bCs/>
          <w:color w:val="auto"/>
          <w:sz w:val="24"/>
          <w:szCs w:val="24"/>
          <w:highlight w:val="none"/>
        </w:rPr>
      </w:pPr>
      <w:bookmarkStart w:id="953" w:name="_Toc292559916"/>
      <w:bookmarkStart w:id="954" w:name="_Toc292559411"/>
      <w:bookmarkStart w:id="955" w:name="_Toc267251461"/>
      <w:bookmarkStart w:id="956" w:name="_Toc296891034"/>
      <w:bookmarkStart w:id="957" w:name="_Toc296503206"/>
      <w:bookmarkStart w:id="958" w:name="_Toc297048392"/>
      <w:bookmarkStart w:id="959" w:name="_Toc297120506"/>
      <w:bookmarkStart w:id="960" w:name="_Toc296944545"/>
      <w:bookmarkStart w:id="961" w:name="_Toc296346707"/>
      <w:bookmarkStart w:id="962" w:name="_Toc296347205"/>
      <w:bookmarkStart w:id="963" w:name="_Toc296891246"/>
      <w:bookmarkStart w:id="964" w:name="_Toc373478396"/>
      <w:bookmarkStart w:id="965" w:name="_Toc487632749"/>
      <w:bookmarkStart w:id="966" w:name="_Toc373227749"/>
      <w:bookmarkStart w:id="967" w:name="_Toc51599606"/>
      <w:bookmarkStart w:id="968" w:name="_Toc407135252"/>
      <w:bookmarkStart w:id="969" w:name="_Toc389065314"/>
      <w:bookmarkStart w:id="970" w:name="_Toc304295580"/>
      <w:bookmarkStart w:id="971" w:name="_Toc297123553"/>
      <w:bookmarkStart w:id="972" w:name="_Toc300935003"/>
      <w:bookmarkStart w:id="973" w:name="_Toc312678041"/>
      <w:bookmarkStart w:id="974" w:name="_Toc303539160"/>
      <w:bookmarkStart w:id="975" w:name="_Toc297216212"/>
      <w:r>
        <w:rPr>
          <w:rFonts w:hint="eastAsia" w:ascii="宋体" w:hAnsi="宋体" w:cs="宋体"/>
          <w:b/>
          <w:bCs/>
          <w:color w:val="auto"/>
          <w:sz w:val="24"/>
          <w:szCs w:val="24"/>
          <w:highlight w:val="none"/>
        </w:rPr>
        <w:t>12.1 合</w:t>
      </w:r>
      <w:bookmarkEnd w:id="953"/>
      <w:bookmarkEnd w:id="954"/>
      <w:bookmarkEnd w:id="955"/>
      <w:r>
        <w:rPr>
          <w:rFonts w:hint="eastAsia" w:ascii="宋体" w:hAnsi="宋体" w:cs="宋体"/>
          <w:b/>
          <w:bCs/>
          <w:color w:val="auto"/>
          <w:sz w:val="24"/>
          <w:szCs w:val="24"/>
          <w:highlight w:val="none"/>
        </w:rPr>
        <w:t>同价</w:t>
      </w:r>
      <w:bookmarkEnd w:id="956"/>
      <w:bookmarkEnd w:id="957"/>
      <w:bookmarkEnd w:id="958"/>
      <w:bookmarkEnd w:id="959"/>
      <w:bookmarkEnd w:id="960"/>
      <w:bookmarkEnd w:id="961"/>
      <w:bookmarkEnd w:id="962"/>
      <w:bookmarkEnd w:id="963"/>
      <w:r>
        <w:rPr>
          <w:rFonts w:hint="eastAsia" w:ascii="宋体" w:hAnsi="宋体" w:cs="宋体"/>
          <w:b/>
          <w:bCs/>
          <w:color w:val="auto"/>
          <w:sz w:val="24"/>
          <w:szCs w:val="24"/>
          <w:highlight w:val="none"/>
        </w:rPr>
        <w:t>格形式</w:t>
      </w:r>
      <w:bookmarkEnd w:id="964"/>
      <w:bookmarkEnd w:id="965"/>
      <w:bookmarkEnd w:id="966"/>
      <w:bookmarkEnd w:id="967"/>
      <w:bookmarkEnd w:id="968"/>
      <w:bookmarkEnd w:id="969"/>
    </w:p>
    <w:bookmarkEnd w:id="970"/>
    <w:bookmarkEnd w:id="971"/>
    <w:bookmarkEnd w:id="972"/>
    <w:bookmarkEnd w:id="973"/>
    <w:bookmarkEnd w:id="974"/>
    <w:bookmarkEnd w:id="975"/>
    <w:p w14:paraId="13DC4769">
      <w:pPr>
        <w:numPr>
          <w:ilvl w:val="0"/>
          <w:numId w:val="5"/>
        </w:numPr>
        <w:spacing w:line="440" w:lineRule="exact"/>
        <w:ind w:firstLine="480" w:firstLineChars="200"/>
        <w:rPr>
          <w:rFonts w:ascii="宋体" w:hAnsi="宋体" w:cs="宋体"/>
          <w:color w:val="auto"/>
          <w:sz w:val="24"/>
          <w:szCs w:val="24"/>
          <w:highlight w:val="none"/>
        </w:rPr>
      </w:pPr>
      <w:bookmarkStart w:id="976" w:name="_Toc373478397"/>
      <w:bookmarkStart w:id="977" w:name="_Toc373227750"/>
      <w:bookmarkStart w:id="978" w:name="_Toc389065315"/>
      <w:bookmarkStart w:id="979" w:name="_Toc303539161"/>
      <w:bookmarkStart w:id="980" w:name="_Toc297123554"/>
      <w:bookmarkStart w:id="981" w:name="_Toc304295581"/>
      <w:bookmarkStart w:id="982" w:name="_Toc312678042"/>
      <w:bookmarkStart w:id="983" w:name="_Toc297216213"/>
      <w:bookmarkStart w:id="984" w:name="_Toc300935004"/>
      <w:bookmarkStart w:id="985" w:name="_Toc296944546"/>
      <w:bookmarkStart w:id="986" w:name="_Toc296891247"/>
      <w:bookmarkStart w:id="987" w:name="_Toc292559412"/>
      <w:bookmarkStart w:id="988" w:name="_Toc292559917"/>
      <w:bookmarkStart w:id="989" w:name="_Toc296891035"/>
      <w:bookmarkStart w:id="990" w:name="_Toc296347206"/>
      <w:bookmarkStart w:id="991" w:name="_Toc296503207"/>
      <w:bookmarkStart w:id="992" w:name="_Toc297048393"/>
      <w:bookmarkStart w:id="993" w:name="_Toc297120507"/>
      <w:bookmarkStart w:id="994" w:name="_Toc296346708"/>
      <w:r>
        <w:rPr>
          <w:rFonts w:hint="eastAsia" w:ascii="宋体" w:hAnsi="宋体" w:cs="宋体"/>
          <w:color w:val="auto"/>
          <w:sz w:val="24"/>
          <w:szCs w:val="24"/>
          <w:highlight w:val="none"/>
        </w:rPr>
        <w:t>本工程采用</w:t>
      </w:r>
      <w:r>
        <w:rPr>
          <w:rFonts w:hint="eastAsia" w:ascii="宋体" w:hAnsi="宋体" w:cs="宋体"/>
          <w:color w:val="auto"/>
          <w:sz w:val="24"/>
          <w:szCs w:val="24"/>
          <w:highlight w:val="none"/>
          <w:u w:val="single"/>
        </w:rPr>
        <w:t xml:space="preserve"> 包工包料，</w:t>
      </w:r>
      <w:r>
        <w:rPr>
          <w:rFonts w:hint="eastAsia" w:ascii="宋体" w:hAnsi="宋体" w:cs="宋体"/>
          <w:color w:val="auto"/>
          <w:sz w:val="24"/>
          <w:szCs w:val="24"/>
          <w:highlight w:val="none"/>
          <w:u w:val="single"/>
          <w:lang w:eastAsia="zh-CN"/>
        </w:rPr>
        <w:t>单价固定</w:t>
      </w:r>
      <w:r>
        <w:rPr>
          <w:rFonts w:hint="eastAsia" w:ascii="宋体" w:hAnsi="宋体" w:cs="宋体"/>
          <w:color w:val="auto"/>
          <w:sz w:val="24"/>
          <w:szCs w:val="24"/>
          <w:highlight w:val="none"/>
          <w:u w:val="single"/>
        </w:rPr>
        <w:t>。</w:t>
      </w:r>
    </w:p>
    <w:p w14:paraId="1DD03D2F">
      <w:pPr>
        <w:keepNext/>
        <w:keepLines/>
        <w:spacing w:before="120" w:after="120" w:line="440" w:lineRule="exact"/>
        <w:outlineLvl w:val="2"/>
        <w:rPr>
          <w:rFonts w:ascii="宋体" w:hAnsi="宋体" w:cs="宋体"/>
          <w:b/>
          <w:bCs/>
          <w:color w:val="auto"/>
          <w:sz w:val="24"/>
          <w:szCs w:val="24"/>
          <w:highlight w:val="none"/>
        </w:rPr>
      </w:pPr>
      <w:bookmarkStart w:id="995" w:name="_Toc407135253"/>
      <w:bookmarkStart w:id="996" w:name="_Toc487632750"/>
      <w:bookmarkStart w:id="997" w:name="_Toc51599607"/>
      <w:r>
        <w:rPr>
          <w:rFonts w:hint="eastAsia" w:ascii="宋体" w:hAnsi="宋体" w:cs="宋体"/>
          <w:b/>
          <w:bCs/>
          <w:color w:val="auto"/>
          <w:sz w:val="24"/>
          <w:szCs w:val="24"/>
          <w:highlight w:val="none"/>
        </w:rPr>
        <w:t>12.2 预付款</w:t>
      </w:r>
      <w:bookmarkEnd w:id="976"/>
      <w:bookmarkEnd w:id="977"/>
      <w:bookmarkEnd w:id="978"/>
      <w:bookmarkEnd w:id="995"/>
      <w:bookmarkEnd w:id="996"/>
      <w:bookmarkEnd w:id="997"/>
    </w:p>
    <w:bookmarkEnd w:id="979"/>
    <w:bookmarkEnd w:id="980"/>
    <w:bookmarkEnd w:id="981"/>
    <w:bookmarkEnd w:id="982"/>
    <w:bookmarkEnd w:id="983"/>
    <w:bookmarkEnd w:id="984"/>
    <w:p w14:paraId="3D4FD3A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12.2.1 预付款的支付</w:t>
      </w:r>
    </w:p>
    <w:p w14:paraId="03A4F9CE">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预付款支付比例或金额：</w:t>
      </w:r>
      <w:r>
        <w:rPr>
          <w:rFonts w:hint="eastAsia" w:ascii="宋体" w:hAnsi="宋体" w:cs="宋体"/>
          <w:color w:val="auto"/>
          <w:sz w:val="24"/>
          <w:szCs w:val="24"/>
          <w:highlight w:val="none"/>
          <w:u w:val="single"/>
        </w:rPr>
        <w:t xml:space="preserve">  本项目无预付款 </w:t>
      </w:r>
      <w:r>
        <w:rPr>
          <w:rFonts w:hint="eastAsia" w:ascii="宋体" w:hAnsi="宋体" w:cs="宋体"/>
          <w:color w:val="auto"/>
          <w:sz w:val="24"/>
          <w:szCs w:val="24"/>
          <w:highlight w:val="none"/>
        </w:rPr>
        <w:t>。</w:t>
      </w:r>
    </w:p>
    <w:p w14:paraId="23FB5D4F">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预付款支付期限：</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1237836E">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预付款扣回的方式：</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65E79E10">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12.2.2 预付款担保</w:t>
      </w:r>
    </w:p>
    <w:p w14:paraId="5AE9223A">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承包人提交预付款担保的期限：</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48D9BAE0">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预付款担保的形式为：</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766DA3D4">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预付款担保格式见合同附件7。</w:t>
      </w:r>
    </w:p>
    <w:bookmarkEnd w:id="985"/>
    <w:bookmarkEnd w:id="986"/>
    <w:bookmarkEnd w:id="987"/>
    <w:bookmarkEnd w:id="988"/>
    <w:bookmarkEnd w:id="989"/>
    <w:bookmarkEnd w:id="990"/>
    <w:bookmarkEnd w:id="991"/>
    <w:bookmarkEnd w:id="992"/>
    <w:bookmarkEnd w:id="993"/>
    <w:bookmarkEnd w:id="994"/>
    <w:p w14:paraId="51885AF0">
      <w:pPr>
        <w:keepNext/>
        <w:keepLines/>
        <w:spacing w:before="120" w:after="120" w:line="440" w:lineRule="exact"/>
        <w:outlineLvl w:val="2"/>
        <w:rPr>
          <w:rFonts w:ascii="宋体" w:hAnsi="宋体" w:cs="宋体"/>
          <w:b/>
          <w:bCs/>
          <w:color w:val="auto"/>
          <w:sz w:val="24"/>
          <w:szCs w:val="24"/>
          <w:highlight w:val="none"/>
        </w:rPr>
      </w:pPr>
      <w:bookmarkStart w:id="998" w:name="_Toc487632751"/>
      <w:bookmarkStart w:id="999" w:name="_Toc373478398"/>
      <w:bookmarkStart w:id="1000" w:name="_Toc51599608"/>
      <w:bookmarkStart w:id="1001" w:name="_Toc407135254"/>
      <w:bookmarkStart w:id="1002" w:name="_Toc389065316"/>
      <w:bookmarkStart w:id="1003" w:name="_Toc373227751"/>
      <w:r>
        <w:rPr>
          <w:rFonts w:hint="eastAsia" w:ascii="宋体" w:hAnsi="宋体" w:cs="宋体"/>
          <w:b/>
          <w:bCs/>
          <w:color w:val="auto"/>
          <w:sz w:val="24"/>
          <w:szCs w:val="24"/>
          <w:highlight w:val="none"/>
        </w:rPr>
        <w:t>12.3 计量</w:t>
      </w:r>
      <w:bookmarkEnd w:id="998"/>
      <w:bookmarkEnd w:id="999"/>
      <w:bookmarkEnd w:id="1000"/>
      <w:bookmarkEnd w:id="1001"/>
      <w:bookmarkEnd w:id="1002"/>
      <w:bookmarkEnd w:id="1003"/>
    </w:p>
    <w:p w14:paraId="37DBE037">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12.3.1 计量原则</w:t>
      </w:r>
    </w:p>
    <w:p w14:paraId="5CDB7E97">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工程量计算规则：</w:t>
      </w:r>
      <w:r>
        <w:rPr>
          <w:rFonts w:hint="eastAsia" w:ascii="宋体" w:hAnsi="宋体" w:cs="宋体"/>
          <w:color w:val="auto"/>
          <w:sz w:val="24"/>
          <w:szCs w:val="24"/>
          <w:highlight w:val="none"/>
          <w:u w:val="single"/>
        </w:rPr>
        <w:t>工程的计量均以《建设工程工程量清单计价规范》（GB50500－2013）和及其广西壮族自治区实施细则、《建设工程工程量清单计算规范》（GB50854~50862－2013）及其广西实施细则、本工程补充项目清单为准。</w:t>
      </w:r>
    </w:p>
    <w:p w14:paraId="5D84B989">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12.3.2 计量周期</w:t>
      </w:r>
    </w:p>
    <w:p w14:paraId="30A049D0">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关于计量周期的约定：</w:t>
      </w:r>
      <w:r>
        <w:rPr>
          <w:rFonts w:hint="eastAsia" w:ascii="宋体" w:hAnsi="宋体" w:cs="宋体"/>
          <w:color w:val="auto"/>
          <w:sz w:val="24"/>
          <w:szCs w:val="24"/>
          <w:highlight w:val="none"/>
          <w:u w:val="single"/>
        </w:rPr>
        <w:t>每月25日前</w:t>
      </w:r>
      <w:r>
        <w:rPr>
          <w:rFonts w:hint="eastAsia" w:ascii="宋体" w:hAnsi="宋体" w:cs="宋体"/>
          <w:color w:val="auto"/>
          <w:sz w:val="24"/>
          <w:szCs w:val="24"/>
          <w:highlight w:val="none"/>
        </w:rPr>
        <w:t>。</w:t>
      </w:r>
    </w:p>
    <w:p w14:paraId="46A574C4">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12.3.3 单价合同的计量</w:t>
      </w:r>
    </w:p>
    <w:p w14:paraId="642689C2">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关于单价合同计量的约定：</w:t>
      </w:r>
    </w:p>
    <w:p w14:paraId="33D8E93E">
      <w:pPr>
        <w:spacing w:line="440" w:lineRule="exact"/>
        <w:ind w:firstLine="504" w:firstLineChars="210"/>
        <w:rPr>
          <w:rFonts w:ascii="宋体" w:hAnsi="宋体" w:cs="宋体"/>
          <w:color w:val="auto"/>
          <w:sz w:val="24"/>
          <w:szCs w:val="24"/>
          <w:highlight w:val="none"/>
        </w:rPr>
      </w:pPr>
      <w:r>
        <w:rPr>
          <w:rFonts w:hint="eastAsia" w:ascii="宋体" w:hAnsi="宋体" w:cs="宋体"/>
          <w:color w:val="auto"/>
          <w:sz w:val="24"/>
          <w:szCs w:val="24"/>
          <w:highlight w:val="none"/>
        </w:rPr>
        <w:t>(1) 工程量清单所列的工程量，不能作为承包人按合同履行其责任依据，实际施工中发生的工程量增加或减少并不影响承包人履行合同的责任，工程结算以完成的实际工程量为准。</w:t>
      </w:r>
    </w:p>
    <w:p w14:paraId="6513F16C">
      <w:pPr>
        <w:spacing w:line="440" w:lineRule="exact"/>
        <w:ind w:firstLine="504" w:firstLineChars="210"/>
        <w:rPr>
          <w:rFonts w:ascii="宋体" w:hAnsi="宋体" w:cs="宋体"/>
          <w:color w:val="auto"/>
          <w:sz w:val="24"/>
          <w:szCs w:val="24"/>
          <w:highlight w:val="none"/>
        </w:rPr>
      </w:pPr>
      <w:r>
        <w:rPr>
          <w:rFonts w:hint="eastAsia" w:ascii="宋体" w:hAnsi="宋体" w:cs="宋体"/>
          <w:color w:val="auto"/>
          <w:sz w:val="24"/>
          <w:szCs w:val="24"/>
          <w:highlight w:val="none"/>
        </w:rPr>
        <w:t>(2) 除另有规定外，工程师应按照合同通过计量来核实确定已完成的工程量和价款，承包人应得到该价款扣除保留金后的金额。当工程师要对已完工的工程量进行计量时，应适时地通知承包人参加。</w:t>
      </w:r>
    </w:p>
    <w:p w14:paraId="43B20E06">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12.3.4 总价合同的计量</w:t>
      </w:r>
    </w:p>
    <w:p w14:paraId="572B09BF">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关于总价合同计量的约定：除工程变更外，原图纸范围内的工程量不得按实计量。进度款按支付分解表支付，按通用条款第</w:t>
      </w:r>
      <w:r>
        <w:rPr>
          <w:rFonts w:hint="eastAsia" w:ascii="宋体" w:hAnsi="宋体" w:cs="宋体"/>
          <w:color w:val="auto"/>
          <w:kern w:val="0"/>
          <w:sz w:val="24"/>
          <w:szCs w:val="24"/>
          <w:highlight w:val="none"/>
        </w:rPr>
        <w:t>12.3.4</w:t>
      </w:r>
      <w:r>
        <w:rPr>
          <w:rFonts w:hint="eastAsia" w:ascii="宋体" w:hAnsi="宋体" w:cs="宋体"/>
          <w:color w:val="auto"/>
          <w:sz w:val="24"/>
          <w:szCs w:val="24"/>
          <w:highlight w:val="none"/>
        </w:rPr>
        <w:t>项</w:t>
      </w:r>
      <w:r>
        <w:rPr>
          <w:rFonts w:hint="eastAsia" w:ascii="宋体" w:hAnsi="宋体" w:cs="宋体"/>
          <w:color w:val="auto"/>
          <w:kern w:val="0"/>
          <w:sz w:val="24"/>
          <w:szCs w:val="24"/>
          <w:highlight w:val="none"/>
        </w:rPr>
        <w:t>〔总价合同的计量〕</w:t>
      </w:r>
      <w:r>
        <w:rPr>
          <w:rFonts w:hint="eastAsia" w:ascii="宋体" w:hAnsi="宋体" w:cs="宋体"/>
          <w:color w:val="auto"/>
          <w:sz w:val="24"/>
          <w:szCs w:val="24"/>
          <w:highlight w:val="none"/>
        </w:rPr>
        <w:t>约定进行计量，但</w:t>
      </w:r>
      <w:r>
        <w:rPr>
          <w:rFonts w:hint="eastAsia" w:ascii="宋体" w:hAnsi="宋体" w:cs="宋体"/>
          <w:color w:val="auto"/>
          <w:kern w:val="0"/>
          <w:sz w:val="24"/>
          <w:szCs w:val="24"/>
          <w:highlight w:val="none"/>
        </w:rPr>
        <w:t>合同价款按照支付分解表进行支付。</w:t>
      </w:r>
    </w:p>
    <w:p w14:paraId="3D9962C6">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12.3.6 其他价格形式合同的计量</w:t>
      </w:r>
    </w:p>
    <w:p w14:paraId="5FD2E130">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其他价格形式的计量方式和程序：</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5732E4FA">
      <w:pPr>
        <w:keepNext/>
        <w:keepLines/>
        <w:spacing w:before="120" w:after="120" w:line="440" w:lineRule="exact"/>
        <w:outlineLvl w:val="2"/>
        <w:rPr>
          <w:rFonts w:ascii="宋体" w:hAnsi="宋体" w:cs="宋体"/>
          <w:b/>
          <w:bCs/>
          <w:color w:val="auto"/>
          <w:sz w:val="24"/>
          <w:szCs w:val="24"/>
          <w:highlight w:val="none"/>
        </w:rPr>
      </w:pPr>
      <w:bookmarkStart w:id="1004" w:name="_Toc389065317"/>
      <w:bookmarkStart w:id="1005" w:name="_Toc51599609"/>
      <w:bookmarkStart w:id="1006" w:name="_Toc487632752"/>
      <w:bookmarkStart w:id="1007" w:name="_Toc373478399"/>
      <w:bookmarkStart w:id="1008" w:name="_Toc373227752"/>
      <w:bookmarkStart w:id="1009" w:name="_Toc407135255"/>
      <w:r>
        <w:rPr>
          <w:rFonts w:hint="eastAsia" w:ascii="宋体" w:hAnsi="宋体" w:cs="宋体"/>
          <w:b/>
          <w:bCs/>
          <w:color w:val="auto"/>
          <w:sz w:val="24"/>
          <w:szCs w:val="24"/>
          <w:highlight w:val="none"/>
        </w:rPr>
        <w:t>12.4 工程进度款支付</w:t>
      </w:r>
      <w:bookmarkEnd w:id="1004"/>
      <w:bookmarkEnd w:id="1005"/>
      <w:bookmarkEnd w:id="1006"/>
      <w:bookmarkEnd w:id="1007"/>
      <w:bookmarkEnd w:id="1008"/>
      <w:bookmarkEnd w:id="1009"/>
    </w:p>
    <w:p w14:paraId="30EC5C9C">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both"/>
        <w:textAlignment w:val="auto"/>
        <w:rPr>
          <w:rFonts w:ascii="宋体" w:hAnsi="宋体" w:cs="宋体"/>
          <w:color w:val="auto"/>
          <w:sz w:val="24"/>
          <w:szCs w:val="24"/>
          <w:highlight w:val="none"/>
        </w:rPr>
      </w:pPr>
      <w:bookmarkStart w:id="1010" w:name="_Toc296891039"/>
      <w:bookmarkStart w:id="1011" w:name="_Toc296346712"/>
      <w:bookmarkStart w:id="1012" w:name="_Toc296503211"/>
      <w:bookmarkStart w:id="1013" w:name="_Toc300935006"/>
      <w:bookmarkStart w:id="1014" w:name="_Toc297120511"/>
      <w:bookmarkStart w:id="1015" w:name="_Toc292559921"/>
      <w:bookmarkStart w:id="1016" w:name="_Toc296944550"/>
      <w:bookmarkStart w:id="1017" w:name="_Toc297123556"/>
      <w:bookmarkStart w:id="1018" w:name="_Toc297216215"/>
      <w:bookmarkStart w:id="1019" w:name="_Toc296891251"/>
      <w:bookmarkStart w:id="1020" w:name="_Toc297048397"/>
      <w:bookmarkStart w:id="1021" w:name="_Toc303539163"/>
      <w:bookmarkStart w:id="1022" w:name="_Toc296347210"/>
      <w:bookmarkStart w:id="1023" w:name="_Toc292559416"/>
      <w:r>
        <w:rPr>
          <w:rFonts w:hint="eastAsia" w:ascii="宋体" w:hAnsi="宋体" w:cs="宋体"/>
          <w:color w:val="auto"/>
          <w:sz w:val="24"/>
          <w:szCs w:val="24"/>
          <w:highlight w:val="none"/>
        </w:rPr>
        <w:t>12.4.1 付款周期</w:t>
      </w:r>
    </w:p>
    <w:bookmarkEnd w:id="800"/>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p w14:paraId="51DC63B3">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both"/>
        <w:textAlignment w:val="auto"/>
        <w:rPr>
          <w:rFonts w:hint="default" w:ascii="宋体" w:hAnsi="宋体" w:cs="宋体" w:eastAsiaTheme="minorEastAsia"/>
          <w:color w:val="auto"/>
          <w:sz w:val="24"/>
          <w:szCs w:val="24"/>
          <w:highlight w:val="none"/>
          <w:u w:val="single"/>
          <w:lang w:val="en-US" w:eastAsia="zh-CN"/>
        </w:rPr>
      </w:pPr>
      <w:r>
        <w:rPr>
          <w:rFonts w:hint="default" w:ascii="宋体" w:hAnsi="宋体" w:cs="宋体" w:eastAsiaTheme="minorEastAsia"/>
          <w:color w:val="auto"/>
          <w:sz w:val="24"/>
          <w:szCs w:val="24"/>
          <w:highlight w:val="none"/>
          <w:u w:val="single"/>
          <w:lang w:val="en-US" w:eastAsia="zh-CN"/>
        </w:rPr>
        <w:t>进度款按月支付，付款金额为当月确认实际完成工程量款项的80%；完成总工程量后支付至合同价的80%；结算报告完成后，工程款支付至结算价的97%，余下的3%作为工程质量保证金，待工程质量保修期满后无息退还。</w:t>
      </w:r>
    </w:p>
    <w:p w14:paraId="3F7F0765">
      <w:pPr>
        <w:pStyle w:val="2"/>
        <w:keepNext w:val="0"/>
        <w:keepLines w:val="0"/>
        <w:pageBreakBefore w:val="0"/>
        <w:widowControl/>
        <w:kinsoku/>
        <w:wordWrap/>
        <w:overflowPunct/>
        <w:topLinePunct w:val="0"/>
        <w:autoSpaceDE/>
        <w:autoSpaceDN/>
        <w:bidi w:val="0"/>
        <w:adjustRightInd/>
        <w:snapToGrid/>
        <w:spacing w:line="360" w:lineRule="auto"/>
        <w:ind w:left="0" w:leftChars="0" w:firstLine="482" w:firstLineChars="200"/>
        <w:jc w:val="both"/>
        <w:textAlignment w:val="auto"/>
        <w:rPr>
          <w:rFonts w:hint="default"/>
          <w:b/>
          <w:bCs/>
          <w:color w:val="auto"/>
          <w:highlight w:val="none"/>
          <w:u w:val="none"/>
          <w:lang w:val="en-US" w:eastAsia="zh-CN"/>
        </w:rPr>
      </w:pPr>
      <w:r>
        <w:rPr>
          <w:rFonts w:hint="eastAsia" w:ascii="宋体" w:hAnsi="宋体" w:cs="宋体"/>
          <w:b/>
          <w:bCs/>
          <w:color w:val="auto"/>
          <w:sz w:val="24"/>
          <w:szCs w:val="24"/>
          <w:highlight w:val="none"/>
          <w:u w:val="none"/>
          <w:lang w:val="en-US" w:eastAsia="zh-CN"/>
        </w:rPr>
        <w:t>特别要求：</w:t>
      </w:r>
      <w:r>
        <w:rPr>
          <w:rFonts w:hint="eastAsia" w:ascii="宋体" w:hAnsi="宋体" w:cs="宋体"/>
          <w:b/>
          <w:bCs/>
          <w:color w:val="auto"/>
          <w:sz w:val="24"/>
          <w:szCs w:val="24"/>
          <w:highlight w:val="none"/>
          <w:u w:val="single"/>
          <w:lang w:val="en-US" w:eastAsia="zh-CN"/>
        </w:rPr>
        <w:t>中标方开展旧建筑物拆除工作，产生的旧建筑物报废残值由甲方委托第三方资质机构评估出具，中标方需将评估金额缴纳至甲方指定账户。</w:t>
      </w:r>
    </w:p>
    <w:p w14:paraId="52782258">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both"/>
        <w:textAlignment w:val="auto"/>
        <w:rPr>
          <w:rFonts w:ascii="宋体" w:hAnsi="宋体" w:cs="宋体"/>
          <w:color w:val="auto"/>
          <w:sz w:val="24"/>
          <w:szCs w:val="24"/>
          <w:highlight w:val="none"/>
        </w:rPr>
      </w:pPr>
      <w:r>
        <w:rPr>
          <w:rFonts w:hint="eastAsia" w:ascii="宋体" w:hAnsi="宋体" w:cs="宋体"/>
          <w:color w:val="auto"/>
          <w:sz w:val="24"/>
          <w:szCs w:val="24"/>
          <w:highlight w:val="none"/>
        </w:rPr>
        <w:t>12.4.2 进度付款申请单的编制</w:t>
      </w:r>
    </w:p>
    <w:p w14:paraId="182846E1">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both"/>
        <w:textAlignment w:val="auto"/>
        <w:rPr>
          <w:rFonts w:ascii="宋体" w:hAnsi="宋体" w:cs="宋体"/>
          <w:color w:val="auto"/>
          <w:sz w:val="24"/>
          <w:szCs w:val="24"/>
          <w:highlight w:val="none"/>
          <w:u w:val="single"/>
        </w:rPr>
      </w:pPr>
      <w:r>
        <w:rPr>
          <w:rFonts w:hint="eastAsia" w:ascii="宋体" w:hAnsi="宋体" w:cs="宋体"/>
          <w:color w:val="auto"/>
          <w:sz w:val="24"/>
          <w:szCs w:val="24"/>
          <w:highlight w:val="none"/>
        </w:rPr>
        <w:t>关于进度付款申请单编制的约定：</w:t>
      </w:r>
      <w:r>
        <w:rPr>
          <w:rFonts w:hint="eastAsia" w:ascii="宋体" w:hAnsi="宋体" w:cs="宋体"/>
          <w:color w:val="auto"/>
          <w:sz w:val="24"/>
          <w:szCs w:val="24"/>
          <w:highlight w:val="none"/>
          <w:u w:val="single"/>
        </w:rPr>
        <w:t xml:space="preserve">    按通用条款执行        </w:t>
      </w:r>
      <w:r>
        <w:rPr>
          <w:rFonts w:hint="eastAsia" w:ascii="宋体" w:hAnsi="宋体" w:cs="宋体"/>
          <w:color w:val="auto"/>
          <w:sz w:val="24"/>
          <w:szCs w:val="24"/>
          <w:highlight w:val="none"/>
        </w:rPr>
        <w:t>。</w:t>
      </w:r>
    </w:p>
    <w:p w14:paraId="37EFB319">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12.4.3 进度付款申请单的提交</w:t>
      </w:r>
    </w:p>
    <w:p w14:paraId="75ECCCF5">
      <w:pPr>
        <w:spacing w:line="440" w:lineRule="exact"/>
        <w:ind w:firstLine="480" w:firstLineChars="200"/>
        <w:rPr>
          <w:rFonts w:ascii="宋体" w:hAnsi="宋体" w:cs="宋体"/>
          <w:b/>
          <w:bCs/>
          <w:color w:val="auto"/>
          <w:sz w:val="24"/>
          <w:szCs w:val="24"/>
          <w:highlight w:val="none"/>
          <w:u w:val="single"/>
        </w:rPr>
      </w:pPr>
      <w:r>
        <w:rPr>
          <w:rFonts w:hint="eastAsia" w:ascii="宋体" w:hAnsi="宋体" w:cs="宋体"/>
          <w:color w:val="auto"/>
          <w:sz w:val="24"/>
          <w:szCs w:val="24"/>
          <w:highlight w:val="none"/>
        </w:rPr>
        <w:t>（1）单价合同进度付款申请单提交的约定：</w:t>
      </w:r>
      <w:r>
        <w:rPr>
          <w:rFonts w:hint="eastAsia" w:ascii="宋体" w:hAnsi="宋体" w:cs="宋体"/>
          <w:color w:val="auto"/>
          <w:sz w:val="24"/>
          <w:szCs w:val="24"/>
          <w:highlight w:val="none"/>
          <w:u w:val="single"/>
        </w:rPr>
        <w:t xml:space="preserve">按通用条款执行  </w:t>
      </w:r>
      <w:r>
        <w:rPr>
          <w:rFonts w:hint="eastAsia" w:ascii="宋体" w:hAnsi="宋体" w:cs="宋体"/>
          <w:color w:val="auto"/>
          <w:sz w:val="24"/>
          <w:szCs w:val="24"/>
          <w:highlight w:val="none"/>
        </w:rPr>
        <w:t>。</w:t>
      </w:r>
    </w:p>
    <w:p w14:paraId="27CA9A8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（2）总价合同进度付款申请单提交的约定：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2881AC07">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（3）其他价格形式合同进度付款申请单提交的约定：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6246A597">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12.4.4 进度款审核和支付</w:t>
      </w:r>
    </w:p>
    <w:p w14:paraId="4DE0F09A">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（1）监理人审查并报送发包人的期限：</w:t>
      </w:r>
      <w:r>
        <w:rPr>
          <w:rFonts w:hint="eastAsia" w:ascii="宋体" w:hAnsi="宋体" w:cs="宋体"/>
          <w:color w:val="auto"/>
          <w:sz w:val="24"/>
          <w:szCs w:val="24"/>
          <w:highlight w:val="none"/>
          <w:u w:val="single"/>
        </w:rPr>
        <w:t xml:space="preserve">  收到申请单后7天内</w:t>
      </w:r>
      <w:r>
        <w:rPr>
          <w:rFonts w:hint="eastAsia" w:ascii="宋体" w:hAnsi="宋体" w:cs="宋体"/>
          <w:color w:val="auto"/>
          <w:sz w:val="24"/>
          <w:szCs w:val="24"/>
          <w:highlight w:val="none"/>
        </w:rPr>
        <w:t>。</w:t>
      </w:r>
    </w:p>
    <w:p w14:paraId="103532BF">
      <w:pPr>
        <w:spacing w:line="440" w:lineRule="exact"/>
        <w:ind w:firstLine="480" w:firstLineChars="200"/>
        <w:rPr>
          <w:rFonts w:ascii="宋体" w:cs="宋体"/>
          <w:color w:val="auto"/>
          <w:highlight w:val="none"/>
          <w:u w:val="single"/>
        </w:rPr>
      </w:pPr>
      <w:r>
        <w:rPr>
          <w:rFonts w:hint="eastAsia" w:ascii="宋体" w:hAnsi="宋体" w:cs="宋体"/>
          <w:color w:val="auto"/>
          <w:sz w:val="24"/>
          <w:szCs w:val="24"/>
          <w:highlight w:val="none"/>
        </w:rPr>
        <w:t>发包人完成审批并签发进度款申请证书的期限：收到监理人的审核单后10天内审批完毕呈政府职能部门审定。收到政府部门的审定意见书后10天内签发进度款申请证书</w:t>
      </w:r>
      <w:r>
        <w:rPr>
          <w:rFonts w:hint="eastAsia" w:ascii="宋体" w:hAnsi="宋体" w:cs="宋体"/>
          <w:color w:val="auto"/>
          <w:highlight w:val="none"/>
        </w:rPr>
        <w:t>。</w:t>
      </w:r>
    </w:p>
    <w:p w14:paraId="08E31254">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（2）发包人支付进度款的期限：</w:t>
      </w:r>
      <w:r>
        <w:rPr>
          <w:rFonts w:hint="eastAsia" w:ascii="宋体" w:hAnsi="宋体" w:cs="宋体"/>
          <w:color w:val="auto"/>
          <w:sz w:val="24"/>
          <w:szCs w:val="24"/>
          <w:highlight w:val="none"/>
          <w:u w:val="single"/>
        </w:rPr>
        <w:t xml:space="preserve">承包人提交发票后7天内   </w:t>
      </w:r>
      <w:r>
        <w:rPr>
          <w:rFonts w:hint="eastAsia" w:ascii="宋体" w:hAnsi="宋体" w:cs="宋体"/>
          <w:color w:val="auto"/>
          <w:sz w:val="24"/>
          <w:szCs w:val="24"/>
          <w:highlight w:val="none"/>
        </w:rPr>
        <w:t>。</w:t>
      </w:r>
    </w:p>
    <w:p w14:paraId="64BA4E97">
      <w:pPr>
        <w:spacing w:line="440" w:lineRule="exact"/>
        <w:ind w:firstLine="600" w:firstLineChars="250"/>
        <w:rPr>
          <w:rFonts w:ascii="宋体" w:hAnsi="宋体" w:cs="宋体"/>
          <w:color w:val="auto"/>
          <w:sz w:val="24"/>
          <w:szCs w:val="24"/>
          <w:highlight w:val="none"/>
        </w:rPr>
      </w:pPr>
      <w:r>
        <w:rPr>
          <w:rFonts w:hint="eastAsia" w:ascii="宋体" w:hAnsi="宋体" w:cs="宋体"/>
          <w:color w:val="auto"/>
          <w:sz w:val="24"/>
          <w:szCs w:val="24"/>
          <w:highlight w:val="none"/>
        </w:rPr>
        <w:t>发包人逾期支付进度款的违约金的计算方式：</w:t>
      </w:r>
      <w:r>
        <w:rPr>
          <w:rFonts w:hint="eastAsia" w:ascii="宋体" w:hAnsi="宋体" w:cs="宋体"/>
          <w:color w:val="auto"/>
          <w:sz w:val="24"/>
          <w:szCs w:val="24"/>
          <w:highlight w:val="none"/>
          <w:u w:val="single"/>
        </w:rPr>
        <w:t xml:space="preserve">   无    </w:t>
      </w:r>
      <w:r>
        <w:rPr>
          <w:rFonts w:hint="eastAsia" w:ascii="宋体" w:hAnsi="宋体" w:cs="宋体"/>
          <w:color w:val="auto"/>
          <w:sz w:val="24"/>
          <w:szCs w:val="24"/>
          <w:highlight w:val="none"/>
        </w:rPr>
        <w:t>。</w:t>
      </w:r>
    </w:p>
    <w:p w14:paraId="3BFC89BE">
      <w:pPr>
        <w:spacing w:line="440" w:lineRule="exact"/>
        <w:ind w:firstLine="600" w:firstLineChars="250"/>
        <w:rPr>
          <w:rFonts w:ascii="宋体" w:hAnsi="宋体" w:cs="宋体"/>
          <w:color w:val="auto"/>
          <w:sz w:val="24"/>
          <w:szCs w:val="24"/>
          <w:highlight w:val="none"/>
        </w:rPr>
      </w:pPr>
      <w:r>
        <w:rPr>
          <w:rFonts w:hint="eastAsia" w:ascii="宋体" w:hAnsi="宋体" w:cs="宋体"/>
          <w:color w:val="auto"/>
          <w:sz w:val="24"/>
          <w:szCs w:val="24"/>
          <w:highlight w:val="none"/>
        </w:rPr>
        <w:t>进度款支付方式：</w:t>
      </w:r>
      <w:r>
        <w:rPr>
          <w:rFonts w:hint="eastAsia" w:ascii="宋体" w:hAnsi="宋体" w:cs="宋体"/>
          <w:color w:val="auto"/>
          <w:sz w:val="24"/>
          <w:szCs w:val="24"/>
          <w:highlight w:val="none"/>
          <w:u w:val="single"/>
        </w:rPr>
        <w:t>银行转账</w:t>
      </w:r>
      <w:r>
        <w:rPr>
          <w:rFonts w:hint="eastAsia" w:ascii="宋体" w:hAnsi="宋体" w:cs="宋体"/>
          <w:color w:val="auto"/>
          <w:sz w:val="24"/>
          <w:szCs w:val="24"/>
          <w:highlight w:val="none"/>
        </w:rPr>
        <w:t>。</w:t>
      </w:r>
    </w:p>
    <w:p w14:paraId="7469898E">
      <w:pPr>
        <w:spacing w:line="440" w:lineRule="exact"/>
        <w:ind w:firstLine="600" w:firstLineChars="250"/>
        <w:rPr>
          <w:rFonts w:ascii="宋体" w:hAnsi="宋体" w:cs="宋体"/>
          <w:color w:val="auto"/>
          <w:sz w:val="24"/>
          <w:szCs w:val="24"/>
          <w:highlight w:val="none"/>
        </w:rPr>
      </w:pPr>
      <w:r>
        <w:rPr>
          <w:rFonts w:hint="eastAsia" w:ascii="宋体" w:hAnsi="宋体" w:cs="宋体"/>
          <w:color w:val="auto"/>
          <w:sz w:val="24"/>
          <w:szCs w:val="24"/>
          <w:highlight w:val="none"/>
        </w:rPr>
        <w:t>12.4.6 支付分解表的编制</w:t>
      </w:r>
    </w:p>
    <w:p w14:paraId="632D46B1">
      <w:pPr>
        <w:spacing w:line="440" w:lineRule="exact"/>
        <w:ind w:firstLine="600" w:firstLineChars="250"/>
        <w:rPr>
          <w:rFonts w:ascii="宋体" w:hAnsi="宋体" w:cs="宋体"/>
          <w:color w:val="auto"/>
          <w:sz w:val="24"/>
          <w:szCs w:val="24"/>
          <w:highlight w:val="none"/>
          <w:u w:val="single"/>
        </w:rPr>
      </w:pPr>
      <w:r>
        <w:rPr>
          <w:rFonts w:hint="eastAsia" w:ascii="宋体" w:hAnsi="宋体" w:cs="宋体"/>
          <w:color w:val="auto"/>
          <w:sz w:val="24"/>
          <w:szCs w:val="24"/>
          <w:highlight w:val="none"/>
        </w:rPr>
        <w:t>2. 总价合同支付分解表的编制与审批：</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61304E37">
      <w:pPr>
        <w:spacing w:line="440" w:lineRule="exact"/>
        <w:ind w:firstLine="600" w:firstLineChars="250"/>
        <w:rPr>
          <w:rFonts w:ascii="宋体" w:hAnsi="宋体" w:cs="宋体"/>
          <w:color w:val="auto"/>
          <w:sz w:val="24"/>
          <w:szCs w:val="24"/>
          <w:highlight w:val="none"/>
          <w:u w:val="single"/>
        </w:rPr>
      </w:pPr>
      <w:r>
        <w:rPr>
          <w:rFonts w:hint="eastAsia" w:ascii="宋体" w:hAnsi="宋体" w:cs="宋体"/>
          <w:color w:val="auto"/>
          <w:sz w:val="24"/>
          <w:szCs w:val="24"/>
          <w:highlight w:val="none"/>
        </w:rPr>
        <w:t>3. 单价合同的总价项目支付分解表的编制与审批：总价项目不采用支付分解表的方式计算，而按《建设工程工程量清单计价规范（GB50500-2013）广西壮族自治区实施细则》的规定执行。</w:t>
      </w:r>
    </w:p>
    <w:p w14:paraId="7BD710EB">
      <w:pPr>
        <w:keepNext/>
        <w:keepLines/>
        <w:spacing w:before="120" w:after="120" w:line="440" w:lineRule="exact"/>
        <w:outlineLvl w:val="1"/>
        <w:rPr>
          <w:rFonts w:ascii="宋体" w:hAnsi="宋体" w:cs="宋体"/>
          <w:b/>
          <w:bCs/>
          <w:color w:val="auto"/>
          <w:sz w:val="24"/>
          <w:szCs w:val="24"/>
          <w:highlight w:val="none"/>
        </w:rPr>
      </w:pPr>
      <w:bookmarkStart w:id="1024" w:name="_Toc51599610"/>
      <w:r>
        <w:rPr>
          <w:rFonts w:hint="eastAsia" w:ascii="宋体" w:hAnsi="宋体" w:cs="宋体"/>
          <w:b/>
          <w:bCs/>
          <w:color w:val="auto"/>
          <w:sz w:val="24"/>
          <w:szCs w:val="24"/>
          <w:highlight w:val="none"/>
        </w:rPr>
        <w:t>13. 验收和工程试车</w:t>
      </w:r>
      <w:bookmarkEnd w:id="1024"/>
    </w:p>
    <w:p w14:paraId="07000563">
      <w:pPr>
        <w:keepNext/>
        <w:keepLines/>
        <w:spacing w:before="120" w:after="120" w:line="440" w:lineRule="exact"/>
        <w:outlineLvl w:val="2"/>
        <w:rPr>
          <w:rFonts w:ascii="宋体" w:hAnsi="宋体" w:cs="宋体"/>
          <w:b/>
          <w:bCs/>
          <w:color w:val="auto"/>
          <w:sz w:val="24"/>
          <w:szCs w:val="24"/>
          <w:highlight w:val="none"/>
        </w:rPr>
      </w:pPr>
      <w:bookmarkStart w:id="1025" w:name="_Toc51599611"/>
      <w:bookmarkStart w:id="1026" w:name="_Toc407135257"/>
      <w:bookmarkStart w:id="1027" w:name="_Toc389065319"/>
      <w:bookmarkStart w:id="1028" w:name="_Toc487632754"/>
      <w:bookmarkStart w:id="1029" w:name="_Toc373227754"/>
      <w:bookmarkStart w:id="1030" w:name="_Toc373478401"/>
      <w:r>
        <w:rPr>
          <w:rFonts w:hint="eastAsia" w:ascii="宋体" w:hAnsi="宋体" w:cs="宋体"/>
          <w:b/>
          <w:bCs/>
          <w:color w:val="auto"/>
          <w:sz w:val="24"/>
          <w:szCs w:val="24"/>
          <w:highlight w:val="none"/>
        </w:rPr>
        <w:t>13.1 分部分项工程验收</w:t>
      </w:r>
      <w:bookmarkEnd w:id="1025"/>
      <w:bookmarkEnd w:id="1026"/>
      <w:bookmarkEnd w:id="1027"/>
      <w:bookmarkEnd w:id="1028"/>
      <w:bookmarkEnd w:id="1029"/>
      <w:bookmarkEnd w:id="1030"/>
    </w:p>
    <w:p w14:paraId="6C18FC5C">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13.1.2监理人不能按时进行验收时，应提前</w:t>
      </w:r>
      <w:r>
        <w:rPr>
          <w:rFonts w:hint="eastAsia" w:ascii="宋体" w:hAnsi="宋体" w:cs="宋体"/>
          <w:color w:val="auto"/>
          <w:sz w:val="24"/>
          <w:szCs w:val="24"/>
          <w:highlight w:val="none"/>
          <w:u w:val="single"/>
        </w:rPr>
        <w:t xml:space="preserve">  48   </w:t>
      </w:r>
      <w:r>
        <w:rPr>
          <w:rFonts w:hint="eastAsia" w:ascii="宋体" w:hAnsi="宋体" w:cs="宋体"/>
          <w:color w:val="auto"/>
          <w:sz w:val="24"/>
          <w:szCs w:val="24"/>
          <w:highlight w:val="none"/>
        </w:rPr>
        <w:t>小时提交书面延期要求。</w:t>
      </w:r>
    </w:p>
    <w:p w14:paraId="2554A2F9">
      <w:pPr>
        <w:spacing w:line="440" w:lineRule="exact"/>
        <w:ind w:firstLine="480" w:firstLineChars="200"/>
        <w:rPr>
          <w:rFonts w:ascii="宋体" w:hAnsi="宋体" w:cs="宋体"/>
          <w:b/>
          <w:bCs/>
          <w:color w:val="auto"/>
          <w:sz w:val="24"/>
          <w:szCs w:val="24"/>
          <w:highlight w:val="none"/>
        </w:rPr>
      </w:pPr>
      <w:r>
        <w:rPr>
          <w:rFonts w:hint="eastAsia" w:ascii="宋体" w:hAnsi="宋体" w:cs="宋体"/>
          <w:color w:val="auto"/>
          <w:sz w:val="24"/>
          <w:szCs w:val="24"/>
          <w:highlight w:val="none"/>
        </w:rPr>
        <w:t>关于延期最长不得超过：</w:t>
      </w:r>
      <w:r>
        <w:rPr>
          <w:rFonts w:hint="eastAsia" w:ascii="宋体" w:hAnsi="宋体" w:cs="宋体"/>
          <w:color w:val="auto"/>
          <w:sz w:val="24"/>
          <w:szCs w:val="24"/>
          <w:highlight w:val="none"/>
          <w:u w:val="single"/>
        </w:rPr>
        <w:t xml:space="preserve">   48   </w:t>
      </w:r>
      <w:r>
        <w:rPr>
          <w:rFonts w:hint="eastAsia" w:ascii="宋体" w:hAnsi="宋体" w:cs="宋体"/>
          <w:color w:val="auto"/>
          <w:sz w:val="24"/>
          <w:szCs w:val="24"/>
          <w:highlight w:val="none"/>
        </w:rPr>
        <w:t>小时。</w:t>
      </w:r>
    </w:p>
    <w:p w14:paraId="7D88C755">
      <w:pPr>
        <w:keepNext/>
        <w:keepLines/>
        <w:spacing w:before="120" w:after="120" w:line="440" w:lineRule="exact"/>
        <w:outlineLvl w:val="2"/>
        <w:rPr>
          <w:rFonts w:ascii="宋体" w:hAnsi="宋体" w:cs="宋体"/>
          <w:b/>
          <w:bCs/>
          <w:color w:val="auto"/>
          <w:sz w:val="24"/>
          <w:szCs w:val="24"/>
          <w:highlight w:val="none"/>
        </w:rPr>
      </w:pPr>
      <w:bookmarkStart w:id="1031" w:name="_Toc373227755"/>
      <w:bookmarkStart w:id="1032" w:name="_Toc487632755"/>
      <w:bookmarkStart w:id="1033" w:name="_Toc373478402"/>
      <w:bookmarkStart w:id="1034" w:name="_Toc407135258"/>
      <w:bookmarkStart w:id="1035" w:name="_Toc51599612"/>
      <w:bookmarkStart w:id="1036" w:name="_Toc389065320"/>
      <w:bookmarkStart w:id="1037" w:name="_Toc300935016"/>
      <w:bookmarkStart w:id="1038" w:name="_Toc296347222"/>
      <w:bookmarkStart w:id="1039" w:name="_Toc297216224"/>
      <w:bookmarkStart w:id="1040" w:name="_Toc297123565"/>
      <w:bookmarkStart w:id="1041" w:name="_Toc304295596"/>
      <w:bookmarkStart w:id="1042" w:name="_Toc297120523"/>
      <w:bookmarkStart w:id="1043" w:name="_Toc312678056"/>
      <w:bookmarkStart w:id="1044" w:name="_Toc296891051"/>
      <w:bookmarkStart w:id="1045" w:name="_Toc296346724"/>
      <w:bookmarkStart w:id="1046" w:name="_Toc296503223"/>
      <w:bookmarkStart w:id="1047" w:name="_Toc296891263"/>
      <w:bookmarkStart w:id="1048" w:name="_Toc292559933"/>
      <w:bookmarkStart w:id="1049" w:name="_Toc297048409"/>
      <w:bookmarkStart w:id="1050" w:name="_Toc292559428"/>
      <w:bookmarkStart w:id="1051" w:name="_Toc296944562"/>
      <w:bookmarkStart w:id="1052" w:name="_Toc303539173"/>
      <w:bookmarkStart w:id="1053" w:name="_Toc267251476"/>
      <w:bookmarkStart w:id="1054" w:name="_Toc267251473"/>
      <w:bookmarkStart w:id="1055" w:name="_Toc267251474"/>
      <w:bookmarkStart w:id="1056" w:name="_Toc267251472"/>
      <w:bookmarkStart w:id="1057" w:name="_Toc267251475"/>
      <w:bookmarkStart w:id="1058" w:name="_Toc267251471"/>
      <w:bookmarkStart w:id="1059" w:name="_Toc267251470"/>
      <w:r>
        <w:rPr>
          <w:rFonts w:hint="eastAsia" w:ascii="宋体" w:hAnsi="宋体" w:cs="宋体"/>
          <w:b/>
          <w:bCs/>
          <w:color w:val="auto"/>
          <w:sz w:val="24"/>
          <w:szCs w:val="24"/>
          <w:highlight w:val="none"/>
        </w:rPr>
        <w:t>13.2 竣工验收</w:t>
      </w:r>
      <w:bookmarkEnd w:id="1031"/>
      <w:bookmarkEnd w:id="1032"/>
      <w:bookmarkEnd w:id="1033"/>
      <w:bookmarkEnd w:id="1034"/>
      <w:bookmarkEnd w:id="1035"/>
      <w:bookmarkEnd w:id="1036"/>
    </w:p>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p w14:paraId="7FD2E164">
      <w:pPr>
        <w:spacing w:line="440" w:lineRule="exact"/>
        <w:ind w:firstLine="480" w:firstLineChars="200"/>
        <w:rPr>
          <w:rFonts w:ascii="宋体" w:hAnsi="宋体" w:cs="宋体"/>
          <w:color w:val="auto"/>
          <w:sz w:val="24"/>
          <w:szCs w:val="24"/>
          <w:highlight w:val="none"/>
        </w:rPr>
      </w:pPr>
      <w:bookmarkStart w:id="1060" w:name="_Toc280868704"/>
      <w:bookmarkStart w:id="1061" w:name="_Toc280868705"/>
      <w:bookmarkStart w:id="1062" w:name="_Toc280868706"/>
      <w:bookmarkStart w:id="1063" w:name="_Toc280868707"/>
      <w:bookmarkStart w:id="1064" w:name="_Toc280868708"/>
      <w:bookmarkStart w:id="1065" w:name="_Toc280868709"/>
      <w:r>
        <w:rPr>
          <w:rFonts w:hint="eastAsia" w:ascii="宋体" w:hAnsi="宋体" w:cs="宋体"/>
          <w:color w:val="auto"/>
          <w:sz w:val="24"/>
          <w:szCs w:val="24"/>
          <w:highlight w:val="none"/>
        </w:rPr>
        <w:t>13.2.1竣工验收条件</w:t>
      </w:r>
    </w:p>
    <w:p w14:paraId="34291EB3">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（3）承包人负责整理和提交的竣工验收资料应当符合工程所在地建设行政主管部门和(或)城市建设档案管理机构有关施工资料的要求，具体内容包括：</w:t>
      </w:r>
      <w:r>
        <w:rPr>
          <w:rFonts w:hint="eastAsia" w:ascii="宋体" w:hAnsi="宋体" w:cs="宋体"/>
          <w:color w:val="auto"/>
          <w:sz w:val="24"/>
          <w:szCs w:val="24"/>
          <w:highlight w:val="none"/>
          <w:u w:val="single"/>
        </w:rPr>
        <w:t xml:space="preserve">    按规定      </w:t>
      </w:r>
      <w:r>
        <w:rPr>
          <w:rFonts w:hint="eastAsia" w:ascii="宋体" w:hAnsi="宋体" w:cs="宋体"/>
          <w:color w:val="auto"/>
          <w:sz w:val="24"/>
          <w:szCs w:val="24"/>
          <w:highlight w:val="none"/>
        </w:rPr>
        <w:t>。</w:t>
      </w:r>
    </w:p>
    <w:p w14:paraId="60592396">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竣工验收资料的份数：</w:t>
      </w:r>
      <w:r>
        <w:rPr>
          <w:rFonts w:hint="eastAsia" w:ascii="宋体" w:hAnsi="宋体" w:cs="宋体"/>
          <w:color w:val="auto"/>
          <w:sz w:val="24"/>
          <w:szCs w:val="24"/>
          <w:highlight w:val="none"/>
          <w:u w:val="single"/>
        </w:rPr>
        <w:t xml:space="preserve">    伍份     </w:t>
      </w:r>
      <w:r>
        <w:rPr>
          <w:rFonts w:hint="eastAsia" w:ascii="宋体" w:hAnsi="宋体" w:cs="宋体"/>
          <w:color w:val="auto"/>
          <w:sz w:val="24"/>
          <w:szCs w:val="24"/>
          <w:highlight w:val="none"/>
        </w:rPr>
        <w:t>。</w:t>
      </w:r>
    </w:p>
    <w:p w14:paraId="2DD3D494">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承包人提供竣工图的约定：</w:t>
      </w:r>
      <w:r>
        <w:rPr>
          <w:rFonts w:hint="eastAsia" w:ascii="宋体" w:hAnsi="宋体" w:cs="宋体"/>
          <w:color w:val="auto"/>
          <w:sz w:val="24"/>
          <w:szCs w:val="24"/>
          <w:highlight w:val="none"/>
          <w:u w:val="single"/>
        </w:rPr>
        <w:t>竣工验收正式通过后5天，提供竣工图的数量4套。</w:t>
      </w:r>
    </w:p>
    <w:p w14:paraId="7CAF4B9B">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13.2.2竣工验收程序</w:t>
      </w:r>
    </w:p>
    <w:bookmarkEnd w:id="1060"/>
    <w:p w14:paraId="7640F4E4">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kern w:val="0"/>
          <w:sz w:val="24"/>
          <w:szCs w:val="24"/>
          <w:highlight w:val="none"/>
        </w:rPr>
        <w:t>关于竣工验收程序的约定：</w:t>
      </w:r>
      <w:r>
        <w:rPr>
          <w:rFonts w:hint="eastAsia" w:ascii="宋体" w:hAnsi="宋体" w:cs="宋体"/>
          <w:color w:val="auto"/>
          <w:sz w:val="24"/>
          <w:szCs w:val="24"/>
          <w:highlight w:val="none"/>
          <w:u w:val="single"/>
        </w:rPr>
        <w:t xml:space="preserve">   承包人准备的竣工验收资料齐全，并编制了竣工图（附电子文档）后向监理人提出预验收申请，预验收合格监理人签署同意验收后发包人在30天内组织有关部门竣工验收  </w:t>
      </w:r>
      <w:r>
        <w:rPr>
          <w:rFonts w:hint="eastAsia" w:ascii="宋体" w:hAnsi="宋体" w:cs="宋体"/>
          <w:color w:val="auto"/>
          <w:sz w:val="24"/>
          <w:szCs w:val="24"/>
          <w:highlight w:val="none"/>
        </w:rPr>
        <w:t>。</w:t>
      </w:r>
    </w:p>
    <w:p w14:paraId="7774DEC1">
      <w:pPr>
        <w:spacing w:line="440" w:lineRule="exact"/>
        <w:rPr>
          <w:rFonts w:ascii="宋体" w:hAnsi="宋体" w:cs="宋体"/>
          <w:color w:val="auto"/>
          <w:sz w:val="24"/>
          <w:szCs w:val="24"/>
          <w:highlight w:val="none"/>
        </w:rPr>
      </w:pPr>
      <w:r>
        <w:rPr>
          <w:rFonts w:hint="eastAsia" w:ascii="宋体" w:hAnsi="宋体" w:cs="宋体"/>
          <w:color w:val="auto"/>
          <w:kern w:val="0"/>
          <w:sz w:val="24"/>
          <w:szCs w:val="24"/>
          <w:highlight w:val="none"/>
        </w:rPr>
        <w:t>发包人不按照本项约定组织竣工验收、颁发工程接收证书的违约金的计算方法：</w:t>
      </w:r>
      <w:r>
        <w:rPr>
          <w:rFonts w:hint="eastAsia" w:ascii="宋体" w:hAnsi="宋体" w:cs="宋体"/>
          <w:color w:val="auto"/>
          <w:sz w:val="24"/>
          <w:szCs w:val="24"/>
          <w:highlight w:val="none"/>
          <w:u w:val="single"/>
        </w:rPr>
        <w:t xml:space="preserve">按通用条款执行 </w:t>
      </w:r>
      <w:r>
        <w:rPr>
          <w:rFonts w:hint="eastAsia" w:ascii="宋体" w:hAnsi="宋体" w:cs="宋体"/>
          <w:color w:val="auto"/>
          <w:sz w:val="24"/>
          <w:szCs w:val="24"/>
          <w:highlight w:val="none"/>
        </w:rPr>
        <w:t>。</w:t>
      </w:r>
    </w:p>
    <w:bookmarkEnd w:id="1061"/>
    <w:p w14:paraId="42AE3485">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13.2.5移交、接收全部与部分工程</w:t>
      </w:r>
    </w:p>
    <w:bookmarkEnd w:id="1062"/>
    <w:p w14:paraId="3CCE9DB4">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承包人向发包人移交工程的期限：</w:t>
      </w:r>
      <w:r>
        <w:rPr>
          <w:rFonts w:hint="eastAsia" w:ascii="宋体" w:hAnsi="宋体" w:cs="宋体"/>
          <w:color w:val="auto"/>
          <w:sz w:val="24"/>
          <w:szCs w:val="24"/>
          <w:highlight w:val="none"/>
          <w:u w:val="single"/>
        </w:rPr>
        <w:t xml:space="preserve">      竣工验收合格后10天内（指全部工程）     </w:t>
      </w:r>
      <w:r>
        <w:rPr>
          <w:rFonts w:hint="eastAsia" w:ascii="宋体" w:hAnsi="宋体" w:cs="宋体"/>
          <w:color w:val="auto"/>
          <w:sz w:val="24"/>
          <w:szCs w:val="24"/>
          <w:highlight w:val="none"/>
        </w:rPr>
        <w:t>。</w:t>
      </w:r>
    </w:p>
    <w:p w14:paraId="258053B6">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kern w:val="0"/>
          <w:sz w:val="24"/>
          <w:szCs w:val="24"/>
          <w:highlight w:val="none"/>
        </w:rPr>
        <w:t>发包人未按本合同约定接收全部或部分工程的，违约金的计算方法为：</w:t>
      </w:r>
      <w:r>
        <w:rPr>
          <w:rFonts w:hint="eastAsia" w:ascii="宋体" w:hAnsi="宋体" w:cs="宋体"/>
          <w:color w:val="auto"/>
          <w:sz w:val="24"/>
          <w:szCs w:val="24"/>
          <w:highlight w:val="none"/>
          <w:u w:val="single"/>
        </w:rPr>
        <w:t xml:space="preserve">     无   </w:t>
      </w:r>
      <w:r>
        <w:rPr>
          <w:rFonts w:hint="eastAsia" w:ascii="宋体" w:hAnsi="宋体" w:cs="宋体"/>
          <w:color w:val="auto"/>
          <w:sz w:val="24"/>
          <w:szCs w:val="24"/>
          <w:highlight w:val="none"/>
        </w:rPr>
        <w:t>。</w:t>
      </w:r>
    </w:p>
    <w:bookmarkEnd w:id="1063"/>
    <w:p w14:paraId="1701CF4C">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承包人未按时移交工程的，违约金的计算方法为：</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79AC8301">
      <w:pPr>
        <w:keepNext/>
        <w:keepLines/>
        <w:spacing w:before="120" w:after="120" w:line="440" w:lineRule="exact"/>
        <w:outlineLvl w:val="2"/>
        <w:rPr>
          <w:rFonts w:ascii="宋体" w:hAnsi="宋体" w:cs="宋体"/>
          <w:b/>
          <w:bCs/>
          <w:color w:val="auto"/>
          <w:sz w:val="24"/>
          <w:szCs w:val="24"/>
          <w:highlight w:val="none"/>
        </w:rPr>
      </w:pPr>
      <w:bookmarkStart w:id="1066" w:name="_Toc373478403"/>
      <w:bookmarkStart w:id="1067" w:name="_Toc407135259"/>
      <w:bookmarkStart w:id="1068" w:name="_Toc373227756"/>
      <w:bookmarkStart w:id="1069" w:name="_Toc51599613"/>
      <w:bookmarkStart w:id="1070" w:name="_Toc487632756"/>
      <w:bookmarkStart w:id="1071" w:name="_Toc389065321"/>
      <w:r>
        <w:rPr>
          <w:rFonts w:hint="eastAsia" w:ascii="宋体" w:hAnsi="宋体" w:cs="宋体"/>
          <w:b/>
          <w:bCs/>
          <w:color w:val="auto"/>
          <w:sz w:val="24"/>
          <w:szCs w:val="24"/>
          <w:highlight w:val="none"/>
        </w:rPr>
        <w:t>13.3 工程试车</w:t>
      </w:r>
      <w:bookmarkEnd w:id="1066"/>
      <w:bookmarkEnd w:id="1067"/>
      <w:bookmarkEnd w:id="1068"/>
      <w:bookmarkEnd w:id="1069"/>
      <w:bookmarkEnd w:id="1070"/>
      <w:bookmarkEnd w:id="1071"/>
    </w:p>
    <w:bookmarkEnd w:id="1064"/>
    <w:p w14:paraId="789D572F">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13.3.1 试车程序</w:t>
      </w:r>
    </w:p>
    <w:p w14:paraId="66ADEE6E">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kern w:val="0"/>
          <w:sz w:val="24"/>
          <w:szCs w:val="24"/>
          <w:highlight w:val="none"/>
        </w:rPr>
        <w:t>工程试车内容：</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02F2117E">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（1）单机无负荷试车费用由</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rPr>
        <w:t>承担；</w:t>
      </w:r>
    </w:p>
    <w:p w14:paraId="5310DA04">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（2）无负荷联动试车费用由</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rPr>
        <w:t>承担。</w:t>
      </w:r>
    </w:p>
    <w:p w14:paraId="521CEA68">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13.3.3 投料试车</w:t>
      </w:r>
    </w:p>
    <w:p w14:paraId="37FA95D3">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kern w:val="0"/>
          <w:sz w:val="24"/>
          <w:szCs w:val="24"/>
          <w:highlight w:val="none"/>
        </w:rPr>
        <w:t>关于投料试车相关事项的约定：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50F9D2CC">
      <w:pPr>
        <w:keepNext/>
        <w:keepLines/>
        <w:spacing w:before="120" w:after="120" w:line="440" w:lineRule="exact"/>
        <w:outlineLvl w:val="2"/>
        <w:rPr>
          <w:rFonts w:ascii="宋体" w:hAnsi="宋体" w:cs="宋体"/>
          <w:b/>
          <w:bCs/>
          <w:color w:val="auto"/>
          <w:sz w:val="24"/>
          <w:szCs w:val="24"/>
          <w:highlight w:val="none"/>
        </w:rPr>
      </w:pPr>
      <w:bookmarkStart w:id="1072" w:name="_Toc487632757"/>
      <w:bookmarkStart w:id="1073" w:name="_Toc389065322"/>
      <w:bookmarkStart w:id="1074" w:name="_Toc407135260"/>
      <w:bookmarkStart w:id="1075" w:name="_Toc373227757"/>
      <w:bookmarkStart w:id="1076" w:name="_Toc373478404"/>
      <w:bookmarkStart w:id="1077" w:name="_Toc51599614"/>
      <w:r>
        <w:rPr>
          <w:rFonts w:hint="eastAsia" w:ascii="宋体" w:hAnsi="宋体" w:cs="宋体"/>
          <w:b/>
          <w:bCs/>
          <w:color w:val="auto"/>
          <w:sz w:val="24"/>
          <w:szCs w:val="24"/>
          <w:highlight w:val="none"/>
        </w:rPr>
        <w:t>13.6 竣工退场</w:t>
      </w:r>
      <w:bookmarkEnd w:id="1072"/>
      <w:bookmarkEnd w:id="1073"/>
      <w:bookmarkEnd w:id="1074"/>
      <w:bookmarkEnd w:id="1075"/>
      <w:bookmarkEnd w:id="1076"/>
      <w:bookmarkEnd w:id="1077"/>
    </w:p>
    <w:p w14:paraId="2B983877">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13.6.1 竣工退场</w:t>
      </w:r>
    </w:p>
    <w:p w14:paraId="26EFCD34">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承包人完成竣工退场的期限：</w:t>
      </w:r>
      <w:r>
        <w:rPr>
          <w:rFonts w:hint="eastAsia" w:ascii="宋体" w:hAnsi="宋体" w:cs="宋体"/>
          <w:color w:val="auto"/>
          <w:sz w:val="24"/>
          <w:szCs w:val="24"/>
          <w:highlight w:val="none"/>
          <w:u w:val="single"/>
        </w:rPr>
        <w:t xml:space="preserve"> 竣工验收合格后30天内（但必须保留足够的后续管理人员进行保修期内管理）   </w:t>
      </w:r>
      <w:r>
        <w:rPr>
          <w:rFonts w:hint="eastAsia" w:ascii="宋体" w:hAnsi="宋体" w:cs="宋体"/>
          <w:color w:val="auto"/>
          <w:kern w:val="0"/>
          <w:sz w:val="24"/>
          <w:szCs w:val="24"/>
          <w:highlight w:val="none"/>
        </w:rPr>
        <w:t>。</w:t>
      </w:r>
    </w:p>
    <w:p w14:paraId="201F5095">
      <w:pPr>
        <w:keepNext/>
        <w:keepLines/>
        <w:spacing w:before="120" w:after="120" w:line="440" w:lineRule="exact"/>
        <w:outlineLvl w:val="1"/>
        <w:rPr>
          <w:rFonts w:ascii="宋体" w:hAnsi="宋体" w:cs="宋体"/>
          <w:b/>
          <w:bCs/>
          <w:color w:val="auto"/>
          <w:sz w:val="24"/>
          <w:szCs w:val="24"/>
          <w:highlight w:val="none"/>
        </w:rPr>
      </w:pPr>
      <w:bookmarkStart w:id="1078" w:name="_Toc373227758"/>
      <w:bookmarkStart w:id="1079" w:name="_Toc389065323"/>
      <w:bookmarkStart w:id="1080" w:name="_Toc407135261"/>
      <w:bookmarkStart w:id="1081" w:name="_Toc373478405"/>
      <w:bookmarkStart w:id="1082" w:name="_Toc351203646"/>
      <w:bookmarkStart w:id="1083" w:name="_Toc51599615"/>
      <w:bookmarkStart w:id="1084" w:name="_Toc487632758"/>
      <w:r>
        <w:rPr>
          <w:rFonts w:hint="eastAsia" w:ascii="宋体" w:hAnsi="宋体" w:cs="宋体"/>
          <w:b/>
          <w:bCs/>
          <w:color w:val="auto"/>
          <w:sz w:val="24"/>
          <w:szCs w:val="24"/>
          <w:highlight w:val="none"/>
        </w:rPr>
        <w:t>14. 竣工结算</w:t>
      </w:r>
      <w:bookmarkEnd w:id="1078"/>
      <w:bookmarkEnd w:id="1079"/>
      <w:bookmarkEnd w:id="1080"/>
      <w:bookmarkEnd w:id="1081"/>
      <w:bookmarkEnd w:id="1082"/>
      <w:bookmarkEnd w:id="1083"/>
      <w:bookmarkEnd w:id="1084"/>
    </w:p>
    <w:p w14:paraId="73EFA6F0">
      <w:pPr>
        <w:keepNext/>
        <w:keepLines/>
        <w:spacing w:before="120" w:after="120" w:line="440" w:lineRule="exact"/>
        <w:outlineLvl w:val="2"/>
        <w:rPr>
          <w:rFonts w:ascii="宋体" w:hAnsi="宋体" w:cs="宋体"/>
          <w:b/>
          <w:bCs/>
          <w:color w:val="auto"/>
          <w:sz w:val="24"/>
          <w:szCs w:val="24"/>
          <w:highlight w:val="none"/>
        </w:rPr>
      </w:pPr>
      <w:bookmarkStart w:id="1085" w:name="_Toc373478406"/>
      <w:bookmarkStart w:id="1086" w:name="_Toc51599616"/>
      <w:bookmarkStart w:id="1087" w:name="_Toc407135262"/>
      <w:bookmarkStart w:id="1088" w:name="_Toc373227759"/>
      <w:bookmarkStart w:id="1089" w:name="_Toc389065324"/>
      <w:bookmarkStart w:id="1090" w:name="_Toc487632759"/>
      <w:r>
        <w:rPr>
          <w:rFonts w:hint="eastAsia" w:ascii="宋体" w:hAnsi="宋体" w:cs="宋体"/>
          <w:b/>
          <w:bCs/>
          <w:color w:val="auto"/>
          <w:sz w:val="24"/>
          <w:szCs w:val="24"/>
          <w:highlight w:val="none"/>
        </w:rPr>
        <w:t>14.1 竣工付款申请</w:t>
      </w:r>
      <w:bookmarkEnd w:id="1085"/>
      <w:bookmarkEnd w:id="1086"/>
      <w:bookmarkEnd w:id="1087"/>
      <w:bookmarkEnd w:id="1088"/>
      <w:bookmarkEnd w:id="1089"/>
      <w:bookmarkEnd w:id="1090"/>
    </w:p>
    <w:p w14:paraId="2A04AF5B">
      <w:pPr>
        <w:spacing w:line="440" w:lineRule="exact"/>
        <w:ind w:firstLine="480" w:firstLineChars="200"/>
        <w:rPr>
          <w:rFonts w:ascii="宋体" w:hAnsi="宋体" w:cs="宋体"/>
          <w:color w:val="auto"/>
          <w:sz w:val="24"/>
          <w:szCs w:val="24"/>
          <w:highlight w:val="none"/>
        </w:rPr>
      </w:pPr>
      <w:bookmarkStart w:id="1091" w:name="_Toc407135263"/>
      <w:bookmarkStart w:id="1092" w:name="_Toc373478407"/>
      <w:bookmarkStart w:id="1093" w:name="_Toc389065325"/>
      <w:bookmarkStart w:id="1094" w:name="_Toc487632760"/>
      <w:bookmarkStart w:id="1095" w:name="_Toc373227760"/>
      <w:r>
        <w:rPr>
          <w:rFonts w:hint="eastAsia" w:ascii="宋体" w:hAnsi="宋体" w:cs="宋体"/>
          <w:color w:val="auto"/>
          <w:sz w:val="24"/>
          <w:szCs w:val="24"/>
          <w:highlight w:val="none"/>
        </w:rPr>
        <w:t>承包人提交竣工付款申请单的期限：</w:t>
      </w:r>
      <w:r>
        <w:rPr>
          <w:rFonts w:hint="eastAsia" w:ascii="宋体" w:hAnsi="宋体" w:cs="宋体"/>
          <w:color w:val="auto"/>
          <w:sz w:val="24"/>
          <w:szCs w:val="24"/>
          <w:highlight w:val="none"/>
          <w:u w:val="single"/>
        </w:rPr>
        <w:t xml:space="preserve">  承包人应在工程竣工验收合格后20天内向发包人和监理人提交竣工结算申请单，并提交完整的结算资料。竣工结算申请单及结算资料提交份数一式五份，其中纸质4份，电子文档1份  </w:t>
      </w:r>
      <w:r>
        <w:rPr>
          <w:rFonts w:hint="eastAsia" w:ascii="宋体" w:hAnsi="宋体" w:cs="宋体"/>
          <w:color w:val="auto"/>
          <w:sz w:val="24"/>
          <w:szCs w:val="24"/>
          <w:highlight w:val="none"/>
        </w:rPr>
        <w:t>。</w:t>
      </w:r>
    </w:p>
    <w:p w14:paraId="19E3213F">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竣工付款申请单应包括的内容：</w:t>
      </w:r>
      <w:r>
        <w:rPr>
          <w:rFonts w:hint="eastAsia" w:ascii="宋体" w:hAnsi="宋体" w:cs="宋体"/>
          <w:color w:val="auto"/>
          <w:sz w:val="24"/>
          <w:szCs w:val="24"/>
          <w:highlight w:val="none"/>
          <w:u w:val="single"/>
        </w:rPr>
        <w:t xml:space="preserve">  结算书、签证资料、竣工图、会议纪要、施工组织设计、多项施工方案、磋商文件、投标文件、施工合同、施工日记等，并应符合有关部门的要求  </w:t>
      </w:r>
      <w:r>
        <w:rPr>
          <w:rFonts w:hint="eastAsia" w:ascii="宋体" w:hAnsi="宋体" w:cs="宋体"/>
          <w:color w:val="auto"/>
          <w:sz w:val="24"/>
          <w:szCs w:val="24"/>
          <w:highlight w:val="none"/>
        </w:rPr>
        <w:t>。</w:t>
      </w:r>
    </w:p>
    <w:p w14:paraId="53BE4625">
      <w:pPr>
        <w:keepNext/>
        <w:keepLines/>
        <w:spacing w:before="120" w:after="120" w:line="440" w:lineRule="exact"/>
        <w:outlineLvl w:val="2"/>
        <w:rPr>
          <w:rFonts w:ascii="宋体" w:hAnsi="宋体" w:cs="宋体"/>
          <w:b/>
          <w:bCs/>
          <w:color w:val="auto"/>
          <w:sz w:val="24"/>
          <w:szCs w:val="24"/>
          <w:highlight w:val="none"/>
        </w:rPr>
      </w:pPr>
      <w:bookmarkStart w:id="1096" w:name="_Toc51599617"/>
      <w:r>
        <w:rPr>
          <w:rFonts w:hint="eastAsia" w:ascii="宋体" w:hAnsi="宋体" w:cs="宋体"/>
          <w:b/>
          <w:bCs/>
          <w:color w:val="auto"/>
          <w:sz w:val="24"/>
          <w:szCs w:val="24"/>
          <w:highlight w:val="none"/>
        </w:rPr>
        <w:t>14.2 竣工结算审核</w:t>
      </w:r>
      <w:bookmarkEnd w:id="1091"/>
      <w:bookmarkEnd w:id="1092"/>
      <w:bookmarkEnd w:id="1093"/>
      <w:bookmarkEnd w:id="1094"/>
      <w:bookmarkEnd w:id="1095"/>
      <w:bookmarkEnd w:id="1096"/>
    </w:p>
    <w:p w14:paraId="120B633D">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发包人审批竣工付款申请单的期限：</w:t>
      </w:r>
    </w:p>
    <w:tbl>
      <w:tblPr>
        <w:tblStyle w:val="28"/>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787C1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366F0D5B">
            <w:pPr>
              <w:spacing w:line="360" w:lineRule="auto"/>
              <w:rPr>
                <w:rFonts w:ascii="宋体" w:hAnsi="宋体" w:cs="宋体"/>
                <w:color w:val="auto"/>
                <w:sz w:val="24"/>
                <w:szCs w:val="24"/>
                <w:highlight w:val="none"/>
              </w:rPr>
            </w:pPr>
          </w:p>
        </w:tc>
        <w:tc>
          <w:tcPr>
            <w:tcW w:w="2466" w:type="dxa"/>
            <w:vAlign w:val="center"/>
          </w:tcPr>
          <w:p w14:paraId="37AD451A">
            <w:pPr>
              <w:spacing w:line="360" w:lineRule="auto"/>
              <w:ind w:firstLine="31" w:firstLineChars="13"/>
              <w:jc w:val="center"/>
              <w:rPr>
                <w:rFonts w:ascii="宋体" w:hAnsi="宋体" w:cs="宋体"/>
                <w:color w:val="auto"/>
                <w:sz w:val="24"/>
                <w:szCs w:val="24"/>
                <w:highlight w:val="none"/>
              </w:rPr>
            </w:pPr>
            <w:r>
              <w:rPr>
                <w:rFonts w:hint="eastAsia" w:ascii="宋体" w:hAnsi="宋体" w:cs="宋体"/>
                <w:color w:val="auto"/>
                <w:sz w:val="24"/>
                <w:szCs w:val="24"/>
                <w:highlight w:val="none"/>
              </w:rPr>
              <w:t>工程竣工结算报告金额</w:t>
            </w:r>
          </w:p>
        </w:tc>
        <w:tc>
          <w:tcPr>
            <w:tcW w:w="5967" w:type="dxa"/>
            <w:vAlign w:val="center"/>
          </w:tcPr>
          <w:p w14:paraId="37719DC8">
            <w:pPr>
              <w:spacing w:line="360" w:lineRule="auto"/>
              <w:ind w:firstLine="504" w:firstLineChars="210"/>
              <w:jc w:val="center"/>
              <w:rPr>
                <w:rFonts w:ascii="宋体" w:hAnsi="宋体" w:cs="宋体"/>
                <w:color w:val="auto"/>
                <w:sz w:val="24"/>
                <w:szCs w:val="24"/>
                <w:highlight w:val="none"/>
              </w:rPr>
            </w:pPr>
            <w:r>
              <w:rPr>
                <w:rFonts w:hint="eastAsia" w:ascii="宋体" w:hAnsi="宋体" w:cs="宋体"/>
                <w:color w:val="auto"/>
                <w:sz w:val="24"/>
                <w:szCs w:val="24"/>
                <w:highlight w:val="none"/>
              </w:rPr>
              <w:t>发包人审查时间</w:t>
            </w:r>
          </w:p>
        </w:tc>
      </w:tr>
      <w:tr w14:paraId="4BCB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0CAE6EEC">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1</w:t>
            </w:r>
          </w:p>
        </w:tc>
        <w:tc>
          <w:tcPr>
            <w:tcW w:w="2466" w:type="dxa"/>
            <w:vAlign w:val="center"/>
          </w:tcPr>
          <w:p w14:paraId="0B0D25D1">
            <w:pPr>
              <w:spacing w:line="360" w:lineRule="auto"/>
              <w:ind w:firstLine="31" w:firstLineChars="13"/>
              <w:jc w:val="center"/>
              <w:rPr>
                <w:rFonts w:ascii="宋体" w:hAnsi="宋体" w:cs="宋体"/>
                <w:color w:val="auto"/>
                <w:sz w:val="24"/>
                <w:szCs w:val="24"/>
                <w:highlight w:val="none"/>
              </w:rPr>
            </w:pPr>
            <w:r>
              <w:rPr>
                <w:rFonts w:hint="eastAsia" w:ascii="宋体" w:hAnsi="宋体" w:cs="宋体"/>
                <w:color w:val="auto"/>
                <w:sz w:val="24"/>
                <w:szCs w:val="24"/>
                <w:highlight w:val="none"/>
              </w:rPr>
              <w:t>500万元以下</w:t>
            </w:r>
          </w:p>
        </w:tc>
        <w:tc>
          <w:tcPr>
            <w:tcW w:w="5967" w:type="dxa"/>
            <w:vAlign w:val="center"/>
          </w:tcPr>
          <w:p w14:paraId="41189DA7">
            <w:pPr>
              <w:spacing w:line="360" w:lineRule="auto"/>
              <w:ind w:firstLine="504" w:firstLineChars="210"/>
              <w:jc w:val="center"/>
              <w:rPr>
                <w:rFonts w:ascii="宋体" w:hAnsi="宋体" w:cs="宋体"/>
                <w:color w:val="auto"/>
                <w:sz w:val="24"/>
                <w:szCs w:val="24"/>
                <w:highlight w:val="none"/>
              </w:rPr>
            </w:pPr>
            <w:r>
              <w:rPr>
                <w:rFonts w:hint="eastAsia" w:ascii="宋体" w:hAnsi="宋体" w:cs="宋体"/>
                <w:color w:val="auto"/>
                <w:sz w:val="24"/>
                <w:szCs w:val="24"/>
                <w:highlight w:val="none"/>
              </w:rPr>
              <w:t>从接到竣工结算报告和完整的竣工结算资料之日起20天</w:t>
            </w:r>
          </w:p>
        </w:tc>
      </w:tr>
      <w:tr w14:paraId="17065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6A266864">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2</w:t>
            </w:r>
          </w:p>
        </w:tc>
        <w:tc>
          <w:tcPr>
            <w:tcW w:w="2466" w:type="dxa"/>
            <w:vAlign w:val="center"/>
          </w:tcPr>
          <w:p w14:paraId="330E4E51">
            <w:pPr>
              <w:spacing w:line="360" w:lineRule="auto"/>
              <w:ind w:firstLine="31" w:firstLineChars="13"/>
              <w:jc w:val="center"/>
              <w:rPr>
                <w:rFonts w:ascii="宋体" w:hAnsi="宋体" w:cs="宋体"/>
                <w:color w:val="auto"/>
                <w:sz w:val="24"/>
                <w:szCs w:val="24"/>
                <w:highlight w:val="none"/>
              </w:rPr>
            </w:pPr>
            <w:r>
              <w:rPr>
                <w:rFonts w:hint="eastAsia" w:ascii="宋体" w:hAnsi="宋体" w:cs="宋体"/>
                <w:color w:val="auto"/>
                <w:sz w:val="24"/>
                <w:szCs w:val="24"/>
                <w:highlight w:val="none"/>
              </w:rPr>
              <w:t>500万元-2000万元</w:t>
            </w:r>
          </w:p>
        </w:tc>
        <w:tc>
          <w:tcPr>
            <w:tcW w:w="5967" w:type="dxa"/>
            <w:vAlign w:val="center"/>
          </w:tcPr>
          <w:p w14:paraId="0C492EE4">
            <w:pPr>
              <w:spacing w:line="360" w:lineRule="auto"/>
              <w:ind w:firstLine="504" w:firstLineChars="210"/>
              <w:jc w:val="center"/>
              <w:rPr>
                <w:rFonts w:ascii="宋体" w:hAnsi="宋体" w:cs="宋体"/>
                <w:color w:val="auto"/>
                <w:sz w:val="24"/>
                <w:szCs w:val="24"/>
                <w:highlight w:val="none"/>
              </w:rPr>
            </w:pPr>
            <w:r>
              <w:rPr>
                <w:rFonts w:hint="eastAsia" w:ascii="宋体" w:hAnsi="宋体" w:cs="宋体"/>
                <w:color w:val="auto"/>
                <w:sz w:val="24"/>
                <w:szCs w:val="24"/>
                <w:highlight w:val="none"/>
              </w:rPr>
              <w:t>从接到竣工结算报告和完整的竣工结算资料之日起30天</w:t>
            </w:r>
          </w:p>
        </w:tc>
      </w:tr>
      <w:tr w14:paraId="59A20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1B4DA212">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3</w:t>
            </w:r>
          </w:p>
        </w:tc>
        <w:tc>
          <w:tcPr>
            <w:tcW w:w="2466" w:type="dxa"/>
            <w:vAlign w:val="center"/>
          </w:tcPr>
          <w:p w14:paraId="121A7A6A">
            <w:pPr>
              <w:spacing w:line="360" w:lineRule="auto"/>
              <w:ind w:firstLine="31" w:firstLineChars="13"/>
              <w:jc w:val="center"/>
              <w:rPr>
                <w:rFonts w:ascii="宋体" w:hAnsi="宋体" w:cs="宋体"/>
                <w:color w:val="auto"/>
                <w:sz w:val="24"/>
                <w:szCs w:val="24"/>
                <w:highlight w:val="none"/>
              </w:rPr>
            </w:pPr>
            <w:r>
              <w:rPr>
                <w:rFonts w:hint="eastAsia" w:ascii="宋体" w:hAnsi="宋体" w:cs="宋体"/>
                <w:color w:val="auto"/>
                <w:sz w:val="24"/>
                <w:szCs w:val="24"/>
                <w:highlight w:val="none"/>
              </w:rPr>
              <w:t>2000万元-5000万元</w:t>
            </w:r>
          </w:p>
        </w:tc>
        <w:tc>
          <w:tcPr>
            <w:tcW w:w="5967" w:type="dxa"/>
            <w:vAlign w:val="center"/>
          </w:tcPr>
          <w:p w14:paraId="7E76024F">
            <w:pPr>
              <w:spacing w:line="360" w:lineRule="auto"/>
              <w:ind w:firstLine="504" w:firstLineChars="210"/>
              <w:jc w:val="center"/>
              <w:rPr>
                <w:rFonts w:ascii="宋体" w:hAnsi="宋体" w:cs="宋体"/>
                <w:color w:val="auto"/>
                <w:sz w:val="24"/>
                <w:szCs w:val="24"/>
                <w:highlight w:val="none"/>
              </w:rPr>
            </w:pPr>
            <w:r>
              <w:rPr>
                <w:rFonts w:hint="eastAsia" w:ascii="宋体" w:hAnsi="宋体" w:cs="宋体"/>
                <w:color w:val="auto"/>
                <w:sz w:val="24"/>
                <w:szCs w:val="24"/>
                <w:highlight w:val="none"/>
              </w:rPr>
              <w:t>从接到竣工结算报告和完整的竣工结算资料之日起45天</w:t>
            </w:r>
          </w:p>
        </w:tc>
      </w:tr>
      <w:tr w14:paraId="0E5B7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596044BD">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4</w:t>
            </w:r>
          </w:p>
        </w:tc>
        <w:tc>
          <w:tcPr>
            <w:tcW w:w="2466" w:type="dxa"/>
            <w:vAlign w:val="center"/>
          </w:tcPr>
          <w:p w14:paraId="4AD8E790">
            <w:pPr>
              <w:spacing w:line="360" w:lineRule="auto"/>
              <w:ind w:firstLine="31" w:firstLineChars="13"/>
              <w:jc w:val="center"/>
              <w:rPr>
                <w:rFonts w:ascii="宋体" w:hAnsi="宋体" w:cs="宋体"/>
                <w:color w:val="auto"/>
                <w:sz w:val="24"/>
                <w:szCs w:val="24"/>
                <w:highlight w:val="none"/>
              </w:rPr>
            </w:pPr>
            <w:r>
              <w:rPr>
                <w:rFonts w:hint="eastAsia" w:ascii="宋体" w:hAnsi="宋体" w:cs="宋体"/>
                <w:color w:val="auto"/>
                <w:sz w:val="24"/>
                <w:szCs w:val="24"/>
                <w:highlight w:val="none"/>
              </w:rPr>
              <w:t>5000万元以上</w:t>
            </w:r>
          </w:p>
        </w:tc>
        <w:tc>
          <w:tcPr>
            <w:tcW w:w="5967" w:type="dxa"/>
            <w:vAlign w:val="center"/>
          </w:tcPr>
          <w:p w14:paraId="3D39F8CA">
            <w:pPr>
              <w:spacing w:line="360" w:lineRule="auto"/>
              <w:ind w:firstLine="504" w:firstLineChars="210"/>
              <w:jc w:val="center"/>
              <w:rPr>
                <w:rFonts w:ascii="宋体" w:hAnsi="宋体" w:cs="宋体"/>
                <w:color w:val="auto"/>
                <w:sz w:val="24"/>
                <w:szCs w:val="24"/>
                <w:highlight w:val="none"/>
              </w:rPr>
            </w:pPr>
            <w:r>
              <w:rPr>
                <w:rFonts w:hint="eastAsia" w:ascii="宋体" w:hAnsi="宋体" w:cs="宋体"/>
                <w:color w:val="auto"/>
                <w:sz w:val="24"/>
                <w:szCs w:val="24"/>
                <w:highlight w:val="none"/>
              </w:rPr>
              <w:t>从接到竣工结算报告和完整的竣工结算资料之日起60天</w:t>
            </w:r>
          </w:p>
        </w:tc>
      </w:tr>
    </w:tbl>
    <w:p w14:paraId="6858629D">
      <w:pPr>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因承包人提供的结算资料不完整而需要补充或承包人不按时对账耽误时间时，审查时间应相应顺延。</w:t>
      </w:r>
    </w:p>
    <w:p w14:paraId="6EE0CBD7">
      <w:pPr>
        <w:spacing w:line="440" w:lineRule="exact"/>
        <w:ind w:firstLine="470" w:firstLineChars="196"/>
        <w:rPr>
          <w:rFonts w:ascii="宋体" w:hAnsi="宋体" w:cs="宋体"/>
          <w:color w:val="auto"/>
          <w:sz w:val="24"/>
          <w:szCs w:val="24"/>
          <w:highlight w:val="none"/>
        </w:rPr>
      </w:pPr>
      <w:r>
        <w:rPr>
          <w:rFonts w:hint="eastAsia" w:ascii="宋体" w:hAnsi="宋体" w:cs="宋体"/>
          <w:color w:val="auto"/>
          <w:sz w:val="24"/>
          <w:szCs w:val="24"/>
          <w:highlight w:val="none"/>
        </w:rPr>
        <w:t>结算审核约定：</w:t>
      </w:r>
    </w:p>
    <w:p w14:paraId="3D0C4957">
      <w:pPr>
        <w:spacing w:line="440" w:lineRule="exact"/>
        <w:ind w:firstLine="470" w:firstLineChars="196"/>
        <w:rPr>
          <w:rFonts w:ascii="宋体" w:hAnsi="宋体" w:cs="宋体"/>
          <w:color w:val="auto"/>
          <w:sz w:val="24"/>
          <w:szCs w:val="24"/>
          <w:highlight w:val="none"/>
          <w:u w:val="single"/>
        </w:rPr>
      </w:pPr>
      <w:r>
        <w:rPr>
          <w:rFonts w:hint="eastAsia" w:ascii="宋体" w:hAnsi="宋体" w:cs="宋体"/>
          <w:color w:val="auto"/>
          <w:sz w:val="24"/>
          <w:szCs w:val="24"/>
          <w:highlight w:val="none"/>
        </w:rPr>
        <w:t>非国有投资项目：</w:t>
      </w:r>
      <w:r>
        <w:rPr>
          <w:rFonts w:hint="eastAsia" w:ascii="宋体" w:hAnsi="宋体" w:cs="宋体"/>
          <w:color w:val="auto"/>
          <w:sz w:val="24"/>
          <w:szCs w:val="24"/>
          <w:highlight w:val="none"/>
          <w:u w:val="single"/>
        </w:rPr>
        <w:t>1、工程竣工验收报告经发包人认可后20天内，承包人向发包人递交竣工验收合格资料及完整的结算资料和报告，双方按照协议书约定的合同价款及专用条款约定的合同价调整内容，进行工程竣工结算。2、发包人收到承包人递交的竣工结算报告及结算资料之日起   天内进行审核，给予确认或者提出初审意见。发包人逾期不予审定结算的视为发包人已同意上述竣工结算报告及结算资料，并以此作为最终结算的依据。发包人初审竣工结算完毕之日起  天内，按审定后的结算价款，通知经办银行向承包人申请工程竣工结算价款。承包人应根据发包人的需要随时将竣工工程交付发包人。</w:t>
      </w:r>
    </w:p>
    <w:p w14:paraId="46A1D726">
      <w:pPr>
        <w:spacing w:line="440" w:lineRule="exact"/>
        <w:ind w:firstLine="470" w:firstLineChars="196"/>
        <w:rPr>
          <w:rFonts w:ascii="宋体" w:hAnsi="宋体" w:cs="宋体"/>
          <w:color w:val="auto"/>
          <w:sz w:val="24"/>
          <w:szCs w:val="24"/>
          <w:highlight w:val="none"/>
        </w:rPr>
      </w:pPr>
      <w:r>
        <w:rPr>
          <w:rFonts w:hint="eastAsia" w:ascii="宋体" w:hAnsi="宋体" w:cs="宋体"/>
          <w:color w:val="auto"/>
          <w:sz w:val="24"/>
          <w:szCs w:val="24"/>
          <w:highlight w:val="none"/>
        </w:rPr>
        <w:t>国有投资项目：</w:t>
      </w:r>
      <w:r>
        <w:rPr>
          <w:rFonts w:hint="eastAsia" w:ascii="宋体" w:hAnsi="宋体" w:cs="宋体"/>
          <w:color w:val="auto"/>
          <w:sz w:val="24"/>
          <w:szCs w:val="24"/>
          <w:highlight w:val="none"/>
          <w:u w:val="single"/>
        </w:rPr>
        <w:t xml:space="preserve">（双方结合各地政府或有关部门出台的管理规定进行约定） </w:t>
      </w:r>
      <w:r>
        <w:rPr>
          <w:rFonts w:hint="eastAsia" w:ascii="宋体" w:hAnsi="宋体" w:cs="宋体"/>
          <w:color w:val="auto"/>
          <w:sz w:val="24"/>
          <w:szCs w:val="24"/>
          <w:highlight w:val="none"/>
        </w:rPr>
        <w:t xml:space="preserve">             </w:t>
      </w:r>
    </w:p>
    <w:p w14:paraId="0FD85F2E">
      <w:pPr>
        <w:spacing w:line="440" w:lineRule="exact"/>
        <w:ind w:firstLine="470" w:firstLineChars="196"/>
        <w:rPr>
          <w:rFonts w:ascii="宋体" w:hAnsi="宋体" w:cs="宋体"/>
          <w:color w:val="auto"/>
          <w:sz w:val="24"/>
          <w:szCs w:val="24"/>
          <w:highlight w:val="none"/>
        </w:rPr>
      </w:pPr>
      <w:bookmarkStart w:id="1097" w:name="_Toc407135264"/>
      <w:bookmarkStart w:id="1098" w:name="_Toc487632761"/>
      <w:bookmarkStart w:id="1099" w:name="_Toc373227761"/>
      <w:bookmarkStart w:id="1100" w:name="_Toc389065326"/>
      <w:bookmarkStart w:id="1101" w:name="_Toc373478408"/>
      <w:r>
        <w:rPr>
          <w:rFonts w:hint="eastAsia" w:ascii="宋体" w:hAnsi="宋体" w:cs="宋体"/>
          <w:color w:val="auto"/>
          <w:sz w:val="24"/>
          <w:szCs w:val="24"/>
          <w:highlight w:val="none"/>
        </w:rPr>
        <w:t>发包人完成竣工付款的期限：梧州市财政评审审定出具</w:t>
      </w:r>
      <w:r>
        <w:rPr>
          <w:rFonts w:hint="eastAsia" w:ascii="宋体" w:hAnsi="宋体" w:cs="宋体"/>
          <w:color w:val="auto"/>
          <w:sz w:val="24"/>
          <w:szCs w:val="24"/>
          <w:highlight w:val="none"/>
          <w:lang w:val="en-US" w:eastAsia="zh-CN"/>
        </w:rPr>
        <w:t>评审</w:t>
      </w:r>
      <w:r>
        <w:rPr>
          <w:rFonts w:hint="eastAsia" w:ascii="宋体" w:hAnsi="宋体" w:cs="宋体"/>
          <w:color w:val="auto"/>
          <w:sz w:val="24"/>
          <w:szCs w:val="24"/>
          <w:highlight w:val="none"/>
        </w:rPr>
        <w:t>结论及收到财政结算确认通知之日  。</w:t>
      </w:r>
    </w:p>
    <w:p w14:paraId="2CE7BE31">
      <w:pPr>
        <w:spacing w:line="440" w:lineRule="exact"/>
        <w:ind w:firstLine="470" w:firstLineChars="196"/>
        <w:rPr>
          <w:rFonts w:ascii="宋体" w:hAnsi="宋体" w:cs="宋体"/>
          <w:color w:val="auto"/>
          <w:sz w:val="24"/>
          <w:szCs w:val="24"/>
          <w:highlight w:val="none"/>
        </w:rPr>
      </w:pPr>
      <w:r>
        <w:rPr>
          <w:rFonts w:hint="eastAsia" w:ascii="宋体" w:hAnsi="宋体" w:cs="宋体"/>
          <w:color w:val="auto"/>
          <w:sz w:val="24"/>
          <w:szCs w:val="24"/>
          <w:highlight w:val="none"/>
        </w:rPr>
        <w:t>关于竣工付款证书异议部分复核的方式和程序：</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22CFE9E2">
      <w:pPr>
        <w:keepNext/>
        <w:keepLines/>
        <w:spacing w:before="120" w:after="120" w:line="440" w:lineRule="exact"/>
        <w:outlineLvl w:val="2"/>
        <w:rPr>
          <w:rFonts w:ascii="宋体" w:hAnsi="宋体" w:cs="宋体"/>
          <w:b/>
          <w:bCs/>
          <w:color w:val="auto"/>
          <w:sz w:val="24"/>
          <w:szCs w:val="24"/>
          <w:highlight w:val="none"/>
        </w:rPr>
      </w:pPr>
      <w:bookmarkStart w:id="1102" w:name="_Toc51599618"/>
      <w:r>
        <w:rPr>
          <w:rFonts w:hint="eastAsia" w:ascii="宋体" w:hAnsi="宋体" w:cs="宋体"/>
          <w:b/>
          <w:bCs/>
          <w:color w:val="auto"/>
          <w:sz w:val="24"/>
          <w:szCs w:val="24"/>
          <w:highlight w:val="none"/>
        </w:rPr>
        <w:t>14.4 最终结清</w:t>
      </w:r>
      <w:bookmarkEnd w:id="1097"/>
      <w:bookmarkEnd w:id="1098"/>
      <w:bookmarkEnd w:id="1099"/>
      <w:bookmarkEnd w:id="1100"/>
      <w:bookmarkEnd w:id="1101"/>
      <w:bookmarkEnd w:id="1102"/>
    </w:p>
    <w:p w14:paraId="5608DB9B">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14.4.1 最终结清申请单</w:t>
      </w:r>
    </w:p>
    <w:p w14:paraId="42A5C4BA">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承包人提交最终结清申请单的份数：</w:t>
      </w:r>
      <w:r>
        <w:rPr>
          <w:rFonts w:hint="eastAsia" w:ascii="宋体" w:hAnsi="宋体" w:cs="宋体"/>
          <w:color w:val="auto"/>
          <w:sz w:val="24"/>
          <w:szCs w:val="24"/>
          <w:highlight w:val="none"/>
          <w:u w:val="single"/>
        </w:rPr>
        <w:t xml:space="preserve">  一式肆份  </w:t>
      </w:r>
      <w:r>
        <w:rPr>
          <w:rFonts w:hint="eastAsia" w:ascii="宋体" w:hAnsi="宋体" w:cs="宋体"/>
          <w:color w:val="auto"/>
          <w:sz w:val="24"/>
          <w:szCs w:val="24"/>
          <w:highlight w:val="none"/>
        </w:rPr>
        <w:t>。</w:t>
      </w:r>
    </w:p>
    <w:p w14:paraId="79ABE5AA">
      <w:pPr>
        <w:spacing w:line="440" w:lineRule="exact"/>
        <w:ind w:firstLine="480" w:firstLineChars="200"/>
        <w:rPr>
          <w:rFonts w:ascii="宋体" w:hAnsi="宋体" w:cs="宋体"/>
          <w:color w:val="auto"/>
          <w:sz w:val="24"/>
          <w:szCs w:val="24"/>
          <w:highlight w:val="none"/>
        </w:rPr>
      </w:pPr>
      <w:r>
        <w:rPr>
          <w:rFonts w:hint="eastAsia" w:ascii="宋体" w:hAnsi="宋体" w:cs="宋体"/>
          <w:color w:val="auto"/>
          <w:kern w:val="0"/>
          <w:sz w:val="24"/>
          <w:szCs w:val="24"/>
          <w:highlight w:val="none"/>
        </w:rPr>
        <w:t>承包人提交最终结算申请单的期限：</w:t>
      </w:r>
      <w:r>
        <w:rPr>
          <w:rFonts w:hint="eastAsia" w:ascii="宋体" w:hAnsi="宋体" w:cs="宋体"/>
          <w:color w:val="auto"/>
          <w:sz w:val="24"/>
          <w:szCs w:val="24"/>
          <w:highlight w:val="none"/>
          <w:u w:val="single"/>
          <w:lang w:val="en-US" w:eastAsia="zh-CN"/>
        </w:rPr>
        <w:t>评审</w:t>
      </w:r>
      <w:r>
        <w:rPr>
          <w:rFonts w:hint="eastAsia" w:ascii="宋体" w:hAnsi="宋体" w:cs="宋体"/>
          <w:color w:val="auto"/>
          <w:sz w:val="24"/>
          <w:szCs w:val="24"/>
          <w:highlight w:val="none"/>
          <w:u w:val="single"/>
        </w:rPr>
        <w:t xml:space="preserve">确认结算价款且保修期满并签发终止保修书后  </w:t>
      </w:r>
      <w:r>
        <w:rPr>
          <w:rFonts w:hint="eastAsia" w:ascii="宋体" w:hAnsi="宋体" w:cs="宋体"/>
          <w:color w:val="auto"/>
          <w:sz w:val="24"/>
          <w:szCs w:val="24"/>
          <w:highlight w:val="none"/>
        </w:rPr>
        <w:t xml:space="preserve">。 </w:t>
      </w:r>
    </w:p>
    <w:p w14:paraId="6834B16E">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14.4.2 最终结清证书和支付</w:t>
      </w:r>
    </w:p>
    <w:p w14:paraId="1DCE7785">
      <w:pPr>
        <w:spacing w:line="440" w:lineRule="exact"/>
        <w:ind w:firstLine="420" w:firstLineChars="200"/>
        <w:rPr>
          <w:rFonts w:ascii="宋体" w:hAnsi="宋体" w:cs="宋体"/>
          <w:color w:val="auto"/>
          <w:kern w:val="0"/>
          <w:sz w:val="24"/>
          <w:szCs w:val="24"/>
          <w:highlight w:val="none"/>
        </w:rPr>
      </w:pPr>
      <w:r>
        <w:rPr>
          <w:rFonts w:hint="eastAsia" w:ascii="宋体" w:hAnsi="宋体" w:cs="宋体"/>
          <w:color w:val="auto"/>
          <w:highlight w:val="none"/>
        </w:rPr>
        <w:t>（</w:t>
      </w:r>
      <w:r>
        <w:rPr>
          <w:rFonts w:hint="eastAsia" w:ascii="宋体" w:hAnsi="宋体" w:cs="宋体"/>
          <w:color w:val="auto"/>
          <w:kern w:val="0"/>
          <w:sz w:val="24"/>
          <w:szCs w:val="24"/>
          <w:highlight w:val="none"/>
        </w:rPr>
        <w:t>1）发包人完成最终结清申请单的审批并颁发最终结清证书的期限：应在收到承包人提交的最终结清申请单并经相关单位（如市财政局、城管局）及部门确认后14天内。</w:t>
      </w:r>
    </w:p>
    <w:p w14:paraId="0515F49C">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（2）发包人完成支付的期限：发包人只支付梧州市万秀区财政局确认支付的结算金额。付款时间为梧州市</w:t>
      </w:r>
      <w:r>
        <w:rPr>
          <w:rFonts w:hint="eastAsia" w:ascii="宋体" w:hAnsi="宋体" w:cs="宋体"/>
          <w:color w:val="auto"/>
          <w:kern w:val="0"/>
          <w:sz w:val="24"/>
          <w:szCs w:val="24"/>
          <w:highlight w:val="none"/>
          <w:lang w:val="en-US" w:eastAsia="zh-CN"/>
        </w:rPr>
        <w:t>万秀区</w:t>
      </w:r>
      <w:r>
        <w:rPr>
          <w:rFonts w:hint="eastAsia" w:ascii="宋体" w:hAnsi="宋体" w:cs="宋体"/>
          <w:color w:val="auto"/>
          <w:kern w:val="0"/>
          <w:sz w:val="24"/>
          <w:szCs w:val="24"/>
          <w:highlight w:val="none"/>
        </w:rPr>
        <w:t>财政局审批并拨付资金到位后7天内（具体以梧州市</w:t>
      </w:r>
      <w:r>
        <w:rPr>
          <w:rFonts w:hint="eastAsia" w:ascii="宋体" w:hAnsi="宋体" w:cs="宋体"/>
          <w:color w:val="auto"/>
          <w:kern w:val="0"/>
          <w:sz w:val="24"/>
          <w:szCs w:val="24"/>
          <w:highlight w:val="none"/>
          <w:lang w:val="en-US" w:eastAsia="zh-CN"/>
        </w:rPr>
        <w:t>万秀区</w:t>
      </w:r>
      <w:r>
        <w:rPr>
          <w:rFonts w:hint="eastAsia" w:ascii="宋体" w:hAnsi="宋体" w:cs="宋体"/>
          <w:color w:val="auto"/>
          <w:kern w:val="0"/>
          <w:sz w:val="24"/>
          <w:szCs w:val="24"/>
          <w:highlight w:val="none"/>
        </w:rPr>
        <w:t>财政局拨付时间为准）。</w:t>
      </w:r>
    </w:p>
    <w:bookmarkEnd w:id="1053"/>
    <w:bookmarkEnd w:id="1054"/>
    <w:bookmarkEnd w:id="1055"/>
    <w:bookmarkEnd w:id="1056"/>
    <w:bookmarkEnd w:id="1057"/>
    <w:bookmarkEnd w:id="1058"/>
    <w:bookmarkEnd w:id="1059"/>
    <w:bookmarkEnd w:id="1065"/>
    <w:p w14:paraId="04966DB8">
      <w:pPr>
        <w:keepNext/>
        <w:keepLines/>
        <w:spacing w:before="120" w:after="120" w:line="440" w:lineRule="exact"/>
        <w:outlineLvl w:val="1"/>
        <w:rPr>
          <w:rFonts w:ascii="宋体" w:hAnsi="宋体" w:cs="宋体"/>
          <w:b/>
          <w:bCs/>
          <w:color w:val="auto"/>
          <w:sz w:val="24"/>
          <w:szCs w:val="24"/>
          <w:highlight w:val="none"/>
        </w:rPr>
      </w:pPr>
      <w:bookmarkStart w:id="1103" w:name="_Toc373227762"/>
      <w:bookmarkStart w:id="1104" w:name="_Toc487632762"/>
      <w:bookmarkStart w:id="1105" w:name="_Toc51599619"/>
      <w:bookmarkStart w:id="1106" w:name="_Toc407135265"/>
      <w:bookmarkStart w:id="1107" w:name="_Toc373478409"/>
      <w:bookmarkStart w:id="1108" w:name="_Toc351203647"/>
      <w:bookmarkStart w:id="1109" w:name="_Toc389065327"/>
      <w:bookmarkStart w:id="1110" w:name="_Toc267251483"/>
      <w:bookmarkStart w:id="1111" w:name="_Toc267251482"/>
      <w:bookmarkStart w:id="1112" w:name="_Toc267251484"/>
      <w:bookmarkStart w:id="1113" w:name="_Toc267251485"/>
      <w:bookmarkStart w:id="1114" w:name="_Toc267251488"/>
      <w:bookmarkStart w:id="1115" w:name="_Toc267251490"/>
      <w:bookmarkStart w:id="1116" w:name="_Toc267251486"/>
      <w:bookmarkStart w:id="1117" w:name="_Toc267251489"/>
      <w:bookmarkStart w:id="1118" w:name="_Toc267251494"/>
      <w:bookmarkStart w:id="1119" w:name="_Toc267251501"/>
      <w:bookmarkStart w:id="1120" w:name="_Toc267251498"/>
      <w:bookmarkStart w:id="1121" w:name="_Toc267251493"/>
      <w:bookmarkStart w:id="1122" w:name="_Toc267251491"/>
      <w:bookmarkStart w:id="1123" w:name="_Toc267251499"/>
      <w:bookmarkStart w:id="1124" w:name="_Toc267251502"/>
      <w:bookmarkStart w:id="1125" w:name="_Toc267251496"/>
      <w:bookmarkStart w:id="1126" w:name="_Toc267251503"/>
      <w:bookmarkStart w:id="1127" w:name="_Toc267251497"/>
      <w:bookmarkStart w:id="1128" w:name="_Toc267251495"/>
      <w:bookmarkStart w:id="1129" w:name="_Toc267251492"/>
      <w:bookmarkStart w:id="1130" w:name="_Toc267251506"/>
      <w:bookmarkStart w:id="1131" w:name="_Toc267251504"/>
      <w:bookmarkStart w:id="1132" w:name="_Toc267251507"/>
      <w:bookmarkStart w:id="1133" w:name="_Toc267251508"/>
      <w:bookmarkStart w:id="1134" w:name="_Toc267251511"/>
      <w:bookmarkStart w:id="1135" w:name="_Toc267251514"/>
      <w:bookmarkStart w:id="1136" w:name="_Toc267251515"/>
      <w:bookmarkStart w:id="1137" w:name="_Toc267251509"/>
      <w:bookmarkStart w:id="1138" w:name="_Toc267251513"/>
      <w:bookmarkStart w:id="1139" w:name="_Toc267251510"/>
      <w:r>
        <w:rPr>
          <w:rFonts w:hint="eastAsia" w:ascii="宋体" w:hAnsi="宋体" w:cs="宋体"/>
          <w:b/>
          <w:bCs/>
          <w:color w:val="auto"/>
          <w:sz w:val="24"/>
          <w:szCs w:val="24"/>
          <w:highlight w:val="none"/>
        </w:rPr>
        <w:t>15. 缺陷责任期与保修</w:t>
      </w:r>
      <w:bookmarkEnd w:id="1103"/>
      <w:bookmarkEnd w:id="1104"/>
      <w:bookmarkEnd w:id="1105"/>
      <w:bookmarkEnd w:id="1106"/>
      <w:bookmarkEnd w:id="1107"/>
      <w:bookmarkEnd w:id="1108"/>
      <w:bookmarkEnd w:id="1109"/>
    </w:p>
    <w:p w14:paraId="0F219B9A">
      <w:pPr>
        <w:keepNext/>
        <w:keepLines/>
        <w:spacing w:before="120" w:after="120" w:line="440" w:lineRule="exact"/>
        <w:outlineLvl w:val="2"/>
        <w:rPr>
          <w:rFonts w:ascii="宋体" w:hAnsi="宋体" w:cs="宋体"/>
          <w:b/>
          <w:bCs/>
          <w:color w:val="auto"/>
          <w:sz w:val="24"/>
          <w:szCs w:val="24"/>
          <w:highlight w:val="none"/>
        </w:rPr>
      </w:pPr>
      <w:bookmarkStart w:id="1140" w:name="_Toc389065328"/>
      <w:bookmarkStart w:id="1141" w:name="_Toc487632763"/>
      <w:bookmarkStart w:id="1142" w:name="_Toc373227763"/>
      <w:bookmarkStart w:id="1143" w:name="_Toc373478410"/>
      <w:bookmarkStart w:id="1144" w:name="_Toc407135266"/>
      <w:bookmarkStart w:id="1145" w:name="_Toc51599620"/>
      <w:r>
        <w:rPr>
          <w:rFonts w:hint="eastAsia" w:ascii="宋体" w:hAnsi="宋体" w:cs="宋体"/>
          <w:b/>
          <w:bCs/>
          <w:color w:val="auto"/>
          <w:sz w:val="24"/>
          <w:szCs w:val="24"/>
          <w:highlight w:val="none"/>
        </w:rPr>
        <w:t>15.2 缺陷责任期</w:t>
      </w:r>
      <w:bookmarkEnd w:id="1110"/>
      <w:bookmarkEnd w:id="1140"/>
      <w:bookmarkEnd w:id="1141"/>
      <w:bookmarkEnd w:id="1142"/>
      <w:bookmarkEnd w:id="1143"/>
      <w:bookmarkEnd w:id="1144"/>
      <w:bookmarkEnd w:id="1145"/>
    </w:p>
    <w:p w14:paraId="68422353">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缺陷责任期的具体期限：</w:t>
      </w:r>
      <w:r>
        <w:rPr>
          <w:rFonts w:hint="eastAsia" w:ascii="宋体" w:hAnsi="宋体" w:cs="宋体"/>
          <w:color w:val="auto"/>
          <w:sz w:val="24"/>
          <w:szCs w:val="24"/>
          <w:highlight w:val="none"/>
          <w:u w:val="single"/>
        </w:rPr>
        <w:t xml:space="preserve"> 12个月</w:t>
      </w:r>
      <w:r>
        <w:rPr>
          <w:rFonts w:hint="eastAsia" w:ascii="宋体" w:hAnsi="宋体" w:cs="宋体"/>
          <w:color w:val="auto"/>
          <w:sz w:val="24"/>
          <w:szCs w:val="24"/>
          <w:highlight w:val="none"/>
        </w:rPr>
        <w:t>。</w:t>
      </w:r>
    </w:p>
    <w:p w14:paraId="5E24C38C">
      <w:pPr>
        <w:keepNext/>
        <w:keepLines/>
        <w:spacing w:before="120" w:after="120" w:line="440" w:lineRule="exact"/>
        <w:outlineLvl w:val="2"/>
        <w:rPr>
          <w:rFonts w:ascii="宋体" w:hAnsi="宋体" w:cs="宋体"/>
          <w:b/>
          <w:bCs/>
          <w:color w:val="auto"/>
          <w:sz w:val="24"/>
          <w:szCs w:val="24"/>
          <w:highlight w:val="none"/>
        </w:rPr>
      </w:pPr>
      <w:bookmarkStart w:id="1146" w:name="_Toc373478411"/>
      <w:bookmarkStart w:id="1147" w:name="_Toc407135267"/>
      <w:bookmarkStart w:id="1148" w:name="_Toc51599621"/>
      <w:bookmarkStart w:id="1149" w:name="_Toc487632764"/>
      <w:bookmarkStart w:id="1150" w:name="_Toc373227764"/>
      <w:bookmarkStart w:id="1151" w:name="_Toc389065329"/>
      <w:r>
        <w:rPr>
          <w:rFonts w:hint="eastAsia" w:ascii="宋体" w:hAnsi="宋体" w:cs="宋体"/>
          <w:b/>
          <w:bCs/>
          <w:color w:val="auto"/>
          <w:sz w:val="24"/>
          <w:szCs w:val="24"/>
          <w:highlight w:val="none"/>
        </w:rPr>
        <w:t>15.3 质量保证金</w:t>
      </w:r>
      <w:bookmarkEnd w:id="1146"/>
      <w:bookmarkEnd w:id="1147"/>
      <w:bookmarkEnd w:id="1148"/>
      <w:bookmarkEnd w:id="1149"/>
      <w:bookmarkEnd w:id="1150"/>
      <w:bookmarkEnd w:id="1151"/>
    </w:p>
    <w:p w14:paraId="77FF12AE">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关于是否扣留质量保证金的约定：</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否</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6466C859">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15.3.1 承包人提供质量保证金的方式</w:t>
      </w:r>
    </w:p>
    <w:p w14:paraId="47CA752B">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质量保证金采用以下第</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2</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种方式：</w:t>
      </w:r>
    </w:p>
    <w:p w14:paraId="632302C4">
      <w:pPr>
        <w:autoSpaceDE w:val="0"/>
        <w:autoSpaceDN w:val="0"/>
        <w:adjustRightInd w:val="0"/>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（1）质量保证金保函，保证金额为：</w:t>
      </w:r>
      <w:r>
        <w:rPr>
          <w:rFonts w:hint="eastAsia" w:ascii="宋体" w:hAnsi="宋体" w:cs="宋体"/>
          <w:color w:val="auto"/>
          <w:kern w:val="0"/>
          <w:sz w:val="24"/>
          <w:szCs w:val="24"/>
          <w:highlight w:val="none"/>
          <w:u w:val="single"/>
        </w:rPr>
        <w:t xml:space="preserve">          /         </w:t>
      </w:r>
      <w:r>
        <w:rPr>
          <w:rFonts w:hint="eastAsia" w:ascii="宋体" w:hAnsi="宋体" w:cs="宋体"/>
          <w:color w:val="auto"/>
          <w:kern w:val="0"/>
          <w:sz w:val="24"/>
          <w:szCs w:val="24"/>
          <w:highlight w:val="none"/>
        </w:rPr>
        <w:t>；</w:t>
      </w:r>
    </w:p>
    <w:p w14:paraId="4B1BD07D">
      <w:pPr>
        <w:autoSpaceDE w:val="0"/>
        <w:autoSpaceDN w:val="0"/>
        <w:adjustRightInd w:val="0"/>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r>
        <w:rPr>
          <w:rFonts w:hint="eastAsia" w:ascii="宋体" w:hAnsi="宋体" w:cs="宋体"/>
          <w:color w:val="auto"/>
          <w:sz w:val="24"/>
          <w:szCs w:val="24"/>
          <w:highlight w:val="none"/>
        </w:rPr>
        <w:t>发包人按工程价款结算总额的</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2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%预留工程质量保修金，待缺陷责任期满后返还，是否付息及利息计算方式为：</w:t>
      </w:r>
      <w:r>
        <w:rPr>
          <w:rFonts w:hint="eastAsia" w:ascii="宋体" w:hAnsi="宋体" w:cs="宋体"/>
          <w:color w:val="auto"/>
          <w:sz w:val="24"/>
          <w:szCs w:val="24"/>
          <w:highlight w:val="none"/>
          <w:u w:val="single"/>
        </w:rPr>
        <w:t xml:space="preserve">      无          </w:t>
      </w:r>
      <w:r>
        <w:rPr>
          <w:rFonts w:hint="eastAsia" w:ascii="宋体" w:hAnsi="宋体" w:cs="宋体"/>
          <w:color w:val="auto"/>
          <w:kern w:val="0"/>
          <w:sz w:val="24"/>
          <w:szCs w:val="24"/>
          <w:highlight w:val="none"/>
        </w:rPr>
        <w:t>；</w:t>
      </w:r>
    </w:p>
    <w:p w14:paraId="4AF39C42">
      <w:pPr>
        <w:autoSpaceDE w:val="0"/>
        <w:autoSpaceDN w:val="0"/>
        <w:adjustRightInd w:val="0"/>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（3）其他方式：</w:t>
      </w:r>
      <w:r>
        <w:rPr>
          <w:rFonts w:hint="eastAsia" w:ascii="宋体" w:hAnsi="宋体" w:cs="宋体"/>
          <w:color w:val="auto"/>
          <w:sz w:val="24"/>
          <w:szCs w:val="24"/>
          <w:highlight w:val="none"/>
          <w:u w:val="single"/>
        </w:rPr>
        <w:t xml:space="preserve">                    无                           </w:t>
      </w:r>
      <w:r>
        <w:rPr>
          <w:rFonts w:hint="eastAsia" w:ascii="宋体" w:hAnsi="宋体" w:cs="宋体"/>
          <w:color w:val="auto"/>
          <w:sz w:val="24"/>
          <w:szCs w:val="24"/>
          <w:highlight w:val="none"/>
        </w:rPr>
        <w:t>。</w:t>
      </w:r>
    </w:p>
    <w:p w14:paraId="339CF32B">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15.3.2 质量保证金的扣留</w:t>
      </w:r>
    </w:p>
    <w:p w14:paraId="63D7D62C">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质量保证金的扣留采取以下第</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2</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种方式：</w:t>
      </w:r>
    </w:p>
    <w:p w14:paraId="6B94116E">
      <w:pPr>
        <w:autoSpaceDE w:val="0"/>
        <w:autoSpaceDN w:val="0"/>
        <w:adjustRightInd w:val="0"/>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（1）在支付工程进度款时逐次扣留，在此情形下，质量保证金的计算基数不包括预付款的支付、扣回以及价格调整的金额；</w:t>
      </w:r>
    </w:p>
    <w:p w14:paraId="6992095E">
      <w:pPr>
        <w:autoSpaceDE w:val="0"/>
        <w:autoSpaceDN w:val="0"/>
        <w:adjustRightInd w:val="0"/>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（2）工程竣工结算时一次性扣留质量保证金；</w:t>
      </w:r>
    </w:p>
    <w:p w14:paraId="5A97005B">
      <w:pPr>
        <w:autoSpaceDE w:val="0"/>
        <w:autoSpaceDN w:val="0"/>
        <w:adjustRightInd w:val="0"/>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（3）其他扣留方式:</w:t>
      </w:r>
      <w:r>
        <w:rPr>
          <w:rFonts w:hint="eastAsia" w:ascii="宋体" w:hAnsi="宋体" w:cs="宋体"/>
          <w:color w:val="auto"/>
          <w:kern w:val="0"/>
          <w:sz w:val="24"/>
          <w:szCs w:val="24"/>
          <w:highlight w:val="none"/>
          <w:u w:val="single"/>
        </w:rPr>
        <w:t xml:space="preserve">     无                                </w:t>
      </w:r>
      <w:r>
        <w:rPr>
          <w:rFonts w:hint="eastAsia" w:ascii="宋体" w:hAnsi="宋体" w:cs="宋体"/>
          <w:color w:val="auto"/>
          <w:kern w:val="0"/>
          <w:sz w:val="24"/>
          <w:szCs w:val="24"/>
          <w:highlight w:val="none"/>
        </w:rPr>
        <w:t>。</w:t>
      </w:r>
    </w:p>
    <w:p w14:paraId="1BE8ABBB">
      <w:pPr>
        <w:spacing w:line="440" w:lineRule="exact"/>
        <w:ind w:firstLine="480" w:firstLineChars="200"/>
        <w:rPr>
          <w:rFonts w:ascii="宋体" w:hAnsi="宋体" w:cs="宋体"/>
          <w:color w:val="auto"/>
          <w:kern w:val="0"/>
          <w:sz w:val="24"/>
          <w:szCs w:val="24"/>
          <w:highlight w:val="none"/>
          <w:u w:val="single"/>
        </w:rPr>
      </w:pPr>
      <w:r>
        <w:rPr>
          <w:rFonts w:hint="eastAsia" w:ascii="宋体" w:hAnsi="宋体" w:cs="宋体"/>
          <w:color w:val="auto"/>
          <w:sz w:val="24"/>
          <w:szCs w:val="24"/>
          <w:highlight w:val="none"/>
        </w:rPr>
        <w:t>关于质量保证金的补充约定：</w:t>
      </w:r>
      <w:r>
        <w:rPr>
          <w:rFonts w:hint="eastAsia" w:ascii="宋体" w:hAnsi="宋体" w:cs="宋体"/>
          <w:color w:val="auto"/>
          <w:kern w:val="0"/>
          <w:sz w:val="24"/>
          <w:szCs w:val="24"/>
          <w:highlight w:val="none"/>
          <w:u w:val="single"/>
        </w:rPr>
        <w:t xml:space="preserve">     无                     </w:t>
      </w:r>
      <w:r>
        <w:rPr>
          <w:rFonts w:hint="eastAsia" w:ascii="宋体" w:hAnsi="宋体" w:cs="宋体"/>
          <w:color w:val="auto"/>
          <w:kern w:val="0"/>
          <w:sz w:val="24"/>
          <w:szCs w:val="24"/>
          <w:highlight w:val="none"/>
        </w:rPr>
        <w:t>。</w:t>
      </w:r>
    </w:p>
    <w:bookmarkEnd w:id="1111"/>
    <w:bookmarkEnd w:id="1112"/>
    <w:p w14:paraId="21C6CF09">
      <w:pPr>
        <w:keepNext/>
        <w:keepLines/>
        <w:spacing w:before="120" w:after="120" w:line="440" w:lineRule="exact"/>
        <w:outlineLvl w:val="2"/>
        <w:rPr>
          <w:rFonts w:ascii="宋体" w:hAnsi="宋体" w:cs="宋体"/>
          <w:b/>
          <w:bCs/>
          <w:color w:val="auto"/>
          <w:sz w:val="24"/>
          <w:szCs w:val="24"/>
          <w:highlight w:val="none"/>
        </w:rPr>
      </w:pPr>
      <w:bookmarkStart w:id="1152" w:name="_Toc407135268"/>
      <w:bookmarkStart w:id="1153" w:name="_Toc373478412"/>
      <w:bookmarkStart w:id="1154" w:name="_Toc487632765"/>
      <w:bookmarkStart w:id="1155" w:name="_Toc51599622"/>
      <w:bookmarkStart w:id="1156" w:name="_Toc389065330"/>
      <w:bookmarkStart w:id="1157" w:name="_Toc373227765"/>
      <w:r>
        <w:rPr>
          <w:rFonts w:hint="eastAsia" w:ascii="宋体" w:hAnsi="宋体" w:cs="宋体"/>
          <w:b/>
          <w:bCs/>
          <w:color w:val="auto"/>
          <w:sz w:val="24"/>
          <w:szCs w:val="24"/>
          <w:highlight w:val="none"/>
        </w:rPr>
        <w:t>15.4 保修</w:t>
      </w:r>
      <w:bookmarkEnd w:id="1152"/>
      <w:bookmarkEnd w:id="1153"/>
      <w:bookmarkEnd w:id="1154"/>
      <w:bookmarkEnd w:id="1155"/>
      <w:bookmarkEnd w:id="1156"/>
      <w:bookmarkEnd w:id="1157"/>
    </w:p>
    <w:bookmarkEnd w:id="1113"/>
    <w:p w14:paraId="242EFA66">
      <w:pPr>
        <w:spacing w:line="440" w:lineRule="exact"/>
        <w:ind w:firstLine="468" w:firstLineChars="195"/>
        <w:rPr>
          <w:rFonts w:ascii="宋体" w:hAnsi="宋体" w:cs="宋体"/>
          <w:color w:val="auto"/>
          <w:sz w:val="24"/>
          <w:szCs w:val="24"/>
          <w:highlight w:val="none"/>
        </w:rPr>
      </w:pPr>
      <w:r>
        <w:rPr>
          <w:rFonts w:hint="eastAsia" w:ascii="宋体" w:hAnsi="宋体" w:cs="宋体"/>
          <w:color w:val="auto"/>
          <w:sz w:val="24"/>
          <w:szCs w:val="24"/>
          <w:highlight w:val="none"/>
        </w:rPr>
        <w:t>15.4.1 保修责任</w:t>
      </w:r>
    </w:p>
    <w:bookmarkEnd w:id="1114"/>
    <w:bookmarkEnd w:id="1115"/>
    <w:bookmarkEnd w:id="1116"/>
    <w:bookmarkEnd w:id="1117"/>
    <w:p w14:paraId="2CBED1A9">
      <w:pPr>
        <w:spacing w:line="440" w:lineRule="exact"/>
        <w:ind w:firstLine="468" w:firstLineChars="195"/>
        <w:rPr>
          <w:rFonts w:ascii="宋体" w:hAnsi="宋体" w:cs="宋体"/>
          <w:color w:val="auto"/>
          <w:kern w:val="0"/>
          <w:sz w:val="24"/>
          <w:szCs w:val="24"/>
          <w:highlight w:val="none"/>
        </w:rPr>
      </w:pPr>
      <w:bookmarkStart w:id="1158" w:name="_Toc487632766"/>
      <w:bookmarkStart w:id="1159" w:name="_Toc389065331"/>
      <w:bookmarkStart w:id="1160" w:name="_Toc373227766"/>
      <w:bookmarkStart w:id="1161" w:name="_Toc373478413"/>
      <w:bookmarkStart w:id="1162" w:name="_Toc407135269"/>
      <w:bookmarkStart w:id="1163" w:name="_Toc351203648"/>
      <w:bookmarkStart w:id="1164" w:name="_Toc280868717"/>
      <w:bookmarkStart w:id="1165" w:name="_Toc280868718"/>
      <w:r>
        <w:rPr>
          <w:rFonts w:hint="eastAsia" w:ascii="宋体" w:hAnsi="宋体" w:cs="宋体"/>
          <w:color w:val="auto"/>
          <w:sz w:val="24"/>
          <w:szCs w:val="24"/>
          <w:highlight w:val="none"/>
        </w:rPr>
        <w:t>工程保修期为：</w:t>
      </w:r>
      <w:r>
        <w:rPr>
          <w:rFonts w:hint="eastAsia" w:ascii="宋体" w:hAnsi="宋体" w:cs="宋体"/>
          <w:color w:val="auto"/>
          <w:kern w:val="0"/>
          <w:sz w:val="24"/>
          <w:szCs w:val="24"/>
          <w:highlight w:val="none"/>
          <w:u w:val="single"/>
        </w:rPr>
        <w:t xml:space="preserve">   执行《建设工程质量管理条例》规定     </w:t>
      </w:r>
      <w:r>
        <w:rPr>
          <w:rFonts w:hint="eastAsia" w:ascii="宋体" w:hAnsi="宋体" w:cs="宋体"/>
          <w:color w:val="auto"/>
          <w:kern w:val="0"/>
          <w:sz w:val="24"/>
          <w:szCs w:val="24"/>
          <w:highlight w:val="none"/>
        </w:rPr>
        <w:t>。</w:t>
      </w:r>
    </w:p>
    <w:p w14:paraId="0082EFC7">
      <w:pPr>
        <w:spacing w:line="440" w:lineRule="exact"/>
        <w:ind w:firstLine="468" w:firstLineChars="195"/>
        <w:rPr>
          <w:rFonts w:ascii="宋体" w:hAnsi="宋体" w:cs="宋体"/>
          <w:color w:val="auto"/>
          <w:kern w:val="0"/>
          <w:sz w:val="24"/>
          <w:szCs w:val="24"/>
          <w:highlight w:val="none"/>
          <w:u w:val="single"/>
        </w:rPr>
      </w:pPr>
      <w:r>
        <w:rPr>
          <w:rFonts w:hint="eastAsia" w:ascii="宋体" w:hAnsi="宋体" w:cs="宋体"/>
          <w:color w:val="auto"/>
          <w:sz w:val="24"/>
          <w:szCs w:val="24"/>
          <w:highlight w:val="none"/>
        </w:rPr>
        <w:t>工程保修书具体内容见合同附件8。</w:t>
      </w:r>
    </w:p>
    <w:p w14:paraId="46CB5CD5">
      <w:pPr>
        <w:spacing w:line="440" w:lineRule="exact"/>
        <w:ind w:firstLine="468" w:firstLineChars="195"/>
        <w:rPr>
          <w:rFonts w:ascii="宋体" w:hAnsi="宋体" w:cs="宋体"/>
          <w:color w:val="auto"/>
          <w:sz w:val="24"/>
          <w:szCs w:val="24"/>
          <w:highlight w:val="none"/>
        </w:rPr>
      </w:pPr>
      <w:r>
        <w:rPr>
          <w:rFonts w:hint="eastAsia" w:ascii="宋体" w:hAnsi="宋体" w:cs="宋体"/>
          <w:color w:val="auto"/>
          <w:sz w:val="24"/>
          <w:szCs w:val="24"/>
          <w:highlight w:val="none"/>
        </w:rPr>
        <w:t>15.4.3 修复通知</w:t>
      </w:r>
    </w:p>
    <w:p w14:paraId="191221E2">
      <w:pPr>
        <w:spacing w:line="440" w:lineRule="exact"/>
        <w:ind w:firstLine="468" w:firstLineChars="195"/>
        <w:rPr>
          <w:rFonts w:ascii="宋体" w:hAnsi="宋体" w:cs="宋体"/>
          <w:color w:val="auto"/>
          <w:kern w:val="0"/>
          <w:sz w:val="24"/>
          <w:szCs w:val="24"/>
          <w:highlight w:val="none"/>
          <w:u w:val="single"/>
        </w:rPr>
      </w:pPr>
      <w:r>
        <w:rPr>
          <w:rFonts w:hint="eastAsia" w:ascii="宋体" w:hAnsi="宋体" w:cs="宋体"/>
          <w:color w:val="auto"/>
          <w:kern w:val="0"/>
          <w:sz w:val="24"/>
          <w:szCs w:val="24"/>
          <w:highlight w:val="none"/>
        </w:rPr>
        <w:t>承包人收到保修通知并到达工程现场的合理时间：</w:t>
      </w:r>
      <w:r>
        <w:rPr>
          <w:rFonts w:hint="eastAsia" w:ascii="宋体" w:hAnsi="宋体" w:cs="宋体"/>
          <w:color w:val="auto"/>
          <w:kern w:val="0"/>
          <w:sz w:val="24"/>
          <w:szCs w:val="24"/>
          <w:highlight w:val="none"/>
          <w:u w:val="single"/>
        </w:rPr>
        <w:t xml:space="preserve">   3天内  </w:t>
      </w:r>
      <w:r>
        <w:rPr>
          <w:rFonts w:hint="eastAsia" w:ascii="宋体" w:hAnsi="宋体" w:cs="宋体"/>
          <w:color w:val="auto"/>
          <w:kern w:val="0"/>
          <w:sz w:val="24"/>
          <w:szCs w:val="24"/>
          <w:highlight w:val="none"/>
        </w:rPr>
        <w:t>。</w:t>
      </w:r>
    </w:p>
    <w:p w14:paraId="57DC2FAD">
      <w:pPr>
        <w:keepNext/>
        <w:keepLines/>
        <w:spacing w:before="120" w:after="120" w:line="440" w:lineRule="exact"/>
        <w:outlineLvl w:val="1"/>
        <w:rPr>
          <w:rFonts w:ascii="宋体" w:hAnsi="宋体" w:cs="宋体"/>
          <w:b/>
          <w:bCs/>
          <w:color w:val="auto"/>
          <w:sz w:val="24"/>
          <w:szCs w:val="24"/>
          <w:highlight w:val="none"/>
        </w:rPr>
      </w:pPr>
      <w:bookmarkStart w:id="1166" w:name="_Toc51599623"/>
      <w:r>
        <w:rPr>
          <w:rFonts w:hint="eastAsia" w:ascii="宋体" w:hAnsi="宋体" w:cs="宋体"/>
          <w:b/>
          <w:bCs/>
          <w:color w:val="auto"/>
          <w:sz w:val="24"/>
          <w:szCs w:val="24"/>
          <w:highlight w:val="none"/>
        </w:rPr>
        <w:t>16. 违约</w:t>
      </w:r>
      <w:bookmarkEnd w:id="1158"/>
      <w:bookmarkEnd w:id="1159"/>
      <w:bookmarkEnd w:id="1160"/>
      <w:bookmarkEnd w:id="1161"/>
      <w:bookmarkEnd w:id="1162"/>
      <w:bookmarkEnd w:id="1163"/>
      <w:bookmarkEnd w:id="1166"/>
    </w:p>
    <w:p w14:paraId="246BF511">
      <w:pPr>
        <w:keepNext/>
        <w:keepLines/>
        <w:spacing w:before="120" w:after="120" w:line="440" w:lineRule="exact"/>
        <w:outlineLvl w:val="2"/>
        <w:rPr>
          <w:rFonts w:ascii="宋体" w:hAnsi="宋体" w:cs="宋体"/>
          <w:b/>
          <w:bCs/>
          <w:color w:val="auto"/>
          <w:sz w:val="24"/>
          <w:szCs w:val="24"/>
          <w:highlight w:val="none"/>
        </w:rPr>
      </w:pPr>
      <w:bookmarkStart w:id="1167" w:name="_Toc51599624"/>
      <w:bookmarkStart w:id="1168" w:name="_Toc389065332"/>
      <w:bookmarkStart w:id="1169" w:name="_Toc487632767"/>
      <w:bookmarkStart w:id="1170" w:name="_Toc373227767"/>
      <w:bookmarkStart w:id="1171" w:name="_Toc373478414"/>
      <w:bookmarkStart w:id="1172" w:name="_Toc407135270"/>
      <w:r>
        <w:rPr>
          <w:rFonts w:hint="eastAsia" w:ascii="宋体" w:hAnsi="宋体" w:cs="宋体"/>
          <w:b/>
          <w:bCs/>
          <w:color w:val="auto"/>
          <w:sz w:val="24"/>
          <w:szCs w:val="24"/>
          <w:highlight w:val="none"/>
        </w:rPr>
        <w:t>16.1 发包人违约</w:t>
      </w:r>
      <w:bookmarkEnd w:id="1167"/>
      <w:bookmarkEnd w:id="1168"/>
      <w:bookmarkEnd w:id="1169"/>
      <w:bookmarkEnd w:id="1170"/>
      <w:bookmarkEnd w:id="1171"/>
      <w:bookmarkEnd w:id="1172"/>
    </w:p>
    <w:p w14:paraId="56457E9B">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16.1.1发包人违约的情形</w:t>
      </w:r>
    </w:p>
    <w:p w14:paraId="1929AE15">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发包人违约的其他情形：</w:t>
      </w:r>
      <w:r>
        <w:rPr>
          <w:rFonts w:hint="eastAsia" w:ascii="宋体" w:hAnsi="宋体" w:cs="宋体"/>
          <w:color w:val="auto"/>
          <w:kern w:val="0"/>
          <w:sz w:val="24"/>
          <w:szCs w:val="24"/>
          <w:highlight w:val="none"/>
          <w:u w:val="single"/>
        </w:rPr>
        <w:t xml:space="preserve">    </w:t>
      </w:r>
      <w:r>
        <w:rPr>
          <w:rFonts w:hint="eastAsia" w:ascii="宋体" w:hAnsi="宋体" w:cs="宋体"/>
          <w:color w:val="auto"/>
          <w:sz w:val="24"/>
          <w:szCs w:val="24"/>
          <w:highlight w:val="none"/>
          <w:u w:val="single"/>
        </w:rPr>
        <w:t>按通用条款执行</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w:t>
      </w:r>
    </w:p>
    <w:p w14:paraId="61898D9A">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16.1.2 发包人违约的责任</w:t>
      </w:r>
    </w:p>
    <w:p w14:paraId="19BB8A43">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发包人违约责任的承担方式和计算方法：</w:t>
      </w:r>
    </w:p>
    <w:p w14:paraId="165F1F65">
      <w:pPr>
        <w:spacing w:line="440" w:lineRule="exact"/>
        <w:ind w:firstLine="480" w:firstLineChars="200"/>
        <w:rPr>
          <w:rFonts w:ascii="宋体" w:hAnsi="宋体" w:cs="宋体"/>
          <w:color w:val="auto"/>
          <w:kern w:val="0"/>
          <w:sz w:val="24"/>
          <w:szCs w:val="24"/>
          <w:highlight w:val="none"/>
          <w:u w:val="single"/>
        </w:rPr>
      </w:pPr>
      <w:r>
        <w:rPr>
          <w:rFonts w:hint="eastAsia" w:ascii="宋体" w:hAnsi="宋体" w:cs="宋体"/>
          <w:color w:val="auto"/>
          <w:kern w:val="0"/>
          <w:sz w:val="24"/>
          <w:szCs w:val="24"/>
          <w:highlight w:val="none"/>
        </w:rPr>
        <w:t>（1）因发包人原因未能在计划开工日期前7天内下达开工通知的违约责任：</w:t>
      </w:r>
      <w:r>
        <w:rPr>
          <w:rFonts w:hint="eastAsia" w:ascii="宋体" w:hAnsi="宋体" w:cs="宋体"/>
          <w:color w:val="auto"/>
          <w:kern w:val="0"/>
          <w:sz w:val="24"/>
          <w:szCs w:val="24"/>
          <w:highlight w:val="none"/>
          <w:u w:val="single"/>
        </w:rPr>
        <w:t xml:space="preserve">    /    </w:t>
      </w:r>
      <w:r>
        <w:rPr>
          <w:rFonts w:hint="eastAsia" w:ascii="宋体" w:hAnsi="宋体" w:cs="宋体"/>
          <w:color w:val="auto"/>
          <w:kern w:val="0"/>
          <w:sz w:val="24"/>
          <w:szCs w:val="24"/>
          <w:highlight w:val="none"/>
        </w:rPr>
        <w:t>。</w:t>
      </w:r>
    </w:p>
    <w:p w14:paraId="65482413">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（2）因发包人原因未能按合同约定支付合同价款的违约责任：</w:t>
      </w:r>
      <w:r>
        <w:rPr>
          <w:rFonts w:hint="eastAsia" w:ascii="宋体" w:hAnsi="宋体" w:cs="宋体"/>
          <w:color w:val="auto"/>
          <w:kern w:val="0"/>
          <w:sz w:val="24"/>
          <w:szCs w:val="24"/>
          <w:highlight w:val="none"/>
          <w:u w:val="single"/>
        </w:rPr>
        <w:t xml:space="preserve">        /        </w:t>
      </w:r>
      <w:r>
        <w:rPr>
          <w:rFonts w:hint="eastAsia" w:ascii="宋体" w:hAnsi="宋体" w:cs="宋体"/>
          <w:color w:val="auto"/>
          <w:kern w:val="0"/>
          <w:sz w:val="24"/>
          <w:szCs w:val="24"/>
          <w:highlight w:val="none"/>
        </w:rPr>
        <w:t>。</w:t>
      </w:r>
    </w:p>
    <w:p w14:paraId="5FAE102E">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（3）发包人违反第10.1款〔变更的范围〕第（2）项约定，自行实施被取消的工作或转由他人实施的违约责任：</w:t>
      </w:r>
      <w:r>
        <w:rPr>
          <w:rFonts w:hint="eastAsia" w:ascii="宋体" w:hAnsi="宋体" w:cs="宋体"/>
          <w:color w:val="auto"/>
          <w:kern w:val="0"/>
          <w:sz w:val="24"/>
          <w:szCs w:val="24"/>
          <w:highlight w:val="none"/>
          <w:u w:val="single"/>
        </w:rPr>
        <w:t xml:space="preserve">             /                 </w:t>
      </w:r>
      <w:r>
        <w:rPr>
          <w:rFonts w:hint="eastAsia" w:ascii="宋体" w:hAnsi="宋体" w:cs="宋体"/>
          <w:color w:val="auto"/>
          <w:kern w:val="0"/>
          <w:sz w:val="24"/>
          <w:szCs w:val="24"/>
          <w:highlight w:val="none"/>
        </w:rPr>
        <w:t>。</w:t>
      </w:r>
    </w:p>
    <w:p w14:paraId="691B7A8F">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（4）发包人提供的材料、工程设备的规格、数量或质量不符合合同约定，或因发包人原因导致交货日期延误或交货地点变更等情况的违约责任：</w:t>
      </w:r>
      <w:r>
        <w:rPr>
          <w:rFonts w:hint="eastAsia" w:ascii="宋体" w:hAnsi="宋体" w:cs="宋体"/>
          <w:color w:val="auto"/>
          <w:kern w:val="0"/>
          <w:sz w:val="24"/>
          <w:szCs w:val="24"/>
          <w:highlight w:val="none"/>
          <w:u w:val="single"/>
        </w:rPr>
        <w:t xml:space="preserve">       /       </w:t>
      </w:r>
      <w:r>
        <w:rPr>
          <w:rFonts w:hint="eastAsia" w:ascii="宋体" w:hAnsi="宋体" w:cs="宋体"/>
          <w:color w:val="auto"/>
          <w:kern w:val="0"/>
          <w:sz w:val="24"/>
          <w:szCs w:val="24"/>
          <w:highlight w:val="none"/>
        </w:rPr>
        <w:t>。</w:t>
      </w:r>
    </w:p>
    <w:p w14:paraId="21B4493C">
      <w:pPr>
        <w:spacing w:line="440" w:lineRule="exact"/>
        <w:ind w:firstLine="480" w:firstLineChars="200"/>
        <w:rPr>
          <w:rFonts w:ascii="宋体" w:hAnsi="宋体" w:cs="宋体"/>
          <w:color w:val="auto"/>
          <w:kern w:val="0"/>
          <w:sz w:val="24"/>
          <w:szCs w:val="24"/>
          <w:highlight w:val="none"/>
          <w:u w:val="single"/>
        </w:rPr>
      </w:pPr>
      <w:r>
        <w:rPr>
          <w:rFonts w:hint="eastAsia" w:ascii="宋体" w:hAnsi="宋体" w:cs="宋体"/>
          <w:color w:val="auto"/>
          <w:kern w:val="0"/>
          <w:sz w:val="24"/>
          <w:szCs w:val="24"/>
          <w:highlight w:val="none"/>
        </w:rPr>
        <w:t>（5）因发包人违反合同约定造成暂停施工的违约责任：</w:t>
      </w:r>
      <w:r>
        <w:rPr>
          <w:rFonts w:hint="eastAsia" w:ascii="宋体" w:hAnsi="宋体" w:cs="宋体"/>
          <w:color w:val="auto"/>
          <w:kern w:val="0"/>
          <w:sz w:val="24"/>
          <w:szCs w:val="24"/>
          <w:highlight w:val="none"/>
          <w:u w:val="single"/>
        </w:rPr>
        <w:t xml:space="preserve">        /        </w:t>
      </w:r>
      <w:r>
        <w:rPr>
          <w:rFonts w:hint="eastAsia" w:ascii="宋体" w:hAnsi="宋体" w:cs="宋体"/>
          <w:color w:val="auto"/>
          <w:kern w:val="0"/>
          <w:sz w:val="24"/>
          <w:szCs w:val="24"/>
          <w:highlight w:val="none"/>
        </w:rPr>
        <w:t>。</w:t>
      </w:r>
    </w:p>
    <w:p w14:paraId="48E669BA">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（6）发包人无正当理由没有在约定期限内发出复工指示，导致承包人无法复工的违约责任：</w:t>
      </w:r>
      <w:r>
        <w:rPr>
          <w:rFonts w:hint="eastAsia" w:ascii="宋体" w:hAnsi="宋体" w:cs="宋体"/>
          <w:color w:val="auto"/>
          <w:kern w:val="0"/>
          <w:sz w:val="24"/>
          <w:szCs w:val="24"/>
          <w:highlight w:val="none"/>
          <w:u w:val="single"/>
        </w:rPr>
        <w:t xml:space="preserve">  /    </w:t>
      </w:r>
      <w:r>
        <w:rPr>
          <w:rFonts w:hint="eastAsia" w:ascii="宋体" w:hAnsi="宋体" w:cs="宋体"/>
          <w:color w:val="auto"/>
          <w:kern w:val="0"/>
          <w:sz w:val="24"/>
          <w:szCs w:val="24"/>
          <w:highlight w:val="none"/>
        </w:rPr>
        <w:t>。</w:t>
      </w:r>
    </w:p>
    <w:p w14:paraId="1C51EBB8">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（7）其他：</w:t>
      </w:r>
      <w:r>
        <w:rPr>
          <w:rFonts w:hint="eastAsia" w:ascii="宋体" w:hAnsi="宋体" w:cs="宋体"/>
          <w:color w:val="auto"/>
          <w:kern w:val="0"/>
          <w:sz w:val="24"/>
          <w:szCs w:val="24"/>
          <w:highlight w:val="none"/>
          <w:u w:val="single"/>
        </w:rPr>
        <w:t xml:space="preserve">          /            </w:t>
      </w:r>
      <w:r>
        <w:rPr>
          <w:rFonts w:hint="eastAsia" w:ascii="宋体" w:hAnsi="宋体" w:cs="宋体"/>
          <w:color w:val="auto"/>
          <w:kern w:val="0"/>
          <w:sz w:val="24"/>
          <w:szCs w:val="24"/>
          <w:highlight w:val="none"/>
        </w:rPr>
        <w:t>。</w:t>
      </w:r>
    </w:p>
    <w:p w14:paraId="77F4CDE7">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16.1.3 因发包人违约解除合同</w:t>
      </w:r>
    </w:p>
    <w:p w14:paraId="0361926A">
      <w:pPr>
        <w:autoSpaceDE w:val="0"/>
        <w:autoSpaceDN w:val="0"/>
        <w:adjustRightInd w:val="0"/>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承包人按16.1.1项〔发包人违约的情形〕约定暂停施工满</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天后发包人仍不纠正其违约行为并致使合同目的不能实现的，承包人有权解除合同。</w:t>
      </w:r>
    </w:p>
    <w:p w14:paraId="252DAC58">
      <w:pPr>
        <w:keepNext/>
        <w:keepLines/>
        <w:spacing w:before="120" w:after="120" w:line="440" w:lineRule="exact"/>
        <w:outlineLvl w:val="2"/>
        <w:rPr>
          <w:rFonts w:ascii="宋体" w:hAnsi="宋体" w:cs="宋体"/>
          <w:b/>
          <w:bCs/>
          <w:color w:val="auto"/>
          <w:sz w:val="24"/>
          <w:szCs w:val="24"/>
          <w:highlight w:val="none"/>
        </w:rPr>
      </w:pPr>
      <w:bookmarkStart w:id="1173" w:name="_Toc373478415"/>
      <w:bookmarkStart w:id="1174" w:name="_Toc51599625"/>
      <w:bookmarkStart w:id="1175" w:name="_Toc487632768"/>
      <w:bookmarkStart w:id="1176" w:name="_Toc389065333"/>
      <w:bookmarkStart w:id="1177" w:name="_Toc373227768"/>
      <w:bookmarkStart w:id="1178" w:name="_Toc407135271"/>
      <w:r>
        <w:rPr>
          <w:rFonts w:hint="eastAsia" w:ascii="宋体" w:hAnsi="宋体" w:cs="宋体"/>
          <w:b/>
          <w:bCs/>
          <w:color w:val="auto"/>
          <w:sz w:val="24"/>
          <w:szCs w:val="24"/>
          <w:highlight w:val="none"/>
        </w:rPr>
        <w:t>16.2 承包人违约</w:t>
      </w:r>
      <w:bookmarkEnd w:id="1173"/>
      <w:bookmarkEnd w:id="1174"/>
      <w:bookmarkEnd w:id="1175"/>
      <w:bookmarkEnd w:id="1176"/>
      <w:bookmarkEnd w:id="1177"/>
      <w:bookmarkEnd w:id="1178"/>
    </w:p>
    <w:p w14:paraId="517171D9">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16.2.1 承包人违约的情形</w:t>
      </w:r>
    </w:p>
    <w:p w14:paraId="1F752934">
      <w:pPr>
        <w:spacing w:line="440" w:lineRule="exact"/>
        <w:ind w:firstLine="480" w:firstLineChars="200"/>
        <w:rPr>
          <w:rFonts w:ascii="宋体" w:hAnsi="宋体" w:cs="宋体"/>
          <w:color w:val="auto"/>
          <w:kern w:val="0"/>
          <w:sz w:val="24"/>
          <w:szCs w:val="24"/>
          <w:highlight w:val="none"/>
          <w:u w:val="single"/>
        </w:rPr>
      </w:pPr>
      <w:r>
        <w:rPr>
          <w:rFonts w:hint="eastAsia" w:ascii="宋体" w:hAnsi="宋体" w:cs="宋体"/>
          <w:color w:val="auto"/>
          <w:kern w:val="0"/>
          <w:sz w:val="24"/>
          <w:szCs w:val="24"/>
          <w:highlight w:val="none"/>
        </w:rPr>
        <w:t>承包人违约的其他情形：</w:t>
      </w:r>
      <w:r>
        <w:rPr>
          <w:rFonts w:hint="eastAsia" w:ascii="宋体" w:hAnsi="宋体" w:cs="宋体"/>
          <w:color w:val="auto"/>
          <w:kern w:val="0"/>
          <w:sz w:val="24"/>
          <w:szCs w:val="24"/>
          <w:highlight w:val="none"/>
          <w:u w:val="single"/>
        </w:rPr>
        <w:t xml:space="preserve">   非承包人原因发生的工程事故，承包人不积极采取措施，导致经济损失扩大  </w:t>
      </w:r>
      <w:r>
        <w:rPr>
          <w:rFonts w:hint="eastAsia" w:ascii="宋体" w:hAnsi="宋体" w:cs="宋体"/>
          <w:color w:val="auto"/>
          <w:kern w:val="0"/>
          <w:sz w:val="24"/>
          <w:szCs w:val="24"/>
          <w:highlight w:val="none"/>
        </w:rPr>
        <w:t>。</w:t>
      </w:r>
    </w:p>
    <w:p w14:paraId="7FD24609">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16.2.2承包人违约的责任</w:t>
      </w:r>
    </w:p>
    <w:p w14:paraId="43BA6725">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承包人违约责任的承担方式和计算方法：</w:t>
      </w:r>
    </w:p>
    <w:p w14:paraId="1E37096C">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承包人未按本合同通用条款第16.2.1（2）、（3）条内容完成的，承包人无条件返工处理，修复至工程质量要求并承担相关费用，并在发包人规定的时间内完成返工，否则发包人有权扣罚该分项工程2%的工程款作为处罚。</w:t>
      </w:r>
    </w:p>
    <w:p w14:paraId="22622063">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（2）承包人有本合同通用条款第16.2.1（6）条情形的，或经监理人检验认为修复质量不合格而承包人拒绝再进行修补的，发包人将扣除承包人全部质量保修金。</w:t>
      </w:r>
    </w:p>
    <w:p w14:paraId="39DC54E3">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3）承包人有本专用合同条款3.2、3.3条违约责任的，发包人有权扣除承包人的违约金。监理人预先下发含有罚款意向的指令，如承包人不及时采取措施纠正，则在指令下达后十五天下发罚款通知书（不再陈述罚款理由）。承包人在合同期内，完成合同规定的全部工程，且质量合格，在本工程施工竣工验收后十五天内可申请返还全部或部分罚款，返还金额由监理人审核，发包人批准。罚款金额返还时不包括银行利息。</w:t>
      </w:r>
    </w:p>
    <w:p w14:paraId="3CADC7F2">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16.2.3 因承包人违约解除合同</w:t>
      </w:r>
    </w:p>
    <w:p w14:paraId="55784B51">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关于承包人违约解除合同的特别约定：</w:t>
      </w:r>
      <w:r>
        <w:rPr>
          <w:rFonts w:hint="eastAsia" w:ascii="宋体" w:hAnsi="宋体" w:cs="宋体"/>
          <w:color w:val="auto"/>
          <w:kern w:val="0"/>
          <w:sz w:val="24"/>
          <w:szCs w:val="24"/>
          <w:highlight w:val="none"/>
          <w:u w:val="single"/>
        </w:rPr>
        <w:t>承包人有违反以下情况之一的，发包人有权解除合同</w:t>
      </w:r>
      <w:r>
        <w:rPr>
          <w:rFonts w:hint="eastAsia" w:ascii="宋体" w:hAnsi="宋体" w:cs="宋体"/>
          <w:color w:val="auto"/>
          <w:kern w:val="0"/>
          <w:sz w:val="24"/>
          <w:szCs w:val="24"/>
          <w:highlight w:val="none"/>
        </w:rPr>
        <w:t>。</w:t>
      </w:r>
    </w:p>
    <w:p w14:paraId="25E1240A">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(1)承包人无正当理由不按开工通知的要求及时进场组织施工和不按签订协议书时商定的进度计划有效地开展施工准备，造成工期延误的；</w:t>
      </w:r>
    </w:p>
    <w:p w14:paraId="6D8C7295">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(2)承包人违反本合同通用条款第3.5条规定私自将合同或合同的任何部分或任何权利转让给其他人，或私自将工程或工程的一部分分包出去的；</w:t>
      </w:r>
    </w:p>
    <w:p w14:paraId="0CD7CF8A">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(3)未经监理人批准，承包人私自将已按投标文件承诺进入工地的工程设备、施工设备、临时工程或材料撤离工地的；</w:t>
      </w:r>
    </w:p>
    <w:p w14:paraId="61D41348">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(4)由于承包人原因拒绝按合同进度计划及时完成合同规定的工程，而又未采取有效措施赶上进度，造成工期严重延误的；</w:t>
      </w:r>
    </w:p>
    <w:p w14:paraId="416D6A33">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(5)承包人否认合同有效或拒绝履行合同规定的承包人义务，或由于法律、财务等原因导致承包人无法继续履行或实质上已停止履行合同的义务的；</w:t>
      </w:r>
    </w:p>
    <w:p w14:paraId="0D6145F5">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(6)合同签订之日起十五日内，承包人无法按合同规定及投标文件的承诺进场经监理工程师认可的全部人员和机械的。</w:t>
      </w:r>
    </w:p>
    <w:p w14:paraId="2C74B6EB">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发包人继续使用承包人在施工现场的材料、设备、临时工程、承包人文件和由承包人或以其名义编制的其他文件的费用承担方式：</w:t>
      </w:r>
      <w:r>
        <w:rPr>
          <w:rFonts w:hint="eastAsia" w:ascii="宋体" w:hAnsi="宋体" w:cs="宋体"/>
          <w:color w:val="auto"/>
          <w:kern w:val="0"/>
          <w:sz w:val="24"/>
          <w:szCs w:val="24"/>
          <w:highlight w:val="none"/>
          <w:u w:val="single"/>
        </w:rPr>
        <w:t xml:space="preserve">      费用另行约定，由发包人承担        </w:t>
      </w:r>
      <w:r>
        <w:rPr>
          <w:rFonts w:hint="eastAsia" w:ascii="宋体" w:hAnsi="宋体" w:cs="宋体"/>
          <w:color w:val="auto"/>
          <w:kern w:val="0"/>
          <w:sz w:val="24"/>
          <w:szCs w:val="24"/>
          <w:highlight w:val="none"/>
        </w:rPr>
        <w:t>。</w:t>
      </w:r>
    </w:p>
    <w:p w14:paraId="5F52E246">
      <w:pPr>
        <w:keepNext/>
        <w:keepLines/>
        <w:spacing w:before="120" w:after="120" w:line="440" w:lineRule="exact"/>
        <w:outlineLvl w:val="1"/>
        <w:rPr>
          <w:rFonts w:ascii="宋体" w:hAnsi="宋体" w:cs="宋体"/>
          <w:b/>
          <w:bCs/>
          <w:color w:val="auto"/>
          <w:sz w:val="24"/>
          <w:szCs w:val="24"/>
          <w:highlight w:val="none"/>
        </w:rPr>
      </w:pPr>
      <w:bookmarkStart w:id="1179" w:name="_Toc407135272"/>
      <w:bookmarkStart w:id="1180" w:name="_Toc389065334"/>
      <w:bookmarkStart w:id="1181" w:name="_Toc51599626"/>
      <w:bookmarkStart w:id="1182" w:name="_Toc373227769"/>
      <w:bookmarkStart w:id="1183" w:name="_Toc487632769"/>
      <w:bookmarkStart w:id="1184" w:name="_Toc373478416"/>
      <w:bookmarkStart w:id="1185" w:name="_Toc351203649"/>
      <w:r>
        <w:rPr>
          <w:rFonts w:hint="eastAsia" w:ascii="宋体" w:hAnsi="宋体" w:cs="宋体"/>
          <w:b/>
          <w:bCs/>
          <w:color w:val="auto"/>
          <w:sz w:val="24"/>
          <w:szCs w:val="24"/>
          <w:highlight w:val="none"/>
        </w:rPr>
        <w:t>17. 不可抗力</w:t>
      </w:r>
      <w:bookmarkEnd w:id="1179"/>
      <w:bookmarkEnd w:id="1180"/>
      <w:bookmarkEnd w:id="1181"/>
      <w:bookmarkEnd w:id="1182"/>
      <w:bookmarkEnd w:id="1183"/>
      <w:bookmarkEnd w:id="1184"/>
      <w:bookmarkEnd w:id="1185"/>
      <w:r>
        <w:rPr>
          <w:rFonts w:hint="eastAsia" w:ascii="宋体" w:hAnsi="宋体" w:cs="宋体"/>
          <w:b/>
          <w:bCs/>
          <w:color w:val="auto"/>
          <w:sz w:val="24"/>
          <w:szCs w:val="24"/>
          <w:highlight w:val="none"/>
        </w:rPr>
        <w:t xml:space="preserve"> </w:t>
      </w:r>
      <w:bookmarkEnd w:id="1164"/>
    </w:p>
    <w:p w14:paraId="4776104E">
      <w:pPr>
        <w:keepNext/>
        <w:keepLines/>
        <w:spacing w:before="120" w:after="120" w:line="440" w:lineRule="exact"/>
        <w:outlineLvl w:val="2"/>
        <w:rPr>
          <w:rFonts w:ascii="宋体" w:hAnsi="宋体" w:cs="宋体"/>
          <w:b/>
          <w:bCs/>
          <w:color w:val="auto"/>
          <w:sz w:val="24"/>
          <w:szCs w:val="24"/>
          <w:highlight w:val="none"/>
        </w:rPr>
      </w:pPr>
      <w:bookmarkStart w:id="1186" w:name="_Toc407135273"/>
      <w:bookmarkStart w:id="1187" w:name="_Toc373478417"/>
      <w:bookmarkStart w:id="1188" w:name="_Toc51599627"/>
      <w:bookmarkStart w:id="1189" w:name="_Toc389065335"/>
      <w:bookmarkStart w:id="1190" w:name="_Toc373227770"/>
      <w:bookmarkStart w:id="1191" w:name="_Toc487632770"/>
      <w:r>
        <w:rPr>
          <w:rFonts w:hint="eastAsia" w:ascii="宋体" w:hAnsi="宋体" w:cs="宋体"/>
          <w:b/>
          <w:bCs/>
          <w:color w:val="auto"/>
          <w:sz w:val="24"/>
          <w:szCs w:val="24"/>
          <w:highlight w:val="none"/>
        </w:rPr>
        <w:t>17.1 不可抗力的确认</w:t>
      </w:r>
      <w:bookmarkEnd w:id="1186"/>
      <w:bookmarkEnd w:id="1187"/>
      <w:bookmarkEnd w:id="1188"/>
      <w:bookmarkEnd w:id="1189"/>
      <w:bookmarkEnd w:id="1190"/>
      <w:bookmarkEnd w:id="1191"/>
    </w:p>
    <w:p w14:paraId="1B6CBD57">
      <w:pPr>
        <w:spacing w:line="440" w:lineRule="exact"/>
        <w:ind w:firstLine="480" w:firstLineChars="200"/>
        <w:rPr>
          <w:rFonts w:ascii="宋体" w:hAnsi="宋体" w:cs="宋体"/>
          <w:color w:val="auto"/>
          <w:kern w:val="0"/>
          <w:sz w:val="24"/>
          <w:szCs w:val="24"/>
          <w:highlight w:val="none"/>
          <w:u w:val="single"/>
        </w:rPr>
      </w:pPr>
      <w:r>
        <w:rPr>
          <w:rFonts w:hint="eastAsia" w:ascii="宋体" w:hAnsi="宋体" w:cs="宋体"/>
          <w:color w:val="auto"/>
          <w:sz w:val="24"/>
          <w:szCs w:val="24"/>
          <w:highlight w:val="none"/>
        </w:rPr>
        <w:t>除通用合同条款约定的不可抗力事件之外，视为不可抗力的其他情形：</w:t>
      </w:r>
      <w:r>
        <w:rPr>
          <w:rFonts w:hint="eastAsia" w:ascii="宋体" w:hAnsi="宋体" w:cs="宋体"/>
          <w:color w:val="auto"/>
          <w:kern w:val="0"/>
          <w:sz w:val="24"/>
          <w:szCs w:val="24"/>
          <w:highlight w:val="none"/>
          <w:u w:val="single"/>
        </w:rPr>
        <w:t xml:space="preserve">   无        </w:t>
      </w:r>
      <w:r>
        <w:rPr>
          <w:rFonts w:hint="eastAsia" w:ascii="宋体" w:hAnsi="宋体" w:cs="宋体"/>
          <w:color w:val="auto"/>
          <w:kern w:val="0"/>
          <w:sz w:val="24"/>
          <w:szCs w:val="24"/>
          <w:highlight w:val="none"/>
        </w:rPr>
        <w:t>。</w:t>
      </w:r>
    </w:p>
    <w:p w14:paraId="0F2EC317">
      <w:pPr>
        <w:keepNext/>
        <w:keepLines/>
        <w:spacing w:before="120" w:after="120" w:line="440" w:lineRule="exact"/>
        <w:outlineLvl w:val="2"/>
        <w:rPr>
          <w:rFonts w:ascii="宋体" w:hAnsi="宋体" w:cs="宋体"/>
          <w:b/>
          <w:bCs/>
          <w:color w:val="auto"/>
          <w:sz w:val="24"/>
          <w:szCs w:val="24"/>
          <w:highlight w:val="none"/>
        </w:rPr>
      </w:pPr>
      <w:bookmarkStart w:id="1192" w:name="_Toc373227771"/>
      <w:bookmarkStart w:id="1193" w:name="_Toc389065336"/>
      <w:bookmarkStart w:id="1194" w:name="_Toc407135274"/>
      <w:bookmarkStart w:id="1195" w:name="_Toc51599628"/>
      <w:bookmarkStart w:id="1196" w:name="_Toc373478418"/>
      <w:bookmarkStart w:id="1197" w:name="_Toc487632771"/>
      <w:r>
        <w:rPr>
          <w:rFonts w:hint="eastAsia" w:ascii="宋体" w:hAnsi="宋体" w:cs="宋体"/>
          <w:b/>
          <w:bCs/>
          <w:color w:val="auto"/>
          <w:sz w:val="24"/>
          <w:szCs w:val="24"/>
          <w:highlight w:val="none"/>
        </w:rPr>
        <w:t>17.4 因不可抗力解除合同</w:t>
      </w:r>
      <w:bookmarkEnd w:id="1192"/>
      <w:bookmarkEnd w:id="1193"/>
      <w:bookmarkEnd w:id="1194"/>
      <w:bookmarkEnd w:id="1195"/>
      <w:bookmarkEnd w:id="1196"/>
      <w:bookmarkEnd w:id="1197"/>
    </w:p>
    <w:p w14:paraId="0F08A42C">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合同解除后，发包人应在商定或确定发包人应支付款项后</w:t>
      </w:r>
      <w:r>
        <w:rPr>
          <w:rFonts w:hint="eastAsia" w:ascii="宋体" w:hAnsi="宋体" w:cs="宋体"/>
          <w:color w:val="auto"/>
          <w:sz w:val="24"/>
          <w:szCs w:val="24"/>
          <w:highlight w:val="none"/>
          <w:u w:val="single"/>
        </w:rPr>
        <w:t xml:space="preserve">  15  </w:t>
      </w:r>
      <w:r>
        <w:rPr>
          <w:rFonts w:hint="eastAsia" w:ascii="宋体" w:hAnsi="宋体" w:cs="宋体"/>
          <w:color w:val="auto"/>
          <w:sz w:val="24"/>
          <w:szCs w:val="24"/>
          <w:highlight w:val="none"/>
        </w:rPr>
        <w:t>天内完成款项的支付。</w:t>
      </w:r>
    </w:p>
    <w:p w14:paraId="24B9E924">
      <w:pPr>
        <w:keepNext/>
        <w:keepLines/>
        <w:spacing w:before="120" w:after="120" w:line="440" w:lineRule="exact"/>
        <w:outlineLvl w:val="1"/>
        <w:rPr>
          <w:rFonts w:ascii="宋体" w:hAnsi="宋体" w:cs="宋体"/>
          <w:b/>
          <w:bCs/>
          <w:color w:val="auto"/>
          <w:sz w:val="24"/>
          <w:szCs w:val="24"/>
          <w:highlight w:val="none"/>
        </w:rPr>
      </w:pPr>
      <w:bookmarkStart w:id="1198" w:name="_Toc389065337"/>
      <w:bookmarkStart w:id="1199" w:name="_Toc351203650"/>
      <w:bookmarkStart w:id="1200" w:name="_Toc373227772"/>
      <w:bookmarkStart w:id="1201" w:name="_Toc373478419"/>
      <w:bookmarkStart w:id="1202" w:name="_Toc487632772"/>
      <w:bookmarkStart w:id="1203" w:name="_Toc407135275"/>
      <w:bookmarkStart w:id="1204" w:name="_Toc51599629"/>
      <w:r>
        <w:rPr>
          <w:rFonts w:hint="eastAsia" w:ascii="宋体" w:hAnsi="宋体" w:cs="宋体"/>
          <w:b/>
          <w:bCs/>
          <w:color w:val="auto"/>
          <w:sz w:val="24"/>
          <w:szCs w:val="24"/>
          <w:highlight w:val="none"/>
        </w:rPr>
        <w:t>18. 保险</w:t>
      </w:r>
      <w:bookmarkEnd w:id="1198"/>
      <w:bookmarkEnd w:id="1199"/>
      <w:bookmarkEnd w:id="1200"/>
      <w:bookmarkEnd w:id="1201"/>
      <w:bookmarkEnd w:id="1202"/>
      <w:bookmarkEnd w:id="1203"/>
      <w:bookmarkEnd w:id="1204"/>
    </w:p>
    <w:bookmarkEnd w:id="1165"/>
    <w:p w14:paraId="25DAB50A">
      <w:pPr>
        <w:keepNext/>
        <w:keepLines/>
        <w:spacing w:before="120" w:after="120" w:line="440" w:lineRule="exact"/>
        <w:outlineLvl w:val="2"/>
        <w:rPr>
          <w:rFonts w:ascii="宋体" w:hAnsi="宋体" w:cs="宋体"/>
          <w:b/>
          <w:bCs/>
          <w:color w:val="auto"/>
          <w:sz w:val="24"/>
          <w:szCs w:val="24"/>
          <w:highlight w:val="none"/>
        </w:rPr>
      </w:pPr>
      <w:bookmarkStart w:id="1205" w:name="_Toc51599630"/>
      <w:bookmarkStart w:id="1206" w:name="_Toc373478420"/>
      <w:bookmarkStart w:id="1207" w:name="_Toc407135276"/>
      <w:bookmarkStart w:id="1208" w:name="_Toc373227773"/>
      <w:bookmarkStart w:id="1209" w:name="_Toc487632773"/>
      <w:bookmarkStart w:id="1210" w:name="_Toc389065338"/>
      <w:r>
        <w:rPr>
          <w:rFonts w:hint="eastAsia" w:ascii="宋体" w:hAnsi="宋体" w:cs="宋体"/>
          <w:b/>
          <w:bCs/>
          <w:color w:val="auto"/>
          <w:sz w:val="24"/>
          <w:szCs w:val="24"/>
          <w:highlight w:val="none"/>
        </w:rPr>
        <w:t>18.1 工程保险</w:t>
      </w:r>
      <w:bookmarkEnd w:id="1205"/>
      <w:bookmarkEnd w:id="1206"/>
      <w:bookmarkEnd w:id="1207"/>
      <w:bookmarkEnd w:id="1208"/>
      <w:bookmarkEnd w:id="1209"/>
      <w:bookmarkEnd w:id="1210"/>
    </w:p>
    <w:p w14:paraId="6071CD0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关于工程保险的特别约定：</w:t>
      </w:r>
      <w:r>
        <w:rPr>
          <w:rFonts w:hint="eastAsia" w:ascii="宋体" w:hAnsi="宋体" w:cs="宋体"/>
          <w:color w:val="auto"/>
          <w:kern w:val="0"/>
          <w:sz w:val="24"/>
          <w:szCs w:val="24"/>
          <w:highlight w:val="none"/>
          <w:u w:val="single"/>
        </w:rPr>
        <w:t xml:space="preserve">    由承包人负责并承担费用    </w:t>
      </w:r>
      <w:r>
        <w:rPr>
          <w:rFonts w:hint="eastAsia" w:ascii="宋体" w:hAnsi="宋体" w:cs="宋体"/>
          <w:color w:val="auto"/>
          <w:kern w:val="0"/>
          <w:sz w:val="24"/>
          <w:szCs w:val="24"/>
          <w:highlight w:val="none"/>
        </w:rPr>
        <w:t>。</w:t>
      </w:r>
    </w:p>
    <w:p w14:paraId="1C438D85">
      <w:pPr>
        <w:keepNext/>
        <w:keepLines/>
        <w:spacing w:before="120" w:after="120" w:line="440" w:lineRule="exact"/>
        <w:outlineLvl w:val="2"/>
        <w:rPr>
          <w:rFonts w:ascii="宋体" w:hAnsi="宋体" w:cs="宋体"/>
          <w:b/>
          <w:bCs/>
          <w:color w:val="auto"/>
          <w:sz w:val="24"/>
          <w:szCs w:val="24"/>
          <w:highlight w:val="none"/>
        </w:rPr>
      </w:pPr>
      <w:bookmarkStart w:id="1211" w:name="_Toc487632774"/>
      <w:bookmarkStart w:id="1212" w:name="_Toc373227774"/>
      <w:bookmarkStart w:id="1213" w:name="_Toc51599631"/>
      <w:bookmarkStart w:id="1214" w:name="_Toc407135277"/>
      <w:bookmarkStart w:id="1215" w:name="_Toc389065339"/>
      <w:bookmarkStart w:id="1216" w:name="_Toc373478421"/>
      <w:r>
        <w:rPr>
          <w:rFonts w:hint="eastAsia" w:ascii="宋体" w:hAnsi="宋体" w:cs="宋体"/>
          <w:b/>
          <w:bCs/>
          <w:color w:val="auto"/>
          <w:sz w:val="24"/>
          <w:szCs w:val="24"/>
          <w:highlight w:val="none"/>
        </w:rPr>
        <w:t>18.3 其他保险</w:t>
      </w:r>
      <w:bookmarkEnd w:id="1211"/>
      <w:bookmarkEnd w:id="1212"/>
      <w:bookmarkEnd w:id="1213"/>
      <w:bookmarkEnd w:id="1214"/>
      <w:bookmarkEnd w:id="1215"/>
      <w:bookmarkEnd w:id="1216"/>
    </w:p>
    <w:p w14:paraId="74ABC26F">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sz w:val="24"/>
          <w:szCs w:val="24"/>
          <w:highlight w:val="none"/>
        </w:rPr>
        <w:t>关于其他保险的约定：</w:t>
      </w:r>
      <w:r>
        <w:rPr>
          <w:rFonts w:hint="eastAsia" w:ascii="宋体" w:hAnsi="宋体" w:cs="宋体"/>
          <w:color w:val="auto"/>
          <w:sz w:val="24"/>
          <w:szCs w:val="24"/>
          <w:highlight w:val="none"/>
          <w:u w:val="single"/>
        </w:rPr>
        <w:t xml:space="preserve">       由承包人考虑并承担费用         </w:t>
      </w:r>
      <w:r>
        <w:rPr>
          <w:rFonts w:hint="eastAsia" w:ascii="宋体" w:hAnsi="宋体" w:cs="宋体"/>
          <w:color w:val="auto"/>
          <w:sz w:val="24"/>
          <w:szCs w:val="24"/>
          <w:highlight w:val="none"/>
        </w:rPr>
        <w:t>。</w:t>
      </w:r>
    </w:p>
    <w:p w14:paraId="37484034">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承包人是否应为其施工设备等办理财产保险：</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2343C8FF">
      <w:pPr>
        <w:keepNext/>
        <w:keepLines/>
        <w:spacing w:before="120" w:after="120" w:line="440" w:lineRule="exact"/>
        <w:outlineLvl w:val="2"/>
        <w:rPr>
          <w:rFonts w:ascii="宋体" w:hAnsi="宋体" w:cs="宋体"/>
          <w:b/>
          <w:bCs/>
          <w:color w:val="auto"/>
          <w:sz w:val="24"/>
          <w:szCs w:val="24"/>
          <w:highlight w:val="none"/>
        </w:rPr>
      </w:pPr>
      <w:bookmarkStart w:id="1217" w:name="_Toc487632775"/>
      <w:bookmarkStart w:id="1218" w:name="_Toc373227775"/>
      <w:bookmarkStart w:id="1219" w:name="_Toc389065340"/>
      <w:bookmarkStart w:id="1220" w:name="_Toc51599632"/>
      <w:bookmarkStart w:id="1221" w:name="_Toc373478422"/>
      <w:bookmarkStart w:id="1222" w:name="_Toc407135278"/>
      <w:r>
        <w:rPr>
          <w:rFonts w:hint="eastAsia" w:ascii="宋体" w:hAnsi="宋体" w:cs="宋体"/>
          <w:b/>
          <w:bCs/>
          <w:color w:val="auto"/>
          <w:sz w:val="24"/>
          <w:szCs w:val="24"/>
          <w:highlight w:val="none"/>
        </w:rPr>
        <w:t>18.7 通知义务</w:t>
      </w:r>
      <w:bookmarkEnd w:id="1217"/>
      <w:bookmarkEnd w:id="1218"/>
      <w:bookmarkEnd w:id="1219"/>
      <w:bookmarkEnd w:id="1220"/>
      <w:bookmarkEnd w:id="1221"/>
      <w:bookmarkEnd w:id="1222"/>
    </w:p>
    <w:p w14:paraId="4868A819">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kern w:val="0"/>
          <w:sz w:val="24"/>
          <w:szCs w:val="24"/>
          <w:highlight w:val="none"/>
        </w:rPr>
        <w:t>关于变更保险合同时的通知义务的约定：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bookmarkEnd w:id="1118"/>
    <w:bookmarkEnd w:id="1119"/>
    <w:bookmarkEnd w:id="1120"/>
    <w:bookmarkEnd w:id="1121"/>
    <w:bookmarkEnd w:id="1122"/>
    <w:bookmarkEnd w:id="1123"/>
    <w:bookmarkEnd w:id="1124"/>
    <w:bookmarkEnd w:id="1125"/>
    <w:bookmarkEnd w:id="1126"/>
    <w:bookmarkEnd w:id="1127"/>
    <w:bookmarkEnd w:id="1128"/>
    <w:bookmarkEnd w:id="1129"/>
    <w:p w14:paraId="6BCDDAD1">
      <w:pPr>
        <w:keepNext/>
        <w:keepLines/>
        <w:spacing w:before="120" w:after="120" w:line="440" w:lineRule="exact"/>
        <w:outlineLvl w:val="1"/>
        <w:rPr>
          <w:rFonts w:ascii="宋体" w:hAnsi="宋体" w:cs="宋体"/>
          <w:b/>
          <w:bCs/>
          <w:color w:val="auto"/>
          <w:sz w:val="24"/>
          <w:szCs w:val="24"/>
          <w:highlight w:val="none"/>
        </w:rPr>
      </w:pPr>
      <w:bookmarkStart w:id="1223" w:name="_Toc373478423"/>
      <w:bookmarkStart w:id="1224" w:name="_Toc351203651"/>
      <w:bookmarkStart w:id="1225" w:name="_Toc487632776"/>
      <w:bookmarkStart w:id="1226" w:name="_Toc407135279"/>
      <w:bookmarkStart w:id="1227" w:name="_Toc373227776"/>
      <w:bookmarkStart w:id="1228" w:name="_Toc389065341"/>
      <w:bookmarkStart w:id="1229" w:name="_Toc51599633"/>
      <w:r>
        <w:rPr>
          <w:rFonts w:hint="eastAsia" w:ascii="宋体" w:hAnsi="宋体" w:cs="宋体"/>
          <w:b/>
          <w:bCs/>
          <w:color w:val="auto"/>
          <w:sz w:val="24"/>
          <w:szCs w:val="24"/>
          <w:highlight w:val="none"/>
        </w:rPr>
        <w:t>20. 争议解决</w:t>
      </w:r>
      <w:bookmarkEnd w:id="1223"/>
      <w:bookmarkEnd w:id="1224"/>
      <w:bookmarkEnd w:id="1225"/>
      <w:bookmarkEnd w:id="1226"/>
      <w:bookmarkEnd w:id="1227"/>
      <w:bookmarkEnd w:id="1228"/>
      <w:bookmarkEnd w:id="1229"/>
    </w:p>
    <w:bookmarkEnd w:id="1130"/>
    <w:bookmarkEnd w:id="1131"/>
    <w:p w14:paraId="59E537F9">
      <w:pPr>
        <w:keepNext/>
        <w:keepLines/>
        <w:spacing w:before="120" w:after="120" w:line="440" w:lineRule="exact"/>
        <w:outlineLvl w:val="2"/>
        <w:rPr>
          <w:rFonts w:ascii="宋体" w:hAnsi="宋体" w:cs="宋体"/>
          <w:b/>
          <w:bCs/>
          <w:color w:val="auto"/>
          <w:sz w:val="24"/>
          <w:szCs w:val="24"/>
          <w:highlight w:val="none"/>
        </w:rPr>
      </w:pPr>
      <w:bookmarkStart w:id="1230" w:name="_Toc407135280"/>
      <w:bookmarkStart w:id="1231" w:name="_Toc51599634"/>
      <w:bookmarkStart w:id="1232" w:name="_Toc373478424"/>
      <w:bookmarkStart w:id="1233" w:name="_Toc487632777"/>
      <w:bookmarkStart w:id="1234" w:name="_Toc373227777"/>
      <w:bookmarkStart w:id="1235" w:name="_Toc389065342"/>
      <w:r>
        <w:rPr>
          <w:rFonts w:hint="eastAsia" w:ascii="宋体" w:hAnsi="宋体" w:cs="宋体"/>
          <w:b/>
          <w:bCs/>
          <w:color w:val="auto"/>
          <w:sz w:val="24"/>
          <w:szCs w:val="24"/>
          <w:highlight w:val="none"/>
        </w:rPr>
        <w:t>20.3 争</w:t>
      </w:r>
      <w:bookmarkEnd w:id="1132"/>
      <w:r>
        <w:rPr>
          <w:rFonts w:hint="eastAsia" w:ascii="宋体" w:hAnsi="宋体" w:cs="宋体"/>
          <w:b/>
          <w:bCs/>
          <w:color w:val="auto"/>
          <w:sz w:val="24"/>
          <w:szCs w:val="24"/>
          <w:highlight w:val="none"/>
        </w:rPr>
        <w:t>议评审</w:t>
      </w:r>
      <w:bookmarkEnd w:id="1230"/>
      <w:bookmarkEnd w:id="1231"/>
      <w:bookmarkEnd w:id="1232"/>
      <w:bookmarkEnd w:id="1233"/>
      <w:bookmarkEnd w:id="1234"/>
      <w:bookmarkEnd w:id="1235"/>
    </w:p>
    <w:p w14:paraId="2C2182F1">
      <w:pPr>
        <w:spacing w:line="440" w:lineRule="exact"/>
        <w:ind w:left="149" w:leftChars="71" w:firstLine="360" w:firstLineChars="150"/>
        <w:rPr>
          <w:rFonts w:ascii="宋体" w:hAnsi="宋体" w:cs="宋体"/>
          <w:color w:val="auto"/>
          <w:sz w:val="24"/>
          <w:szCs w:val="24"/>
          <w:highlight w:val="none"/>
          <w:u w:val="single"/>
        </w:rPr>
      </w:pPr>
      <w:r>
        <w:rPr>
          <w:rFonts w:hint="eastAsia" w:ascii="宋体" w:hAnsi="宋体" w:cs="宋体"/>
          <w:color w:val="auto"/>
          <w:sz w:val="24"/>
          <w:szCs w:val="24"/>
          <w:highlight w:val="none"/>
        </w:rPr>
        <w:t>合同当事人是否同意将工程争议提交争议评审小组决定：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2AD9F6E5">
      <w:pPr>
        <w:spacing w:line="440" w:lineRule="exact"/>
        <w:ind w:left="149" w:leftChars="71"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20.3.1 争议评审小组的确定</w:t>
      </w:r>
    </w:p>
    <w:p w14:paraId="15AF9BB9">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争议评审小组成员的确定：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137A72BB">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选定争议评审员的期限：</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1624D544">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争议评审小组成员的报酬承担方式：</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1DA03287">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其他事项的约定：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7318E8F0">
      <w:pPr>
        <w:autoSpaceDE w:val="0"/>
        <w:autoSpaceDN w:val="0"/>
        <w:adjustRightInd w:val="0"/>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20.3.2 争议评审小组的决定</w:t>
      </w:r>
    </w:p>
    <w:p w14:paraId="79D06E25">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合同当事人关于本项的约定：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417BB06C">
      <w:pPr>
        <w:keepNext/>
        <w:keepLines/>
        <w:spacing w:before="120" w:after="120" w:line="440" w:lineRule="exact"/>
        <w:outlineLvl w:val="2"/>
        <w:rPr>
          <w:rFonts w:ascii="宋体" w:hAnsi="宋体" w:cs="宋体"/>
          <w:b/>
          <w:bCs/>
          <w:color w:val="auto"/>
          <w:sz w:val="24"/>
          <w:szCs w:val="24"/>
          <w:highlight w:val="none"/>
        </w:rPr>
      </w:pPr>
      <w:bookmarkStart w:id="1236" w:name="_Toc389065343"/>
      <w:bookmarkStart w:id="1237" w:name="_Toc487632778"/>
      <w:bookmarkStart w:id="1238" w:name="_Toc373478425"/>
      <w:bookmarkStart w:id="1239" w:name="_Toc373227778"/>
      <w:bookmarkStart w:id="1240" w:name="_Toc407135281"/>
      <w:bookmarkStart w:id="1241" w:name="_Toc51599635"/>
      <w:r>
        <w:rPr>
          <w:rFonts w:hint="eastAsia" w:ascii="宋体" w:hAnsi="宋体" w:cs="宋体"/>
          <w:b/>
          <w:bCs/>
          <w:color w:val="auto"/>
          <w:sz w:val="24"/>
          <w:szCs w:val="24"/>
          <w:highlight w:val="none"/>
        </w:rPr>
        <w:t>20.4 仲裁或诉讼</w:t>
      </w:r>
      <w:bookmarkEnd w:id="1133"/>
      <w:bookmarkEnd w:id="1236"/>
      <w:bookmarkEnd w:id="1237"/>
      <w:bookmarkEnd w:id="1238"/>
      <w:bookmarkEnd w:id="1239"/>
      <w:bookmarkEnd w:id="1240"/>
      <w:bookmarkEnd w:id="1241"/>
    </w:p>
    <w:p w14:paraId="422690B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因合同及合同有关事项发生的争议，按下列第</w:t>
      </w:r>
      <w:r>
        <w:rPr>
          <w:rFonts w:hint="eastAsia" w:ascii="宋体" w:hAnsi="宋体" w:cs="宋体"/>
          <w:color w:val="auto"/>
          <w:sz w:val="24"/>
          <w:szCs w:val="24"/>
          <w:highlight w:val="none"/>
          <w:u w:val="single"/>
        </w:rPr>
        <w:t xml:space="preserve">  2   </w:t>
      </w:r>
      <w:r>
        <w:rPr>
          <w:rFonts w:hint="eastAsia" w:ascii="宋体" w:hAnsi="宋体" w:cs="宋体"/>
          <w:color w:val="auto"/>
          <w:sz w:val="24"/>
          <w:szCs w:val="24"/>
          <w:highlight w:val="none"/>
        </w:rPr>
        <w:t>种方式解决：</w:t>
      </w:r>
    </w:p>
    <w:p w14:paraId="2AA78B4E">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（1）提请</w:t>
      </w:r>
      <w:r>
        <w:rPr>
          <w:rFonts w:hint="eastAsia" w:ascii="宋体" w:hAnsi="宋体" w:cs="宋体"/>
          <w:color w:val="auto"/>
          <w:sz w:val="24"/>
          <w:szCs w:val="24"/>
          <w:highlight w:val="none"/>
          <w:u w:val="single"/>
        </w:rPr>
        <w:t xml:space="preserve">  梧州市   </w:t>
      </w:r>
      <w:r>
        <w:rPr>
          <w:rFonts w:hint="eastAsia" w:ascii="宋体" w:hAnsi="宋体" w:cs="宋体"/>
          <w:color w:val="auto"/>
          <w:sz w:val="24"/>
          <w:szCs w:val="24"/>
          <w:highlight w:val="none"/>
        </w:rPr>
        <w:t>仲裁委员会按照该会仲裁规则进行仲裁，仲裁裁决是终局的，对合同双方均有约束力。</w:t>
      </w:r>
    </w:p>
    <w:p w14:paraId="075F6BF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（2）向</w:t>
      </w:r>
      <w:r>
        <w:rPr>
          <w:rFonts w:hint="eastAsia" w:ascii="宋体" w:hAnsi="宋体" w:cs="宋体"/>
          <w:color w:val="auto"/>
          <w:sz w:val="24"/>
          <w:szCs w:val="24"/>
          <w:highlight w:val="none"/>
          <w:u w:val="single"/>
        </w:rPr>
        <w:t xml:space="preserve">    工程所在地  </w:t>
      </w:r>
      <w:r>
        <w:rPr>
          <w:rFonts w:hint="eastAsia" w:ascii="宋体" w:hAnsi="宋体" w:cs="宋体"/>
          <w:color w:val="auto"/>
          <w:sz w:val="24"/>
          <w:szCs w:val="24"/>
          <w:highlight w:val="none"/>
        </w:rPr>
        <w:t>人民法院起诉。</w:t>
      </w:r>
      <w:bookmarkEnd w:id="1134"/>
      <w:bookmarkEnd w:id="1135"/>
      <w:bookmarkEnd w:id="1136"/>
      <w:bookmarkEnd w:id="1137"/>
      <w:bookmarkEnd w:id="1138"/>
      <w:bookmarkEnd w:id="1139"/>
    </w:p>
    <w:p w14:paraId="6171CE5C">
      <w:pPr>
        <w:keepNext/>
        <w:keepLines/>
        <w:spacing w:before="120" w:after="120" w:line="440" w:lineRule="exact"/>
        <w:outlineLvl w:val="1"/>
        <w:rPr>
          <w:rFonts w:ascii="宋体" w:hAnsi="宋体" w:cs="宋体"/>
          <w:b/>
          <w:bCs/>
          <w:color w:val="auto"/>
          <w:sz w:val="24"/>
          <w:szCs w:val="24"/>
          <w:highlight w:val="none"/>
        </w:rPr>
      </w:pPr>
      <w:bookmarkStart w:id="1242" w:name="_Toc407135282"/>
      <w:bookmarkStart w:id="1243" w:name="_Toc487632779"/>
      <w:bookmarkStart w:id="1244" w:name="_Toc51599636"/>
      <w:bookmarkStart w:id="1245" w:name="_Toc373227779"/>
      <w:bookmarkStart w:id="1246" w:name="_Toc373478426"/>
      <w:bookmarkStart w:id="1247" w:name="_Toc389065344"/>
      <w:r>
        <w:rPr>
          <w:rFonts w:hint="eastAsia" w:ascii="宋体" w:hAnsi="宋体" w:cs="宋体"/>
          <w:b/>
          <w:bCs/>
          <w:color w:val="auto"/>
          <w:sz w:val="24"/>
          <w:szCs w:val="24"/>
          <w:highlight w:val="none"/>
        </w:rPr>
        <w:t>21. 补充条款</w:t>
      </w:r>
      <w:bookmarkEnd w:id="1242"/>
      <w:bookmarkEnd w:id="1243"/>
      <w:bookmarkEnd w:id="1244"/>
      <w:bookmarkEnd w:id="1245"/>
      <w:bookmarkEnd w:id="1246"/>
      <w:bookmarkEnd w:id="1247"/>
    </w:p>
    <w:p w14:paraId="1BF2A9AC">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21.1 凡进入本工程工作的妇女应持有计生证、否则不准安排工作，禁止使用童工。</w:t>
      </w:r>
    </w:p>
    <w:p w14:paraId="3AE2B70B">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21.2承包人需对施工现场人员购买社会保险及工程保险。</w:t>
      </w:r>
    </w:p>
    <w:p w14:paraId="6353BE55">
      <w:pPr>
        <w:rPr>
          <w:rFonts w:hint="eastAsia" w:ascii="宋体" w:hAnsi="宋体" w:cs="宋体"/>
          <w:color w:val="auto"/>
          <w:sz w:val="24"/>
          <w:szCs w:val="24"/>
          <w:highlight w:val="none"/>
        </w:rPr>
      </w:pPr>
      <w:r>
        <w:rPr>
          <w:rFonts w:hint="eastAsia" w:ascii="宋体" w:hAnsi="宋体" w:cs="宋体"/>
          <w:color w:val="auto"/>
          <w:sz w:val="24"/>
          <w:szCs w:val="24"/>
          <w:highlight w:val="none"/>
        </w:rPr>
        <w:br w:type="page"/>
      </w:r>
    </w:p>
    <w:p w14:paraId="72D6E9A7">
      <w:pPr>
        <w:pStyle w:val="10"/>
        <w:rPr>
          <w:color w:val="auto"/>
          <w:highlight w:val="none"/>
        </w:rPr>
      </w:pPr>
    </w:p>
    <w:p w14:paraId="627A6111">
      <w:pPr>
        <w:tabs>
          <w:tab w:val="left" w:pos="5000"/>
        </w:tabs>
        <w:spacing w:line="560" w:lineRule="exact"/>
        <w:jc w:val="center"/>
        <w:rPr>
          <w:rFonts w:ascii="宋体" w:cs="宋体"/>
          <w:b/>
          <w:color w:val="auto"/>
          <w:sz w:val="36"/>
          <w:szCs w:val="36"/>
          <w:highlight w:val="none"/>
        </w:rPr>
      </w:pPr>
      <w:r>
        <w:rPr>
          <w:rFonts w:hint="eastAsia" w:ascii="宋体" w:hAnsi="宋体" w:cs="宋体"/>
          <w:b/>
          <w:color w:val="auto"/>
          <w:sz w:val="36"/>
          <w:szCs w:val="36"/>
          <w:highlight w:val="none"/>
        </w:rPr>
        <w:t>第四部分</w:t>
      </w:r>
      <w:r>
        <w:rPr>
          <w:rFonts w:hint="eastAsia" w:ascii="仿宋" w:hAnsi="仿宋" w:eastAsia="仿宋" w:cs="仿宋"/>
          <w:b/>
          <w:bCs/>
          <w:color w:val="auto"/>
          <w:sz w:val="32"/>
          <w:szCs w:val="32"/>
          <w:highlight w:val="none"/>
        </w:rPr>
        <w:t xml:space="preserve"> </w:t>
      </w:r>
      <w:r>
        <w:rPr>
          <w:rFonts w:hint="eastAsia" w:ascii="宋体" w:hAnsi="宋体" w:cs="宋体"/>
          <w:b/>
          <w:color w:val="auto"/>
          <w:sz w:val="36"/>
          <w:szCs w:val="36"/>
          <w:highlight w:val="none"/>
        </w:rPr>
        <w:t>工程质量保修书</w:t>
      </w:r>
    </w:p>
    <w:p w14:paraId="41D9C443">
      <w:pPr>
        <w:tabs>
          <w:tab w:val="left" w:pos="5000"/>
        </w:tabs>
        <w:spacing w:line="560" w:lineRule="exact"/>
        <w:jc w:val="center"/>
        <w:rPr>
          <w:rFonts w:ascii="宋体" w:cs="宋体"/>
          <w:b/>
          <w:color w:val="auto"/>
          <w:sz w:val="36"/>
          <w:szCs w:val="36"/>
          <w:highlight w:val="none"/>
        </w:rPr>
      </w:pPr>
    </w:p>
    <w:p w14:paraId="24AB368B">
      <w:pPr>
        <w:spacing w:line="440" w:lineRule="exact"/>
        <w:ind w:firstLine="480" w:firstLineChars="200"/>
        <w:rPr>
          <w:rFonts w:hint="eastAsia" w:ascii="宋体" w:cs="宋体" w:eastAsiaTheme="minorEastAsia"/>
          <w:color w:val="auto"/>
          <w:sz w:val="24"/>
          <w:szCs w:val="24"/>
          <w:highlight w:val="none"/>
          <w:lang w:eastAsia="zh-CN"/>
        </w:rPr>
      </w:pPr>
      <w:r>
        <w:rPr>
          <w:rFonts w:hint="eastAsia" w:ascii="宋体" w:hAnsi="宋体" w:cs="宋体"/>
          <w:color w:val="auto"/>
          <w:sz w:val="24"/>
          <w:szCs w:val="24"/>
          <w:highlight w:val="none"/>
        </w:rPr>
        <w:t>发包人（全称）：</w:t>
      </w:r>
    </w:p>
    <w:p w14:paraId="58DA68E5">
      <w:pPr>
        <w:snapToGrid w:val="0"/>
        <w:spacing w:line="360" w:lineRule="auto"/>
        <w:ind w:firstLine="240" w:firstLineChars="100"/>
        <w:rPr>
          <w:rFonts w:ascii="宋体" w:hAnsi="宋体" w:cs="仿宋"/>
          <w:b/>
          <w:bCs/>
          <w:color w:val="auto"/>
          <w:kern w:val="0"/>
          <w:sz w:val="24"/>
          <w:szCs w:val="24"/>
          <w:highlight w:val="none"/>
          <w:u w:val="single"/>
        </w:rPr>
      </w:pPr>
      <w:r>
        <w:rPr>
          <w:rFonts w:hint="eastAsia" w:ascii="宋体" w:hAnsi="宋体" w:cs="宋体"/>
          <w:color w:val="auto"/>
          <w:sz w:val="24"/>
          <w:szCs w:val="24"/>
          <w:highlight w:val="none"/>
        </w:rPr>
        <w:t>　承包人（全称）：</w:t>
      </w:r>
      <w:r>
        <w:rPr>
          <w:rFonts w:hint="eastAsia" w:ascii="宋体" w:hAnsi="宋体"/>
          <w:color w:val="auto"/>
          <w:sz w:val="24"/>
          <w:szCs w:val="24"/>
          <w:highlight w:val="none"/>
          <w:u w:val="single"/>
        </w:rPr>
        <w:t xml:space="preserve">               </w:t>
      </w:r>
    </w:p>
    <w:p w14:paraId="68677CD1">
      <w:pPr>
        <w:spacing w:line="360" w:lineRule="auto"/>
        <w:rPr>
          <w:rFonts w:ascii="宋体" w:cs="宋体"/>
          <w:color w:val="auto"/>
          <w:sz w:val="24"/>
          <w:szCs w:val="24"/>
          <w:highlight w:val="none"/>
        </w:rPr>
      </w:pPr>
      <w:r>
        <w:rPr>
          <w:rFonts w:hint="eastAsia" w:ascii="宋体" w:hAnsi="宋体" w:cs="宋体"/>
          <w:color w:val="auto"/>
          <w:sz w:val="24"/>
          <w:szCs w:val="24"/>
          <w:highlight w:val="none"/>
        </w:rPr>
        <w:t>　　发包人和承包人根据《中华人民共和国建筑法》和《建设工程质量管理条例》，经协商一致就</w:t>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（工程全称）签订工程质量保修书。</w:t>
      </w:r>
    </w:p>
    <w:p w14:paraId="4368026C">
      <w:pPr>
        <w:spacing w:line="360" w:lineRule="auto"/>
        <w:rPr>
          <w:rFonts w:ascii="宋体" w:cs="宋体"/>
          <w:color w:val="auto"/>
          <w:sz w:val="24"/>
          <w:szCs w:val="24"/>
          <w:highlight w:val="none"/>
        </w:rPr>
      </w:pPr>
      <w:r>
        <w:rPr>
          <w:rFonts w:hint="eastAsia" w:ascii="宋体" w:hAnsi="宋体" w:cs="宋体"/>
          <w:color w:val="auto"/>
          <w:sz w:val="24"/>
          <w:szCs w:val="24"/>
          <w:highlight w:val="none"/>
        </w:rPr>
        <w:t>　　一、工程质量保修范围和内容</w:t>
      </w:r>
    </w:p>
    <w:p w14:paraId="127528B8">
      <w:pPr>
        <w:spacing w:line="360" w:lineRule="auto"/>
        <w:rPr>
          <w:rFonts w:ascii="宋体" w:cs="宋体"/>
          <w:color w:val="auto"/>
          <w:sz w:val="24"/>
          <w:szCs w:val="24"/>
          <w:highlight w:val="none"/>
        </w:rPr>
      </w:pPr>
      <w:r>
        <w:rPr>
          <w:rFonts w:hint="eastAsia" w:ascii="宋体" w:hAnsi="宋体" w:cs="宋体"/>
          <w:color w:val="auto"/>
          <w:sz w:val="24"/>
          <w:szCs w:val="24"/>
          <w:highlight w:val="none"/>
        </w:rPr>
        <w:t>　　承包人在质量保修期内，按照有关法律规定和合同约定，承担工程质量保修责任。</w:t>
      </w:r>
    </w:p>
    <w:p w14:paraId="088C0680">
      <w:pPr>
        <w:spacing w:line="360" w:lineRule="auto"/>
        <w:rPr>
          <w:rFonts w:ascii="宋体" w:cs="宋体"/>
          <w:color w:val="auto"/>
          <w:sz w:val="24"/>
          <w:szCs w:val="24"/>
          <w:highlight w:val="none"/>
        </w:rPr>
      </w:pPr>
      <w:r>
        <w:rPr>
          <w:rFonts w:hint="eastAsia" w:ascii="宋体" w:hAnsi="宋体" w:cs="宋体"/>
          <w:color w:val="auto"/>
          <w:sz w:val="24"/>
          <w:szCs w:val="24"/>
          <w:highlight w:val="none"/>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发包人提供的施工图纸包含的全部内容</w:t>
      </w:r>
      <w:r>
        <w:rPr>
          <w:rFonts w:hint="eastAsia" w:ascii="宋体" w:hAnsi="宋体" w:cs="宋体"/>
          <w:color w:val="auto"/>
          <w:sz w:val="24"/>
          <w:szCs w:val="24"/>
          <w:highlight w:val="none"/>
        </w:rPr>
        <w:t>。</w:t>
      </w:r>
    </w:p>
    <w:p w14:paraId="6DBB2C62">
      <w:pPr>
        <w:spacing w:line="360" w:lineRule="auto"/>
        <w:rPr>
          <w:rFonts w:ascii="宋体" w:cs="宋体"/>
          <w:color w:val="auto"/>
          <w:sz w:val="24"/>
          <w:szCs w:val="24"/>
          <w:highlight w:val="none"/>
        </w:rPr>
      </w:pPr>
      <w:r>
        <w:rPr>
          <w:rFonts w:hint="eastAsia" w:ascii="宋体" w:hAnsi="宋体" w:cs="宋体"/>
          <w:b/>
          <w:color w:val="auto"/>
          <w:sz w:val="24"/>
          <w:szCs w:val="24"/>
          <w:highlight w:val="none"/>
        </w:rPr>
        <w:t>　　</w:t>
      </w:r>
      <w:r>
        <w:rPr>
          <w:rFonts w:hint="eastAsia" w:ascii="宋体" w:hAnsi="宋体" w:cs="宋体"/>
          <w:color w:val="auto"/>
          <w:sz w:val="24"/>
          <w:szCs w:val="24"/>
          <w:highlight w:val="none"/>
        </w:rPr>
        <w:t>二、质量保修期</w:t>
      </w:r>
    </w:p>
    <w:p w14:paraId="6B31EB58">
      <w:pPr>
        <w:spacing w:line="360" w:lineRule="auto"/>
        <w:ind w:firstLine="480" w:firstLineChars="200"/>
        <w:rPr>
          <w:rFonts w:ascii="宋体" w:cs="宋体"/>
          <w:color w:val="auto"/>
          <w:sz w:val="24"/>
          <w:szCs w:val="24"/>
          <w:highlight w:val="none"/>
        </w:rPr>
      </w:pPr>
      <w:r>
        <w:rPr>
          <w:rFonts w:hint="eastAsia" w:ascii="宋体" w:hAnsi="宋体" w:cs="宋体"/>
          <w:color w:val="auto"/>
          <w:sz w:val="24"/>
          <w:szCs w:val="24"/>
          <w:highlight w:val="none"/>
        </w:rPr>
        <w:t>根据《建设工程质量管理条例》及有关规定，工程的质量保修期如下：</w:t>
      </w:r>
    </w:p>
    <w:p w14:paraId="7A8D3C2B">
      <w:pPr>
        <w:spacing w:line="360" w:lineRule="auto"/>
        <w:ind w:firstLine="480" w:firstLineChars="200"/>
        <w:rPr>
          <w:rFonts w:ascii="宋体" w:cs="宋体"/>
          <w:color w:val="auto"/>
          <w:sz w:val="24"/>
          <w:szCs w:val="24"/>
          <w:highlight w:val="none"/>
        </w:rPr>
      </w:pPr>
      <w:r>
        <w:rPr>
          <w:rFonts w:ascii="宋体" w:hAnsi="宋体" w:cs="宋体"/>
          <w:color w:val="auto"/>
          <w:sz w:val="24"/>
          <w:szCs w:val="24"/>
          <w:highlight w:val="none"/>
        </w:rPr>
        <w:t>1</w:t>
      </w:r>
      <w:r>
        <w:rPr>
          <w:rFonts w:hint="eastAsia" w:ascii="宋体" w:hAnsi="宋体" w:cs="宋体"/>
          <w:color w:val="auto"/>
          <w:sz w:val="24"/>
          <w:szCs w:val="24"/>
          <w:highlight w:val="none"/>
        </w:rPr>
        <w:t>．地基基础工程和主体结构工程为设计文件规定的工程合理使用年限；</w:t>
      </w:r>
    </w:p>
    <w:p w14:paraId="256336DB">
      <w:pPr>
        <w:spacing w:line="360" w:lineRule="auto"/>
        <w:ind w:firstLine="480" w:firstLineChars="200"/>
        <w:rPr>
          <w:rFonts w:ascii="宋体" w:cs="宋体"/>
          <w:color w:val="auto"/>
          <w:sz w:val="24"/>
          <w:szCs w:val="24"/>
          <w:highlight w:val="none"/>
        </w:rPr>
      </w:pPr>
      <w:r>
        <w:rPr>
          <w:rFonts w:ascii="宋体" w:hAnsi="宋体" w:cs="宋体"/>
          <w:color w:val="auto"/>
          <w:sz w:val="24"/>
          <w:szCs w:val="24"/>
          <w:highlight w:val="none"/>
        </w:rPr>
        <w:t>2</w:t>
      </w:r>
      <w:r>
        <w:rPr>
          <w:rFonts w:hint="eastAsia" w:ascii="宋体" w:hAnsi="宋体" w:cs="宋体"/>
          <w:color w:val="auto"/>
          <w:sz w:val="24"/>
          <w:szCs w:val="24"/>
          <w:highlight w:val="none"/>
        </w:rPr>
        <w:t>．给排水设施、道路等维修工程为</w:t>
      </w:r>
      <w:r>
        <w:rPr>
          <w:rFonts w:ascii="宋体" w:hAnsi="宋体" w:cs="宋体"/>
          <w:color w:val="auto"/>
          <w:sz w:val="24"/>
          <w:szCs w:val="24"/>
          <w:highlight w:val="none"/>
        </w:rPr>
        <w:t xml:space="preserve"> 12</w:t>
      </w:r>
      <w:r>
        <w:rPr>
          <w:rFonts w:hint="eastAsia" w:ascii="宋体" w:hAnsi="宋体" w:cs="宋体"/>
          <w:color w:val="auto"/>
          <w:sz w:val="24"/>
          <w:szCs w:val="24"/>
          <w:highlight w:val="none"/>
        </w:rPr>
        <w:t>个月；</w:t>
      </w:r>
    </w:p>
    <w:p w14:paraId="1678698A">
      <w:pPr>
        <w:spacing w:line="360" w:lineRule="auto"/>
        <w:ind w:left="420" w:leftChars="200" w:firstLine="120" w:firstLineChars="50"/>
        <w:rPr>
          <w:rFonts w:ascii="宋体" w:cs="宋体"/>
          <w:color w:val="auto"/>
          <w:sz w:val="24"/>
          <w:szCs w:val="24"/>
          <w:highlight w:val="none"/>
        </w:rPr>
      </w:pPr>
      <w:r>
        <w:rPr>
          <w:rFonts w:hint="eastAsia" w:ascii="宋体" w:hAnsi="宋体" w:cs="宋体"/>
          <w:color w:val="auto"/>
          <w:sz w:val="24"/>
          <w:szCs w:val="24"/>
          <w:highlight w:val="none"/>
        </w:rPr>
        <w:t>其他项目保修期限约定如下：</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一年</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5BFE382C">
      <w:pPr>
        <w:spacing w:line="360" w:lineRule="auto"/>
        <w:ind w:firstLine="480"/>
        <w:rPr>
          <w:rFonts w:ascii="宋体" w:cs="宋体"/>
          <w:color w:val="auto"/>
          <w:sz w:val="24"/>
          <w:szCs w:val="24"/>
          <w:highlight w:val="none"/>
        </w:rPr>
      </w:pPr>
      <w:r>
        <w:rPr>
          <w:rFonts w:hint="eastAsia" w:ascii="宋体" w:hAnsi="宋体" w:cs="宋体"/>
          <w:color w:val="auto"/>
          <w:sz w:val="24"/>
          <w:szCs w:val="24"/>
          <w:highlight w:val="none"/>
        </w:rPr>
        <w:t>质量保修期自工程竣工验收合格之日起计算。</w:t>
      </w:r>
    </w:p>
    <w:p w14:paraId="5F68D7B7">
      <w:pPr>
        <w:pStyle w:val="13"/>
        <w:numPr>
          <w:ilvl w:val="0"/>
          <w:numId w:val="5"/>
        </w:numPr>
        <w:spacing w:after="60" w:line="360" w:lineRule="atLeast"/>
        <w:ind w:right="63" w:rightChars="30" w:firstLine="480"/>
        <w:textAlignment w:val="baseline"/>
        <w:rPr>
          <w:rFonts w:ascii="宋体" w:hAnsi="宋体" w:cs="宋体" w:eastAsiaTheme="minorEastAsia"/>
          <w:color w:val="auto"/>
          <w:kern w:val="2"/>
          <w:sz w:val="24"/>
          <w:szCs w:val="24"/>
          <w:highlight w:val="none"/>
        </w:rPr>
      </w:pPr>
      <w:r>
        <w:rPr>
          <w:rFonts w:hint="eastAsia" w:ascii="宋体" w:hAnsi="宋体" w:cs="宋体" w:eastAsiaTheme="minorEastAsia"/>
          <w:color w:val="auto"/>
          <w:kern w:val="2"/>
          <w:sz w:val="24"/>
          <w:szCs w:val="24"/>
          <w:highlight w:val="none"/>
        </w:rPr>
        <w:t>防撞护舷的质保期，以出厂证明的质保期限为准，但不少于1年。其质保期以工程验收合格之日起计算。</w:t>
      </w:r>
    </w:p>
    <w:p w14:paraId="28E09047">
      <w:pPr>
        <w:spacing w:line="360" w:lineRule="auto"/>
        <w:ind w:firstLine="480" w:firstLineChars="200"/>
        <w:rPr>
          <w:rFonts w:ascii="宋体" w:cs="宋体"/>
          <w:color w:val="auto"/>
          <w:sz w:val="24"/>
          <w:szCs w:val="24"/>
          <w:highlight w:val="none"/>
        </w:rPr>
      </w:pPr>
      <w:r>
        <w:rPr>
          <w:rFonts w:hint="eastAsia" w:ascii="宋体" w:hAnsi="宋体" w:cs="宋体"/>
          <w:color w:val="auto"/>
          <w:sz w:val="24"/>
          <w:szCs w:val="24"/>
          <w:highlight w:val="none"/>
        </w:rPr>
        <w:t>三、缺陷责任期</w:t>
      </w:r>
    </w:p>
    <w:p w14:paraId="54D43BC4">
      <w:pPr>
        <w:spacing w:line="360" w:lineRule="auto"/>
        <w:ind w:firstLine="480" w:firstLineChars="200"/>
        <w:rPr>
          <w:rFonts w:ascii="宋体" w:cs="宋体"/>
          <w:color w:val="auto"/>
          <w:sz w:val="24"/>
          <w:szCs w:val="24"/>
          <w:highlight w:val="none"/>
        </w:rPr>
      </w:pPr>
      <w:r>
        <w:rPr>
          <w:rFonts w:hint="eastAsia" w:ascii="宋体" w:hAnsi="宋体" w:cs="宋体"/>
          <w:color w:val="auto"/>
          <w:sz w:val="24"/>
          <w:szCs w:val="24"/>
          <w:highlight w:val="none"/>
        </w:rPr>
        <w:t>工程缺陷责任期为</w:t>
      </w:r>
      <w:r>
        <w:rPr>
          <w:rFonts w:ascii="宋体" w:hAnsi="宋体" w:cs="宋体"/>
          <w:color w:val="auto"/>
          <w:sz w:val="24"/>
          <w:szCs w:val="24"/>
          <w:highlight w:val="none"/>
          <w:u w:val="single"/>
        </w:rPr>
        <w:t xml:space="preserve">  12  </w:t>
      </w:r>
      <w:r>
        <w:rPr>
          <w:rFonts w:hint="eastAsia" w:ascii="宋体" w:hAnsi="宋体" w:cs="宋体"/>
          <w:color w:val="auto"/>
          <w:sz w:val="24"/>
          <w:szCs w:val="24"/>
          <w:highlight w:val="none"/>
        </w:rPr>
        <w:t>个月，缺陷责任期自工程实际竣工之日起计算。单位工程先于全部工程进行验收，单位工程缺陷责任期自单位工程验收合格之日起计算。</w:t>
      </w:r>
    </w:p>
    <w:p w14:paraId="5CBE1E10">
      <w:pPr>
        <w:spacing w:line="360" w:lineRule="auto"/>
        <w:ind w:firstLine="480" w:firstLineChars="200"/>
        <w:rPr>
          <w:rFonts w:ascii="宋体" w:cs="宋体"/>
          <w:color w:val="auto"/>
          <w:sz w:val="24"/>
          <w:szCs w:val="24"/>
          <w:highlight w:val="none"/>
        </w:rPr>
      </w:pPr>
      <w:r>
        <w:rPr>
          <w:rFonts w:hint="eastAsia" w:ascii="宋体" w:hAnsi="宋体" w:cs="宋体"/>
          <w:color w:val="auto"/>
          <w:sz w:val="24"/>
          <w:szCs w:val="24"/>
          <w:highlight w:val="none"/>
        </w:rPr>
        <w:t>缺陷责任期终止后，发包人应退还剩余的质量保证金。</w:t>
      </w:r>
    </w:p>
    <w:p w14:paraId="39D800ED">
      <w:pPr>
        <w:spacing w:line="360" w:lineRule="auto"/>
        <w:rPr>
          <w:rFonts w:asci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rPr>
        <w:t>四、质量保修责任</w:t>
      </w:r>
    </w:p>
    <w:p w14:paraId="6DA6F989">
      <w:pPr>
        <w:spacing w:line="360" w:lineRule="auto"/>
        <w:ind w:left="105" w:leftChars="50" w:firstLine="491" w:firstLineChars="205"/>
        <w:rPr>
          <w:rFonts w:ascii="宋体" w:cs="宋体"/>
          <w:color w:val="auto"/>
          <w:sz w:val="24"/>
          <w:szCs w:val="24"/>
          <w:highlight w:val="none"/>
        </w:rPr>
      </w:pPr>
      <w:r>
        <w:rPr>
          <w:rFonts w:ascii="宋体" w:hAnsi="宋体" w:cs="宋体"/>
          <w:color w:val="auto"/>
          <w:sz w:val="24"/>
          <w:szCs w:val="24"/>
          <w:highlight w:val="none"/>
        </w:rPr>
        <w:t>1</w:t>
      </w:r>
      <w:r>
        <w:rPr>
          <w:rFonts w:hint="eastAsia" w:ascii="宋体" w:hAnsi="宋体" w:cs="宋体"/>
          <w:color w:val="auto"/>
          <w:sz w:val="24"/>
          <w:szCs w:val="24"/>
          <w:highlight w:val="none"/>
        </w:rPr>
        <w:t>．属于保修范围、内容的项目，承包人应当在接到保修通知之日起</w:t>
      </w:r>
      <w:r>
        <w:rPr>
          <w:rFonts w:ascii="宋体" w:hAnsi="宋体" w:cs="宋体"/>
          <w:color w:val="auto"/>
          <w:sz w:val="24"/>
          <w:szCs w:val="24"/>
          <w:highlight w:val="none"/>
        </w:rPr>
        <w:t>7</w:t>
      </w:r>
      <w:r>
        <w:rPr>
          <w:rFonts w:hint="eastAsia" w:ascii="宋体" w:hAnsi="宋体" w:cs="宋体"/>
          <w:color w:val="auto"/>
          <w:sz w:val="24"/>
          <w:szCs w:val="24"/>
          <w:highlight w:val="none"/>
        </w:rPr>
        <w:t>天内派人保修。承包人不在约定期限内派人保修的，发包人可以委托他人修理。</w:t>
      </w:r>
    </w:p>
    <w:p w14:paraId="5D548BE3">
      <w:pPr>
        <w:spacing w:line="360" w:lineRule="auto"/>
        <w:ind w:left="105" w:leftChars="50" w:firstLine="491" w:firstLineChars="205"/>
        <w:rPr>
          <w:rFonts w:ascii="宋体" w:cs="宋体"/>
          <w:color w:val="auto"/>
          <w:sz w:val="24"/>
          <w:szCs w:val="24"/>
          <w:highlight w:val="none"/>
        </w:rPr>
      </w:pPr>
      <w:r>
        <w:rPr>
          <w:rFonts w:ascii="宋体" w:hAnsi="宋体" w:cs="宋体"/>
          <w:color w:val="auto"/>
          <w:sz w:val="24"/>
          <w:szCs w:val="24"/>
          <w:highlight w:val="none"/>
        </w:rPr>
        <w:t>2</w:t>
      </w:r>
      <w:r>
        <w:rPr>
          <w:rFonts w:hint="eastAsia" w:ascii="宋体" w:hAnsi="宋体" w:cs="宋体"/>
          <w:color w:val="auto"/>
          <w:sz w:val="24"/>
          <w:szCs w:val="24"/>
          <w:highlight w:val="none"/>
        </w:rPr>
        <w:t>．发生紧急事故需抢修的，承包人在接到事故通知后，应当立即到达事故现场抢修。</w:t>
      </w:r>
    </w:p>
    <w:p w14:paraId="087C6030">
      <w:pPr>
        <w:spacing w:line="360" w:lineRule="auto"/>
        <w:ind w:left="105" w:leftChars="50" w:firstLine="491" w:firstLineChars="205"/>
        <w:rPr>
          <w:rFonts w:ascii="宋体" w:cs="宋体"/>
          <w:color w:val="auto"/>
          <w:sz w:val="24"/>
          <w:szCs w:val="24"/>
          <w:highlight w:val="none"/>
        </w:rPr>
      </w:pPr>
      <w:r>
        <w:rPr>
          <w:rFonts w:ascii="宋体" w:hAnsi="宋体" w:cs="宋体"/>
          <w:color w:val="auto"/>
          <w:sz w:val="24"/>
          <w:szCs w:val="24"/>
          <w:highlight w:val="none"/>
        </w:rPr>
        <w:t>3</w:t>
      </w:r>
      <w:r>
        <w:rPr>
          <w:rFonts w:hint="eastAsia" w:ascii="宋体" w:hAnsi="宋体" w:cs="宋体"/>
          <w:color w:val="auto"/>
          <w:sz w:val="24"/>
          <w:szCs w:val="24"/>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5D6BD0A3">
      <w:pPr>
        <w:spacing w:line="360" w:lineRule="auto"/>
        <w:ind w:left="420" w:leftChars="200" w:firstLine="120" w:firstLineChars="50"/>
        <w:rPr>
          <w:rFonts w:ascii="宋体" w:cs="宋体"/>
          <w:color w:val="auto"/>
          <w:sz w:val="24"/>
          <w:szCs w:val="24"/>
          <w:highlight w:val="none"/>
        </w:rPr>
      </w:pPr>
      <w:r>
        <w:rPr>
          <w:rFonts w:ascii="宋体" w:hAnsi="宋体" w:cs="宋体"/>
          <w:color w:val="auto"/>
          <w:sz w:val="24"/>
          <w:szCs w:val="24"/>
          <w:highlight w:val="none"/>
        </w:rPr>
        <w:t>4</w:t>
      </w:r>
      <w:r>
        <w:rPr>
          <w:rFonts w:hint="eastAsia" w:ascii="宋体" w:hAnsi="宋体" w:cs="宋体"/>
          <w:color w:val="auto"/>
          <w:sz w:val="24"/>
          <w:szCs w:val="24"/>
          <w:highlight w:val="none"/>
        </w:rPr>
        <w:t>．质量保修完成后，由发包人组织验收。</w:t>
      </w:r>
    </w:p>
    <w:p w14:paraId="33E6C80C">
      <w:pPr>
        <w:spacing w:line="360" w:lineRule="auto"/>
        <w:rPr>
          <w:rFonts w:ascii="宋体" w:cs="宋体"/>
          <w:color w:val="auto"/>
          <w:sz w:val="24"/>
          <w:szCs w:val="24"/>
          <w:highlight w:val="none"/>
        </w:rPr>
      </w:pPr>
      <w:r>
        <w:rPr>
          <w:rFonts w:hint="eastAsia" w:ascii="宋体" w:hAnsi="宋体" w:cs="宋体"/>
          <w:color w:val="auto"/>
          <w:sz w:val="24"/>
          <w:szCs w:val="24"/>
          <w:highlight w:val="none"/>
        </w:rPr>
        <w:t>　　五、保修费用</w:t>
      </w:r>
    </w:p>
    <w:p w14:paraId="357075BA">
      <w:pPr>
        <w:spacing w:line="360" w:lineRule="auto"/>
        <w:rPr>
          <w:rFonts w:ascii="宋体" w:cs="宋体"/>
          <w:color w:val="auto"/>
          <w:sz w:val="24"/>
          <w:szCs w:val="24"/>
          <w:highlight w:val="none"/>
        </w:rPr>
      </w:pPr>
      <w:r>
        <w:rPr>
          <w:rFonts w:hint="eastAsia" w:ascii="宋体" w:hAnsi="宋体" w:cs="宋体"/>
          <w:color w:val="auto"/>
          <w:sz w:val="24"/>
          <w:szCs w:val="24"/>
          <w:highlight w:val="none"/>
        </w:rPr>
        <w:t>　　保修费用由造成质量缺陷的责任方承担。</w:t>
      </w:r>
    </w:p>
    <w:p w14:paraId="0CE44D63">
      <w:pPr>
        <w:spacing w:line="360" w:lineRule="auto"/>
        <w:ind w:firstLine="480" w:firstLineChars="200"/>
        <w:rPr>
          <w:rFonts w:ascii="宋体" w:cs="宋体"/>
          <w:color w:val="auto"/>
          <w:sz w:val="24"/>
          <w:szCs w:val="24"/>
          <w:highlight w:val="none"/>
        </w:rPr>
      </w:pPr>
      <w:r>
        <w:rPr>
          <w:rFonts w:hint="eastAsia" w:ascii="宋体" w:hAnsi="宋体" w:cs="宋体"/>
          <w:bCs/>
          <w:color w:val="auto"/>
          <w:sz w:val="24"/>
          <w:szCs w:val="24"/>
          <w:highlight w:val="none"/>
        </w:rPr>
        <w:t>六、双方约定</w:t>
      </w:r>
      <w:r>
        <w:rPr>
          <w:rFonts w:hint="eastAsia" w:ascii="宋体" w:hAnsi="宋体" w:cs="宋体"/>
          <w:color w:val="auto"/>
          <w:sz w:val="24"/>
          <w:szCs w:val="24"/>
          <w:highlight w:val="none"/>
        </w:rPr>
        <w:t>的其他工程质量保修事项：</w:t>
      </w:r>
      <w:r>
        <w:rPr>
          <w:rFonts w:hint="eastAsia" w:ascii="宋体" w:hAnsi="宋体" w:cs="宋体"/>
          <w:color w:val="auto"/>
          <w:sz w:val="24"/>
          <w:szCs w:val="24"/>
          <w:highlight w:val="none"/>
          <w:u w:val="single"/>
        </w:rPr>
        <w:t>质量缺陷责任期内，如工程出现质量问题（或质量原因引发安全责任的），致使发包人或第三方受损的，承包人无条件承担整改和赔偿责任。否则发包人可以从承包人的保证金中支付赔偿金额，保证金不足以抵担责任的，发包人可通过其他方式或法律途径向承包人索赔</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794043B4">
      <w:pPr>
        <w:spacing w:line="360" w:lineRule="auto"/>
        <w:ind w:firstLine="456" w:firstLineChars="190"/>
        <w:rPr>
          <w:rFonts w:ascii="宋体" w:cs="宋体"/>
          <w:color w:val="auto"/>
          <w:sz w:val="24"/>
          <w:szCs w:val="24"/>
          <w:highlight w:val="none"/>
        </w:rPr>
      </w:pPr>
      <w:r>
        <w:rPr>
          <w:rFonts w:hint="eastAsia" w:ascii="宋体" w:hAnsi="宋体" w:cs="宋体"/>
          <w:color w:val="auto"/>
          <w:sz w:val="24"/>
          <w:szCs w:val="24"/>
          <w:highlight w:val="none"/>
        </w:rPr>
        <w:t>工程质量保修书由发包人、承包人在工程竣工验收前共同签署，作为施工合同附件，其有效期限至保修期满。</w:t>
      </w:r>
    </w:p>
    <w:p w14:paraId="4289D328">
      <w:pPr>
        <w:spacing w:line="360" w:lineRule="auto"/>
        <w:ind w:left="5760" w:hanging="5760" w:hangingChars="2400"/>
        <w:rPr>
          <w:rFonts w:ascii="宋体" w:hAnsi="宋体" w:cs="宋体"/>
          <w:color w:val="auto"/>
          <w:sz w:val="24"/>
          <w:szCs w:val="24"/>
          <w:highlight w:val="none"/>
        </w:rPr>
      </w:pPr>
    </w:p>
    <w:p w14:paraId="49A59023">
      <w:pPr>
        <w:spacing w:line="360" w:lineRule="auto"/>
        <w:ind w:left="5760" w:hanging="5760" w:hangingChars="2400"/>
        <w:rPr>
          <w:rFonts w:ascii="宋体" w:cs="宋体"/>
          <w:color w:val="auto"/>
          <w:spacing w:val="-20"/>
          <w:sz w:val="24"/>
          <w:szCs w:val="24"/>
          <w:highlight w:val="none"/>
          <w:u w:val="single"/>
        </w:rPr>
      </w:pPr>
      <w:r>
        <w:rPr>
          <w:rFonts w:hint="eastAsia" w:ascii="宋体" w:hAnsi="宋体" w:cs="宋体"/>
          <w:color w:val="auto"/>
          <w:sz w:val="24"/>
          <w:szCs w:val="24"/>
          <w:highlight w:val="none"/>
        </w:rPr>
        <w:t>发包人：</w:t>
      </w:r>
      <w:r>
        <w:rPr>
          <w:rFonts w:ascii="宋体" w:hAnsi="宋体" w:cs="宋体"/>
          <w:color w:val="auto"/>
          <w:sz w:val="24"/>
          <w:szCs w:val="24"/>
          <w:highlight w:val="none"/>
        </w:rPr>
        <w:t xml:space="preserve"> (</w:t>
      </w:r>
      <w:r>
        <w:rPr>
          <w:rFonts w:hint="eastAsia" w:ascii="宋体" w:hAnsi="宋体" w:cs="宋体"/>
          <w:color w:val="auto"/>
          <w:sz w:val="24"/>
          <w:szCs w:val="24"/>
          <w:highlight w:val="none"/>
        </w:rPr>
        <w:t>公章</w:t>
      </w:r>
      <w:r>
        <w:rPr>
          <w:rFonts w:ascii="宋体" w:hAnsi="宋体" w:cs="宋体"/>
          <w:color w:val="auto"/>
          <w:sz w:val="24"/>
          <w:szCs w:val="24"/>
          <w:highlight w:val="none"/>
        </w:rPr>
        <w:t xml:space="preserve">) </w:t>
      </w:r>
      <w:r>
        <w:rPr>
          <w:rFonts w:hint="eastAsia" w:ascii="宋体" w:hAnsi="宋体" w:cs="宋体"/>
          <w:color w:val="auto"/>
          <w:sz w:val="24"/>
          <w:szCs w:val="24"/>
          <w:highlight w:val="none"/>
        </w:rPr>
        <w:t xml:space="preserve"> 承包人： </w:t>
      </w:r>
      <w:r>
        <w:rPr>
          <w:rFonts w:ascii="宋体" w:hAnsi="宋体" w:cs="宋体"/>
          <w:color w:val="auto"/>
          <w:sz w:val="24"/>
          <w:szCs w:val="24"/>
          <w:highlight w:val="none"/>
        </w:rPr>
        <w:t>(</w:t>
      </w:r>
      <w:r>
        <w:rPr>
          <w:rFonts w:hint="eastAsia" w:ascii="宋体" w:hAnsi="宋体" w:cs="宋体"/>
          <w:color w:val="auto"/>
          <w:sz w:val="24"/>
          <w:szCs w:val="24"/>
          <w:highlight w:val="none"/>
        </w:rPr>
        <w:t>公章</w:t>
      </w:r>
      <w:r>
        <w:rPr>
          <w:rFonts w:ascii="宋体" w:hAnsi="宋体" w:cs="宋体"/>
          <w:color w:val="auto"/>
          <w:sz w:val="24"/>
          <w:szCs w:val="24"/>
          <w:highlight w:val="none"/>
        </w:rPr>
        <w:t>)</w:t>
      </w:r>
    </w:p>
    <w:p w14:paraId="4486137B">
      <w:pPr>
        <w:spacing w:line="360" w:lineRule="auto"/>
        <w:rPr>
          <w:rFonts w:ascii="宋体" w:cs="宋体"/>
          <w:color w:val="auto"/>
          <w:sz w:val="24"/>
          <w:szCs w:val="24"/>
          <w:highlight w:val="none"/>
        </w:rPr>
      </w:pPr>
      <w:r>
        <w:rPr>
          <w:rFonts w:hint="eastAsia" w:ascii="宋体" w:hAnsi="宋体" w:cs="宋体"/>
          <w:color w:val="auto"/>
          <w:sz w:val="24"/>
          <w:szCs w:val="24"/>
          <w:highlight w:val="none"/>
        </w:rPr>
        <w:t>法定代表人（签字或盖章）：</w:t>
      </w:r>
      <w:r>
        <w:rPr>
          <w:rFonts w:ascii="宋体" w:hAnsi="宋体" w:cs="宋体"/>
          <w:color w:val="auto"/>
          <w:sz w:val="24"/>
          <w:szCs w:val="24"/>
          <w:highlight w:val="none"/>
        </w:rPr>
        <w:t xml:space="preserve">           </w:t>
      </w:r>
      <w:r>
        <w:rPr>
          <w:rFonts w:hint="eastAsia" w:ascii="宋体" w:hAnsi="宋体" w:cs="宋体"/>
          <w:color w:val="auto"/>
          <w:sz w:val="24"/>
          <w:szCs w:val="24"/>
          <w:highlight w:val="none"/>
        </w:rPr>
        <w:t>法定代表人（签字或盖章）：</w:t>
      </w:r>
    </w:p>
    <w:p w14:paraId="4AB55088">
      <w:pPr>
        <w:spacing w:line="360" w:lineRule="auto"/>
        <w:rPr>
          <w:rFonts w:asci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rPr>
        <w:t xml:space="preserve">            </w:t>
      </w:r>
    </w:p>
    <w:p w14:paraId="07CA46A9">
      <w:pPr>
        <w:spacing w:line="360" w:lineRule="auto"/>
        <w:rPr>
          <w:rFonts w:ascii="宋体" w:cs="宋体"/>
          <w:color w:val="auto"/>
          <w:sz w:val="24"/>
          <w:szCs w:val="24"/>
          <w:highlight w:val="none"/>
        </w:rPr>
      </w:pPr>
      <w:r>
        <w:rPr>
          <w:rFonts w:hint="eastAsia" w:ascii="宋体" w:hAnsi="宋体" w:cs="宋体"/>
          <w:color w:val="auto"/>
          <w:sz w:val="24"/>
          <w:szCs w:val="24"/>
          <w:highlight w:val="none"/>
        </w:rPr>
        <w:t>日期：</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 xml:space="preserve">   </w:t>
      </w:r>
      <w:r>
        <w:rPr>
          <w:rFonts w:ascii="宋体" w:hAnsi="宋体" w:cs="宋体"/>
          <w:color w:val="auto"/>
          <w:sz w:val="24"/>
          <w:szCs w:val="24"/>
          <w:highlight w:val="none"/>
          <w:u w:val="single"/>
        </w:rPr>
        <w:t xml:space="preserve"> </w:t>
      </w:r>
      <w:r>
        <w:rPr>
          <w:rFonts w:hint="eastAsia" w:ascii="宋体" w:hAnsi="宋体" w:cs="宋体"/>
          <w:color w:val="auto"/>
          <w:kern w:val="0"/>
          <w:sz w:val="24"/>
          <w:szCs w:val="24"/>
          <w:highlight w:val="none"/>
        </w:rPr>
        <w:t>年</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rPr>
        <w:t xml:space="preserve">  </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rPr>
        <w:t xml:space="preserve">  </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日</w:t>
      </w:r>
      <w:r>
        <w:rPr>
          <w:rFonts w:ascii="宋体" w:hAnsi="宋体" w:cs="宋体"/>
          <w:color w:val="auto"/>
          <w:kern w:val="0"/>
          <w:sz w:val="24"/>
          <w:szCs w:val="24"/>
          <w:highlight w:val="none"/>
        </w:rPr>
        <w:t xml:space="preserve">          </w:t>
      </w:r>
      <w:r>
        <w:rPr>
          <w:rFonts w:hint="eastAsia" w:ascii="宋体" w:hAnsi="宋体" w:cs="宋体"/>
          <w:color w:val="auto"/>
          <w:kern w:val="0"/>
          <w:sz w:val="24"/>
          <w:szCs w:val="24"/>
          <w:highlight w:val="none"/>
        </w:rPr>
        <w:t xml:space="preserve">    </w:t>
      </w:r>
      <w:r>
        <w:rPr>
          <w:rFonts w:hint="eastAsia" w:ascii="宋体" w:hAnsi="宋体" w:cs="宋体"/>
          <w:color w:val="auto"/>
          <w:sz w:val="24"/>
          <w:szCs w:val="24"/>
          <w:highlight w:val="none"/>
        </w:rPr>
        <w:t>日期：</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 xml:space="preserve">   </w:t>
      </w:r>
      <w:r>
        <w:rPr>
          <w:rFonts w:ascii="宋体" w:hAnsi="宋体" w:cs="宋体"/>
          <w:color w:val="auto"/>
          <w:sz w:val="24"/>
          <w:szCs w:val="24"/>
          <w:highlight w:val="none"/>
          <w:u w:val="single"/>
        </w:rPr>
        <w:t xml:space="preserve"> </w:t>
      </w:r>
      <w:r>
        <w:rPr>
          <w:rFonts w:hint="eastAsia" w:ascii="宋体" w:hAnsi="宋体" w:cs="宋体"/>
          <w:color w:val="auto"/>
          <w:kern w:val="0"/>
          <w:sz w:val="24"/>
          <w:szCs w:val="24"/>
          <w:highlight w:val="none"/>
        </w:rPr>
        <w:t>年</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rPr>
        <w:t xml:space="preserve">  </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rPr>
        <w:t xml:space="preserve">  </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日</w:t>
      </w:r>
      <w:r>
        <w:rPr>
          <w:rFonts w:ascii="宋体" w:hAnsi="宋体" w:cs="宋体"/>
          <w:color w:val="auto"/>
          <w:kern w:val="0"/>
          <w:sz w:val="24"/>
          <w:szCs w:val="24"/>
          <w:highlight w:val="none"/>
        </w:rPr>
        <w:t xml:space="preserve"> </w:t>
      </w:r>
    </w:p>
    <w:p w14:paraId="42465D50">
      <w:pPr>
        <w:spacing w:line="360" w:lineRule="auto"/>
        <w:rPr>
          <w:rFonts w:ascii="宋体" w:cs="宋体"/>
          <w:color w:val="auto"/>
          <w:sz w:val="24"/>
          <w:szCs w:val="24"/>
          <w:highlight w:val="none"/>
        </w:rPr>
      </w:pPr>
    </w:p>
    <w:p w14:paraId="7270D353">
      <w:pPr>
        <w:tabs>
          <w:tab w:val="left" w:pos="5000"/>
        </w:tabs>
        <w:spacing w:line="560" w:lineRule="exact"/>
        <w:jc w:val="center"/>
        <w:rPr>
          <w:rFonts w:ascii="宋体" w:hAnsi="宋体" w:cs="宋体"/>
          <w:b/>
          <w:color w:val="auto"/>
          <w:sz w:val="36"/>
          <w:szCs w:val="36"/>
          <w:highlight w:val="none"/>
        </w:rPr>
      </w:pPr>
      <w:r>
        <w:rPr>
          <w:rFonts w:ascii="宋体" w:cs="宋体"/>
          <w:b/>
          <w:color w:val="auto"/>
          <w:sz w:val="24"/>
          <w:szCs w:val="24"/>
          <w:highlight w:val="none"/>
        </w:rPr>
        <w:br w:type="page"/>
      </w:r>
      <w:r>
        <w:rPr>
          <w:rFonts w:hint="eastAsia" w:ascii="宋体" w:hAnsi="宋体" w:cs="宋体"/>
          <w:b/>
          <w:color w:val="auto"/>
          <w:sz w:val="36"/>
          <w:szCs w:val="36"/>
          <w:highlight w:val="none"/>
        </w:rPr>
        <w:t>第五部分 建设工程廉政责任书</w:t>
      </w:r>
    </w:p>
    <w:p w14:paraId="6EEB0CE4">
      <w:pPr>
        <w:spacing w:line="360" w:lineRule="auto"/>
        <w:ind w:firstLine="470" w:firstLineChars="196"/>
        <w:rPr>
          <w:rFonts w:ascii="宋体" w:cs="宋体"/>
          <w:color w:val="auto"/>
          <w:kern w:val="0"/>
          <w:sz w:val="24"/>
          <w:highlight w:val="none"/>
        </w:rPr>
      </w:pPr>
    </w:p>
    <w:p w14:paraId="42B545A0">
      <w:pPr>
        <w:spacing w:line="460" w:lineRule="exact"/>
        <w:ind w:firstLine="470" w:firstLineChars="196"/>
        <w:rPr>
          <w:rFonts w:ascii="宋体" w:cs="宋体"/>
          <w:color w:val="auto"/>
          <w:kern w:val="0"/>
          <w:sz w:val="24"/>
          <w:highlight w:val="none"/>
        </w:rPr>
      </w:pPr>
      <w:r>
        <w:rPr>
          <w:rFonts w:hint="eastAsia" w:ascii="宋体" w:hAnsi="宋体" w:cs="宋体"/>
          <w:color w:val="auto"/>
          <w:kern w:val="0"/>
          <w:sz w:val="24"/>
          <w:highlight w:val="none"/>
        </w:rPr>
        <w:t>发包人：</w:t>
      </w:r>
      <w:r>
        <w:rPr>
          <w:rFonts w:ascii="宋体" w:hAnsi="宋体" w:cs="宋体"/>
          <w:b/>
          <w:bCs/>
          <w:color w:val="auto"/>
          <w:kern w:val="0"/>
          <w:sz w:val="24"/>
          <w:highlight w:val="none"/>
          <w:u w:val="single"/>
        </w:rPr>
        <w:t xml:space="preserve"> </w:t>
      </w:r>
      <w:r>
        <w:rPr>
          <w:rFonts w:ascii="宋体" w:hAnsi="宋体" w:cs="宋体"/>
          <w:color w:val="auto"/>
          <w:kern w:val="0"/>
          <w:sz w:val="24"/>
          <w:highlight w:val="none"/>
        </w:rPr>
        <w:t xml:space="preserve">        </w:t>
      </w:r>
    </w:p>
    <w:p w14:paraId="2EFF2235">
      <w:pPr>
        <w:spacing w:line="460" w:lineRule="exact"/>
        <w:ind w:firstLine="480" w:firstLineChars="200"/>
        <w:rPr>
          <w:rFonts w:ascii="宋体" w:cs="宋体"/>
          <w:color w:val="auto"/>
          <w:sz w:val="24"/>
          <w:highlight w:val="none"/>
          <w:u w:val="single"/>
        </w:rPr>
      </w:pPr>
      <w:r>
        <w:rPr>
          <w:rFonts w:hint="eastAsia" w:ascii="宋体" w:hAnsi="宋体" w:cs="宋体"/>
          <w:color w:val="auto"/>
          <w:sz w:val="24"/>
          <w:highlight w:val="none"/>
        </w:rPr>
        <w:t>承包人：</w:t>
      </w:r>
      <w:r>
        <w:rPr>
          <w:rFonts w:hint="eastAsia" w:ascii="宋体" w:hAnsi="宋体" w:cs="宋体"/>
          <w:b/>
          <w:bCs/>
          <w:color w:val="auto"/>
          <w:sz w:val="24"/>
          <w:szCs w:val="24"/>
          <w:highlight w:val="none"/>
          <w:u w:val="single"/>
        </w:rPr>
        <w:t xml:space="preserve">         </w:t>
      </w:r>
      <w:r>
        <w:rPr>
          <w:rFonts w:ascii="宋体" w:hAnsi="宋体" w:cs="宋体"/>
          <w:b/>
          <w:bCs/>
          <w:color w:val="auto"/>
          <w:sz w:val="24"/>
          <w:highlight w:val="none"/>
          <w:u w:val="single"/>
        </w:rPr>
        <w:t xml:space="preserve"> </w:t>
      </w:r>
      <w:r>
        <w:rPr>
          <w:rFonts w:ascii="宋体" w:hAnsi="宋体" w:cs="宋体"/>
          <w:color w:val="auto"/>
          <w:sz w:val="24"/>
          <w:highlight w:val="none"/>
          <w:u w:val="single"/>
        </w:rPr>
        <w:t xml:space="preserve"> </w:t>
      </w:r>
    </w:p>
    <w:p w14:paraId="4F3A12F7">
      <w:pPr>
        <w:spacing w:line="460" w:lineRule="exact"/>
        <w:ind w:firstLine="480" w:firstLineChars="200"/>
        <w:rPr>
          <w:rFonts w:ascii="宋体" w:cs="宋体"/>
          <w:color w:val="auto"/>
          <w:sz w:val="24"/>
          <w:highlight w:val="none"/>
        </w:rPr>
      </w:pPr>
      <w:r>
        <w:rPr>
          <w:rFonts w:hint="eastAsia" w:ascii="宋体" w:hAnsi="宋体" w:cs="宋体"/>
          <w:color w:val="auto"/>
          <w:sz w:val="24"/>
          <w:highlight w:val="none"/>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14:paraId="79CEFAB5">
      <w:pPr>
        <w:spacing w:line="460" w:lineRule="exact"/>
        <w:ind w:firstLine="480" w:firstLineChars="200"/>
        <w:rPr>
          <w:rFonts w:ascii="宋体" w:cs="宋体"/>
          <w:color w:val="auto"/>
          <w:sz w:val="24"/>
          <w:highlight w:val="none"/>
        </w:rPr>
      </w:pPr>
      <w:r>
        <w:rPr>
          <w:rFonts w:hint="eastAsia" w:ascii="宋体" w:hAnsi="宋体" w:cs="宋体"/>
          <w:color w:val="auto"/>
          <w:sz w:val="24"/>
          <w:highlight w:val="none"/>
        </w:rPr>
        <w:t>一、双方的责任</w:t>
      </w:r>
    </w:p>
    <w:p w14:paraId="444FEEF0">
      <w:pPr>
        <w:spacing w:line="460" w:lineRule="exact"/>
        <w:ind w:firstLine="480" w:firstLineChars="200"/>
        <w:rPr>
          <w:rFonts w:ascii="宋体" w:cs="宋体"/>
          <w:color w:val="auto"/>
          <w:sz w:val="24"/>
          <w:highlight w:val="none"/>
        </w:rPr>
      </w:pPr>
      <w:r>
        <w:rPr>
          <w:rFonts w:ascii="宋体" w:hAnsi="宋体" w:cs="宋体"/>
          <w:color w:val="auto"/>
          <w:sz w:val="24"/>
          <w:highlight w:val="none"/>
        </w:rPr>
        <w:t>1.1</w:t>
      </w:r>
      <w:r>
        <w:rPr>
          <w:rFonts w:hint="eastAsia" w:ascii="宋体" w:hAnsi="宋体" w:cs="宋体"/>
          <w:color w:val="auto"/>
          <w:sz w:val="24"/>
          <w:highlight w:val="none"/>
        </w:rPr>
        <w:t>应严格遵守国家关于建设工程的有关法律、法规，相关政策，以及廉政建设的各项规定。</w:t>
      </w:r>
    </w:p>
    <w:p w14:paraId="4F94FEF0">
      <w:pPr>
        <w:spacing w:line="460" w:lineRule="exact"/>
        <w:ind w:firstLine="480" w:firstLineChars="200"/>
        <w:rPr>
          <w:rFonts w:ascii="宋体" w:cs="宋体"/>
          <w:color w:val="auto"/>
          <w:sz w:val="24"/>
          <w:highlight w:val="none"/>
        </w:rPr>
      </w:pPr>
      <w:r>
        <w:rPr>
          <w:rFonts w:ascii="宋体" w:hAnsi="宋体" w:cs="宋体"/>
          <w:color w:val="auto"/>
          <w:sz w:val="24"/>
          <w:highlight w:val="none"/>
        </w:rPr>
        <w:t>1.2</w:t>
      </w:r>
      <w:r>
        <w:rPr>
          <w:rFonts w:hint="eastAsia" w:ascii="宋体" w:hAnsi="宋体" w:cs="宋体"/>
          <w:color w:val="auto"/>
          <w:sz w:val="24"/>
          <w:highlight w:val="none"/>
        </w:rPr>
        <w:t>严格执行建设工程合同文件，自觉按合同办事。</w:t>
      </w:r>
    </w:p>
    <w:p w14:paraId="47998357">
      <w:pPr>
        <w:spacing w:line="460" w:lineRule="exact"/>
        <w:ind w:firstLine="480" w:firstLineChars="200"/>
        <w:rPr>
          <w:rFonts w:ascii="宋体" w:cs="宋体"/>
          <w:color w:val="auto"/>
          <w:sz w:val="24"/>
          <w:highlight w:val="none"/>
        </w:rPr>
      </w:pPr>
      <w:r>
        <w:rPr>
          <w:rFonts w:ascii="宋体" w:hAnsi="宋体" w:cs="宋体"/>
          <w:color w:val="auto"/>
          <w:sz w:val="24"/>
          <w:highlight w:val="none"/>
        </w:rPr>
        <w:t>1.3</w:t>
      </w:r>
      <w:r>
        <w:rPr>
          <w:rFonts w:hint="eastAsia" w:ascii="宋体" w:hAnsi="宋体" w:cs="宋体"/>
          <w:color w:val="auto"/>
          <w:sz w:val="24"/>
          <w:highlight w:val="none"/>
        </w:rPr>
        <w:t>各项活动必须坚持公开、公平、公正、诚信、透明的原则</w:t>
      </w:r>
      <w:r>
        <w:rPr>
          <w:rFonts w:ascii="宋体" w:hAnsi="宋体" w:cs="宋体"/>
          <w:color w:val="auto"/>
          <w:sz w:val="24"/>
          <w:highlight w:val="none"/>
        </w:rPr>
        <w:t>(</w:t>
      </w:r>
      <w:r>
        <w:rPr>
          <w:rFonts w:hint="eastAsia" w:ascii="宋体" w:hAnsi="宋体" w:cs="宋体"/>
          <w:color w:val="auto"/>
          <w:sz w:val="24"/>
          <w:highlight w:val="none"/>
        </w:rPr>
        <w:t>除法律法规另有规定者外</w:t>
      </w:r>
      <w:r>
        <w:rPr>
          <w:rFonts w:ascii="宋体" w:hAnsi="宋体" w:cs="宋体"/>
          <w:color w:val="auto"/>
          <w:sz w:val="24"/>
          <w:highlight w:val="none"/>
        </w:rPr>
        <w:t>)</w:t>
      </w:r>
      <w:r>
        <w:rPr>
          <w:rFonts w:hint="eastAsia" w:ascii="宋体" w:hAnsi="宋体" w:cs="宋体"/>
          <w:color w:val="auto"/>
          <w:sz w:val="24"/>
          <w:highlight w:val="none"/>
        </w:rPr>
        <w:t>，不得为获取不正当的利益，损害国家、集体和对方利益，不得违反建设工程管理的规章制度。</w:t>
      </w:r>
    </w:p>
    <w:p w14:paraId="356D8DDB">
      <w:pPr>
        <w:spacing w:line="460" w:lineRule="exact"/>
        <w:ind w:firstLine="480" w:firstLineChars="200"/>
        <w:rPr>
          <w:rFonts w:ascii="宋体" w:cs="宋体"/>
          <w:color w:val="auto"/>
          <w:sz w:val="24"/>
          <w:highlight w:val="none"/>
        </w:rPr>
      </w:pPr>
      <w:r>
        <w:rPr>
          <w:rFonts w:ascii="宋体" w:hAnsi="宋体" w:cs="宋体"/>
          <w:color w:val="auto"/>
          <w:sz w:val="24"/>
          <w:highlight w:val="none"/>
        </w:rPr>
        <w:t>1.4</w:t>
      </w:r>
      <w:r>
        <w:rPr>
          <w:rFonts w:hint="eastAsia" w:ascii="宋体" w:hAnsi="宋体" w:cs="宋体"/>
          <w:color w:val="auto"/>
          <w:sz w:val="24"/>
          <w:highlight w:val="none"/>
        </w:rPr>
        <w:t>发现对方在业务活动中有违规、违纪、违法行为的，应及时提醒对方，情节严重的，应向其上级主管部门或纪检监察、司法等有关机关举报。</w:t>
      </w:r>
    </w:p>
    <w:p w14:paraId="6E826925">
      <w:pPr>
        <w:spacing w:line="460" w:lineRule="exact"/>
        <w:ind w:firstLine="480" w:firstLineChars="200"/>
        <w:rPr>
          <w:rFonts w:ascii="宋体" w:cs="宋体"/>
          <w:color w:val="auto"/>
          <w:sz w:val="24"/>
          <w:highlight w:val="none"/>
        </w:rPr>
      </w:pPr>
      <w:r>
        <w:rPr>
          <w:rFonts w:hint="eastAsia" w:ascii="宋体" w:hAnsi="宋体" w:cs="宋体"/>
          <w:color w:val="auto"/>
          <w:sz w:val="24"/>
          <w:highlight w:val="none"/>
        </w:rPr>
        <w:t>二、发包人责任</w:t>
      </w:r>
    </w:p>
    <w:p w14:paraId="3EE70A26">
      <w:pPr>
        <w:spacing w:line="460" w:lineRule="exact"/>
        <w:ind w:firstLine="480" w:firstLineChars="200"/>
        <w:rPr>
          <w:rFonts w:ascii="宋体" w:cs="宋体"/>
          <w:color w:val="auto"/>
          <w:sz w:val="24"/>
          <w:highlight w:val="none"/>
        </w:rPr>
      </w:pPr>
      <w:r>
        <w:rPr>
          <w:rFonts w:hint="eastAsia" w:ascii="宋体" w:hAnsi="宋体" w:cs="宋体"/>
          <w:color w:val="auto"/>
          <w:sz w:val="24"/>
          <w:highlight w:val="none"/>
        </w:rPr>
        <w:t>发包人的领导和从事该建设工程项目的工作人员，在工程建设的事前、事中、事后应遵守以下规定：</w:t>
      </w:r>
    </w:p>
    <w:p w14:paraId="34B59E2A">
      <w:pPr>
        <w:spacing w:line="460" w:lineRule="exact"/>
        <w:ind w:firstLine="480" w:firstLineChars="200"/>
        <w:rPr>
          <w:rFonts w:ascii="宋体" w:cs="宋体"/>
          <w:color w:val="auto"/>
          <w:sz w:val="24"/>
          <w:highlight w:val="none"/>
        </w:rPr>
      </w:pPr>
      <w:r>
        <w:rPr>
          <w:rFonts w:ascii="宋体" w:hAnsi="宋体" w:cs="宋体"/>
          <w:color w:val="auto"/>
          <w:sz w:val="24"/>
          <w:highlight w:val="none"/>
        </w:rPr>
        <w:t>2.1</w:t>
      </w:r>
      <w:r>
        <w:rPr>
          <w:rFonts w:hint="eastAsia" w:ascii="宋体" w:hAnsi="宋体" w:cs="宋体"/>
          <w:color w:val="auto"/>
          <w:sz w:val="24"/>
          <w:highlight w:val="none"/>
        </w:rPr>
        <w:t>不得向承包人和相关单位索要或接受回扣、礼金、有价证券、贵重物品和好处费、感谢费等。</w:t>
      </w:r>
    </w:p>
    <w:p w14:paraId="1112089D">
      <w:pPr>
        <w:spacing w:line="460" w:lineRule="exact"/>
        <w:ind w:firstLine="480" w:firstLineChars="200"/>
        <w:rPr>
          <w:rFonts w:ascii="宋体" w:cs="宋体"/>
          <w:color w:val="auto"/>
          <w:sz w:val="24"/>
          <w:highlight w:val="none"/>
        </w:rPr>
      </w:pPr>
      <w:r>
        <w:rPr>
          <w:rFonts w:ascii="宋体" w:hAnsi="宋体" w:cs="宋体"/>
          <w:color w:val="auto"/>
          <w:sz w:val="24"/>
          <w:highlight w:val="none"/>
        </w:rPr>
        <w:t>2.2</w:t>
      </w:r>
      <w:r>
        <w:rPr>
          <w:rFonts w:hint="eastAsia" w:ascii="宋体" w:hAnsi="宋体" w:cs="宋体"/>
          <w:color w:val="auto"/>
          <w:sz w:val="24"/>
          <w:highlight w:val="none"/>
        </w:rPr>
        <w:t>不得在承包人和相关单位报销任何应由发包人或个人支付的费用。</w:t>
      </w:r>
    </w:p>
    <w:p w14:paraId="4E2ED77B">
      <w:pPr>
        <w:spacing w:line="460" w:lineRule="exact"/>
        <w:ind w:firstLine="480" w:firstLineChars="200"/>
        <w:rPr>
          <w:rFonts w:ascii="宋体" w:cs="宋体"/>
          <w:color w:val="auto"/>
          <w:sz w:val="24"/>
          <w:highlight w:val="none"/>
        </w:rPr>
      </w:pPr>
      <w:r>
        <w:rPr>
          <w:rFonts w:ascii="宋体" w:hAnsi="宋体" w:cs="宋体"/>
          <w:color w:val="auto"/>
          <w:sz w:val="24"/>
          <w:highlight w:val="none"/>
        </w:rPr>
        <w:t>2.3</w:t>
      </w:r>
      <w:r>
        <w:rPr>
          <w:rFonts w:hint="eastAsia" w:ascii="宋体" w:hAnsi="宋体" w:cs="宋体"/>
          <w:color w:val="auto"/>
          <w:sz w:val="24"/>
          <w:highlight w:val="none"/>
        </w:rPr>
        <w:t>不得要求、暗示或接受承包人和相关单位为个人装修住房、婚丧嫁娶、配偶子女的工作安排以及出国</w:t>
      </w:r>
      <w:r>
        <w:rPr>
          <w:rFonts w:ascii="宋体" w:hAnsi="宋体" w:cs="宋体"/>
          <w:color w:val="auto"/>
          <w:sz w:val="24"/>
          <w:highlight w:val="none"/>
        </w:rPr>
        <w:t>(</w:t>
      </w:r>
      <w:r>
        <w:rPr>
          <w:rFonts w:hint="eastAsia" w:ascii="宋体" w:hAnsi="宋体" w:cs="宋体"/>
          <w:color w:val="auto"/>
          <w:sz w:val="24"/>
          <w:highlight w:val="none"/>
        </w:rPr>
        <w:t>境</w:t>
      </w:r>
      <w:r>
        <w:rPr>
          <w:rFonts w:ascii="宋体" w:hAnsi="宋体" w:cs="宋体"/>
          <w:color w:val="auto"/>
          <w:sz w:val="24"/>
          <w:highlight w:val="none"/>
        </w:rPr>
        <w:t>)</w:t>
      </w:r>
      <w:r>
        <w:rPr>
          <w:rFonts w:hint="eastAsia" w:ascii="宋体" w:hAnsi="宋体" w:cs="宋体"/>
          <w:color w:val="auto"/>
          <w:sz w:val="24"/>
          <w:highlight w:val="none"/>
        </w:rPr>
        <w:t>、旅游等提供方便。</w:t>
      </w:r>
    </w:p>
    <w:p w14:paraId="37CB4405">
      <w:pPr>
        <w:spacing w:line="460" w:lineRule="exact"/>
        <w:ind w:firstLine="480" w:firstLineChars="200"/>
        <w:rPr>
          <w:rFonts w:ascii="宋体" w:cs="宋体"/>
          <w:color w:val="auto"/>
          <w:sz w:val="24"/>
          <w:highlight w:val="none"/>
        </w:rPr>
      </w:pPr>
      <w:r>
        <w:rPr>
          <w:rFonts w:ascii="宋体" w:hAnsi="宋体" w:cs="宋体"/>
          <w:color w:val="auto"/>
          <w:sz w:val="24"/>
          <w:highlight w:val="none"/>
        </w:rPr>
        <w:t>2.4</w:t>
      </w:r>
      <w:r>
        <w:rPr>
          <w:rFonts w:hint="eastAsia" w:ascii="宋体" w:hAnsi="宋体" w:cs="宋体"/>
          <w:color w:val="auto"/>
          <w:sz w:val="24"/>
          <w:highlight w:val="none"/>
        </w:rPr>
        <w:t>不得参加有可能影响公正执行公务的承包人和相关单位的宴请、健身、娱乐等活动。</w:t>
      </w:r>
    </w:p>
    <w:p w14:paraId="0E5931CA">
      <w:pPr>
        <w:spacing w:line="460" w:lineRule="exact"/>
        <w:ind w:firstLine="480" w:firstLineChars="200"/>
        <w:rPr>
          <w:rFonts w:ascii="宋体" w:cs="宋体"/>
          <w:color w:val="auto"/>
          <w:sz w:val="24"/>
          <w:highlight w:val="none"/>
        </w:rPr>
      </w:pPr>
      <w:r>
        <w:rPr>
          <w:rFonts w:ascii="宋体" w:hAnsi="宋体" w:cs="宋体"/>
          <w:color w:val="auto"/>
          <w:sz w:val="24"/>
          <w:highlight w:val="none"/>
        </w:rPr>
        <w:t>2.5</w:t>
      </w:r>
      <w:r>
        <w:rPr>
          <w:rFonts w:hint="eastAsia" w:ascii="宋体" w:hAnsi="宋体" w:cs="宋体"/>
          <w:color w:val="auto"/>
          <w:sz w:val="24"/>
          <w:highlight w:val="none"/>
        </w:rPr>
        <w:t>不得向承包人和相关单位介绍或为配偶、子女、亲属参与同发包人工程建设管理合同有关的业务活动；不得以任何理由要求承包人和相关单位使用某种产品、材料和设备。</w:t>
      </w:r>
    </w:p>
    <w:p w14:paraId="0B4AFD92">
      <w:pPr>
        <w:spacing w:line="460" w:lineRule="exact"/>
        <w:ind w:firstLine="480" w:firstLineChars="200"/>
        <w:rPr>
          <w:rFonts w:ascii="宋体" w:cs="宋体"/>
          <w:color w:val="auto"/>
          <w:sz w:val="24"/>
          <w:highlight w:val="none"/>
        </w:rPr>
      </w:pPr>
      <w:r>
        <w:rPr>
          <w:rFonts w:hint="eastAsia" w:ascii="宋体" w:hAnsi="宋体" w:cs="宋体"/>
          <w:color w:val="auto"/>
          <w:sz w:val="24"/>
          <w:highlight w:val="none"/>
        </w:rPr>
        <w:t>三、承包人责任</w:t>
      </w:r>
    </w:p>
    <w:p w14:paraId="6FE89C9D">
      <w:pPr>
        <w:spacing w:line="460" w:lineRule="exact"/>
        <w:ind w:firstLine="480" w:firstLineChars="200"/>
        <w:rPr>
          <w:rFonts w:ascii="宋体" w:cs="宋体"/>
          <w:color w:val="auto"/>
          <w:sz w:val="24"/>
          <w:highlight w:val="none"/>
        </w:rPr>
      </w:pPr>
      <w:r>
        <w:rPr>
          <w:rFonts w:hint="eastAsia" w:ascii="宋体" w:hAnsi="宋体" w:cs="宋体"/>
          <w:color w:val="auto"/>
          <w:sz w:val="24"/>
          <w:highlight w:val="none"/>
        </w:rPr>
        <w:t>应与发包人保持正常的业务交往，按照有关法律法规和程序开展业务工作，严格执行工程建设的有关方针、政策，执行工程建设强制性标准，并遵守以下规定：</w:t>
      </w:r>
    </w:p>
    <w:p w14:paraId="7459184E">
      <w:pPr>
        <w:spacing w:line="460" w:lineRule="exact"/>
        <w:ind w:firstLine="480" w:firstLineChars="200"/>
        <w:rPr>
          <w:rFonts w:ascii="宋体" w:cs="宋体"/>
          <w:color w:val="auto"/>
          <w:sz w:val="24"/>
          <w:highlight w:val="none"/>
        </w:rPr>
      </w:pPr>
      <w:r>
        <w:rPr>
          <w:rFonts w:ascii="宋体" w:hAnsi="宋体" w:cs="宋体"/>
          <w:color w:val="auto"/>
          <w:sz w:val="24"/>
          <w:highlight w:val="none"/>
        </w:rPr>
        <w:t>3.1</w:t>
      </w:r>
      <w:r>
        <w:rPr>
          <w:rFonts w:hint="eastAsia" w:ascii="宋体" w:hAnsi="宋体" w:cs="宋体"/>
          <w:color w:val="auto"/>
          <w:sz w:val="24"/>
          <w:highlight w:val="none"/>
        </w:rPr>
        <w:t>不得以任何理由向发包人及其工作人员索要、接受或赠送礼金、有价证券、贵重物品及回扣、好处费、感谢费等。</w:t>
      </w:r>
    </w:p>
    <w:p w14:paraId="749E1D55">
      <w:pPr>
        <w:spacing w:line="460" w:lineRule="exact"/>
        <w:ind w:firstLine="480" w:firstLineChars="200"/>
        <w:rPr>
          <w:rFonts w:ascii="宋体" w:cs="宋体"/>
          <w:color w:val="auto"/>
          <w:sz w:val="24"/>
          <w:highlight w:val="none"/>
        </w:rPr>
      </w:pPr>
      <w:r>
        <w:rPr>
          <w:rFonts w:ascii="宋体" w:hAnsi="宋体" w:cs="宋体"/>
          <w:color w:val="auto"/>
          <w:sz w:val="24"/>
          <w:highlight w:val="none"/>
        </w:rPr>
        <w:t>3.2</w:t>
      </w:r>
      <w:r>
        <w:rPr>
          <w:rFonts w:hint="eastAsia" w:ascii="宋体" w:hAnsi="宋体" w:cs="宋体"/>
          <w:color w:val="auto"/>
          <w:sz w:val="24"/>
          <w:highlight w:val="none"/>
        </w:rPr>
        <w:t>不得以任何理由为发包人和相关单位报销应由对方或个人支付的费用。</w:t>
      </w:r>
    </w:p>
    <w:p w14:paraId="31FBF1D6">
      <w:pPr>
        <w:spacing w:line="460" w:lineRule="exact"/>
        <w:ind w:firstLine="480" w:firstLineChars="200"/>
        <w:rPr>
          <w:rFonts w:ascii="宋体" w:cs="宋体"/>
          <w:color w:val="auto"/>
          <w:sz w:val="24"/>
          <w:highlight w:val="none"/>
        </w:rPr>
      </w:pPr>
      <w:r>
        <w:rPr>
          <w:rFonts w:ascii="宋体" w:hAnsi="宋体" w:cs="宋体"/>
          <w:color w:val="auto"/>
          <w:sz w:val="24"/>
          <w:highlight w:val="none"/>
        </w:rPr>
        <w:t>3.3</w:t>
      </w:r>
      <w:r>
        <w:rPr>
          <w:rFonts w:hint="eastAsia" w:ascii="宋体" w:hAnsi="宋体" w:cs="宋体"/>
          <w:color w:val="auto"/>
          <w:sz w:val="24"/>
          <w:highlight w:val="none"/>
        </w:rPr>
        <w:t>不得接受或暗示为发包人、相关单位或个人装修住房、婚丧嫁娶、配偶子女的工作安排以及出国</w:t>
      </w:r>
      <w:r>
        <w:rPr>
          <w:rFonts w:ascii="宋体" w:hAnsi="宋体" w:cs="宋体"/>
          <w:color w:val="auto"/>
          <w:sz w:val="24"/>
          <w:highlight w:val="none"/>
        </w:rPr>
        <w:t>(</w:t>
      </w:r>
      <w:r>
        <w:rPr>
          <w:rFonts w:hint="eastAsia" w:ascii="宋体" w:hAnsi="宋体" w:cs="宋体"/>
          <w:color w:val="auto"/>
          <w:sz w:val="24"/>
          <w:highlight w:val="none"/>
        </w:rPr>
        <w:t>境</w:t>
      </w:r>
      <w:r>
        <w:rPr>
          <w:rFonts w:ascii="宋体" w:hAnsi="宋体" w:cs="宋体"/>
          <w:color w:val="auto"/>
          <w:sz w:val="24"/>
          <w:highlight w:val="none"/>
        </w:rPr>
        <w:t>)</w:t>
      </w:r>
      <w:r>
        <w:rPr>
          <w:rFonts w:hint="eastAsia" w:ascii="宋体" w:hAnsi="宋体" w:cs="宋体"/>
          <w:color w:val="auto"/>
          <w:sz w:val="24"/>
          <w:highlight w:val="none"/>
        </w:rPr>
        <w:t>、旅游等提供方便。</w:t>
      </w:r>
    </w:p>
    <w:p w14:paraId="38545F3B">
      <w:pPr>
        <w:spacing w:line="460" w:lineRule="exact"/>
        <w:ind w:firstLine="480" w:firstLineChars="200"/>
        <w:rPr>
          <w:rFonts w:ascii="宋体" w:cs="宋体"/>
          <w:color w:val="auto"/>
          <w:sz w:val="24"/>
          <w:highlight w:val="none"/>
        </w:rPr>
      </w:pPr>
      <w:r>
        <w:rPr>
          <w:rFonts w:ascii="宋体" w:hAnsi="宋体" w:cs="宋体"/>
          <w:color w:val="auto"/>
          <w:sz w:val="24"/>
          <w:highlight w:val="none"/>
        </w:rPr>
        <w:t>3.4</w:t>
      </w:r>
      <w:r>
        <w:rPr>
          <w:rFonts w:hint="eastAsia" w:ascii="宋体" w:hAnsi="宋体" w:cs="宋体"/>
          <w:color w:val="auto"/>
          <w:sz w:val="24"/>
          <w:highlight w:val="none"/>
        </w:rPr>
        <w:t>不得以任何理由为发包人、相关单位或个人组织有可能影响公正执行公务的宴请、健身、娱乐等活动。</w:t>
      </w:r>
    </w:p>
    <w:p w14:paraId="73192495">
      <w:pPr>
        <w:spacing w:line="460" w:lineRule="exact"/>
        <w:ind w:firstLine="480" w:firstLineChars="200"/>
        <w:rPr>
          <w:rFonts w:ascii="宋体" w:cs="宋体"/>
          <w:color w:val="auto"/>
          <w:sz w:val="24"/>
          <w:highlight w:val="none"/>
        </w:rPr>
      </w:pPr>
      <w:r>
        <w:rPr>
          <w:rFonts w:hint="eastAsia" w:ascii="宋体" w:hAnsi="宋体" w:cs="宋体"/>
          <w:color w:val="auto"/>
          <w:sz w:val="24"/>
          <w:highlight w:val="none"/>
        </w:rPr>
        <w:t>四、违约责任</w:t>
      </w:r>
    </w:p>
    <w:p w14:paraId="0FE8FBA9">
      <w:pPr>
        <w:spacing w:line="460" w:lineRule="exact"/>
        <w:ind w:firstLine="480" w:firstLineChars="200"/>
        <w:rPr>
          <w:rFonts w:ascii="宋体" w:cs="宋体"/>
          <w:color w:val="auto"/>
          <w:sz w:val="24"/>
          <w:highlight w:val="none"/>
        </w:rPr>
      </w:pPr>
      <w:r>
        <w:rPr>
          <w:rFonts w:ascii="宋体" w:hAnsi="宋体" w:cs="宋体"/>
          <w:color w:val="auto"/>
          <w:sz w:val="24"/>
          <w:highlight w:val="none"/>
        </w:rPr>
        <w:t>4.1</w:t>
      </w:r>
      <w:r>
        <w:rPr>
          <w:rFonts w:hint="eastAsia" w:ascii="宋体" w:hAnsi="宋体" w:cs="宋体"/>
          <w:color w:val="auto"/>
          <w:sz w:val="24"/>
          <w:highlight w:val="none"/>
        </w:rPr>
        <w:t>发包人工作人员有违反本责任书第一、二条责任行为的，依据有关法律、法规给予处理；涉嫌犯罪的，移交司法机关追究刑事责任；给承包人单位造成经济损失的，应予以赔偿。</w:t>
      </w:r>
    </w:p>
    <w:p w14:paraId="04DEF71A">
      <w:pPr>
        <w:spacing w:line="460" w:lineRule="exact"/>
        <w:ind w:firstLine="480" w:firstLineChars="200"/>
        <w:rPr>
          <w:rFonts w:ascii="宋体" w:cs="宋体"/>
          <w:color w:val="auto"/>
          <w:sz w:val="24"/>
          <w:highlight w:val="none"/>
        </w:rPr>
      </w:pPr>
      <w:r>
        <w:rPr>
          <w:rFonts w:ascii="宋体" w:hAnsi="宋体" w:cs="宋体"/>
          <w:color w:val="auto"/>
          <w:sz w:val="24"/>
          <w:highlight w:val="none"/>
        </w:rPr>
        <w:t>4.2</w:t>
      </w:r>
      <w:r>
        <w:rPr>
          <w:rFonts w:hint="eastAsia" w:ascii="宋体" w:hAnsi="宋体" w:cs="宋体"/>
          <w:color w:val="auto"/>
          <w:sz w:val="24"/>
          <w:highlight w:val="none"/>
        </w:rPr>
        <w:t>承包人工作人员有违反本责任书第一、三条责任行为的，依据有关法律法规处理；涉嫌犯罪的，移交司法机关追究刑事责任；给发包人单位造成经济损失的，应予以赔偿。</w:t>
      </w:r>
    </w:p>
    <w:p w14:paraId="045B3B68">
      <w:pPr>
        <w:spacing w:line="460" w:lineRule="exact"/>
        <w:ind w:firstLine="480" w:firstLineChars="200"/>
        <w:rPr>
          <w:rFonts w:ascii="宋体" w:cs="宋体"/>
          <w:color w:val="auto"/>
          <w:sz w:val="24"/>
          <w:highlight w:val="none"/>
        </w:rPr>
      </w:pPr>
      <w:r>
        <w:rPr>
          <w:rFonts w:ascii="宋体" w:hAnsi="宋体" w:cs="宋体"/>
          <w:color w:val="auto"/>
          <w:sz w:val="24"/>
          <w:highlight w:val="none"/>
        </w:rPr>
        <w:t>4.3</w:t>
      </w:r>
      <w:r>
        <w:rPr>
          <w:rFonts w:hint="eastAsia" w:ascii="宋体" w:hAnsi="宋体" w:cs="宋体"/>
          <w:color w:val="auto"/>
          <w:sz w:val="24"/>
          <w:highlight w:val="none"/>
        </w:rPr>
        <w:t>本责任书作为建设工程合同的组成部分，与建设工程合同具有同等法律效力。经双方签署后立即生效。</w:t>
      </w:r>
    </w:p>
    <w:p w14:paraId="0590B8F5">
      <w:pPr>
        <w:spacing w:line="460" w:lineRule="exact"/>
        <w:ind w:firstLine="480" w:firstLineChars="200"/>
        <w:rPr>
          <w:rFonts w:ascii="宋体" w:cs="宋体"/>
          <w:color w:val="auto"/>
          <w:sz w:val="24"/>
          <w:highlight w:val="none"/>
        </w:rPr>
      </w:pPr>
      <w:r>
        <w:rPr>
          <w:rFonts w:hint="eastAsia" w:ascii="宋体" w:hAnsi="宋体" w:cs="宋体"/>
          <w:color w:val="auto"/>
          <w:sz w:val="24"/>
          <w:highlight w:val="none"/>
        </w:rPr>
        <w:t>五、责任书有效期</w:t>
      </w:r>
    </w:p>
    <w:p w14:paraId="633B3FD9">
      <w:pPr>
        <w:spacing w:line="460" w:lineRule="exact"/>
        <w:ind w:firstLine="480" w:firstLineChars="200"/>
        <w:rPr>
          <w:rFonts w:ascii="宋体" w:cs="宋体"/>
          <w:color w:val="auto"/>
          <w:sz w:val="24"/>
          <w:highlight w:val="none"/>
        </w:rPr>
      </w:pPr>
      <w:r>
        <w:rPr>
          <w:rFonts w:hint="eastAsia" w:ascii="宋体" w:hAnsi="宋体" w:cs="宋体"/>
          <w:color w:val="auto"/>
          <w:sz w:val="24"/>
          <w:highlight w:val="none"/>
        </w:rPr>
        <w:t>本责任书的有效期为双方签署之日起至该工程项目竣工验收合格时止。</w:t>
      </w:r>
    </w:p>
    <w:p w14:paraId="52D88F2A">
      <w:pPr>
        <w:spacing w:line="460" w:lineRule="exact"/>
        <w:ind w:firstLine="480" w:firstLineChars="200"/>
        <w:rPr>
          <w:rFonts w:ascii="宋体" w:cs="宋体"/>
          <w:color w:val="auto"/>
          <w:sz w:val="24"/>
          <w:highlight w:val="none"/>
        </w:rPr>
      </w:pPr>
      <w:r>
        <w:rPr>
          <w:rFonts w:hint="eastAsia" w:ascii="宋体" w:hAnsi="宋体" w:cs="宋体"/>
          <w:color w:val="auto"/>
          <w:sz w:val="24"/>
          <w:highlight w:val="none"/>
        </w:rPr>
        <w:t>六、责任书份数</w:t>
      </w:r>
    </w:p>
    <w:p w14:paraId="7F3C9C43">
      <w:pPr>
        <w:spacing w:line="460" w:lineRule="exact"/>
        <w:ind w:firstLine="480" w:firstLineChars="200"/>
        <w:rPr>
          <w:rFonts w:ascii="宋体" w:cs="宋体"/>
          <w:color w:val="auto"/>
          <w:sz w:val="24"/>
          <w:highlight w:val="none"/>
        </w:rPr>
      </w:pPr>
      <w:r>
        <w:rPr>
          <w:rFonts w:hint="eastAsia" w:ascii="宋体" w:hAnsi="宋体" w:cs="宋体"/>
          <w:color w:val="auto"/>
          <w:sz w:val="24"/>
          <w:highlight w:val="none"/>
        </w:rPr>
        <w:t>本责任书一式</w:t>
      </w:r>
      <w:r>
        <w:rPr>
          <w:rFonts w:hint="eastAsia" w:ascii="宋体" w:hAnsi="宋体" w:cs="宋体"/>
          <w:color w:val="auto"/>
          <w:sz w:val="24"/>
          <w:highlight w:val="none"/>
          <w:u w:val="single"/>
        </w:rPr>
        <w:t>捌</w:t>
      </w:r>
      <w:r>
        <w:rPr>
          <w:rFonts w:hint="eastAsia" w:ascii="宋体" w:hAnsi="宋体" w:cs="宋体"/>
          <w:color w:val="auto"/>
          <w:sz w:val="24"/>
          <w:highlight w:val="none"/>
        </w:rPr>
        <w:t>份，发包人执</w:t>
      </w:r>
      <w:r>
        <w:rPr>
          <w:rFonts w:hint="eastAsia" w:ascii="宋体" w:hAnsi="宋体" w:cs="宋体"/>
          <w:color w:val="auto"/>
          <w:sz w:val="24"/>
          <w:highlight w:val="none"/>
          <w:u w:val="single"/>
        </w:rPr>
        <w:t>肆</w:t>
      </w:r>
      <w:r>
        <w:rPr>
          <w:rFonts w:hint="eastAsia" w:ascii="宋体" w:hAnsi="宋体" w:cs="宋体"/>
          <w:color w:val="auto"/>
          <w:sz w:val="24"/>
          <w:highlight w:val="none"/>
        </w:rPr>
        <w:t>份，承包人执</w:t>
      </w:r>
      <w:r>
        <w:rPr>
          <w:rFonts w:hint="eastAsia" w:ascii="宋体" w:hAnsi="宋体" w:cs="宋体"/>
          <w:color w:val="auto"/>
          <w:sz w:val="24"/>
          <w:highlight w:val="none"/>
          <w:u w:val="single"/>
        </w:rPr>
        <w:t>肆</w:t>
      </w:r>
      <w:r>
        <w:rPr>
          <w:rFonts w:hint="eastAsia" w:ascii="宋体" w:hAnsi="宋体" w:cs="宋体"/>
          <w:color w:val="auto"/>
          <w:sz w:val="24"/>
          <w:highlight w:val="none"/>
        </w:rPr>
        <w:t>份，具有同等效力。</w:t>
      </w:r>
    </w:p>
    <w:p w14:paraId="18C0C430">
      <w:pPr>
        <w:spacing w:line="460" w:lineRule="exact"/>
        <w:rPr>
          <w:rFonts w:ascii="宋体" w:cs="宋体"/>
          <w:color w:val="auto"/>
          <w:sz w:val="24"/>
          <w:highlight w:val="none"/>
        </w:rPr>
      </w:pPr>
    </w:p>
    <w:p w14:paraId="2445079F">
      <w:pPr>
        <w:spacing w:line="360" w:lineRule="auto"/>
        <w:ind w:left="5760" w:hanging="5760" w:hangingChars="2400"/>
        <w:rPr>
          <w:rFonts w:ascii="宋体" w:cs="宋体"/>
          <w:color w:val="auto"/>
          <w:spacing w:val="-20"/>
          <w:sz w:val="24"/>
          <w:highlight w:val="none"/>
          <w:u w:val="single"/>
        </w:rPr>
      </w:pPr>
      <w:bookmarkStart w:id="1248" w:name="_Toc216519114"/>
      <w:bookmarkStart w:id="1249" w:name="_Toc260302383"/>
      <w:r>
        <w:rPr>
          <w:rFonts w:hint="eastAsia" w:ascii="宋体" w:hAnsi="宋体" w:cs="宋体"/>
          <w:color w:val="auto"/>
          <w:sz w:val="24"/>
          <w:highlight w:val="none"/>
        </w:rPr>
        <w:t>发包人：</w:t>
      </w:r>
      <w:r>
        <w:rPr>
          <w:rFonts w:hint="eastAsia" w:ascii="宋体" w:hAnsi="宋体" w:cs="宋体"/>
          <w:color w:val="auto"/>
          <w:sz w:val="24"/>
          <w:highlight w:val="none"/>
          <w:lang w:val="en-US" w:eastAsia="zh-CN"/>
        </w:rPr>
        <w:t xml:space="preserve">             </w:t>
      </w:r>
      <w:r>
        <w:rPr>
          <w:rFonts w:ascii="宋体" w:hAnsi="宋体" w:cs="宋体"/>
          <w:color w:val="auto"/>
          <w:sz w:val="24"/>
          <w:highlight w:val="none"/>
        </w:rPr>
        <w:t>(</w:t>
      </w:r>
      <w:r>
        <w:rPr>
          <w:rFonts w:hint="eastAsia" w:ascii="宋体" w:hAnsi="宋体" w:cs="宋体"/>
          <w:color w:val="auto"/>
          <w:sz w:val="24"/>
          <w:highlight w:val="none"/>
        </w:rPr>
        <w:t>公章</w:t>
      </w:r>
      <w:r>
        <w:rPr>
          <w:rFonts w:ascii="宋体" w:hAnsi="宋体" w:cs="宋体"/>
          <w:color w:val="auto"/>
          <w:sz w:val="24"/>
          <w:highlight w:val="none"/>
        </w:rPr>
        <w:t xml:space="preserve">) </w:t>
      </w:r>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承包人：</w:t>
      </w:r>
      <w:r>
        <w:rPr>
          <w:rFonts w:hint="eastAsia" w:ascii="宋体" w:hAnsi="宋体" w:cs="宋体"/>
          <w:color w:val="auto"/>
          <w:sz w:val="24"/>
          <w:szCs w:val="24"/>
          <w:highlight w:val="none"/>
        </w:rPr>
        <w:t xml:space="preserve"> </w:t>
      </w:r>
      <w:r>
        <w:rPr>
          <w:rFonts w:ascii="宋体" w:hAnsi="宋体" w:cs="宋体"/>
          <w:color w:val="auto"/>
          <w:sz w:val="24"/>
          <w:highlight w:val="none"/>
        </w:rPr>
        <w:t>(</w:t>
      </w:r>
      <w:r>
        <w:rPr>
          <w:rFonts w:hint="eastAsia" w:ascii="宋体" w:hAnsi="宋体" w:cs="宋体"/>
          <w:color w:val="auto"/>
          <w:sz w:val="24"/>
          <w:highlight w:val="none"/>
        </w:rPr>
        <w:t>公章</w:t>
      </w:r>
      <w:r>
        <w:rPr>
          <w:rFonts w:ascii="宋体" w:hAnsi="宋体" w:cs="宋体"/>
          <w:color w:val="auto"/>
          <w:sz w:val="24"/>
          <w:highlight w:val="none"/>
        </w:rPr>
        <w:t>)</w:t>
      </w:r>
    </w:p>
    <w:p w14:paraId="691FFD8F">
      <w:pPr>
        <w:spacing w:line="360" w:lineRule="auto"/>
        <w:rPr>
          <w:rFonts w:ascii="宋体" w:cs="宋体"/>
          <w:color w:val="auto"/>
          <w:sz w:val="24"/>
          <w:szCs w:val="24"/>
          <w:highlight w:val="none"/>
        </w:rPr>
      </w:pPr>
      <w:r>
        <w:rPr>
          <w:rFonts w:hint="eastAsia" w:ascii="宋体" w:hAnsi="宋体" w:cs="宋体"/>
          <w:color w:val="auto"/>
          <w:sz w:val="24"/>
          <w:szCs w:val="24"/>
          <w:highlight w:val="none"/>
        </w:rPr>
        <w:t>法定代表人（签字或盖章）：</w:t>
      </w:r>
      <w:r>
        <w:rPr>
          <w:rFonts w:ascii="宋体" w:hAnsi="宋体" w:cs="宋体"/>
          <w:color w:val="auto"/>
          <w:sz w:val="24"/>
          <w:szCs w:val="24"/>
          <w:highlight w:val="none"/>
        </w:rPr>
        <w:t xml:space="preserve">           </w:t>
      </w:r>
      <w:r>
        <w:rPr>
          <w:rFonts w:hint="eastAsia" w:ascii="宋体" w:hAnsi="宋体" w:cs="宋体"/>
          <w:color w:val="auto"/>
          <w:sz w:val="24"/>
          <w:szCs w:val="24"/>
          <w:highlight w:val="none"/>
        </w:rPr>
        <w:t>法定代表人（签字或盖章）：</w:t>
      </w:r>
    </w:p>
    <w:p w14:paraId="4D494698">
      <w:pPr>
        <w:spacing w:line="360" w:lineRule="auto"/>
        <w:rPr>
          <w:rFonts w:asci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rPr>
        <w:t xml:space="preserve">            </w:t>
      </w:r>
    </w:p>
    <w:p w14:paraId="1741593D">
      <w:pPr>
        <w:spacing w:line="360" w:lineRule="auto"/>
        <w:rPr>
          <w:rFonts w:ascii="宋体" w:cs="宋体"/>
          <w:color w:val="auto"/>
          <w:sz w:val="24"/>
          <w:szCs w:val="24"/>
          <w:highlight w:val="none"/>
        </w:rPr>
      </w:pPr>
      <w:r>
        <w:rPr>
          <w:rFonts w:hint="eastAsia" w:ascii="宋体" w:hAnsi="宋体" w:cs="宋体"/>
          <w:color w:val="auto"/>
          <w:sz w:val="24"/>
          <w:szCs w:val="24"/>
          <w:highlight w:val="none"/>
        </w:rPr>
        <w:t>日期：</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 xml:space="preserve">    </w:t>
      </w:r>
      <w:r>
        <w:rPr>
          <w:rFonts w:ascii="宋体" w:hAnsi="宋体" w:cs="宋体"/>
          <w:color w:val="auto"/>
          <w:sz w:val="24"/>
          <w:szCs w:val="24"/>
          <w:highlight w:val="none"/>
          <w:u w:val="single"/>
        </w:rPr>
        <w:t xml:space="preserve"> </w:t>
      </w:r>
      <w:r>
        <w:rPr>
          <w:rFonts w:hint="eastAsia" w:ascii="宋体" w:hAnsi="宋体" w:cs="宋体"/>
          <w:color w:val="auto"/>
          <w:kern w:val="0"/>
          <w:sz w:val="24"/>
          <w:szCs w:val="24"/>
          <w:highlight w:val="none"/>
        </w:rPr>
        <w:t>年</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rPr>
        <w:t xml:space="preserve">  </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rPr>
        <w:t xml:space="preserve">  </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日</w:t>
      </w:r>
      <w:r>
        <w:rPr>
          <w:rFonts w:ascii="宋体" w:hAnsi="宋体" w:cs="宋体"/>
          <w:color w:val="auto"/>
          <w:kern w:val="0"/>
          <w:sz w:val="24"/>
          <w:szCs w:val="24"/>
          <w:highlight w:val="none"/>
        </w:rPr>
        <w:t xml:space="preserve">              </w:t>
      </w:r>
      <w:r>
        <w:rPr>
          <w:rFonts w:hint="eastAsia" w:ascii="宋体" w:hAnsi="宋体" w:cs="宋体"/>
          <w:color w:val="auto"/>
          <w:kern w:val="0"/>
          <w:sz w:val="24"/>
          <w:szCs w:val="24"/>
          <w:highlight w:val="none"/>
        </w:rPr>
        <w:t xml:space="preserve">    </w:t>
      </w:r>
      <w:r>
        <w:rPr>
          <w:rFonts w:hint="eastAsia" w:ascii="宋体" w:hAnsi="宋体" w:cs="宋体"/>
          <w:color w:val="auto"/>
          <w:sz w:val="24"/>
          <w:szCs w:val="24"/>
          <w:highlight w:val="none"/>
        </w:rPr>
        <w:t>日期：</w:t>
      </w:r>
      <w:r>
        <w:rPr>
          <w:rFonts w:hint="eastAsia" w:ascii="宋体" w:hAnsi="宋体" w:cs="宋体"/>
          <w:color w:val="auto"/>
          <w:sz w:val="24"/>
          <w:szCs w:val="24"/>
          <w:highlight w:val="none"/>
          <w:u w:val="single"/>
        </w:rPr>
        <w:t xml:space="preserve">    </w:t>
      </w:r>
      <w:r>
        <w:rPr>
          <w:rFonts w:ascii="宋体" w:hAnsi="宋体" w:cs="宋体"/>
          <w:color w:val="auto"/>
          <w:sz w:val="24"/>
          <w:szCs w:val="24"/>
          <w:highlight w:val="none"/>
          <w:u w:val="single"/>
        </w:rPr>
        <w:t xml:space="preserve"> </w:t>
      </w:r>
      <w:r>
        <w:rPr>
          <w:rFonts w:hint="eastAsia" w:ascii="宋体" w:hAnsi="宋体" w:cs="宋体"/>
          <w:color w:val="auto"/>
          <w:kern w:val="0"/>
          <w:sz w:val="24"/>
          <w:szCs w:val="24"/>
          <w:highlight w:val="none"/>
        </w:rPr>
        <w:t>年</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rPr>
        <w:t xml:space="preserve">  </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rPr>
        <w:t xml:space="preserve">  </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日</w:t>
      </w:r>
      <w:r>
        <w:rPr>
          <w:rFonts w:ascii="宋体" w:hAnsi="宋体" w:cs="宋体"/>
          <w:color w:val="auto"/>
          <w:kern w:val="0"/>
          <w:sz w:val="24"/>
          <w:szCs w:val="24"/>
          <w:highlight w:val="none"/>
        </w:rPr>
        <w:t xml:space="preserve"> </w:t>
      </w:r>
    </w:p>
    <w:p w14:paraId="5ABD5321">
      <w:pPr>
        <w:spacing w:line="360" w:lineRule="auto"/>
        <w:jc w:val="center"/>
        <w:rPr>
          <w:rFonts w:ascii="宋体" w:hAnsi="宋体" w:cs="宋体"/>
          <w:b/>
          <w:bCs/>
          <w:color w:val="auto"/>
          <w:kern w:val="0"/>
          <w:sz w:val="32"/>
          <w:szCs w:val="32"/>
          <w:highlight w:val="none"/>
        </w:rPr>
      </w:pPr>
    </w:p>
    <w:p w14:paraId="2D51BA5F">
      <w:pPr>
        <w:spacing w:line="360" w:lineRule="auto"/>
        <w:jc w:val="center"/>
        <w:rPr>
          <w:rFonts w:ascii="宋体" w:hAnsi="宋体" w:cs="宋体"/>
          <w:b/>
          <w:bCs/>
          <w:color w:val="auto"/>
          <w:kern w:val="0"/>
          <w:sz w:val="32"/>
          <w:szCs w:val="32"/>
          <w:highlight w:val="none"/>
        </w:rPr>
      </w:pPr>
    </w:p>
    <w:p w14:paraId="2432681D">
      <w:pPr>
        <w:spacing w:line="360" w:lineRule="auto"/>
        <w:jc w:val="center"/>
        <w:rPr>
          <w:rFonts w:ascii="宋体" w:cs="宋体"/>
          <w:b/>
          <w:bCs/>
          <w:color w:val="auto"/>
          <w:kern w:val="0"/>
          <w:sz w:val="32"/>
          <w:szCs w:val="32"/>
          <w:highlight w:val="none"/>
        </w:rPr>
      </w:pPr>
      <w:r>
        <w:rPr>
          <w:rFonts w:hint="eastAsia" w:ascii="宋体" w:hAnsi="宋体" w:cs="宋体"/>
          <w:b/>
          <w:bCs/>
          <w:color w:val="auto"/>
          <w:kern w:val="0"/>
          <w:sz w:val="32"/>
          <w:szCs w:val="32"/>
          <w:highlight w:val="none"/>
        </w:rPr>
        <w:t>第六部分</w:t>
      </w:r>
      <w:r>
        <w:rPr>
          <w:rFonts w:hint="eastAsia" w:ascii="仿宋" w:hAnsi="仿宋" w:eastAsia="仿宋" w:cs="仿宋"/>
          <w:b/>
          <w:bCs/>
          <w:color w:val="auto"/>
          <w:sz w:val="32"/>
          <w:szCs w:val="32"/>
          <w:highlight w:val="none"/>
        </w:rPr>
        <w:t xml:space="preserve">  </w:t>
      </w:r>
      <w:r>
        <w:rPr>
          <w:rFonts w:hint="eastAsia" w:ascii="宋体" w:hAnsi="宋体" w:cs="宋体"/>
          <w:b/>
          <w:bCs/>
          <w:color w:val="auto"/>
          <w:kern w:val="0"/>
          <w:sz w:val="32"/>
          <w:szCs w:val="32"/>
          <w:highlight w:val="none"/>
        </w:rPr>
        <w:t>安全管理协议</w:t>
      </w:r>
    </w:p>
    <w:p w14:paraId="5C4A93EE">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为在</w:t>
      </w:r>
      <w:r>
        <w:rPr>
          <w:rFonts w:hint="eastAsia" w:ascii="宋体" w:hAnsi="宋体" w:cs="宋体"/>
          <w:b/>
          <w:bCs/>
          <w:color w:val="auto"/>
          <w:sz w:val="24"/>
          <w:szCs w:val="24"/>
          <w:highlight w:val="none"/>
          <w:u w:val="single"/>
        </w:rPr>
        <w:t xml:space="preserve"> </w:t>
      </w:r>
      <w:r>
        <w:rPr>
          <w:rFonts w:hint="eastAsia" w:ascii="宋体" w:hAnsi="宋体" w:cs="宋体"/>
          <w:b/>
          <w:color w:val="auto"/>
          <w:sz w:val="24"/>
          <w:szCs w:val="24"/>
          <w:highlight w:val="none"/>
          <w:u w:val="single"/>
        </w:rPr>
        <w:t xml:space="preserve">   （项目编号：</w:t>
      </w:r>
      <w:r>
        <w:rPr>
          <w:rFonts w:hint="eastAsia" w:ascii="宋体" w:hAnsi="宋体" w:cs="宋体"/>
          <w:b/>
          <w:bCs/>
          <w:color w:val="auto"/>
          <w:sz w:val="24"/>
          <w:szCs w:val="24"/>
          <w:highlight w:val="none"/>
          <w:u w:val="single"/>
        </w:rPr>
        <w:t xml:space="preserve">   ） </w:t>
      </w:r>
      <w:r>
        <w:rPr>
          <w:rFonts w:hint="eastAsia" w:ascii="宋体" w:hAnsi="宋体" w:cs="宋体"/>
          <w:color w:val="auto"/>
          <w:sz w:val="24"/>
          <w:szCs w:val="24"/>
          <w:highlight w:val="none"/>
        </w:rPr>
        <w:t>项目的实施过程中，切实加强施工安全管理，明确双方安全责任，创造安全、高效的施工环境，本项目发包人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（以下简称“发包人”）与承包人</w:t>
      </w:r>
      <w:r>
        <w:rPr>
          <w:rFonts w:hint="eastAsia" w:ascii="宋体" w:hAnsi="宋体" w:cs="宋体"/>
          <w:b/>
          <w:color w:val="auto"/>
          <w:sz w:val="24"/>
          <w:szCs w:val="24"/>
          <w:highlight w:val="none"/>
          <w:u w:val="single"/>
        </w:rPr>
        <w:t xml:space="preserve">         </w:t>
      </w:r>
      <w:r>
        <w:rPr>
          <w:rFonts w:hint="eastAsia" w:ascii="宋体" w:hAnsi="宋体" w:cs="宋体"/>
          <w:color w:val="auto"/>
          <w:sz w:val="24"/>
          <w:szCs w:val="24"/>
          <w:highlight w:val="none"/>
        </w:rPr>
        <w:t>（以下简称“承包人”）经协商达成如下安全协议并共同遵守。</w:t>
      </w:r>
    </w:p>
    <w:p w14:paraId="4A11C821">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一、发包人安全职责</w:t>
      </w:r>
    </w:p>
    <w:p w14:paraId="6D7710EB">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1、审批承包人在开工前制定的工程施工安全措施方案，并备案。</w:t>
      </w:r>
    </w:p>
    <w:p w14:paraId="76B5EDB1">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2、有权对承包人施工现场进行安全生产检查，监督承包人及时处理发现的各种安全隐患。</w:t>
      </w:r>
    </w:p>
    <w:p w14:paraId="0C24B489">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3、不得要求承包人违反安全管理规定施工。</w:t>
      </w:r>
    </w:p>
    <w:p w14:paraId="5558D77D">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4、发包人的前述审批、监管、备案等行为不构成责任主体行为，施工中发生的安全事故其责任均由承包人承担，发包人无需承担任何责任。</w:t>
      </w:r>
    </w:p>
    <w:p w14:paraId="53F8B544">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二、承包人安全管理目标</w:t>
      </w:r>
    </w:p>
    <w:p w14:paraId="72E67C1C">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承包人承诺在实施本协议过程中，实现以下安全目标：</w:t>
      </w:r>
    </w:p>
    <w:p w14:paraId="67ECCC09">
      <w:pPr>
        <w:spacing w:line="360" w:lineRule="auto"/>
        <w:ind w:firstLine="420" w:firstLineChars="175"/>
        <w:rPr>
          <w:rFonts w:ascii="宋体" w:hAnsi="宋体" w:cs="宋体"/>
          <w:color w:val="auto"/>
          <w:sz w:val="24"/>
          <w:szCs w:val="24"/>
          <w:highlight w:val="none"/>
        </w:rPr>
      </w:pPr>
      <w:bookmarkStart w:id="1250" w:name="_Toc456277867"/>
      <w:r>
        <w:rPr>
          <w:rFonts w:hint="eastAsia" w:ascii="宋体" w:hAnsi="宋体" w:cs="宋体"/>
          <w:color w:val="auto"/>
          <w:sz w:val="24"/>
          <w:szCs w:val="24"/>
          <w:highlight w:val="none"/>
        </w:rPr>
        <w:t>1、不发生重伤及以上人员伤亡事故；</w:t>
      </w:r>
    </w:p>
    <w:p w14:paraId="1FC7223E">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2、不发生火灾、爆炸事故；</w:t>
      </w:r>
    </w:p>
    <w:p w14:paraId="72D6D103">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3、不发生严重特种设备事故；</w:t>
      </w:r>
    </w:p>
    <w:p w14:paraId="7DB4B173">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4、不发生负全责或主要责任的交通严重事故；</w:t>
      </w:r>
    </w:p>
    <w:p w14:paraId="1313E354">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5、不发生与安全生产相关的行政处罚事件；</w:t>
      </w:r>
    </w:p>
    <w:p w14:paraId="4A04D4ED">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6、不发生集体食物中毒事件（同时5人及以上的食物中毒）；</w:t>
      </w:r>
    </w:p>
    <w:p w14:paraId="41066488">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7、不发生治安保卫事件（构成刑事拘留及以上的事件、盗窃直接损失超过1万元人民币的事件）；</w:t>
      </w:r>
    </w:p>
    <w:p w14:paraId="17940C89">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8、不发生因人为失误造成的重大设施、设备等财产损失（直接损失一次超过10万元人民币）；</w:t>
      </w:r>
    </w:p>
    <w:p w14:paraId="6D28F9C7">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9、各类安全整改要求文件按期关闭率达到100%；</w:t>
      </w:r>
    </w:p>
    <w:p w14:paraId="31B9C3B3">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10、项目负责人、专职安全管理人员、特种作业人员、特种设备操作人员持证上岗率达100%；</w:t>
      </w:r>
    </w:p>
    <w:p w14:paraId="22307F00">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11、安全管理人员到岗率100％；</w:t>
      </w:r>
    </w:p>
    <w:p w14:paraId="16388483">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12、一般作业人员安全教育培训合格率达到100%。</w:t>
      </w:r>
      <w:bookmarkEnd w:id="1250"/>
    </w:p>
    <w:p w14:paraId="16FD88F3">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三、承包人安全责任</w:t>
      </w:r>
    </w:p>
    <w:p w14:paraId="66C31113">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1、承包人所提供的承包工程所要求的相关资质证明材料必须真实、有效。</w:t>
      </w:r>
    </w:p>
    <w:p w14:paraId="28AED862">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2、在现场施工中，必须严格遵守国家、地方、行业的有关安全的法律法规，认真执行工程承包合同中有关安全的要求。遵守发包人制定的有关安全生产规章制度和操作规程。</w:t>
      </w:r>
    </w:p>
    <w:p w14:paraId="123C56B0">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3、承包人负责到有关安全生产管理部门办理工程安监手续，并应建立健全安全责任制度，制定有关的安全管理规定，设置专职或兼职的施工现场安全管理人员，加强施工现场的安全管理，确保本方施工人员在施工过程中严格遵守相关的安全生产规章制度和操作规程。</w:t>
      </w:r>
    </w:p>
    <w:p w14:paraId="2B14D421">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4、承包人应确保所派施工人员业务水平、身体素质及精神状态等满足施工要求，严禁使用未成年和不适应现场安全施工要求的老、弱、病、残人员进行施工。</w:t>
      </w:r>
    </w:p>
    <w:p w14:paraId="066E1D05">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5、开工前必须自上而下进行安全技术交底，承包人全体施工人员均应掌握工程特点及施工安全措施；开工前应组织施工人员学习并掌握有关安全生产规程、规定。</w:t>
      </w:r>
    </w:p>
    <w:p w14:paraId="12CF011F">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6、复杂的和危险性较大的作业，如有可能发生火灾、爆炸、触电、高空坠落、中毒、窒息、机械伤害、交叉作业和烧烫伤等容易造成人员伤害和设备事故的作业，承包人应制订并采取有效的专项施工安全技术方案，组织制定并实施生产安全事故应急预案。发包人有权要求承包人将前述安全技术方案、事故应急预案报项目监理人或发包人审批后贯彻落实。</w:t>
      </w:r>
    </w:p>
    <w:p w14:paraId="311377DC">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7、施工现场必须设置符合相关规范的安全标志、警示牌。</w:t>
      </w:r>
    </w:p>
    <w:p w14:paraId="709CA681">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8、承包人应保证安全生产所需资金的投入，所有施工设备、工器具、施工临时用电及施工场所安全防护设施等均应定期检查，并有记录，保证其经常处于完好状态，不合格的严禁使用。</w:t>
      </w:r>
    </w:p>
    <w:p w14:paraId="5466F5C4">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9、承包人施工人员必须接受安全技术教育，熟知和遵守本工种的各项安全技术操作规程，定期进行安全技术考核，合格者方准上岗操作。特种作业（操作）人员，必须持证上岗。施工人员应按规定佩戴劳动防护用品。</w:t>
      </w:r>
    </w:p>
    <w:p w14:paraId="6A998CD4">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10、承包人施工人员必须在规定的施工范围内作业，不得超出施工范围，不得擅自操作施工范围外的设施设备，若确需操作的，需征得发包人值班负责人同意，由值班人员操作或在值班人员的监督下操作。</w:t>
      </w:r>
    </w:p>
    <w:p w14:paraId="699A9FA1">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11、存在交叉作业的项目，项目负责人应共同确定安全管理人员。安全管理人员必须随时了解、掌握作业动态及安全状况，统一协调、指挥，各作业人员必须严格执行安全管理人员的指令，做到令行禁止。交叉作业前应拟订详细的作业方案、交叉作业计划及安全注意事项，并告知每一位作业人员，使之清楚自己在作业过程中可能对其他作业项目所产生的影响或其他作业项目施工时可能对自己造成的影响。交叉作业前要采取必要的安全防范措施，排除作业过程中可能出现的安全隐患。作业人员必须对交叉作业项目安全措施进行检查、确认，了解作业过程中所处的安全状态，发现安全隐患要及时联系协调、解决。</w:t>
      </w:r>
    </w:p>
    <w:p w14:paraId="75887894">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12、承包人及其施工人员必须接受发包人及监理的监督、管理和指导，积极配合地方或国家有关生产安全管理部门的安全检查。对发包人、监理或有关安全管理部门提出的意见必须及时整改。发生人身事故或危及生产运行的不安全情况，必须立即报告发包人，并采取有效的防护措施、启动事故应急预案，防止事故的进一步扩大，减少损失。</w:t>
      </w:r>
    </w:p>
    <w:p w14:paraId="3CB86D26">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13、施工中的安全由承包人自行负责，施工中发生安全事故造成的人身伤亡、财产损失及相关法律责任等均由承包人承担。</w:t>
      </w:r>
    </w:p>
    <w:p w14:paraId="7FA925FE">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14、对发包人人员违章指挥或者可能危及生命、财产安全的指挥，承包人有权拒绝。</w:t>
      </w:r>
    </w:p>
    <w:p w14:paraId="12F9C61D">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15、承包人施工人员有变动的，必须对新进场施工人员及时进行安全教育。</w:t>
      </w:r>
    </w:p>
    <w:p w14:paraId="1278BC80">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16、对本工程的安全管理负全部责任，包括但不限于承包人自行施工的工程、自行分包的工程及发包人另行发包但在承包人管理范围内的工程。</w:t>
      </w:r>
    </w:p>
    <w:p w14:paraId="65C11984">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四、安全考核</w:t>
      </w:r>
    </w:p>
    <w:p w14:paraId="033A4FBD">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1、在施工过程中承包人不按工程安全管理措施方案实施，或发生安全事故，由市建设行政主管部门依照《生产安全事故报告和调查处理条例》有关规定进行处置。</w:t>
      </w:r>
    </w:p>
    <w:p w14:paraId="64D660DF">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2、发包人对承包人实行安全考核。当发生安全生产责任事故、发现违章现象时，在支付工程进度款或结算时按规定扣收。</w:t>
      </w:r>
    </w:p>
    <w:p w14:paraId="78127C82">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3、施工过程中，发包人每发现承包人施工人员一次一般违章行为，扣违约金500元，一次严重违章行为，扣违约金1000～5000元；一次恶性违章行为，扣违约金6000元，屡教不改的发包人有权加倍扣收安全违约金。违章行为考核办法详见附表3违章行为50例。</w:t>
      </w:r>
    </w:p>
    <w:p w14:paraId="5E2FDFD5">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4、在施工过程中发生轻伤事故的，每一起扣收2万元安全违约金；发生重伤事故的，每一起扣收20万元安全违约金；发生死亡及以上事故的，扣收50万元安全违约金。发生事故隐瞒不报的，加倍扣收。</w:t>
      </w:r>
    </w:p>
    <w:p w14:paraId="3E05434E">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5、由于承包人原因造成发包人停水、停电、设备事故、人身受伤或影响员工正常生活，承包人承担相应的赔偿责任。</w:t>
      </w:r>
    </w:p>
    <w:p w14:paraId="50495E20">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6、承包人违反发包人有关安全生产规章制度，并且不听从发包人建议，拒绝执行整改的，发包人可要求停工整改，因此而造成工期延误的承包人承担逾期责任。</w:t>
      </w:r>
    </w:p>
    <w:p w14:paraId="67F4E14B">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7、发包人对施工现场的安全监督检查意见（包括施工人员违章、安全隐患情况等），以书面形式通知承包人，并双方签字确认，作为安全考核依据。</w:t>
      </w:r>
    </w:p>
    <w:p w14:paraId="4F8CD9EA">
      <w:pPr>
        <w:spacing w:line="400" w:lineRule="exact"/>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8、发包人对承包人的安全检查考核项目见附表1安全管理检查考核表、附表2安全文明施工检查表、附表3违章行为50例。</w:t>
      </w:r>
    </w:p>
    <w:p w14:paraId="02131EEE">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五、协议生效</w:t>
      </w:r>
    </w:p>
    <w:p w14:paraId="03D0F913">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1、本协议一式捌份，发包人执肆份、承包人执肆份。本协议自双方盖章之日起生效。。</w:t>
      </w:r>
    </w:p>
    <w:p w14:paraId="5E92E2E1">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2、本协议有效期：自本协议签订之日起至工程竣工验收合格并交付发包人为止。</w:t>
      </w:r>
    </w:p>
    <w:bookmarkEnd w:id="1248"/>
    <w:bookmarkEnd w:id="1249"/>
    <w:p w14:paraId="124F45F6">
      <w:pPr>
        <w:spacing w:line="360" w:lineRule="auto"/>
        <w:ind w:firstLine="480" w:firstLineChars="200"/>
        <w:rPr>
          <w:rFonts w:ascii="宋体" w:hAnsi="宋体" w:cs="宋体"/>
          <w:color w:val="auto"/>
          <w:sz w:val="24"/>
          <w:szCs w:val="24"/>
          <w:highlight w:val="none"/>
        </w:rPr>
      </w:pPr>
    </w:p>
    <w:p w14:paraId="6072FDA0">
      <w:pPr>
        <w:spacing w:line="360" w:lineRule="auto"/>
        <w:ind w:firstLine="480" w:firstLineChars="200"/>
        <w:rPr>
          <w:rFonts w:ascii="宋体" w:hAnsi="宋体" w:cs="宋体"/>
          <w:color w:val="auto"/>
          <w:sz w:val="24"/>
          <w:szCs w:val="24"/>
          <w:highlight w:val="none"/>
        </w:rPr>
      </w:pPr>
    </w:p>
    <w:p w14:paraId="1810AA43">
      <w:pPr>
        <w:spacing w:line="360" w:lineRule="auto"/>
        <w:ind w:left="5760" w:hanging="5760" w:hangingChars="2400"/>
        <w:rPr>
          <w:rFonts w:ascii="宋体" w:hAnsi="宋体" w:cs="宋体"/>
          <w:color w:val="auto"/>
          <w:spacing w:val="-20"/>
          <w:sz w:val="24"/>
          <w:szCs w:val="24"/>
          <w:highlight w:val="none"/>
          <w:u w:val="single"/>
        </w:rPr>
      </w:pPr>
      <w:r>
        <w:rPr>
          <w:rFonts w:hint="eastAsia" w:ascii="宋体" w:hAnsi="宋体" w:cs="宋体"/>
          <w:color w:val="auto"/>
          <w:sz w:val="24"/>
          <w:szCs w:val="24"/>
          <w:highlight w:val="none"/>
        </w:rPr>
        <w:t>发包人：</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 xml:space="preserve"> (公章) </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 xml:space="preserve"> 承包人： (公章)</w:t>
      </w:r>
    </w:p>
    <w:p w14:paraId="6010CD86">
      <w:pPr>
        <w:spacing w:line="360" w:lineRule="auto"/>
        <w:rPr>
          <w:rFonts w:ascii="宋体" w:cs="宋体"/>
          <w:color w:val="auto"/>
          <w:sz w:val="24"/>
          <w:szCs w:val="24"/>
          <w:highlight w:val="none"/>
        </w:rPr>
      </w:pPr>
      <w:r>
        <w:rPr>
          <w:rFonts w:hint="eastAsia" w:ascii="宋体" w:hAnsi="宋体" w:cs="宋体"/>
          <w:color w:val="auto"/>
          <w:sz w:val="24"/>
          <w:szCs w:val="24"/>
          <w:highlight w:val="none"/>
        </w:rPr>
        <w:t>法定代表人（签字或盖章）：</w:t>
      </w:r>
      <w:r>
        <w:rPr>
          <w:rFonts w:ascii="宋体" w:hAnsi="宋体" w:cs="宋体"/>
          <w:color w:val="auto"/>
          <w:sz w:val="24"/>
          <w:szCs w:val="24"/>
          <w:highlight w:val="none"/>
        </w:rPr>
        <w:t xml:space="preserve">           </w:t>
      </w:r>
      <w:r>
        <w:rPr>
          <w:rFonts w:hint="eastAsia" w:ascii="宋体" w:hAnsi="宋体" w:cs="宋体"/>
          <w:color w:val="auto"/>
          <w:sz w:val="24"/>
          <w:szCs w:val="24"/>
          <w:highlight w:val="none"/>
        </w:rPr>
        <w:t>法定代表人（签字或盖章）：</w:t>
      </w:r>
    </w:p>
    <w:p w14:paraId="4BB8FED8">
      <w:pPr>
        <w:spacing w:line="360" w:lineRule="auto"/>
        <w:rPr>
          <w:rFonts w:asci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rPr>
        <w:t xml:space="preserve">            </w:t>
      </w:r>
    </w:p>
    <w:p w14:paraId="4E5BF0B4">
      <w:pPr>
        <w:spacing w:line="360" w:lineRule="auto"/>
        <w:rPr>
          <w:rFonts w:ascii="宋体" w:cs="宋体"/>
          <w:color w:val="auto"/>
          <w:sz w:val="24"/>
          <w:szCs w:val="24"/>
          <w:highlight w:val="none"/>
        </w:rPr>
      </w:pPr>
      <w:r>
        <w:rPr>
          <w:rFonts w:hint="eastAsia" w:ascii="宋体" w:hAnsi="宋体" w:cs="宋体"/>
          <w:color w:val="auto"/>
          <w:sz w:val="24"/>
          <w:szCs w:val="24"/>
          <w:highlight w:val="none"/>
        </w:rPr>
        <w:t>日期：</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 xml:space="preserve">    </w:t>
      </w:r>
      <w:r>
        <w:rPr>
          <w:rFonts w:ascii="宋体" w:hAnsi="宋体" w:cs="宋体"/>
          <w:color w:val="auto"/>
          <w:sz w:val="24"/>
          <w:szCs w:val="24"/>
          <w:highlight w:val="none"/>
          <w:u w:val="single"/>
        </w:rPr>
        <w:t xml:space="preserve"> </w:t>
      </w:r>
      <w:r>
        <w:rPr>
          <w:rFonts w:hint="eastAsia" w:ascii="宋体" w:hAnsi="宋体" w:cs="宋体"/>
          <w:color w:val="auto"/>
          <w:kern w:val="0"/>
          <w:sz w:val="24"/>
          <w:szCs w:val="24"/>
          <w:highlight w:val="none"/>
        </w:rPr>
        <w:t>年</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rPr>
        <w:t xml:space="preserve">  </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rPr>
        <w:t xml:space="preserve">  </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日</w:t>
      </w:r>
      <w:r>
        <w:rPr>
          <w:rFonts w:ascii="宋体" w:hAnsi="宋体" w:cs="宋体"/>
          <w:color w:val="auto"/>
          <w:kern w:val="0"/>
          <w:sz w:val="24"/>
          <w:szCs w:val="24"/>
          <w:highlight w:val="none"/>
        </w:rPr>
        <w:t xml:space="preserve">             </w:t>
      </w:r>
      <w:r>
        <w:rPr>
          <w:rFonts w:hint="eastAsia" w:ascii="宋体" w:hAnsi="宋体" w:cs="宋体"/>
          <w:color w:val="auto"/>
          <w:kern w:val="0"/>
          <w:sz w:val="24"/>
          <w:szCs w:val="24"/>
          <w:highlight w:val="none"/>
        </w:rPr>
        <w:t xml:space="preserve">    </w:t>
      </w:r>
      <w:r>
        <w:rPr>
          <w:rFonts w:hint="eastAsia" w:ascii="宋体" w:hAnsi="宋体" w:cs="宋体"/>
          <w:color w:val="auto"/>
          <w:sz w:val="24"/>
          <w:szCs w:val="24"/>
          <w:highlight w:val="none"/>
        </w:rPr>
        <w:t>日期：</w:t>
      </w:r>
      <w:r>
        <w:rPr>
          <w:rFonts w:hint="eastAsia" w:ascii="宋体" w:hAnsi="宋体" w:cs="宋体"/>
          <w:color w:val="auto"/>
          <w:sz w:val="24"/>
          <w:szCs w:val="24"/>
          <w:highlight w:val="none"/>
          <w:u w:val="single"/>
        </w:rPr>
        <w:t xml:space="preserve">    </w:t>
      </w:r>
      <w:r>
        <w:rPr>
          <w:rFonts w:ascii="宋体" w:hAnsi="宋体" w:cs="宋体"/>
          <w:color w:val="auto"/>
          <w:sz w:val="24"/>
          <w:szCs w:val="24"/>
          <w:highlight w:val="none"/>
          <w:u w:val="single"/>
        </w:rPr>
        <w:t xml:space="preserve"> </w:t>
      </w:r>
      <w:r>
        <w:rPr>
          <w:rFonts w:hint="eastAsia" w:ascii="宋体" w:hAnsi="宋体" w:cs="宋体"/>
          <w:color w:val="auto"/>
          <w:kern w:val="0"/>
          <w:sz w:val="24"/>
          <w:szCs w:val="24"/>
          <w:highlight w:val="none"/>
        </w:rPr>
        <w:t>年</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rPr>
        <w:t xml:space="preserve">  </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rPr>
        <w:t xml:space="preserve">  </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日</w:t>
      </w:r>
      <w:r>
        <w:rPr>
          <w:rFonts w:ascii="宋体" w:hAnsi="宋体" w:cs="宋体"/>
          <w:color w:val="auto"/>
          <w:kern w:val="0"/>
          <w:sz w:val="24"/>
          <w:szCs w:val="24"/>
          <w:highlight w:val="none"/>
        </w:rPr>
        <w:t xml:space="preserve"> </w:t>
      </w:r>
    </w:p>
    <w:p w14:paraId="4EA9E683">
      <w:pPr>
        <w:spacing w:line="360" w:lineRule="exact"/>
        <w:rPr>
          <w:rFonts w:ascii="宋体" w:hAnsi="宋体"/>
          <w:color w:val="auto"/>
          <w:szCs w:val="21"/>
          <w:highlight w:val="none"/>
        </w:rPr>
      </w:pPr>
    </w:p>
    <w:p w14:paraId="53884874">
      <w:pPr>
        <w:spacing w:line="360" w:lineRule="exact"/>
        <w:rPr>
          <w:rFonts w:ascii="宋体" w:hAnsi="宋体"/>
          <w:color w:val="auto"/>
          <w:szCs w:val="21"/>
          <w:highlight w:val="none"/>
        </w:rPr>
      </w:pPr>
    </w:p>
    <w:bookmarkEnd w:id="215"/>
    <w:p w14:paraId="752C028A">
      <w:pPr>
        <w:spacing w:line="360" w:lineRule="exact"/>
        <w:rPr>
          <w:rFonts w:ascii="宋体" w:hAnsi="宋体"/>
          <w:color w:val="auto"/>
          <w:szCs w:val="21"/>
          <w:highlight w:val="none"/>
        </w:rPr>
      </w:pPr>
    </w:p>
    <w:p w14:paraId="707215BC">
      <w:pPr>
        <w:spacing w:line="360" w:lineRule="exact"/>
        <w:rPr>
          <w:rFonts w:ascii="宋体" w:hAnsi="宋体"/>
          <w:color w:val="auto"/>
          <w:szCs w:val="21"/>
          <w:highlight w:val="none"/>
        </w:rPr>
        <w:sectPr>
          <w:headerReference r:id="rId8" w:type="first"/>
          <w:footerReference r:id="rId10" w:type="first"/>
          <w:headerReference r:id="rId7" w:type="default"/>
          <w:footerReference r:id="rId9" w:type="default"/>
          <w:pgSz w:w="11906" w:h="16838"/>
          <w:pgMar w:top="1418" w:right="1555" w:bottom="1418" w:left="1531" w:header="851" w:footer="992" w:gutter="0"/>
          <w:cols w:space="720" w:num="1"/>
          <w:titlePg/>
          <w:docGrid w:type="lines" w:linePitch="312" w:charSpace="0"/>
        </w:sectPr>
      </w:pPr>
    </w:p>
    <w:p w14:paraId="53FEDFB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p w14:paraId="43000A1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附件</w:t>
      </w:r>
    </w:p>
    <w:p w14:paraId="33398AD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附件 1：承包人用于本工程施工的机械设备表</w:t>
      </w:r>
    </w:p>
    <w:p w14:paraId="67911A77">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附件 2：承包人主要施工管理人员表</w:t>
      </w:r>
    </w:p>
    <w:p w14:paraId="7C04F748">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47F523CD">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7C8AB801">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2F5743AF">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4535F6DD">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36AFB5F3">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1712A31B">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7B9599BE">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75268FBA">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475E0A93">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2766F71F">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5CC141E3">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15198F84">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2F33EF19">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7335D01D">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7D326D75">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787DEE23">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0AF35274">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448238E2">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79BA14F3">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384C8F56">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6DC797EA">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5C13A963">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0C524601">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3368074A">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1D0F48DF">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4A1B7C58">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r>
        <w:rPr>
          <w:rFonts w:hint="eastAsia" w:cs="仿宋" w:asciiTheme="minorEastAsia" w:hAnsiTheme="minorEastAsia"/>
          <w:snapToGrid w:val="0"/>
          <w:color w:val="auto"/>
          <w:kern w:val="0"/>
          <w:sz w:val="28"/>
          <w:szCs w:val="28"/>
          <w:highlight w:val="none"/>
        </w:rPr>
        <w:t>附件 1：</w:t>
      </w:r>
    </w:p>
    <w:p w14:paraId="7FF410EE">
      <w:pPr>
        <w:adjustRightInd w:val="0"/>
        <w:snapToGrid w:val="0"/>
        <w:spacing w:line="460" w:lineRule="exact"/>
        <w:jc w:val="center"/>
        <w:textAlignment w:val="baseline"/>
        <w:rPr>
          <w:rFonts w:cs="仿宋" w:asciiTheme="minorEastAsia" w:hAnsiTheme="minorEastAsia"/>
          <w:snapToGrid w:val="0"/>
          <w:color w:val="auto"/>
          <w:kern w:val="0"/>
          <w:sz w:val="28"/>
          <w:szCs w:val="28"/>
          <w:highlight w:val="none"/>
        </w:rPr>
      </w:pPr>
      <w:r>
        <w:rPr>
          <w:rFonts w:hint="eastAsia" w:cs="仿宋" w:asciiTheme="minorEastAsia" w:hAnsiTheme="minorEastAsia"/>
          <w:snapToGrid w:val="0"/>
          <w:color w:val="auto"/>
          <w:kern w:val="0"/>
          <w:sz w:val="28"/>
          <w:szCs w:val="28"/>
          <w:highlight w:val="none"/>
        </w:rPr>
        <w:t>承包人用于本工程施工的机械设备表</w:t>
      </w:r>
    </w:p>
    <w:p w14:paraId="1F64E67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bl>
      <w:tblPr>
        <w:tblStyle w:val="56"/>
        <w:tblW w:w="8658"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8"/>
        <w:gridCol w:w="1248"/>
        <w:gridCol w:w="748"/>
        <w:gridCol w:w="930"/>
        <w:gridCol w:w="773"/>
        <w:gridCol w:w="897"/>
        <w:gridCol w:w="1303"/>
        <w:gridCol w:w="898"/>
        <w:gridCol w:w="823"/>
      </w:tblGrid>
      <w:tr w14:paraId="4FE83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1" w:hRule="atLeast"/>
        </w:trPr>
        <w:tc>
          <w:tcPr>
            <w:tcW w:w="1038" w:type="dxa"/>
            <w:tcBorders>
              <w:top w:val="single" w:color="000000" w:sz="10" w:space="0"/>
              <w:left w:val="single" w:color="000000" w:sz="10" w:space="0"/>
            </w:tcBorders>
          </w:tcPr>
          <w:p w14:paraId="38E28CF5">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序号</w:t>
            </w:r>
          </w:p>
        </w:tc>
        <w:tc>
          <w:tcPr>
            <w:tcW w:w="1248" w:type="dxa"/>
            <w:tcBorders>
              <w:top w:val="single" w:color="000000" w:sz="10" w:space="0"/>
            </w:tcBorders>
          </w:tcPr>
          <w:p w14:paraId="0F26F919">
            <w:pPr>
              <w:adjustRightInd w:val="0"/>
              <w:snapToGrid w:val="0"/>
              <w:spacing w:line="460" w:lineRule="exact"/>
              <w:ind w:right="29"/>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机械或设备名 称</w:t>
            </w:r>
          </w:p>
        </w:tc>
        <w:tc>
          <w:tcPr>
            <w:tcW w:w="748" w:type="dxa"/>
            <w:tcBorders>
              <w:top w:val="single" w:color="000000" w:sz="10" w:space="0"/>
            </w:tcBorders>
          </w:tcPr>
          <w:p w14:paraId="0D7B1373">
            <w:pPr>
              <w:adjustRightInd w:val="0"/>
              <w:snapToGrid w:val="0"/>
              <w:spacing w:line="460" w:lineRule="exact"/>
              <w:ind w:right="27"/>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规 格 型 号</w:t>
            </w:r>
          </w:p>
        </w:tc>
        <w:tc>
          <w:tcPr>
            <w:tcW w:w="930" w:type="dxa"/>
            <w:tcBorders>
              <w:top w:val="single" w:color="000000" w:sz="10" w:space="0"/>
            </w:tcBorders>
          </w:tcPr>
          <w:p w14:paraId="7121EDE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数量</w:t>
            </w:r>
          </w:p>
        </w:tc>
        <w:tc>
          <w:tcPr>
            <w:tcW w:w="773" w:type="dxa"/>
            <w:tcBorders>
              <w:top w:val="single" w:color="000000" w:sz="10" w:space="0"/>
            </w:tcBorders>
          </w:tcPr>
          <w:p w14:paraId="4D1FB2A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产地</w:t>
            </w:r>
          </w:p>
        </w:tc>
        <w:tc>
          <w:tcPr>
            <w:tcW w:w="897" w:type="dxa"/>
            <w:tcBorders>
              <w:top w:val="single" w:color="000000" w:sz="10" w:space="0"/>
            </w:tcBorders>
          </w:tcPr>
          <w:p w14:paraId="1B382A6C">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制造年份</w:t>
            </w:r>
          </w:p>
        </w:tc>
        <w:tc>
          <w:tcPr>
            <w:tcW w:w="1303" w:type="dxa"/>
            <w:tcBorders>
              <w:top w:val="single" w:color="000000" w:sz="10" w:space="0"/>
            </w:tcBorders>
          </w:tcPr>
          <w:p w14:paraId="30CD62FB">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额定功率(kW)</w:t>
            </w:r>
          </w:p>
        </w:tc>
        <w:tc>
          <w:tcPr>
            <w:tcW w:w="898" w:type="dxa"/>
            <w:tcBorders>
              <w:top w:val="single" w:color="000000" w:sz="10" w:space="0"/>
            </w:tcBorders>
          </w:tcPr>
          <w:p w14:paraId="368BBFE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生产能力</w:t>
            </w:r>
          </w:p>
        </w:tc>
        <w:tc>
          <w:tcPr>
            <w:tcW w:w="823" w:type="dxa"/>
            <w:tcBorders>
              <w:top w:val="single" w:color="000000" w:sz="10" w:space="0"/>
              <w:right w:val="single" w:color="000000" w:sz="10" w:space="0"/>
            </w:tcBorders>
          </w:tcPr>
          <w:p w14:paraId="10C9BE5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备注</w:t>
            </w:r>
          </w:p>
        </w:tc>
      </w:tr>
      <w:tr w14:paraId="49009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1038" w:type="dxa"/>
            <w:tcBorders>
              <w:left w:val="single" w:color="000000" w:sz="10" w:space="0"/>
            </w:tcBorders>
          </w:tcPr>
          <w:p w14:paraId="51584E5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554F8BA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438107F5">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1670BF3A">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152F0D3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7EF61E6C">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55F9B10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15293DA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44E7BD47">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09218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38" w:type="dxa"/>
            <w:tcBorders>
              <w:left w:val="single" w:color="000000" w:sz="10" w:space="0"/>
            </w:tcBorders>
          </w:tcPr>
          <w:p w14:paraId="6BC7AE9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652E8AFA">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2E870C2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45579AF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6279E39C">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411E610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26FFFDF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231581A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54AB538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705E1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038" w:type="dxa"/>
            <w:tcBorders>
              <w:left w:val="single" w:color="000000" w:sz="10" w:space="0"/>
            </w:tcBorders>
          </w:tcPr>
          <w:p w14:paraId="26CF1DDA">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4994F52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5559B82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61D92515">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7D495FD1">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378416D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52369C4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66528591">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5BB81A9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06A92A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1038" w:type="dxa"/>
            <w:tcBorders>
              <w:left w:val="single" w:color="000000" w:sz="10" w:space="0"/>
            </w:tcBorders>
          </w:tcPr>
          <w:p w14:paraId="1339337A">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6560FC6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2324CDDB">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33A1D9FB">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1ADF52D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2F8BEE0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6444317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7F91820A">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45F9354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2EF7D3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038" w:type="dxa"/>
            <w:tcBorders>
              <w:left w:val="single" w:color="000000" w:sz="10" w:space="0"/>
            </w:tcBorders>
          </w:tcPr>
          <w:p w14:paraId="2E40A94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25CE6411">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379DCE95">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56342A8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0FEEB17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7FB365B1">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053DB15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02DB677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326A9E6A">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45C1D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38" w:type="dxa"/>
            <w:tcBorders>
              <w:left w:val="single" w:color="000000" w:sz="10" w:space="0"/>
            </w:tcBorders>
          </w:tcPr>
          <w:p w14:paraId="2D041B3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5D06D75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1F325701">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46311A7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1DD83E95">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05E55E5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58610A6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418A97EB">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6F813D8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7EDFB6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038" w:type="dxa"/>
            <w:tcBorders>
              <w:left w:val="single" w:color="000000" w:sz="10" w:space="0"/>
            </w:tcBorders>
          </w:tcPr>
          <w:p w14:paraId="2DAB1F6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3854CA55">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7B7E88C1">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5B1B468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038F8441">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2A5AD51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7385194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7F74D91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7D6D9ED7">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5CC2B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38" w:type="dxa"/>
            <w:tcBorders>
              <w:left w:val="single" w:color="000000" w:sz="10" w:space="0"/>
            </w:tcBorders>
          </w:tcPr>
          <w:p w14:paraId="15F42FDB">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77B7E47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23BA94A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2AE1691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45A9429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1A786DE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5BC6CE1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311D7B7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50A0E5FC">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65108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038" w:type="dxa"/>
            <w:tcBorders>
              <w:left w:val="single" w:color="000000" w:sz="10" w:space="0"/>
            </w:tcBorders>
          </w:tcPr>
          <w:p w14:paraId="2B33985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4947783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18BC05A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0A2681C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2A04E94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28222FE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2197EFC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19F03FD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19B0E0BA">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6FB5DA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38" w:type="dxa"/>
            <w:tcBorders>
              <w:left w:val="single" w:color="000000" w:sz="10" w:space="0"/>
            </w:tcBorders>
          </w:tcPr>
          <w:p w14:paraId="6E097DB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018FBD5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3C8857E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5036454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47B65C3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7A77848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774720DA">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546FAFEC">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2B41695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56A3D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038" w:type="dxa"/>
            <w:tcBorders>
              <w:left w:val="single" w:color="000000" w:sz="10" w:space="0"/>
            </w:tcBorders>
          </w:tcPr>
          <w:p w14:paraId="6A5FFA2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19FFBF71">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2CC2289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1B7A2A7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42C3694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04F0498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75F5BC3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5F40D5F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27427E0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1C9F34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38" w:type="dxa"/>
            <w:tcBorders>
              <w:left w:val="single" w:color="000000" w:sz="10" w:space="0"/>
            </w:tcBorders>
          </w:tcPr>
          <w:p w14:paraId="19DE2E8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6F3D6E95">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413EC17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096E982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4C764BE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143A77EC">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5990AC4C">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30B711BA">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5E0D5167">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1ABD8E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038" w:type="dxa"/>
            <w:tcBorders>
              <w:left w:val="single" w:color="000000" w:sz="10" w:space="0"/>
            </w:tcBorders>
          </w:tcPr>
          <w:p w14:paraId="3316AAB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2F7459D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00D44CA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7CDBA56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473E6A5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68AE3295">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0AA771A5">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305A4CD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38941DB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6ABF5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38" w:type="dxa"/>
            <w:tcBorders>
              <w:left w:val="single" w:color="000000" w:sz="10" w:space="0"/>
            </w:tcBorders>
          </w:tcPr>
          <w:p w14:paraId="1F2DF9E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177F52AB">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555582D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3D85F27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0B64E68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0F4DED6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3BA7F23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3E19FB3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7F503007">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32407F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038" w:type="dxa"/>
            <w:tcBorders>
              <w:left w:val="single" w:color="000000" w:sz="10" w:space="0"/>
            </w:tcBorders>
          </w:tcPr>
          <w:p w14:paraId="1D9546E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248C6B4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4102962B">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7661DC97">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5489B0FA">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4E333F9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05ACEC2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1B95D13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55A8E76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1D85F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38" w:type="dxa"/>
            <w:tcBorders>
              <w:left w:val="single" w:color="000000" w:sz="10" w:space="0"/>
            </w:tcBorders>
          </w:tcPr>
          <w:p w14:paraId="792CCC2B">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5137DC6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2FCF7DC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6FF8C92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0F23047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10AFB5B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4E52BD5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02078E67">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0E6E5D4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47E4B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38" w:type="dxa"/>
            <w:tcBorders>
              <w:left w:val="single" w:color="000000" w:sz="10" w:space="0"/>
            </w:tcBorders>
          </w:tcPr>
          <w:p w14:paraId="14C09D7C">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1BC199A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34DA0CE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2465BEA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6595B1C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3249820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6366D98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50B7B1D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783A64B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1AC892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038" w:type="dxa"/>
            <w:tcBorders>
              <w:left w:val="single" w:color="000000" w:sz="10" w:space="0"/>
              <w:bottom w:val="single" w:color="000000" w:sz="10" w:space="0"/>
            </w:tcBorders>
          </w:tcPr>
          <w:p w14:paraId="3E7F64D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Borders>
              <w:bottom w:val="single" w:color="000000" w:sz="10" w:space="0"/>
            </w:tcBorders>
          </w:tcPr>
          <w:p w14:paraId="497BF9D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Borders>
              <w:bottom w:val="single" w:color="000000" w:sz="10" w:space="0"/>
            </w:tcBorders>
          </w:tcPr>
          <w:p w14:paraId="6164A74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Borders>
              <w:bottom w:val="single" w:color="000000" w:sz="10" w:space="0"/>
            </w:tcBorders>
          </w:tcPr>
          <w:p w14:paraId="2DA5686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Borders>
              <w:bottom w:val="single" w:color="000000" w:sz="10" w:space="0"/>
            </w:tcBorders>
          </w:tcPr>
          <w:p w14:paraId="1DBBFE57">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Borders>
              <w:bottom w:val="single" w:color="000000" w:sz="10" w:space="0"/>
            </w:tcBorders>
          </w:tcPr>
          <w:p w14:paraId="4E13D187">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Borders>
              <w:bottom w:val="single" w:color="000000" w:sz="10" w:space="0"/>
            </w:tcBorders>
          </w:tcPr>
          <w:p w14:paraId="79C1AA1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Borders>
              <w:bottom w:val="single" w:color="000000" w:sz="10" w:space="0"/>
            </w:tcBorders>
          </w:tcPr>
          <w:p w14:paraId="1246F0C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bottom w:val="single" w:color="000000" w:sz="10" w:space="0"/>
              <w:right w:val="single" w:color="000000" w:sz="10" w:space="0"/>
            </w:tcBorders>
          </w:tcPr>
          <w:p w14:paraId="049109EC">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bl>
    <w:p w14:paraId="3381C62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p w14:paraId="08F830EC">
      <w:pPr>
        <w:adjustRightInd w:val="0"/>
        <w:snapToGrid w:val="0"/>
        <w:spacing w:line="460" w:lineRule="exact"/>
        <w:textAlignment w:val="baseline"/>
        <w:rPr>
          <w:rFonts w:cs="仿宋" w:asciiTheme="minorEastAsia" w:hAnsiTheme="minorEastAsia"/>
          <w:snapToGrid w:val="0"/>
          <w:color w:val="auto"/>
          <w:kern w:val="0"/>
          <w:sz w:val="24"/>
          <w:szCs w:val="24"/>
          <w:highlight w:val="none"/>
        </w:rPr>
        <w:sectPr>
          <w:headerReference r:id="rId11" w:type="default"/>
          <w:footerReference r:id="rId12" w:type="default"/>
          <w:pgSz w:w="11907" w:h="16841"/>
          <w:pgMar w:top="1440" w:right="1800" w:bottom="1440" w:left="1800" w:header="0" w:footer="850" w:gutter="0"/>
          <w:cols w:space="720" w:num="1"/>
        </w:sectPr>
      </w:pPr>
    </w:p>
    <w:p w14:paraId="5E2009C9">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r>
        <w:rPr>
          <w:rFonts w:hint="eastAsia" w:cs="仿宋" w:asciiTheme="minorEastAsia" w:hAnsiTheme="minorEastAsia"/>
          <w:snapToGrid w:val="0"/>
          <w:color w:val="auto"/>
          <w:kern w:val="0"/>
          <w:sz w:val="28"/>
          <w:szCs w:val="28"/>
          <w:highlight w:val="none"/>
        </w:rPr>
        <w:t>附件2：</w:t>
      </w:r>
    </w:p>
    <w:p w14:paraId="22E03E33">
      <w:pPr>
        <w:adjustRightInd w:val="0"/>
        <w:snapToGrid w:val="0"/>
        <w:spacing w:line="460" w:lineRule="exact"/>
        <w:jc w:val="center"/>
        <w:textAlignment w:val="baseline"/>
        <w:rPr>
          <w:rFonts w:cs="仿宋" w:asciiTheme="minorEastAsia" w:hAnsiTheme="minorEastAsia"/>
          <w:snapToGrid w:val="0"/>
          <w:color w:val="auto"/>
          <w:kern w:val="0"/>
          <w:sz w:val="28"/>
          <w:szCs w:val="28"/>
          <w:highlight w:val="none"/>
        </w:rPr>
      </w:pPr>
      <w:r>
        <w:rPr>
          <w:rFonts w:hint="eastAsia" w:cs="仿宋" w:asciiTheme="minorEastAsia" w:hAnsiTheme="minorEastAsia"/>
          <w:snapToGrid w:val="0"/>
          <w:color w:val="auto"/>
          <w:kern w:val="0"/>
          <w:sz w:val="28"/>
          <w:szCs w:val="28"/>
          <w:highlight w:val="none"/>
        </w:rPr>
        <w:t>承包人主要施工管理人员表</w:t>
      </w:r>
    </w:p>
    <w:p w14:paraId="53CDD61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bl>
      <w:tblPr>
        <w:tblStyle w:val="56"/>
        <w:tblW w:w="8251"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83"/>
        <w:gridCol w:w="1189"/>
        <w:gridCol w:w="949"/>
        <w:gridCol w:w="951"/>
        <w:gridCol w:w="3579"/>
      </w:tblGrid>
      <w:tr w14:paraId="2876D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583" w:type="dxa"/>
            <w:tcBorders>
              <w:top w:val="single" w:color="000000" w:sz="10" w:space="0"/>
              <w:left w:val="single" w:color="000000" w:sz="10" w:space="0"/>
            </w:tcBorders>
          </w:tcPr>
          <w:p w14:paraId="564F09D3">
            <w:pPr>
              <w:adjustRightInd w:val="0"/>
              <w:snapToGrid w:val="0"/>
              <w:spacing w:line="460" w:lineRule="exact"/>
              <w:jc w:val="center"/>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名    称</w:t>
            </w:r>
          </w:p>
        </w:tc>
        <w:tc>
          <w:tcPr>
            <w:tcW w:w="1189" w:type="dxa"/>
            <w:tcBorders>
              <w:top w:val="single" w:color="000000" w:sz="10" w:space="0"/>
            </w:tcBorders>
          </w:tcPr>
          <w:p w14:paraId="10AEFD0F">
            <w:pPr>
              <w:adjustRightInd w:val="0"/>
              <w:snapToGrid w:val="0"/>
              <w:spacing w:line="460" w:lineRule="exact"/>
              <w:jc w:val="center"/>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姓名</w:t>
            </w:r>
          </w:p>
        </w:tc>
        <w:tc>
          <w:tcPr>
            <w:tcW w:w="949" w:type="dxa"/>
            <w:tcBorders>
              <w:top w:val="single" w:color="000000" w:sz="10" w:space="0"/>
            </w:tcBorders>
          </w:tcPr>
          <w:p w14:paraId="3416502E">
            <w:pPr>
              <w:adjustRightInd w:val="0"/>
              <w:snapToGrid w:val="0"/>
              <w:spacing w:line="460" w:lineRule="exact"/>
              <w:jc w:val="center"/>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职务</w:t>
            </w:r>
          </w:p>
        </w:tc>
        <w:tc>
          <w:tcPr>
            <w:tcW w:w="951" w:type="dxa"/>
            <w:tcBorders>
              <w:top w:val="single" w:color="000000" w:sz="10" w:space="0"/>
            </w:tcBorders>
          </w:tcPr>
          <w:p w14:paraId="6C3F1194">
            <w:pPr>
              <w:adjustRightInd w:val="0"/>
              <w:snapToGrid w:val="0"/>
              <w:spacing w:line="460" w:lineRule="exact"/>
              <w:jc w:val="center"/>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职称</w:t>
            </w:r>
          </w:p>
        </w:tc>
        <w:tc>
          <w:tcPr>
            <w:tcW w:w="3579" w:type="dxa"/>
            <w:tcBorders>
              <w:top w:val="single" w:color="000000" w:sz="10" w:space="0"/>
              <w:right w:val="single" w:color="000000" w:sz="10" w:space="0"/>
            </w:tcBorders>
          </w:tcPr>
          <w:p w14:paraId="322766F8">
            <w:pPr>
              <w:adjustRightInd w:val="0"/>
              <w:snapToGrid w:val="0"/>
              <w:spacing w:line="460" w:lineRule="exact"/>
              <w:jc w:val="center"/>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证书编号</w:t>
            </w:r>
          </w:p>
        </w:tc>
      </w:tr>
      <w:tr w14:paraId="70C5A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8251" w:type="dxa"/>
            <w:gridSpan w:val="5"/>
            <w:tcBorders>
              <w:left w:val="single" w:color="000000" w:sz="10" w:space="0"/>
              <w:right w:val="single" w:color="000000" w:sz="10" w:space="0"/>
            </w:tcBorders>
          </w:tcPr>
          <w:p w14:paraId="6BF26B4A">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一、总部人员</w:t>
            </w:r>
          </w:p>
        </w:tc>
      </w:tr>
      <w:tr w14:paraId="473F9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1583" w:type="dxa"/>
            <w:tcBorders>
              <w:left w:val="single" w:color="000000" w:sz="10" w:space="0"/>
            </w:tcBorders>
          </w:tcPr>
          <w:p w14:paraId="4A0968E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项目主管</w:t>
            </w:r>
          </w:p>
        </w:tc>
        <w:tc>
          <w:tcPr>
            <w:tcW w:w="1189" w:type="dxa"/>
          </w:tcPr>
          <w:p w14:paraId="5E897E7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12446A7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55193875">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5784A28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6DEFC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583" w:type="dxa"/>
            <w:vMerge w:val="restart"/>
            <w:tcBorders>
              <w:left w:val="single" w:color="000000" w:sz="10" w:space="0"/>
              <w:bottom w:val="nil"/>
            </w:tcBorders>
          </w:tcPr>
          <w:p w14:paraId="5A1FC4B1">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p w14:paraId="53177C3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其他人员</w:t>
            </w:r>
          </w:p>
        </w:tc>
        <w:tc>
          <w:tcPr>
            <w:tcW w:w="1189" w:type="dxa"/>
          </w:tcPr>
          <w:p w14:paraId="016A147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587BF33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311950C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671B609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049A0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1583" w:type="dxa"/>
            <w:vMerge w:val="continue"/>
            <w:tcBorders>
              <w:top w:val="nil"/>
              <w:left w:val="single" w:color="000000" w:sz="10" w:space="0"/>
              <w:bottom w:val="nil"/>
            </w:tcBorders>
          </w:tcPr>
          <w:p w14:paraId="3004171A">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189" w:type="dxa"/>
          </w:tcPr>
          <w:p w14:paraId="2988D36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779560E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33868DF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73EBC5D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731D4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1583" w:type="dxa"/>
            <w:vMerge w:val="continue"/>
            <w:tcBorders>
              <w:top w:val="nil"/>
              <w:left w:val="single" w:color="000000" w:sz="10" w:space="0"/>
            </w:tcBorders>
          </w:tcPr>
          <w:p w14:paraId="3327F99B">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189" w:type="dxa"/>
          </w:tcPr>
          <w:p w14:paraId="182E65B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7B6C181C">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5AE9D53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2EC8058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168C3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8251" w:type="dxa"/>
            <w:gridSpan w:val="5"/>
            <w:tcBorders>
              <w:left w:val="single" w:color="000000" w:sz="10" w:space="0"/>
              <w:right w:val="single" w:color="000000" w:sz="10" w:space="0"/>
            </w:tcBorders>
          </w:tcPr>
          <w:p w14:paraId="0662B63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二、现场人员</w:t>
            </w:r>
          </w:p>
        </w:tc>
      </w:tr>
      <w:tr w14:paraId="0D6CB9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1583" w:type="dxa"/>
            <w:tcBorders>
              <w:left w:val="single" w:color="000000" w:sz="10" w:space="0"/>
            </w:tcBorders>
          </w:tcPr>
          <w:p w14:paraId="3451534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项目经理</w:t>
            </w:r>
          </w:p>
        </w:tc>
        <w:tc>
          <w:tcPr>
            <w:tcW w:w="1189" w:type="dxa"/>
          </w:tcPr>
          <w:p w14:paraId="20F926E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57E22DC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189B5D0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09AA728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3D308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583" w:type="dxa"/>
            <w:tcBorders>
              <w:left w:val="single" w:color="000000" w:sz="10" w:space="0"/>
            </w:tcBorders>
          </w:tcPr>
          <w:p w14:paraId="1B02E9C7">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技术负责人</w:t>
            </w:r>
          </w:p>
        </w:tc>
        <w:tc>
          <w:tcPr>
            <w:tcW w:w="1189" w:type="dxa"/>
          </w:tcPr>
          <w:p w14:paraId="2CAAD701">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032805A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2B22D027">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532F1F1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05EBE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1583" w:type="dxa"/>
            <w:tcBorders>
              <w:left w:val="single" w:color="000000" w:sz="10" w:space="0"/>
            </w:tcBorders>
          </w:tcPr>
          <w:p w14:paraId="25578DE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质量管理</w:t>
            </w:r>
          </w:p>
        </w:tc>
        <w:tc>
          <w:tcPr>
            <w:tcW w:w="1189" w:type="dxa"/>
          </w:tcPr>
          <w:p w14:paraId="728C50B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6985846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5E6408C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6D9CE91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2D18C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583" w:type="dxa"/>
            <w:tcBorders>
              <w:left w:val="single" w:color="000000" w:sz="10" w:space="0"/>
            </w:tcBorders>
          </w:tcPr>
          <w:p w14:paraId="66E1992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施工管理</w:t>
            </w:r>
          </w:p>
        </w:tc>
        <w:tc>
          <w:tcPr>
            <w:tcW w:w="1189" w:type="dxa"/>
          </w:tcPr>
          <w:p w14:paraId="09449A1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06F5AA5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5074D79A">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198C003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1848E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1583" w:type="dxa"/>
            <w:tcBorders>
              <w:left w:val="single" w:color="000000" w:sz="10" w:space="0"/>
            </w:tcBorders>
          </w:tcPr>
          <w:p w14:paraId="33C2F01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安全管理</w:t>
            </w:r>
          </w:p>
        </w:tc>
        <w:tc>
          <w:tcPr>
            <w:tcW w:w="1189" w:type="dxa"/>
          </w:tcPr>
          <w:p w14:paraId="6F63CA1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1D5486DB">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7086D55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4E5D438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002F4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583" w:type="dxa"/>
            <w:vMerge w:val="restart"/>
            <w:tcBorders>
              <w:left w:val="single" w:color="000000" w:sz="10" w:space="0"/>
            </w:tcBorders>
          </w:tcPr>
          <w:p w14:paraId="1B16BDF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p w14:paraId="5AC17E3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p w14:paraId="3D893A3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p w14:paraId="6EDAA62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p w14:paraId="2ED2A96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其他人员</w:t>
            </w:r>
          </w:p>
        </w:tc>
        <w:tc>
          <w:tcPr>
            <w:tcW w:w="1189" w:type="dxa"/>
          </w:tcPr>
          <w:p w14:paraId="49FF340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18F16BA1">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1B985E41">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359071C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726B2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1583" w:type="dxa"/>
            <w:vMerge w:val="continue"/>
            <w:tcBorders>
              <w:left w:val="single" w:color="000000" w:sz="10" w:space="0"/>
            </w:tcBorders>
          </w:tcPr>
          <w:p w14:paraId="65A57561">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189" w:type="dxa"/>
          </w:tcPr>
          <w:p w14:paraId="258D276C">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6318541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1964657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0E1A1F8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4DF24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583" w:type="dxa"/>
            <w:vMerge w:val="continue"/>
            <w:tcBorders>
              <w:left w:val="single" w:color="000000" w:sz="10" w:space="0"/>
            </w:tcBorders>
          </w:tcPr>
          <w:p w14:paraId="0BF45B6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189" w:type="dxa"/>
          </w:tcPr>
          <w:p w14:paraId="564F676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1D6AC81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2B80BC47">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04DA5DC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70BA84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1583" w:type="dxa"/>
            <w:vMerge w:val="continue"/>
            <w:tcBorders>
              <w:left w:val="single" w:color="000000" w:sz="10" w:space="0"/>
            </w:tcBorders>
          </w:tcPr>
          <w:p w14:paraId="46F0F75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189" w:type="dxa"/>
          </w:tcPr>
          <w:p w14:paraId="4B16407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3CD7813B">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79BD369C">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31911F3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4A7CE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583" w:type="dxa"/>
            <w:vMerge w:val="continue"/>
            <w:tcBorders>
              <w:left w:val="single" w:color="000000" w:sz="10" w:space="0"/>
            </w:tcBorders>
          </w:tcPr>
          <w:p w14:paraId="0F720347">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189" w:type="dxa"/>
          </w:tcPr>
          <w:p w14:paraId="0C6641BC">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59268B8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7EB117CA">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2A3E300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64A716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1583" w:type="dxa"/>
            <w:vMerge w:val="continue"/>
            <w:tcBorders>
              <w:left w:val="single" w:color="000000" w:sz="10" w:space="0"/>
            </w:tcBorders>
          </w:tcPr>
          <w:p w14:paraId="73F81DF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189" w:type="dxa"/>
          </w:tcPr>
          <w:p w14:paraId="474838A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6AB26EB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2A5FC34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6C14A76B">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3E6E4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583" w:type="dxa"/>
            <w:vMerge w:val="continue"/>
            <w:tcBorders>
              <w:left w:val="single" w:color="000000" w:sz="10" w:space="0"/>
            </w:tcBorders>
          </w:tcPr>
          <w:p w14:paraId="6E978CA5">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189" w:type="dxa"/>
          </w:tcPr>
          <w:p w14:paraId="528C9BFC">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1318B87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3619159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0A3EEF27">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0B656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583" w:type="dxa"/>
            <w:vMerge w:val="continue"/>
            <w:tcBorders>
              <w:left w:val="single" w:color="000000" w:sz="10" w:space="0"/>
            </w:tcBorders>
          </w:tcPr>
          <w:p w14:paraId="2882892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189" w:type="dxa"/>
          </w:tcPr>
          <w:p w14:paraId="266A606C">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04E3EE2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45E39DB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0DBF1DA5">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5F334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1583" w:type="dxa"/>
            <w:vMerge w:val="continue"/>
            <w:tcBorders>
              <w:left w:val="single" w:color="000000" w:sz="10" w:space="0"/>
              <w:bottom w:val="single" w:color="000000" w:sz="10" w:space="0"/>
            </w:tcBorders>
          </w:tcPr>
          <w:p w14:paraId="0B8603C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189" w:type="dxa"/>
            <w:tcBorders>
              <w:bottom w:val="single" w:color="000000" w:sz="10" w:space="0"/>
            </w:tcBorders>
          </w:tcPr>
          <w:p w14:paraId="44FAF7A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Borders>
              <w:bottom w:val="single" w:color="000000" w:sz="10" w:space="0"/>
            </w:tcBorders>
          </w:tcPr>
          <w:p w14:paraId="1A6208E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Borders>
              <w:bottom w:val="single" w:color="000000" w:sz="10" w:space="0"/>
            </w:tcBorders>
          </w:tcPr>
          <w:p w14:paraId="39C73F7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bottom w:val="single" w:color="000000" w:sz="10" w:space="0"/>
              <w:right w:val="single" w:color="000000" w:sz="10" w:space="0"/>
            </w:tcBorders>
          </w:tcPr>
          <w:p w14:paraId="6BE4B11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bl>
    <w:p w14:paraId="083B8855">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p w14:paraId="5BC2CEC3">
      <w:pPr>
        <w:adjustRightInd w:val="0"/>
        <w:snapToGrid w:val="0"/>
        <w:spacing w:line="460" w:lineRule="exact"/>
        <w:textAlignment w:val="baseline"/>
        <w:rPr>
          <w:rFonts w:cs="仿宋" w:asciiTheme="minorEastAsia" w:hAnsiTheme="minorEastAsia"/>
          <w:snapToGrid w:val="0"/>
          <w:color w:val="auto"/>
          <w:kern w:val="0"/>
          <w:sz w:val="24"/>
          <w:szCs w:val="24"/>
          <w:highlight w:val="none"/>
        </w:rPr>
        <w:sectPr>
          <w:headerReference r:id="rId13" w:type="default"/>
          <w:footerReference r:id="rId14" w:type="default"/>
          <w:pgSz w:w="11907" w:h="16841"/>
          <w:pgMar w:top="1440" w:right="1800" w:bottom="1440" w:left="1800" w:header="0" w:footer="850" w:gutter="0"/>
          <w:cols w:space="720" w:num="1"/>
        </w:sectPr>
      </w:pPr>
    </w:p>
    <w:p w14:paraId="2DA8D5FE">
      <w:pPr>
        <w:pStyle w:val="37"/>
        <w:spacing w:before="0" w:after="0"/>
        <w:rPr>
          <w:rFonts w:asciiTheme="minorEastAsia" w:hAnsiTheme="minorEastAsia" w:cstheme="minorEastAsia"/>
          <w:color w:val="auto"/>
          <w:spacing w:val="0"/>
          <w:sz w:val="36"/>
          <w:highlight w:val="none"/>
        </w:rPr>
      </w:pPr>
    </w:p>
    <w:p w14:paraId="2DA7CA9D">
      <w:pPr>
        <w:pStyle w:val="3"/>
        <w:spacing w:line="360" w:lineRule="auto"/>
        <w:ind w:firstLine="2530" w:firstLineChars="700"/>
        <w:rPr>
          <w:rFonts w:asciiTheme="minorEastAsia" w:hAnsiTheme="minorEastAsia" w:cstheme="minorEastAsia"/>
          <w:color w:val="auto"/>
          <w:sz w:val="36"/>
          <w:highlight w:val="none"/>
        </w:rPr>
      </w:pPr>
      <w:bookmarkStart w:id="1251" w:name="_Toc4423"/>
      <w:bookmarkStart w:id="1252" w:name="_Toc18047"/>
      <w:r>
        <w:rPr>
          <w:rFonts w:hint="eastAsia" w:asciiTheme="minorEastAsia" w:hAnsiTheme="minorEastAsia" w:cstheme="minorEastAsia"/>
          <w:color w:val="auto"/>
          <w:sz w:val="36"/>
          <w:highlight w:val="none"/>
        </w:rPr>
        <w:t xml:space="preserve">第三章  </w:t>
      </w:r>
      <w:bookmarkEnd w:id="216"/>
      <w:bookmarkEnd w:id="217"/>
      <w:bookmarkEnd w:id="218"/>
      <w:bookmarkEnd w:id="219"/>
      <w:r>
        <w:rPr>
          <w:rFonts w:hint="eastAsia" w:asciiTheme="minorEastAsia" w:hAnsiTheme="minorEastAsia" w:cstheme="minorEastAsia"/>
          <w:color w:val="auto"/>
          <w:sz w:val="36"/>
          <w:highlight w:val="none"/>
        </w:rPr>
        <w:t>工程技术标准和要求</w:t>
      </w:r>
      <w:bookmarkEnd w:id="1251"/>
      <w:bookmarkEnd w:id="1252"/>
    </w:p>
    <w:p w14:paraId="649F50E3">
      <w:pPr>
        <w:rPr>
          <w:rFonts w:asciiTheme="minorEastAsia" w:hAnsiTheme="minorEastAsia" w:cstheme="minorEastAsia"/>
          <w:color w:val="auto"/>
          <w:kern w:val="0"/>
          <w:highlight w:val="none"/>
        </w:rPr>
      </w:pPr>
      <w:bookmarkStart w:id="1253" w:name="_Toc29153403"/>
      <w:bookmarkStart w:id="1254" w:name="_Toc243584336"/>
      <w:bookmarkStart w:id="1255" w:name="_Toc31246"/>
    </w:p>
    <w:bookmarkEnd w:id="1253"/>
    <w:bookmarkEnd w:id="1254"/>
    <w:bookmarkEnd w:id="1255"/>
    <w:p w14:paraId="10E2C8A3">
      <w:pPr>
        <w:spacing w:line="391" w:lineRule="auto"/>
        <w:ind w:firstLine="480" w:firstLineChars="200"/>
        <w:rPr>
          <w:rFonts w:asciiTheme="minorEastAsia" w:hAnsiTheme="minorEastAsia" w:cstheme="minorEastAsia"/>
          <w:color w:val="auto"/>
          <w:sz w:val="24"/>
          <w:szCs w:val="24"/>
          <w:highlight w:val="none"/>
        </w:rPr>
      </w:pPr>
      <w:bookmarkStart w:id="1256" w:name="_Toc74156277"/>
      <w:bookmarkStart w:id="1257" w:name="_Toc29153404"/>
      <w:bookmarkStart w:id="1258" w:name="_Toc243584337"/>
      <w:r>
        <w:rPr>
          <w:rFonts w:hint="eastAsia" w:asciiTheme="minorEastAsia" w:hAnsiTheme="minorEastAsia" w:cstheme="minorEastAsia"/>
          <w:color w:val="auto"/>
          <w:sz w:val="24"/>
          <w:szCs w:val="24"/>
          <w:highlight w:val="none"/>
        </w:rPr>
        <w:t>本工程执行国家现行的有关的工程建设标准、技术规范及强制性标准条文、以及施工图纸载明的其他有关规范标准。</w:t>
      </w:r>
    </w:p>
    <w:p w14:paraId="391C11BD">
      <w:pPr>
        <w:pStyle w:val="37"/>
        <w:spacing w:before="0" w:after="0"/>
        <w:rPr>
          <w:rFonts w:asciiTheme="minorEastAsia" w:hAnsiTheme="minorEastAsia" w:cstheme="minorEastAsia"/>
          <w:color w:val="auto"/>
          <w:spacing w:val="0"/>
          <w:szCs w:val="24"/>
          <w:highlight w:val="none"/>
        </w:rPr>
      </w:pPr>
    </w:p>
    <w:p w14:paraId="267630E8">
      <w:pPr>
        <w:pStyle w:val="37"/>
        <w:spacing w:before="0" w:after="0"/>
        <w:rPr>
          <w:rFonts w:asciiTheme="minorEastAsia" w:hAnsiTheme="minorEastAsia" w:cstheme="minorEastAsia"/>
          <w:color w:val="auto"/>
          <w:spacing w:val="0"/>
          <w:szCs w:val="24"/>
          <w:highlight w:val="none"/>
        </w:rPr>
      </w:pPr>
    </w:p>
    <w:p w14:paraId="3ACC964C">
      <w:pPr>
        <w:pStyle w:val="37"/>
        <w:spacing w:before="0" w:after="0"/>
        <w:rPr>
          <w:rFonts w:asciiTheme="minorEastAsia" w:hAnsiTheme="minorEastAsia" w:cstheme="minorEastAsia"/>
          <w:color w:val="auto"/>
          <w:spacing w:val="0"/>
          <w:szCs w:val="24"/>
          <w:highlight w:val="none"/>
        </w:rPr>
      </w:pPr>
    </w:p>
    <w:p w14:paraId="093B69A4">
      <w:pPr>
        <w:pStyle w:val="37"/>
        <w:spacing w:before="0" w:after="0"/>
        <w:rPr>
          <w:rFonts w:asciiTheme="minorEastAsia" w:hAnsiTheme="minorEastAsia" w:cstheme="minorEastAsia"/>
          <w:color w:val="auto"/>
          <w:spacing w:val="0"/>
          <w:szCs w:val="24"/>
          <w:highlight w:val="none"/>
        </w:rPr>
      </w:pPr>
    </w:p>
    <w:p w14:paraId="4D4BF445">
      <w:pPr>
        <w:pStyle w:val="37"/>
        <w:spacing w:before="0" w:after="0"/>
        <w:rPr>
          <w:rFonts w:asciiTheme="minorEastAsia" w:hAnsiTheme="minorEastAsia" w:cstheme="minorEastAsia"/>
          <w:color w:val="auto"/>
          <w:spacing w:val="0"/>
          <w:szCs w:val="24"/>
          <w:highlight w:val="none"/>
        </w:rPr>
      </w:pPr>
    </w:p>
    <w:p w14:paraId="79D9F775">
      <w:pPr>
        <w:pStyle w:val="37"/>
        <w:spacing w:before="0" w:after="0"/>
        <w:jc w:val="center"/>
        <w:rPr>
          <w:rFonts w:asciiTheme="minorEastAsia" w:hAnsiTheme="minorEastAsia" w:cstheme="minorEastAsia"/>
          <w:color w:val="auto"/>
          <w:spacing w:val="0"/>
          <w:szCs w:val="24"/>
          <w:highlight w:val="none"/>
        </w:rPr>
      </w:pPr>
    </w:p>
    <w:p w14:paraId="1A429A10">
      <w:pPr>
        <w:pStyle w:val="3"/>
        <w:spacing w:line="360" w:lineRule="auto"/>
        <w:jc w:val="center"/>
        <w:rPr>
          <w:rFonts w:asciiTheme="minorEastAsia" w:hAnsiTheme="minorEastAsia" w:cstheme="minorEastAsia"/>
          <w:color w:val="auto"/>
          <w:sz w:val="36"/>
          <w:highlight w:val="none"/>
        </w:rPr>
      </w:pPr>
      <w:bookmarkStart w:id="1259" w:name="_Toc25169"/>
      <w:bookmarkStart w:id="1260" w:name="_Toc28029"/>
      <w:bookmarkStart w:id="1261" w:name="_Toc28504"/>
      <w:r>
        <w:rPr>
          <w:rFonts w:hint="eastAsia" w:asciiTheme="minorEastAsia" w:hAnsiTheme="minorEastAsia" w:cstheme="minorEastAsia"/>
          <w:color w:val="auto"/>
          <w:sz w:val="36"/>
          <w:highlight w:val="none"/>
        </w:rPr>
        <w:t>第四章 图纸</w:t>
      </w:r>
      <w:bookmarkEnd w:id="1259"/>
      <w:bookmarkEnd w:id="1260"/>
      <w:bookmarkEnd w:id="1261"/>
    </w:p>
    <w:p w14:paraId="77FA5B45">
      <w:pPr>
        <w:pStyle w:val="3"/>
        <w:spacing w:line="360" w:lineRule="auto"/>
        <w:ind w:left="2700" w:firstLine="640" w:firstLineChars="200"/>
        <w:rPr>
          <w:rFonts w:asciiTheme="minorEastAsia" w:hAnsiTheme="minorEastAsia" w:cstheme="minorEastAsia"/>
          <w:b w:val="0"/>
          <w:bCs/>
          <w:color w:val="auto"/>
          <w:sz w:val="32"/>
          <w:szCs w:val="21"/>
          <w:highlight w:val="none"/>
        </w:rPr>
      </w:pPr>
      <w:bookmarkStart w:id="1262" w:name="_Toc6657"/>
      <w:bookmarkStart w:id="1263" w:name="_Toc8159"/>
      <w:bookmarkStart w:id="1264" w:name="_Toc28479"/>
      <w:bookmarkStart w:id="1265" w:name="_Toc97108110"/>
      <w:r>
        <w:rPr>
          <w:rFonts w:hint="eastAsia" w:asciiTheme="minorEastAsia" w:hAnsiTheme="minorEastAsia" w:cstheme="minorEastAsia"/>
          <w:b w:val="0"/>
          <w:bCs/>
          <w:color w:val="auto"/>
          <w:sz w:val="32"/>
          <w:szCs w:val="21"/>
          <w:highlight w:val="none"/>
        </w:rPr>
        <w:t>（另册）</w:t>
      </w:r>
      <w:bookmarkEnd w:id="1262"/>
      <w:bookmarkEnd w:id="1263"/>
      <w:bookmarkEnd w:id="1264"/>
      <w:bookmarkEnd w:id="1265"/>
    </w:p>
    <w:p w14:paraId="38CAD1E2">
      <w:pPr>
        <w:rPr>
          <w:rFonts w:asciiTheme="minorEastAsia" w:hAnsiTheme="minorEastAsia"/>
          <w:color w:val="auto"/>
          <w:highlight w:val="none"/>
        </w:rPr>
      </w:pPr>
    </w:p>
    <w:p w14:paraId="4833A5A7">
      <w:pPr>
        <w:rPr>
          <w:rFonts w:asciiTheme="minorEastAsia" w:hAnsiTheme="minorEastAsia" w:cstheme="minorEastAsia"/>
          <w:color w:val="auto"/>
          <w:sz w:val="36"/>
          <w:highlight w:val="none"/>
        </w:rPr>
      </w:pPr>
      <w:bookmarkStart w:id="1266" w:name="_Toc243584338"/>
      <w:bookmarkStart w:id="1267" w:name="_Toc16411"/>
    </w:p>
    <w:p w14:paraId="78861ECE">
      <w:pPr>
        <w:rPr>
          <w:rFonts w:asciiTheme="minorEastAsia" w:hAnsiTheme="minorEastAsia" w:cstheme="minorEastAsia"/>
          <w:color w:val="auto"/>
          <w:sz w:val="36"/>
          <w:highlight w:val="none"/>
        </w:rPr>
      </w:pPr>
    </w:p>
    <w:bookmarkEnd w:id="1266"/>
    <w:bookmarkEnd w:id="1267"/>
    <w:p w14:paraId="2522987D">
      <w:pPr>
        <w:rPr>
          <w:rFonts w:asciiTheme="minorEastAsia" w:hAnsiTheme="minorEastAsia" w:cstheme="minorEastAsia"/>
          <w:color w:val="auto"/>
          <w:sz w:val="28"/>
          <w:highlight w:val="none"/>
        </w:rPr>
      </w:pPr>
    </w:p>
    <w:p w14:paraId="1827A361">
      <w:pPr>
        <w:rPr>
          <w:rFonts w:asciiTheme="minorEastAsia" w:hAnsiTheme="minorEastAsia" w:cstheme="minorEastAsia"/>
          <w:color w:val="auto"/>
          <w:sz w:val="28"/>
          <w:highlight w:val="none"/>
        </w:rPr>
      </w:pPr>
    </w:p>
    <w:p w14:paraId="1C137054">
      <w:pPr>
        <w:pStyle w:val="37"/>
        <w:spacing w:before="0" w:after="0"/>
        <w:rPr>
          <w:rFonts w:asciiTheme="minorEastAsia" w:hAnsiTheme="minorEastAsia" w:cstheme="minorEastAsia"/>
          <w:color w:val="auto"/>
          <w:spacing w:val="0"/>
          <w:sz w:val="28"/>
          <w:highlight w:val="none"/>
        </w:rPr>
      </w:pPr>
    </w:p>
    <w:p w14:paraId="6E517666">
      <w:pPr>
        <w:pStyle w:val="3"/>
        <w:spacing w:line="360" w:lineRule="auto"/>
        <w:ind w:firstLine="2891" w:firstLineChars="800"/>
        <w:rPr>
          <w:rFonts w:asciiTheme="minorEastAsia" w:hAnsiTheme="minorEastAsia" w:cstheme="minorEastAsia"/>
          <w:color w:val="auto"/>
          <w:sz w:val="36"/>
          <w:highlight w:val="none"/>
        </w:rPr>
      </w:pPr>
      <w:bookmarkStart w:id="1268" w:name="_Toc19412"/>
      <w:bookmarkStart w:id="1269" w:name="_Toc19454"/>
      <w:r>
        <w:rPr>
          <w:rFonts w:hint="eastAsia" w:asciiTheme="minorEastAsia" w:hAnsiTheme="minorEastAsia" w:cstheme="minorEastAsia"/>
          <w:color w:val="auto"/>
          <w:sz w:val="36"/>
          <w:highlight w:val="none"/>
        </w:rPr>
        <w:t>第五章 工程量清单</w:t>
      </w:r>
      <w:bookmarkEnd w:id="1268"/>
      <w:bookmarkEnd w:id="1269"/>
    </w:p>
    <w:p w14:paraId="7E1B67D0">
      <w:pPr>
        <w:jc w:val="center"/>
        <w:rPr>
          <w:rFonts w:asciiTheme="minorEastAsia" w:hAnsiTheme="minorEastAsia" w:cstheme="minorEastAsia"/>
          <w:color w:val="auto"/>
          <w:sz w:val="24"/>
          <w:szCs w:val="24"/>
          <w:highlight w:val="none"/>
        </w:rPr>
        <w:sectPr>
          <w:headerReference r:id="rId15" w:type="default"/>
          <w:footerReference r:id="rId16" w:type="default"/>
          <w:pgSz w:w="11910" w:h="16840"/>
          <w:pgMar w:top="1060" w:right="1134" w:bottom="1180" w:left="1134" w:header="870" w:footer="999" w:gutter="0"/>
          <w:cols w:space="720" w:num="1"/>
        </w:sectPr>
      </w:pPr>
      <w:bookmarkStart w:id="1270" w:name="_Toc1133"/>
      <w:r>
        <w:rPr>
          <w:rFonts w:hint="eastAsia" w:asciiTheme="minorEastAsia" w:hAnsiTheme="minorEastAsia" w:cstheme="minorEastAsia"/>
          <w:bCs/>
          <w:color w:val="auto"/>
          <w:sz w:val="32"/>
          <w:szCs w:val="21"/>
          <w:highlight w:val="none"/>
        </w:rPr>
        <w:t>（另册）</w:t>
      </w:r>
      <w:bookmarkEnd w:id="1270"/>
    </w:p>
    <w:bookmarkEnd w:id="1256"/>
    <w:bookmarkEnd w:id="1257"/>
    <w:bookmarkEnd w:id="1258"/>
    <w:p w14:paraId="67C2FDB5">
      <w:pPr>
        <w:pStyle w:val="3"/>
        <w:spacing w:line="360" w:lineRule="auto"/>
        <w:jc w:val="center"/>
        <w:rPr>
          <w:rFonts w:asciiTheme="minorEastAsia" w:hAnsiTheme="minorEastAsia" w:cstheme="minorEastAsia"/>
          <w:color w:val="auto"/>
          <w:highlight w:val="none"/>
        </w:rPr>
      </w:pPr>
      <w:bookmarkStart w:id="1271" w:name="_Toc255977432"/>
      <w:bookmarkStart w:id="1272" w:name="_Toc1956"/>
      <w:bookmarkStart w:id="1273" w:name="_Toc247292435"/>
      <w:bookmarkStart w:id="1274" w:name="_Toc247301828"/>
      <w:bookmarkStart w:id="1275" w:name="_Toc4887"/>
      <w:bookmarkStart w:id="1276" w:name="_Toc24601"/>
      <w:bookmarkStart w:id="1277" w:name="_Toc74156286"/>
      <w:r>
        <w:rPr>
          <w:rFonts w:hint="eastAsia" w:asciiTheme="minorEastAsia" w:hAnsiTheme="minorEastAsia" w:cstheme="minorEastAsia"/>
          <w:color w:val="auto"/>
          <w:sz w:val="36"/>
          <w:highlight w:val="none"/>
        </w:rPr>
        <w:t>第六章  响应文件</w:t>
      </w:r>
      <w:bookmarkEnd w:id="1271"/>
      <w:bookmarkEnd w:id="1272"/>
      <w:bookmarkEnd w:id="1273"/>
      <w:bookmarkEnd w:id="1274"/>
      <w:r>
        <w:rPr>
          <w:rFonts w:hint="eastAsia" w:asciiTheme="minorEastAsia" w:hAnsiTheme="minorEastAsia" w:cstheme="minorEastAsia"/>
          <w:color w:val="auto"/>
          <w:sz w:val="36"/>
          <w:highlight w:val="none"/>
        </w:rPr>
        <w:t>格式</w:t>
      </w:r>
      <w:bookmarkEnd w:id="1275"/>
      <w:bookmarkEnd w:id="1276"/>
      <w:bookmarkStart w:id="1278" w:name="_Toc243630952"/>
      <w:bookmarkStart w:id="1279" w:name="_Toc255977433"/>
      <w:bookmarkStart w:id="1280" w:name="_Toc247301829"/>
      <w:bookmarkStart w:id="1281" w:name="_Toc18079"/>
      <w:bookmarkStart w:id="1282" w:name="_Toc24704"/>
      <w:bookmarkStart w:id="1283" w:name="_Toc193089296"/>
      <w:bookmarkStart w:id="1284" w:name="_Toc247292436"/>
      <w:bookmarkStart w:id="1285" w:name="_Toc243584342"/>
    </w:p>
    <w:p w14:paraId="2B600CB9">
      <w:pPr>
        <w:pStyle w:val="4"/>
        <w:spacing w:line="360" w:lineRule="auto"/>
        <w:rPr>
          <w:rFonts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一、资格审查</w:t>
      </w:r>
    </w:p>
    <w:p w14:paraId="5ACC6D3B">
      <w:pPr>
        <w:pStyle w:val="4"/>
        <w:spacing w:line="360" w:lineRule="auto"/>
        <w:jc w:val="center"/>
        <w:rPr>
          <w:rFonts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封面格式</w:t>
      </w:r>
      <w:bookmarkEnd w:id="1278"/>
      <w:bookmarkEnd w:id="1279"/>
      <w:bookmarkEnd w:id="1280"/>
      <w:bookmarkEnd w:id="1281"/>
      <w:bookmarkEnd w:id="1282"/>
      <w:bookmarkEnd w:id="1283"/>
      <w:bookmarkEnd w:id="1284"/>
      <w:bookmarkEnd w:id="1285"/>
    </w:p>
    <w:tbl>
      <w:tblPr>
        <w:tblStyle w:val="28"/>
        <w:tblW w:w="92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204"/>
      </w:tblGrid>
      <w:tr w14:paraId="332A9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85" w:hRule="atLeast"/>
        </w:trPr>
        <w:tc>
          <w:tcPr>
            <w:tcW w:w="9204" w:type="dxa"/>
          </w:tcPr>
          <w:p w14:paraId="20DBA78B">
            <w:pPr>
              <w:adjustRightInd w:val="0"/>
              <w:spacing w:line="360" w:lineRule="auto"/>
              <w:jc w:val="center"/>
              <w:rPr>
                <w:rFonts w:asciiTheme="minorEastAsia" w:hAnsiTheme="minorEastAsia" w:cstheme="minorEastAsia"/>
                <w:b/>
                <w:color w:val="auto"/>
                <w:kern w:val="0"/>
                <w:sz w:val="44"/>
                <w:highlight w:val="none"/>
              </w:rPr>
            </w:pPr>
          </w:p>
          <w:p w14:paraId="5D204DD7">
            <w:pPr>
              <w:adjustRightInd w:val="0"/>
              <w:spacing w:line="360" w:lineRule="auto"/>
              <w:jc w:val="center"/>
              <w:rPr>
                <w:rFonts w:asciiTheme="minorEastAsia" w:hAnsiTheme="minorEastAsia" w:cstheme="minorEastAsia"/>
                <w:b/>
                <w:color w:val="auto"/>
                <w:kern w:val="0"/>
                <w:sz w:val="44"/>
                <w:highlight w:val="none"/>
              </w:rPr>
            </w:pPr>
          </w:p>
          <w:p w14:paraId="7A61EDB1">
            <w:pPr>
              <w:adjustRightInd w:val="0"/>
              <w:spacing w:line="360" w:lineRule="auto"/>
              <w:jc w:val="center"/>
              <w:outlineLvl w:val="0"/>
              <w:rPr>
                <w:rFonts w:asciiTheme="minorEastAsia" w:hAnsiTheme="minorEastAsia" w:cstheme="minorEastAsia"/>
                <w:b/>
                <w:color w:val="auto"/>
                <w:kern w:val="0"/>
                <w:sz w:val="36"/>
                <w:highlight w:val="none"/>
              </w:rPr>
            </w:pPr>
            <w:r>
              <w:rPr>
                <w:rFonts w:hint="eastAsia" w:asciiTheme="minorEastAsia" w:hAnsiTheme="minorEastAsia" w:cstheme="minorEastAsia"/>
                <w:b/>
                <w:color w:val="auto"/>
                <w:kern w:val="0"/>
                <w:sz w:val="36"/>
                <w:highlight w:val="none"/>
                <w:u w:val="single"/>
              </w:rPr>
              <w:t xml:space="preserve">                         </w:t>
            </w:r>
            <w:bookmarkStart w:id="1286" w:name="_Toc17909"/>
            <w:bookmarkStart w:id="1287" w:name="_Toc97108113"/>
            <w:bookmarkStart w:id="1288" w:name="_Toc243584343"/>
            <w:bookmarkStart w:id="1289" w:name="_Toc32316"/>
            <w:bookmarkStart w:id="1290" w:name="_Toc24219"/>
            <w:r>
              <w:rPr>
                <w:rFonts w:hint="eastAsia" w:asciiTheme="minorEastAsia" w:hAnsiTheme="minorEastAsia" w:cstheme="minorEastAsia"/>
                <w:b/>
                <w:color w:val="auto"/>
                <w:kern w:val="0"/>
                <w:sz w:val="36"/>
                <w:highlight w:val="none"/>
              </w:rPr>
              <w:t>工程</w:t>
            </w:r>
            <w:bookmarkEnd w:id="1286"/>
            <w:bookmarkEnd w:id="1287"/>
            <w:bookmarkEnd w:id="1288"/>
            <w:bookmarkEnd w:id="1289"/>
            <w:bookmarkEnd w:id="1290"/>
          </w:p>
          <w:p w14:paraId="709EDF65">
            <w:pPr>
              <w:adjustRightInd w:val="0"/>
              <w:spacing w:line="360" w:lineRule="auto"/>
              <w:jc w:val="center"/>
              <w:rPr>
                <w:rFonts w:asciiTheme="minorEastAsia" w:hAnsiTheme="minorEastAsia" w:cstheme="minorEastAsia"/>
                <w:b/>
                <w:color w:val="auto"/>
                <w:kern w:val="0"/>
                <w:sz w:val="36"/>
                <w:highlight w:val="none"/>
              </w:rPr>
            </w:pPr>
          </w:p>
          <w:p w14:paraId="0C6E0CBC">
            <w:pPr>
              <w:adjustRightInd w:val="0"/>
              <w:spacing w:line="360" w:lineRule="auto"/>
              <w:jc w:val="center"/>
              <w:rPr>
                <w:rFonts w:asciiTheme="minorEastAsia" w:hAnsiTheme="minorEastAsia" w:cstheme="minorEastAsia"/>
                <w:b/>
                <w:color w:val="auto"/>
                <w:kern w:val="0"/>
                <w:sz w:val="24"/>
                <w:highlight w:val="none"/>
              </w:rPr>
            </w:pPr>
          </w:p>
          <w:p w14:paraId="486692EA">
            <w:pPr>
              <w:adjustRightInd w:val="0"/>
              <w:spacing w:line="360" w:lineRule="auto"/>
              <w:jc w:val="center"/>
              <w:rPr>
                <w:rFonts w:asciiTheme="minorEastAsia" w:hAnsiTheme="minorEastAsia" w:cstheme="minorEastAsia"/>
                <w:color w:val="auto"/>
                <w:kern w:val="0"/>
                <w:sz w:val="24"/>
                <w:highlight w:val="none"/>
              </w:rPr>
            </w:pPr>
          </w:p>
          <w:p w14:paraId="6C70AE5E">
            <w:pPr>
              <w:adjustRightInd w:val="0"/>
              <w:spacing w:line="360" w:lineRule="auto"/>
              <w:jc w:val="center"/>
              <w:rPr>
                <w:rFonts w:asciiTheme="minorEastAsia" w:hAnsiTheme="minorEastAsia" w:cstheme="minorEastAsia"/>
                <w:color w:val="auto"/>
                <w:kern w:val="0"/>
                <w:sz w:val="24"/>
                <w:highlight w:val="none"/>
              </w:rPr>
            </w:pPr>
          </w:p>
          <w:p w14:paraId="7B5CBF1B">
            <w:pPr>
              <w:adjustRightInd w:val="0"/>
              <w:spacing w:line="360" w:lineRule="auto"/>
              <w:jc w:val="center"/>
              <w:outlineLvl w:val="0"/>
              <w:rPr>
                <w:rFonts w:asciiTheme="minorEastAsia" w:hAnsiTheme="minorEastAsia" w:cstheme="minorEastAsia"/>
                <w:b/>
                <w:color w:val="auto"/>
                <w:kern w:val="0"/>
                <w:sz w:val="72"/>
                <w:highlight w:val="none"/>
              </w:rPr>
            </w:pPr>
            <w:bookmarkStart w:id="1291" w:name="_Toc2634"/>
            <w:bookmarkStart w:id="1292" w:name="_Toc243584345"/>
            <w:bookmarkStart w:id="1293" w:name="_Toc11271"/>
            <w:bookmarkStart w:id="1294" w:name="_Toc97108114"/>
            <w:bookmarkStart w:id="1295" w:name="_Toc20503"/>
            <w:r>
              <w:rPr>
                <w:rFonts w:hint="eastAsia" w:asciiTheme="minorEastAsia" w:hAnsiTheme="minorEastAsia" w:cstheme="minorEastAsia"/>
                <w:b/>
                <w:color w:val="auto"/>
                <w:kern w:val="0"/>
                <w:sz w:val="72"/>
                <w:highlight w:val="none"/>
              </w:rPr>
              <w:t>响 应 文 件</w:t>
            </w:r>
            <w:bookmarkEnd w:id="1291"/>
            <w:bookmarkEnd w:id="1292"/>
            <w:bookmarkEnd w:id="1293"/>
            <w:bookmarkEnd w:id="1294"/>
            <w:bookmarkEnd w:id="1295"/>
          </w:p>
          <w:p w14:paraId="45396568">
            <w:pPr>
              <w:adjustRightInd w:val="0"/>
              <w:spacing w:line="360" w:lineRule="auto"/>
              <w:rPr>
                <w:rFonts w:asciiTheme="minorEastAsia" w:hAnsiTheme="minorEastAsia" w:cstheme="minorEastAsia"/>
                <w:color w:val="auto"/>
                <w:kern w:val="0"/>
                <w:sz w:val="24"/>
                <w:highlight w:val="none"/>
              </w:rPr>
            </w:pPr>
          </w:p>
          <w:p w14:paraId="3C75C840">
            <w:pPr>
              <w:adjustRightInd w:val="0"/>
              <w:spacing w:line="360" w:lineRule="auto"/>
              <w:rPr>
                <w:rFonts w:asciiTheme="minorEastAsia" w:hAnsiTheme="minorEastAsia" w:cstheme="minorEastAsia"/>
                <w:color w:val="auto"/>
                <w:kern w:val="0"/>
                <w:sz w:val="24"/>
                <w:highlight w:val="none"/>
              </w:rPr>
            </w:pPr>
          </w:p>
          <w:p w14:paraId="20A552FC">
            <w:pPr>
              <w:adjustRightInd w:val="0"/>
              <w:spacing w:line="360" w:lineRule="auto"/>
              <w:jc w:val="center"/>
              <w:rPr>
                <w:rFonts w:asciiTheme="minorEastAsia" w:hAnsiTheme="minorEastAsia" w:cstheme="minorEastAsia"/>
                <w:color w:val="auto"/>
                <w:kern w:val="0"/>
                <w:sz w:val="24"/>
                <w:highlight w:val="none"/>
              </w:rPr>
            </w:pPr>
          </w:p>
          <w:p w14:paraId="3B80629A">
            <w:pPr>
              <w:adjustRightInd w:val="0"/>
              <w:spacing w:line="360" w:lineRule="auto"/>
              <w:ind w:firstLine="560" w:firstLineChars="200"/>
              <w:rPr>
                <w:rFonts w:asciiTheme="minorEastAsia" w:hAnsiTheme="minorEastAsia" w:cstheme="minorEastAsia"/>
                <w:color w:val="auto"/>
                <w:kern w:val="0"/>
                <w:sz w:val="28"/>
                <w:highlight w:val="none"/>
              </w:rPr>
            </w:pPr>
            <w:bookmarkStart w:id="1296" w:name="_Toc243584346"/>
          </w:p>
          <w:p w14:paraId="72C0ABCB">
            <w:pPr>
              <w:adjustRightInd w:val="0"/>
              <w:spacing w:line="360" w:lineRule="auto"/>
              <w:ind w:firstLine="560" w:firstLineChars="200"/>
              <w:rPr>
                <w:rFonts w:asciiTheme="minorEastAsia" w:hAnsiTheme="minorEastAsia" w:cstheme="minorEastAsia"/>
                <w:color w:val="auto"/>
                <w:kern w:val="0"/>
                <w:sz w:val="28"/>
                <w:highlight w:val="none"/>
              </w:rPr>
            </w:pPr>
          </w:p>
          <w:p w14:paraId="4F701C4B">
            <w:pPr>
              <w:adjustRightInd w:val="0"/>
              <w:spacing w:line="360" w:lineRule="auto"/>
              <w:ind w:firstLine="560" w:firstLineChars="200"/>
              <w:rPr>
                <w:rFonts w:asciiTheme="minorEastAsia" w:hAnsiTheme="minorEastAsia" w:cstheme="minorEastAsia"/>
                <w:color w:val="auto"/>
                <w:kern w:val="0"/>
                <w:sz w:val="28"/>
                <w:highlight w:val="none"/>
              </w:rPr>
            </w:pPr>
          </w:p>
          <w:p w14:paraId="4563160B">
            <w:pPr>
              <w:adjustRightInd w:val="0"/>
              <w:spacing w:line="360" w:lineRule="auto"/>
              <w:ind w:firstLine="560" w:firstLineChars="200"/>
              <w:outlineLvl w:val="0"/>
              <w:rPr>
                <w:rFonts w:asciiTheme="minorEastAsia" w:hAnsiTheme="minorEastAsia" w:cstheme="minorEastAsia"/>
                <w:color w:val="auto"/>
                <w:kern w:val="0"/>
                <w:sz w:val="28"/>
                <w:highlight w:val="none"/>
                <w:u w:val="single"/>
              </w:rPr>
            </w:pPr>
            <w:bookmarkStart w:id="1297" w:name="_Toc97108115"/>
            <w:bookmarkStart w:id="1298" w:name="_Toc6073"/>
            <w:bookmarkStart w:id="1299" w:name="_Toc443"/>
            <w:bookmarkStart w:id="1300" w:name="_Toc1595"/>
            <w:r>
              <w:rPr>
                <w:rFonts w:hint="eastAsia" w:asciiTheme="minorEastAsia" w:hAnsiTheme="minorEastAsia" w:cstheme="minorEastAsia"/>
                <w:color w:val="auto"/>
                <w:kern w:val="0"/>
                <w:sz w:val="28"/>
                <w:highlight w:val="none"/>
              </w:rPr>
              <w:t>项目名称：</w:t>
            </w:r>
            <w:bookmarkEnd w:id="1296"/>
            <w:bookmarkEnd w:id="1297"/>
            <w:bookmarkEnd w:id="1298"/>
            <w:bookmarkEnd w:id="1299"/>
            <w:bookmarkEnd w:id="1300"/>
            <w:r>
              <w:rPr>
                <w:rFonts w:hint="eastAsia" w:asciiTheme="minorEastAsia" w:hAnsiTheme="minorEastAsia" w:cstheme="minorEastAsia"/>
                <w:color w:val="auto"/>
                <w:kern w:val="0"/>
                <w:sz w:val="28"/>
                <w:highlight w:val="none"/>
                <w:u w:val="single"/>
              </w:rPr>
              <w:t xml:space="preserve">                                              </w:t>
            </w:r>
          </w:p>
          <w:p w14:paraId="614483DA">
            <w:pPr>
              <w:adjustRightInd w:val="0"/>
              <w:spacing w:line="360" w:lineRule="auto"/>
              <w:ind w:firstLine="560" w:firstLineChars="200"/>
              <w:outlineLvl w:val="0"/>
              <w:rPr>
                <w:rFonts w:asciiTheme="minorEastAsia" w:hAnsiTheme="minorEastAsia" w:cstheme="minorEastAsia"/>
                <w:color w:val="auto"/>
                <w:kern w:val="0"/>
                <w:sz w:val="28"/>
                <w:highlight w:val="none"/>
              </w:rPr>
            </w:pPr>
            <w:bookmarkStart w:id="1301" w:name="_Toc97108116"/>
            <w:bookmarkStart w:id="1302" w:name="_Toc9123"/>
            <w:bookmarkStart w:id="1303" w:name="_Toc30601"/>
            <w:bookmarkStart w:id="1304" w:name="_Toc25599"/>
            <w:r>
              <w:rPr>
                <w:rFonts w:hint="eastAsia" w:asciiTheme="minorEastAsia" w:hAnsiTheme="minorEastAsia" w:cstheme="minorEastAsia"/>
                <w:color w:val="auto"/>
                <w:kern w:val="0"/>
                <w:sz w:val="28"/>
                <w:highlight w:val="none"/>
              </w:rPr>
              <w:t>响应文件内容：</w:t>
            </w:r>
            <w:r>
              <w:rPr>
                <w:rFonts w:hint="eastAsia" w:asciiTheme="minorEastAsia" w:hAnsiTheme="minorEastAsia" w:cstheme="minorEastAsia"/>
                <w:color w:val="auto"/>
                <w:kern w:val="0"/>
                <w:sz w:val="28"/>
                <w:highlight w:val="none"/>
                <w:u w:val="single"/>
              </w:rPr>
              <w:t xml:space="preserve">     资格审查部分</w:t>
            </w:r>
            <w:bookmarkEnd w:id="1301"/>
            <w:bookmarkEnd w:id="1302"/>
            <w:bookmarkEnd w:id="1303"/>
            <w:bookmarkEnd w:id="1304"/>
            <w:r>
              <w:rPr>
                <w:rFonts w:hint="eastAsia" w:asciiTheme="minorEastAsia" w:hAnsiTheme="minorEastAsia" w:cstheme="minorEastAsia"/>
                <w:color w:val="auto"/>
                <w:kern w:val="0"/>
                <w:sz w:val="28"/>
                <w:highlight w:val="none"/>
                <w:u w:val="single"/>
              </w:rPr>
              <w:t xml:space="preserve">                             </w:t>
            </w:r>
            <w:r>
              <w:rPr>
                <w:rFonts w:hint="eastAsia" w:asciiTheme="minorEastAsia" w:hAnsiTheme="minorEastAsia" w:cstheme="minorEastAsia"/>
                <w:color w:val="auto"/>
                <w:kern w:val="0"/>
                <w:sz w:val="28"/>
                <w:highlight w:val="none"/>
              </w:rPr>
              <w:t xml:space="preserve">                      </w:t>
            </w:r>
            <w:r>
              <w:rPr>
                <w:rFonts w:hint="eastAsia" w:asciiTheme="minorEastAsia" w:hAnsiTheme="minorEastAsia" w:cstheme="minorEastAsia"/>
                <w:color w:val="auto"/>
                <w:kern w:val="0"/>
                <w:sz w:val="28"/>
                <w:highlight w:val="none"/>
                <w:u w:val="single"/>
              </w:rPr>
              <w:t xml:space="preserve">     </w:t>
            </w:r>
          </w:p>
          <w:p w14:paraId="3B8ADFBA">
            <w:pPr>
              <w:adjustRightInd w:val="0"/>
              <w:spacing w:line="360" w:lineRule="auto"/>
              <w:ind w:firstLine="560" w:firstLineChars="200"/>
              <w:outlineLvl w:val="0"/>
              <w:rPr>
                <w:rFonts w:asciiTheme="minorEastAsia" w:hAnsiTheme="minorEastAsia" w:cstheme="minorEastAsia"/>
                <w:color w:val="auto"/>
                <w:kern w:val="0"/>
                <w:sz w:val="28"/>
                <w:highlight w:val="none"/>
                <w:u w:val="single"/>
              </w:rPr>
            </w:pPr>
            <w:bookmarkStart w:id="1305" w:name="_Toc29800"/>
            <w:bookmarkStart w:id="1306" w:name="_Toc28509"/>
            <w:bookmarkStart w:id="1307" w:name="_Toc97108117"/>
            <w:bookmarkStart w:id="1308" w:name="_Toc10374"/>
            <w:bookmarkStart w:id="1309" w:name="_Toc243584347"/>
            <w:r>
              <w:rPr>
                <w:rFonts w:hint="eastAsia" w:asciiTheme="minorEastAsia" w:hAnsiTheme="minorEastAsia" w:cstheme="minorEastAsia"/>
                <w:color w:val="auto"/>
                <w:kern w:val="0"/>
                <w:sz w:val="28"/>
                <w:highlight w:val="none"/>
              </w:rPr>
              <w:t>供   应  商：</w:t>
            </w:r>
            <w:r>
              <w:rPr>
                <w:rFonts w:hint="eastAsia" w:asciiTheme="minorEastAsia" w:hAnsiTheme="minorEastAsia" w:cstheme="minorEastAsia"/>
                <w:color w:val="auto"/>
                <w:kern w:val="0"/>
                <w:sz w:val="28"/>
                <w:highlight w:val="none"/>
                <w:u w:val="single"/>
              </w:rPr>
              <w:t xml:space="preserve">                                 （盖章）</w:t>
            </w:r>
            <w:bookmarkEnd w:id="1305"/>
            <w:bookmarkEnd w:id="1306"/>
            <w:bookmarkEnd w:id="1307"/>
            <w:bookmarkEnd w:id="1308"/>
            <w:bookmarkEnd w:id="1309"/>
            <w:r>
              <w:rPr>
                <w:rFonts w:hint="eastAsia" w:asciiTheme="minorEastAsia" w:hAnsiTheme="minorEastAsia" w:cstheme="minorEastAsia"/>
                <w:color w:val="auto"/>
                <w:kern w:val="0"/>
                <w:sz w:val="28"/>
                <w:highlight w:val="none"/>
                <w:u w:val="single"/>
              </w:rPr>
              <w:t xml:space="preserve">  </w:t>
            </w:r>
          </w:p>
          <w:p w14:paraId="43EFCFB4">
            <w:pPr>
              <w:adjustRightInd w:val="0"/>
              <w:spacing w:line="360" w:lineRule="auto"/>
              <w:ind w:firstLine="560" w:firstLineChars="200"/>
              <w:outlineLvl w:val="0"/>
              <w:rPr>
                <w:rFonts w:asciiTheme="minorEastAsia" w:hAnsiTheme="minorEastAsia" w:cstheme="minorEastAsia"/>
                <w:color w:val="auto"/>
                <w:kern w:val="0"/>
                <w:sz w:val="28"/>
                <w:highlight w:val="none"/>
              </w:rPr>
            </w:pPr>
            <w:bookmarkStart w:id="1310" w:name="_Toc19168"/>
            <w:bookmarkStart w:id="1311" w:name="_Toc12195"/>
            <w:bookmarkStart w:id="1312" w:name="_Toc97108118"/>
            <w:bookmarkStart w:id="1313" w:name="_Toc2233"/>
            <w:r>
              <w:rPr>
                <w:rFonts w:hint="eastAsia" w:asciiTheme="minorEastAsia" w:hAnsiTheme="minorEastAsia" w:cstheme="minorEastAsia"/>
                <w:color w:val="auto"/>
                <w:kern w:val="0"/>
                <w:sz w:val="28"/>
                <w:highlight w:val="none"/>
              </w:rPr>
              <w:t>法定代表人或其授权代理人：</w:t>
            </w:r>
            <w:r>
              <w:rPr>
                <w:rFonts w:hint="eastAsia" w:asciiTheme="minorEastAsia" w:hAnsiTheme="minorEastAsia" w:cstheme="minorEastAsia"/>
                <w:color w:val="auto"/>
                <w:kern w:val="0"/>
                <w:sz w:val="28"/>
                <w:highlight w:val="none"/>
                <w:u w:val="single"/>
              </w:rPr>
              <w:t xml:space="preserve">                （签字或盖章）</w:t>
            </w:r>
            <w:bookmarkEnd w:id="1310"/>
            <w:bookmarkEnd w:id="1311"/>
            <w:bookmarkEnd w:id="1312"/>
            <w:bookmarkEnd w:id="1313"/>
            <w:r>
              <w:rPr>
                <w:rFonts w:hint="eastAsia" w:asciiTheme="minorEastAsia" w:hAnsiTheme="minorEastAsia" w:cstheme="minorEastAsia"/>
                <w:color w:val="auto"/>
                <w:kern w:val="0"/>
                <w:sz w:val="28"/>
                <w:highlight w:val="none"/>
                <w:u w:val="single"/>
              </w:rPr>
              <w:t xml:space="preserve">  </w:t>
            </w:r>
          </w:p>
          <w:p w14:paraId="6494C8E8">
            <w:pPr>
              <w:spacing w:line="360" w:lineRule="auto"/>
              <w:ind w:firstLine="560" w:firstLineChars="200"/>
              <w:rPr>
                <w:rFonts w:asciiTheme="minorEastAsia" w:hAnsiTheme="minorEastAsia" w:cstheme="minorEastAsia"/>
                <w:color w:val="auto"/>
                <w:kern w:val="0"/>
                <w:sz w:val="28"/>
                <w:highlight w:val="none"/>
              </w:rPr>
            </w:pPr>
            <w:r>
              <w:rPr>
                <w:rFonts w:hint="eastAsia" w:asciiTheme="minorEastAsia" w:hAnsiTheme="minorEastAsia" w:cstheme="minorEastAsia"/>
                <w:color w:val="auto"/>
                <w:kern w:val="0"/>
                <w:sz w:val="28"/>
                <w:highlight w:val="none"/>
              </w:rPr>
              <w:t>日    期：</w:t>
            </w:r>
            <w:r>
              <w:rPr>
                <w:rFonts w:hint="eastAsia" w:asciiTheme="minorEastAsia" w:hAnsiTheme="minorEastAsia" w:cstheme="minorEastAsia"/>
                <w:color w:val="auto"/>
                <w:kern w:val="0"/>
                <w:sz w:val="28"/>
                <w:highlight w:val="none"/>
                <w:u w:val="single"/>
              </w:rPr>
              <w:t xml:space="preserve">                </w:t>
            </w:r>
            <w:r>
              <w:rPr>
                <w:rFonts w:hint="eastAsia" w:asciiTheme="minorEastAsia" w:hAnsiTheme="minorEastAsia" w:cstheme="minorEastAsia"/>
                <w:color w:val="auto"/>
                <w:kern w:val="0"/>
                <w:sz w:val="28"/>
                <w:highlight w:val="none"/>
              </w:rPr>
              <w:t>年</w:t>
            </w:r>
            <w:r>
              <w:rPr>
                <w:rFonts w:hint="eastAsia" w:asciiTheme="minorEastAsia" w:hAnsiTheme="minorEastAsia" w:cstheme="minorEastAsia"/>
                <w:color w:val="auto"/>
                <w:kern w:val="0"/>
                <w:sz w:val="28"/>
                <w:highlight w:val="none"/>
                <w:u w:val="single"/>
              </w:rPr>
              <w:t xml:space="preserve">            </w:t>
            </w:r>
            <w:r>
              <w:rPr>
                <w:rFonts w:hint="eastAsia" w:asciiTheme="minorEastAsia" w:hAnsiTheme="minorEastAsia" w:cstheme="minorEastAsia"/>
                <w:color w:val="auto"/>
                <w:kern w:val="0"/>
                <w:sz w:val="28"/>
                <w:highlight w:val="none"/>
              </w:rPr>
              <w:t>月</w:t>
            </w:r>
            <w:r>
              <w:rPr>
                <w:rFonts w:hint="eastAsia" w:asciiTheme="minorEastAsia" w:hAnsiTheme="minorEastAsia" w:cstheme="minorEastAsia"/>
                <w:color w:val="auto"/>
                <w:kern w:val="0"/>
                <w:sz w:val="28"/>
                <w:highlight w:val="none"/>
                <w:u w:val="single"/>
              </w:rPr>
              <w:t xml:space="preserve">            </w:t>
            </w:r>
            <w:r>
              <w:rPr>
                <w:rFonts w:hint="eastAsia" w:asciiTheme="minorEastAsia" w:hAnsiTheme="minorEastAsia" w:cstheme="minorEastAsia"/>
                <w:color w:val="auto"/>
                <w:kern w:val="0"/>
                <w:sz w:val="28"/>
                <w:highlight w:val="none"/>
              </w:rPr>
              <w:t>日</w:t>
            </w:r>
          </w:p>
        </w:tc>
      </w:tr>
    </w:tbl>
    <w:p w14:paraId="0E572C9F">
      <w:pPr>
        <w:spacing w:line="360" w:lineRule="auto"/>
        <w:rPr>
          <w:rFonts w:asciiTheme="minorEastAsia" w:hAnsiTheme="minorEastAsia" w:cstheme="minorEastAsia"/>
          <w:color w:val="auto"/>
          <w:highlight w:val="none"/>
        </w:rPr>
        <w:sectPr>
          <w:pgSz w:w="11906" w:h="16838"/>
          <w:pgMar w:top="1134" w:right="1134" w:bottom="1134" w:left="1134" w:header="567" w:footer="680" w:gutter="0"/>
          <w:cols w:space="720" w:num="1"/>
          <w:docGrid w:type="lines" w:linePitch="312" w:charSpace="0"/>
        </w:sectPr>
      </w:pPr>
    </w:p>
    <w:p w14:paraId="285B3CB1">
      <w:pPr>
        <w:pStyle w:val="5"/>
        <w:spacing w:line="360" w:lineRule="auto"/>
        <w:jc w:val="center"/>
        <w:rPr>
          <w:rFonts w:asciiTheme="minorEastAsia" w:hAnsiTheme="minorEastAsia" w:eastAsiaTheme="minorEastAsia" w:cstheme="minorEastAsia"/>
          <w:color w:val="auto"/>
          <w:kern w:val="0"/>
          <w:szCs w:val="28"/>
          <w:highlight w:val="none"/>
        </w:rPr>
      </w:pPr>
      <w:bookmarkStart w:id="1314" w:name="_Toc24146"/>
      <w:bookmarkStart w:id="1315" w:name="_Toc28851"/>
      <w:bookmarkStart w:id="1316" w:name="_Toc255977434"/>
      <w:bookmarkStart w:id="1317" w:name="_Toc247292437"/>
      <w:bookmarkStart w:id="1318" w:name="_Toc247301830"/>
      <w:bookmarkStart w:id="1319" w:name="_Toc78274652"/>
      <w:bookmarkStart w:id="1320" w:name="_Toc72971852"/>
      <w:r>
        <w:rPr>
          <w:rFonts w:hint="eastAsia" w:asciiTheme="minorEastAsia" w:hAnsiTheme="minorEastAsia" w:eastAsiaTheme="minorEastAsia" w:cstheme="minorEastAsia"/>
          <w:color w:val="auto"/>
          <w:kern w:val="0"/>
          <w:szCs w:val="28"/>
          <w:highlight w:val="none"/>
        </w:rPr>
        <w:t>资格审查部分目录</w:t>
      </w:r>
      <w:bookmarkEnd w:id="1314"/>
      <w:bookmarkEnd w:id="1315"/>
      <w:bookmarkEnd w:id="1316"/>
      <w:bookmarkEnd w:id="1317"/>
      <w:bookmarkEnd w:id="1318"/>
      <w:bookmarkStart w:id="1321" w:name="_Toc255977436"/>
      <w:bookmarkStart w:id="1322" w:name="_Toc247301832"/>
      <w:bookmarkStart w:id="1323" w:name="_Toc243584352"/>
      <w:bookmarkStart w:id="1324" w:name="_Toc247292439"/>
      <w:bookmarkStart w:id="1325" w:name="_Toc2"/>
      <w:bookmarkStart w:id="1326" w:name="_Toc243630956"/>
      <w:bookmarkStart w:id="1327" w:name="_Toc28747"/>
      <w:bookmarkStart w:id="1328" w:name="_Toc158458008"/>
      <w:bookmarkStart w:id="1329" w:name="_Toc173558684"/>
      <w:bookmarkStart w:id="1330" w:name="_Toc163270989"/>
      <w:bookmarkStart w:id="1331" w:name="_Toc255977446"/>
      <w:bookmarkStart w:id="1332" w:name="_Toc243584363"/>
      <w:bookmarkStart w:id="1333" w:name="_Toc243630963"/>
      <w:bookmarkStart w:id="1334" w:name="_Toc247301841"/>
      <w:bookmarkStart w:id="1335" w:name="_Toc247292448"/>
    </w:p>
    <w:p w14:paraId="0E89245D">
      <w:pPr>
        <w:jc w:val="center"/>
        <w:rPr>
          <w:rFonts w:asciiTheme="minorEastAsia" w:hAnsiTheme="minorEastAsia" w:cstheme="minorEastAsia"/>
          <w:color w:val="auto"/>
          <w:kern w:val="0"/>
          <w:sz w:val="24"/>
          <w:szCs w:val="36"/>
          <w:highlight w:val="none"/>
        </w:rPr>
      </w:pPr>
      <w:r>
        <w:rPr>
          <w:rFonts w:hint="eastAsia" w:asciiTheme="minorEastAsia" w:hAnsiTheme="minorEastAsia" w:cstheme="minorEastAsia"/>
          <w:color w:val="auto"/>
          <w:kern w:val="0"/>
          <w:sz w:val="24"/>
          <w:szCs w:val="36"/>
          <w:highlight w:val="none"/>
        </w:rPr>
        <w:t>（应附有页码）</w:t>
      </w:r>
    </w:p>
    <w:p w14:paraId="568EC243">
      <w:pPr>
        <w:jc w:val="center"/>
        <w:rPr>
          <w:rFonts w:asciiTheme="minorEastAsia" w:hAnsiTheme="minorEastAsia" w:cstheme="minorEastAsia"/>
          <w:color w:val="auto"/>
          <w:kern w:val="0"/>
          <w:sz w:val="24"/>
          <w:szCs w:val="36"/>
          <w:highlight w:val="none"/>
        </w:rPr>
      </w:pPr>
    </w:p>
    <w:p w14:paraId="6F2AE947">
      <w:pPr>
        <w:spacing w:line="312" w:lineRule="auto"/>
        <w:ind w:firstLine="480" w:firstLineChars="200"/>
        <w:rPr>
          <w:rFonts w:asciiTheme="minorEastAsia" w:hAnsiTheme="minorEastAsia" w:cstheme="minorEastAsia"/>
          <w:b/>
          <w:bCs/>
          <w:color w:val="auto"/>
          <w:sz w:val="24"/>
          <w:szCs w:val="24"/>
          <w:highlight w:val="none"/>
        </w:rPr>
      </w:pPr>
      <w:r>
        <w:rPr>
          <w:rFonts w:hint="eastAsia" w:asciiTheme="minorEastAsia" w:hAnsiTheme="minorEastAsia" w:cstheme="minorEastAsia"/>
          <w:color w:val="auto"/>
          <w:sz w:val="24"/>
          <w:szCs w:val="24"/>
          <w:highlight w:val="none"/>
        </w:rPr>
        <w:t>（1）法定代表人资格证明书；</w:t>
      </w:r>
      <w:r>
        <w:rPr>
          <w:rFonts w:hint="eastAsia" w:asciiTheme="minorEastAsia" w:hAnsiTheme="minorEastAsia" w:cstheme="minorEastAsia"/>
          <w:b/>
          <w:bCs/>
          <w:color w:val="auto"/>
          <w:sz w:val="24"/>
          <w:szCs w:val="24"/>
          <w:highlight w:val="none"/>
        </w:rPr>
        <w:t>（必须提供）</w:t>
      </w:r>
    </w:p>
    <w:p w14:paraId="2D3A942C">
      <w:pPr>
        <w:spacing w:line="312"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（2）法定代表人授权书原件及授权代理人身份证复印件（如无授权时则不需提供，复印件加盖供应商的电子签章）；</w:t>
      </w:r>
    </w:p>
    <w:p w14:paraId="74ABE92C">
      <w:pPr>
        <w:spacing w:line="312"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（3）有效的企业营业执照副本复印件；</w:t>
      </w:r>
      <w:r>
        <w:rPr>
          <w:rFonts w:hint="eastAsia" w:asciiTheme="minorEastAsia" w:hAnsiTheme="minorEastAsia" w:cstheme="minorEastAsia"/>
          <w:b/>
          <w:bCs/>
          <w:color w:val="auto"/>
          <w:sz w:val="24"/>
          <w:szCs w:val="24"/>
          <w:highlight w:val="none"/>
        </w:rPr>
        <w:t>（必须提供并加盖供应商的电子签章）</w:t>
      </w:r>
    </w:p>
    <w:p w14:paraId="4B350E6E">
      <w:pPr>
        <w:spacing w:line="312"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（4）有效的安全生产许可证副本复印件；</w:t>
      </w:r>
      <w:r>
        <w:rPr>
          <w:rFonts w:hint="eastAsia" w:asciiTheme="minorEastAsia" w:hAnsiTheme="minorEastAsia" w:cstheme="minorEastAsia"/>
          <w:b/>
          <w:bCs/>
          <w:color w:val="auto"/>
          <w:sz w:val="24"/>
          <w:szCs w:val="24"/>
          <w:highlight w:val="none"/>
        </w:rPr>
        <w:t>（必须提供并加盖供应商的电子签章）</w:t>
      </w:r>
    </w:p>
    <w:p w14:paraId="7C96FB70">
      <w:pPr>
        <w:spacing w:line="312"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（5）有效的企业资质证书副本复印件；</w:t>
      </w:r>
      <w:r>
        <w:rPr>
          <w:rFonts w:hint="eastAsia" w:asciiTheme="minorEastAsia" w:hAnsiTheme="minorEastAsia" w:cstheme="minorEastAsia"/>
          <w:b/>
          <w:bCs/>
          <w:color w:val="auto"/>
          <w:sz w:val="24"/>
          <w:szCs w:val="24"/>
          <w:highlight w:val="none"/>
        </w:rPr>
        <w:t>（必须提供并加盖供应商的电子签章）</w:t>
      </w:r>
    </w:p>
    <w:p w14:paraId="0BDFB850">
      <w:pPr>
        <w:spacing w:line="312"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（6）拟投入本项目的项目经理有效的注册建造师资质证书复印件；</w:t>
      </w:r>
      <w:r>
        <w:rPr>
          <w:rFonts w:hint="eastAsia" w:asciiTheme="minorEastAsia" w:hAnsiTheme="minorEastAsia" w:cstheme="minorEastAsia"/>
          <w:b/>
          <w:bCs/>
          <w:color w:val="auto"/>
          <w:sz w:val="24"/>
          <w:szCs w:val="24"/>
          <w:highlight w:val="none"/>
        </w:rPr>
        <w:t>（必须提供并加盖供应商的电子签章）</w:t>
      </w:r>
    </w:p>
    <w:p w14:paraId="69A7C736">
      <w:pPr>
        <w:pStyle w:val="16"/>
        <w:spacing w:line="312" w:lineRule="auto"/>
        <w:ind w:firstLine="544" w:firstLineChars="227"/>
        <w:rPr>
          <w:rFonts w:cs="宋体"/>
          <w:color w:val="auto"/>
          <w:sz w:val="24"/>
          <w:szCs w:val="24"/>
          <w:highlight w:val="none"/>
        </w:rPr>
      </w:pPr>
      <w:r>
        <w:rPr>
          <w:rFonts w:hint="eastAsia" w:cs="宋体"/>
          <w:color w:val="auto"/>
          <w:sz w:val="24"/>
          <w:szCs w:val="24"/>
          <w:highlight w:val="none"/>
        </w:rPr>
        <w:t>（7）</w:t>
      </w:r>
      <w:r>
        <w:rPr>
          <w:rFonts w:hint="eastAsia"/>
          <w:color w:val="auto"/>
          <w:sz w:val="24"/>
          <w:szCs w:val="24"/>
          <w:highlight w:val="none"/>
        </w:rPr>
        <w:t>响应文件递交截止之日前半年内</w:t>
      </w:r>
      <w:r>
        <w:rPr>
          <w:rFonts w:hint="eastAsia"/>
          <w:color w:val="auto"/>
          <w:sz w:val="24"/>
          <w:szCs w:val="24"/>
          <w:highlight w:val="none"/>
          <w:lang w:eastAsia="zh-CN"/>
        </w:rPr>
        <w:t>连续三个月</w:t>
      </w:r>
      <w:r>
        <w:rPr>
          <w:rFonts w:hint="eastAsia"/>
          <w:bCs/>
          <w:color w:val="auto"/>
          <w:sz w:val="24"/>
          <w:szCs w:val="24"/>
          <w:highlight w:val="none"/>
        </w:rPr>
        <w:t>的依法缴纳税费或依法免缴税费的证明[复印件，格式自拟，必须提供]；无纳税记录的，应提供由磋商供应商所在地主管国税、地税部门出具的《依法纳税或依法免税证明》复印件，</w:t>
      </w:r>
      <w:r>
        <w:rPr>
          <w:rFonts w:hint="eastAsia"/>
          <w:b/>
          <w:color w:val="auto"/>
          <w:sz w:val="24"/>
          <w:highlight w:val="none"/>
        </w:rPr>
        <w:t>（</w:t>
      </w:r>
      <w:r>
        <w:rPr>
          <w:rFonts w:hint="eastAsia" w:cs="宋体"/>
          <w:b/>
          <w:color w:val="auto"/>
          <w:sz w:val="24"/>
          <w:highlight w:val="none"/>
        </w:rPr>
        <w:t>从取得营业执照时间起到响应文件提交截止时间为止不足要求月数的，只需提供从取得营业执照起的依法缴纳税收相应证明文件</w:t>
      </w:r>
      <w:r>
        <w:rPr>
          <w:rFonts w:hint="eastAsia"/>
          <w:b/>
          <w:color w:val="auto"/>
          <w:sz w:val="24"/>
          <w:highlight w:val="none"/>
        </w:rPr>
        <w:t>，必须提供并加盖供应商的电子签章）</w:t>
      </w:r>
      <w:r>
        <w:rPr>
          <w:rFonts w:hint="eastAsia"/>
          <w:b/>
          <w:color w:val="auto"/>
          <w:sz w:val="24"/>
          <w:szCs w:val="24"/>
          <w:highlight w:val="none"/>
        </w:rPr>
        <w:t>；</w:t>
      </w:r>
    </w:p>
    <w:p w14:paraId="75B82049">
      <w:pPr>
        <w:pStyle w:val="16"/>
        <w:spacing w:line="312" w:lineRule="auto"/>
        <w:ind w:firstLine="544" w:firstLineChars="227"/>
        <w:rPr>
          <w:rFonts w:cs="宋体"/>
          <w:color w:val="auto"/>
          <w:sz w:val="24"/>
          <w:szCs w:val="24"/>
          <w:highlight w:val="none"/>
        </w:rPr>
      </w:pPr>
      <w:r>
        <w:rPr>
          <w:rFonts w:hint="eastAsia" w:cs="宋体"/>
          <w:color w:val="auto"/>
          <w:sz w:val="24"/>
          <w:szCs w:val="24"/>
          <w:highlight w:val="none"/>
        </w:rPr>
        <w:t>（8）</w:t>
      </w:r>
      <w:r>
        <w:rPr>
          <w:rFonts w:hint="eastAsia"/>
          <w:color w:val="auto"/>
          <w:sz w:val="24"/>
          <w:highlight w:val="none"/>
        </w:rPr>
        <w:t>响应文件递交截止之日前半年内</w:t>
      </w:r>
      <w:r>
        <w:rPr>
          <w:rFonts w:hint="eastAsia"/>
          <w:color w:val="auto"/>
          <w:sz w:val="24"/>
          <w:highlight w:val="none"/>
          <w:lang w:eastAsia="zh-CN"/>
        </w:rPr>
        <w:t>连续三个月</w:t>
      </w:r>
      <w:r>
        <w:rPr>
          <w:rFonts w:hint="eastAsia"/>
          <w:bCs/>
          <w:color w:val="auto"/>
          <w:sz w:val="24"/>
          <w:highlight w:val="none"/>
        </w:rPr>
        <w:t>依法缴纳社保费的缴费凭证（复印件，格式自拟）[必须提供]；无缴费记录的，应提供由磋商供应商所在地社保部门出具的《依法缴纳或依法免缴社保费证明》复印件，</w:t>
      </w:r>
      <w:r>
        <w:rPr>
          <w:rFonts w:hint="eastAsia"/>
          <w:b/>
          <w:color w:val="auto"/>
          <w:sz w:val="24"/>
          <w:highlight w:val="none"/>
        </w:rPr>
        <w:t>（</w:t>
      </w:r>
      <w:r>
        <w:rPr>
          <w:rFonts w:hint="eastAsia" w:cs="宋体"/>
          <w:b/>
          <w:color w:val="auto"/>
          <w:sz w:val="24"/>
          <w:highlight w:val="none"/>
        </w:rPr>
        <w:t>从取得营业执照时间起到响应文件提交截止时间为止不足要求月数的只需提供从取得营业执照起的依法缴纳社会保障资金的相应证明文件</w:t>
      </w:r>
      <w:r>
        <w:rPr>
          <w:rFonts w:hint="eastAsia"/>
          <w:b/>
          <w:color w:val="auto"/>
          <w:sz w:val="24"/>
          <w:highlight w:val="none"/>
        </w:rPr>
        <w:t>，必须提供并加盖供应商的电子签章）；</w:t>
      </w:r>
    </w:p>
    <w:p w14:paraId="0D515BA4">
      <w:pPr>
        <w:spacing w:line="312"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（9）</w:t>
      </w:r>
      <w:r>
        <w:rPr>
          <w:rFonts w:hint="eastAsia"/>
          <w:color w:val="auto"/>
          <w:sz w:val="24"/>
          <w:highlight w:val="none"/>
        </w:rPr>
        <w:t>供应商202</w:t>
      </w:r>
      <w:r>
        <w:rPr>
          <w:rFonts w:hint="eastAsia"/>
          <w:color w:val="auto"/>
          <w:sz w:val="24"/>
          <w:highlight w:val="none"/>
          <w:lang w:val="en-US" w:eastAsia="zh-CN"/>
        </w:rPr>
        <w:t>5</w:t>
      </w:r>
      <w:r>
        <w:rPr>
          <w:rFonts w:hint="eastAsia"/>
          <w:color w:val="auto"/>
          <w:sz w:val="24"/>
          <w:highlight w:val="none"/>
        </w:rPr>
        <w:t>年的年度财务报告复印件，如财务报告未经相关审计单位审计的须同时由供应商出具财务报表承诺书，承诺该财务报表数据真实可靠；新成立的企业则</w:t>
      </w:r>
      <w:r>
        <w:rPr>
          <w:rFonts w:hint="eastAsia" w:cs="宋体"/>
          <w:color w:val="auto"/>
          <w:sz w:val="24"/>
          <w:highlight w:val="none"/>
        </w:rPr>
        <w:t>提供公司成立时间以来的财务报表</w:t>
      </w:r>
      <w:r>
        <w:rPr>
          <w:rFonts w:hint="eastAsia"/>
          <w:color w:val="auto"/>
          <w:sz w:val="24"/>
          <w:highlight w:val="none"/>
        </w:rPr>
        <w:t>，同时由供应商出具财务报表承诺书，承诺该财务报表数据真实可靠（格式自拟）</w:t>
      </w:r>
      <w:r>
        <w:rPr>
          <w:rFonts w:hint="eastAsia"/>
          <w:b/>
          <w:color w:val="auto"/>
          <w:sz w:val="24"/>
          <w:highlight w:val="none"/>
        </w:rPr>
        <w:t>（必须提供并加盖供应商的电子签章）</w:t>
      </w:r>
    </w:p>
    <w:p w14:paraId="79E39001">
      <w:pPr>
        <w:spacing w:line="312"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（10）政府采购项目投标资格承诺函；</w:t>
      </w:r>
      <w:r>
        <w:rPr>
          <w:rFonts w:hint="eastAsia" w:asciiTheme="minorEastAsia" w:hAnsiTheme="minorEastAsia" w:cstheme="minorEastAsia"/>
          <w:b/>
          <w:bCs/>
          <w:color w:val="auto"/>
          <w:sz w:val="24"/>
          <w:szCs w:val="24"/>
          <w:highlight w:val="none"/>
        </w:rPr>
        <w:t>（必须提供）</w:t>
      </w:r>
    </w:p>
    <w:p w14:paraId="464C2BCC">
      <w:pPr>
        <w:spacing w:line="312" w:lineRule="auto"/>
        <w:ind w:firstLine="480" w:firstLineChars="200"/>
        <w:rPr>
          <w:rFonts w:asciiTheme="minorEastAsia" w:hAnsiTheme="minorEastAsia" w:cstheme="minorEastAsia"/>
          <w:b/>
          <w:bCs/>
          <w:color w:val="auto"/>
          <w:sz w:val="24"/>
          <w:szCs w:val="24"/>
          <w:highlight w:val="none"/>
        </w:rPr>
      </w:pPr>
      <w:r>
        <w:rPr>
          <w:rFonts w:hint="eastAsia" w:asciiTheme="minorEastAsia" w:hAnsiTheme="minorEastAsia" w:cstheme="minorEastAsia"/>
          <w:color w:val="auto"/>
          <w:sz w:val="24"/>
          <w:szCs w:val="24"/>
          <w:highlight w:val="none"/>
        </w:rPr>
        <w:t>（11）供应商参加政府采购活动前三年内在经营活动中没有重大违法记录和不良信用记录的书面声明原件；（供应商可在“信用中国”网站（www.creditchina.gov.cn）、中国政府采购网（www.ccgp.gov.cn）查询相关供应商主体信用记录，同时将查询结果截图加盖单位公章与上述书面声明一并提交）；</w:t>
      </w:r>
      <w:r>
        <w:rPr>
          <w:rFonts w:hint="eastAsia" w:asciiTheme="minorEastAsia" w:hAnsiTheme="minorEastAsia" w:cstheme="minorEastAsia"/>
          <w:b/>
          <w:bCs/>
          <w:color w:val="auto"/>
          <w:sz w:val="24"/>
          <w:szCs w:val="24"/>
          <w:highlight w:val="none"/>
        </w:rPr>
        <w:t>（必须提供）</w:t>
      </w:r>
    </w:p>
    <w:p w14:paraId="468317CC">
      <w:pPr>
        <w:spacing w:line="312"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（12）供应商认为必要提供的声明及其它资料。（如有，请提供）</w:t>
      </w:r>
    </w:p>
    <w:p w14:paraId="788F66A7">
      <w:pPr>
        <w:rPr>
          <w:rFonts w:asciiTheme="minorEastAsia" w:hAnsiTheme="minorEastAsia"/>
          <w:color w:val="auto"/>
          <w:highlight w:val="none"/>
        </w:rPr>
        <w:sectPr>
          <w:pgSz w:w="11910" w:h="16840"/>
          <w:pgMar w:top="1417" w:right="1191" w:bottom="1134" w:left="1304" w:header="870" w:footer="999" w:gutter="0"/>
          <w:cols w:space="720" w:num="1"/>
        </w:sectPr>
      </w:pPr>
      <w:r>
        <w:rPr>
          <w:rFonts w:hint="eastAsia" w:asciiTheme="minorEastAsia" w:hAnsiTheme="minorEastAsia"/>
          <w:color w:val="auto"/>
          <w:highlight w:val="none"/>
        </w:rPr>
        <w:t xml:space="preserve"> </w:t>
      </w:r>
    </w:p>
    <w:p w14:paraId="4B830624">
      <w:pPr>
        <w:pStyle w:val="5"/>
        <w:spacing w:line="360" w:lineRule="auto"/>
        <w:jc w:val="center"/>
        <w:rPr>
          <w:rFonts w:asciiTheme="minorEastAsia" w:hAnsiTheme="minorEastAsia" w:eastAsiaTheme="minorEastAsia" w:cstheme="minorEastAsia"/>
          <w:color w:val="auto"/>
          <w:szCs w:val="28"/>
          <w:highlight w:val="none"/>
        </w:rPr>
      </w:pPr>
      <w:r>
        <w:rPr>
          <w:rFonts w:hint="eastAsia" w:asciiTheme="minorEastAsia" w:hAnsiTheme="minorEastAsia" w:eastAsiaTheme="minorEastAsia" w:cstheme="minorEastAsia"/>
          <w:color w:val="auto"/>
          <w:szCs w:val="28"/>
          <w:highlight w:val="none"/>
        </w:rPr>
        <w:t>一、法定代表人资格证明书</w:t>
      </w:r>
      <w:bookmarkEnd w:id="1321"/>
      <w:bookmarkEnd w:id="1322"/>
      <w:bookmarkEnd w:id="1323"/>
      <w:bookmarkEnd w:id="1324"/>
      <w:bookmarkEnd w:id="1325"/>
      <w:bookmarkEnd w:id="1326"/>
      <w:bookmarkEnd w:id="1327"/>
    </w:p>
    <w:p w14:paraId="03FAAF83">
      <w:pPr>
        <w:adjustRightInd w:val="0"/>
        <w:spacing w:line="480" w:lineRule="auto"/>
        <w:ind w:firstLine="480" w:firstLineChars="200"/>
        <w:rPr>
          <w:rFonts w:asciiTheme="minorEastAsia" w:hAnsiTheme="minorEastAsia" w:cstheme="minorEastAsia"/>
          <w:color w:val="auto"/>
          <w:kern w:val="0"/>
          <w:sz w:val="24"/>
          <w:highlight w:val="none"/>
          <w:u w:val="single"/>
        </w:rPr>
      </w:pPr>
      <w:r>
        <w:rPr>
          <w:rFonts w:hint="eastAsia" w:asciiTheme="minorEastAsia" w:hAnsiTheme="minorEastAsia" w:cstheme="minorEastAsia"/>
          <w:color w:val="auto"/>
          <w:kern w:val="0"/>
          <w:sz w:val="24"/>
          <w:highlight w:val="none"/>
        </w:rPr>
        <w:t>单位名称：</w:t>
      </w:r>
      <w:r>
        <w:rPr>
          <w:rFonts w:hint="eastAsia" w:asciiTheme="minorEastAsia" w:hAnsiTheme="minorEastAsia" w:cstheme="minorEastAsia"/>
          <w:color w:val="auto"/>
          <w:kern w:val="0"/>
          <w:sz w:val="24"/>
          <w:highlight w:val="none"/>
          <w:u w:val="single"/>
        </w:rPr>
        <w:t xml:space="preserve">                                   </w:t>
      </w:r>
    </w:p>
    <w:p w14:paraId="58A14FA7">
      <w:pPr>
        <w:adjustRightInd w:val="0"/>
        <w:spacing w:line="480" w:lineRule="auto"/>
        <w:rPr>
          <w:rFonts w:asciiTheme="minorEastAsia" w:hAnsiTheme="minorEastAsia" w:cstheme="minorEastAsia"/>
          <w:color w:val="auto"/>
          <w:kern w:val="0"/>
          <w:sz w:val="24"/>
          <w:highlight w:val="none"/>
          <w:u w:val="single"/>
        </w:rPr>
      </w:pPr>
      <w:r>
        <w:rPr>
          <w:rFonts w:hint="eastAsia" w:asciiTheme="minorEastAsia" w:hAnsiTheme="minorEastAsia" w:cstheme="minorEastAsia"/>
          <w:color w:val="auto"/>
          <w:kern w:val="0"/>
          <w:sz w:val="24"/>
          <w:highlight w:val="none"/>
        </w:rPr>
        <w:t xml:space="preserve">    单位性质：</w:t>
      </w:r>
      <w:r>
        <w:rPr>
          <w:rFonts w:hint="eastAsia" w:asciiTheme="minorEastAsia" w:hAnsiTheme="minorEastAsia" w:cstheme="minorEastAsia"/>
          <w:color w:val="auto"/>
          <w:kern w:val="0"/>
          <w:sz w:val="24"/>
          <w:highlight w:val="none"/>
          <w:u w:val="single"/>
        </w:rPr>
        <w:t xml:space="preserve">                                   </w:t>
      </w:r>
    </w:p>
    <w:p w14:paraId="66D2B8BC">
      <w:pPr>
        <w:adjustRightInd w:val="0"/>
        <w:spacing w:line="480" w:lineRule="auto"/>
        <w:ind w:firstLine="480" w:firstLineChars="200"/>
        <w:rPr>
          <w:rFonts w:asciiTheme="minorEastAsia" w:hAnsiTheme="minorEastAsia" w:cstheme="minorEastAsia"/>
          <w:color w:val="auto"/>
          <w:kern w:val="0"/>
          <w:sz w:val="24"/>
          <w:highlight w:val="none"/>
          <w:u w:val="single"/>
        </w:rPr>
      </w:pPr>
      <w:r>
        <w:rPr>
          <w:rFonts w:hint="eastAsia" w:asciiTheme="minorEastAsia" w:hAnsiTheme="minorEastAsia" w:cstheme="minorEastAsia"/>
          <w:color w:val="auto"/>
          <w:kern w:val="0"/>
          <w:sz w:val="24"/>
          <w:highlight w:val="none"/>
        </w:rPr>
        <w:t>地    址：</w:t>
      </w:r>
      <w:r>
        <w:rPr>
          <w:rFonts w:hint="eastAsia" w:asciiTheme="minorEastAsia" w:hAnsiTheme="minorEastAsia" w:cstheme="minorEastAsia"/>
          <w:color w:val="auto"/>
          <w:kern w:val="0"/>
          <w:sz w:val="24"/>
          <w:highlight w:val="none"/>
          <w:u w:val="single"/>
        </w:rPr>
        <w:t xml:space="preserve">                                   </w:t>
      </w:r>
    </w:p>
    <w:p w14:paraId="219B8356">
      <w:pPr>
        <w:adjustRightInd w:val="0"/>
        <w:spacing w:line="480" w:lineRule="auto"/>
        <w:rPr>
          <w:rFonts w:asciiTheme="minorEastAsia" w:hAnsiTheme="minorEastAsia" w:cstheme="minorEastAsia"/>
          <w:color w:val="auto"/>
          <w:kern w:val="0"/>
          <w:sz w:val="24"/>
          <w:highlight w:val="none"/>
          <w:u w:val="single"/>
        </w:rPr>
      </w:pPr>
      <w:r>
        <w:rPr>
          <w:rFonts w:hint="eastAsia" w:asciiTheme="minorEastAsia" w:hAnsiTheme="minorEastAsia" w:cstheme="minorEastAsia"/>
          <w:color w:val="auto"/>
          <w:kern w:val="0"/>
          <w:sz w:val="24"/>
          <w:highlight w:val="none"/>
        </w:rPr>
        <w:t xml:space="preserve">    成立时间：</w:t>
      </w:r>
      <w:r>
        <w:rPr>
          <w:rFonts w:hint="eastAsia" w:asciiTheme="minorEastAsia" w:hAnsiTheme="minorEastAsia" w:cstheme="minorEastAsia"/>
          <w:color w:val="auto"/>
          <w:kern w:val="0"/>
          <w:sz w:val="24"/>
          <w:highlight w:val="none"/>
          <w:u w:val="single"/>
        </w:rPr>
        <w:t xml:space="preserve">                                   </w:t>
      </w:r>
    </w:p>
    <w:p w14:paraId="6F6DFC66">
      <w:pPr>
        <w:adjustRightInd w:val="0"/>
        <w:spacing w:line="480" w:lineRule="auto"/>
        <w:rPr>
          <w:rFonts w:asciiTheme="minorEastAsia" w:hAnsiTheme="minorEastAsia" w:cstheme="minorEastAsia"/>
          <w:color w:val="auto"/>
          <w:kern w:val="0"/>
          <w:sz w:val="24"/>
          <w:highlight w:val="none"/>
          <w:u w:val="single"/>
        </w:rPr>
      </w:pPr>
      <w:r>
        <w:rPr>
          <w:rFonts w:hint="eastAsia" w:asciiTheme="minorEastAsia" w:hAnsiTheme="minorEastAsia" w:cstheme="minorEastAsia"/>
          <w:color w:val="auto"/>
          <w:kern w:val="0"/>
          <w:sz w:val="24"/>
          <w:highlight w:val="none"/>
        </w:rPr>
        <w:t xml:space="preserve">    经营期限：</w:t>
      </w:r>
      <w:r>
        <w:rPr>
          <w:rFonts w:hint="eastAsia" w:asciiTheme="minorEastAsia" w:hAnsiTheme="minorEastAsia" w:cstheme="minorEastAsia"/>
          <w:color w:val="auto"/>
          <w:kern w:val="0"/>
          <w:sz w:val="24"/>
          <w:highlight w:val="none"/>
          <w:u w:val="single"/>
        </w:rPr>
        <w:t xml:space="preserve">                                   </w:t>
      </w:r>
    </w:p>
    <w:p w14:paraId="6A345394">
      <w:pPr>
        <w:adjustRightInd w:val="0"/>
        <w:spacing w:line="480" w:lineRule="auto"/>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姓    名：</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性别：</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年龄：</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职务：</w:t>
      </w:r>
      <w:r>
        <w:rPr>
          <w:rFonts w:hint="eastAsia" w:asciiTheme="minorEastAsia" w:hAnsiTheme="minorEastAsia" w:cstheme="minorEastAsia"/>
          <w:color w:val="auto"/>
          <w:kern w:val="0"/>
          <w:sz w:val="24"/>
          <w:highlight w:val="none"/>
          <w:u w:val="single"/>
        </w:rPr>
        <w:t xml:space="preserve">           </w:t>
      </w:r>
    </w:p>
    <w:p w14:paraId="6A1FE5A7">
      <w:pPr>
        <w:adjustRightInd w:val="0"/>
        <w:spacing w:line="480" w:lineRule="auto"/>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系</w:t>
      </w:r>
      <w:r>
        <w:rPr>
          <w:rFonts w:hint="eastAsia" w:asciiTheme="minorEastAsia" w:hAnsiTheme="minorEastAsia" w:cstheme="minorEastAsia"/>
          <w:color w:val="auto"/>
          <w:kern w:val="0"/>
          <w:sz w:val="24"/>
          <w:highlight w:val="none"/>
          <w:u w:val="single"/>
        </w:rPr>
        <w:t xml:space="preserve">          （供应商名称）        </w:t>
      </w:r>
      <w:r>
        <w:rPr>
          <w:rFonts w:hint="eastAsia" w:asciiTheme="minorEastAsia" w:hAnsiTheme="minorEastAsia" w:cstheme="minorEastAsia"/>
          <w:color w:val="auto"/>
          <w:kern w:val="0"/>
          <w:sz w:val="24"/>
          <w:highlight w:val="none"/>
        </w:rPr>
        <w:t>的法定代表人。</w:t>
      </w:r>
    </w:p>
    <w:p w14:paraId="7168555F">
      <w:pPr>
        <w:adjustRightInd w:val="0"/>
        <w:spacing w:line="480" w:lineRule="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 xml:space="preserve">    </w:t>
      </w:r>
    </w:p>
    <w:p w14:paraId="75C789C4">
      <w:pPr>
        <w:adjustRightInd w:val="0"/>
        <w:spacing w:line="480" w:lineRule="auto"/>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特此证明。</w:t>
      </w:r>
    </w:p>
    <w:p w14:paraId="4ECAF68A">
      <w:pPr>
        <w:adjustRightInd w:val="0"/>
        <w:spacing w:line="360" w:lineRule="auto"/>
        <w:rPr>
          <w:rFonts w:asciiTheme="minorEastAsia" w:hAnsiTheme="minorEastAsia" w:cstheme="minorEastAsia"/>
          <w:color w:val="auto"/>
          <w:kern w:val="0"/>
          <w:sz w:val="24"/>
          <w:highlight w:val="none"/>
        </w:rPr>
      </w:pPr>
    </w:p>
    <w:p w14:paraId="6BC7AF6F">
      <w:pPr>
        <w:adjustRightInd w:val="0"/>
        <w:spacing w:line="360" w:lineRule="auto"/>
        <w:rPr>
          <w:rFonts w:asciiTheme="minorEastAsia" w:hAnsiTheme="minorEastAsia" w:cstheme="minorEastAsia"/>
          <w:color w:val="auto"/>
          <w:kern w:val="0"/>
          <w:sz w:val="24"/>
          <w:highlight w:val="none"/>
        </w:rPr>
      </w:pPr>
    </w:p>
    <w:p w14:paraId="1FCB5CC0">
      <w:pPr>
        <w:adjustRightInd w:val="0"/>
        <w:spacing w:line="360" w:lineRule="auto"/>
        <w:rPr>
          <w:rFonts w:asciiTheme="minorEastAsia" w:hAnsiTheme="minorEastAsia" w:cstheme="minorEastAsia"/>
          <w:color w:val="auto"/>
          <w:kern w:val="0"/>
          <w:sz w:val="24"/>
          <w:highlight w:val="none"/>
        </w:rPr>
      </w:pPr>
    </w:p>
    <w:p w14:paraId="66B0B195">
      <w:pPr>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 xml:space="preserve">    </w:t>
      </w:r>
      <w:bookmarkStart w:id="1336" w:name="_Toc243584353"/>
      <w:bookmarkStart w:id="1337" w:name="_Toc20348"/>
      <w:r>
        <w:rPr>
          <w:rFonts w:hint="eastAsia" w:asciiTheme="minorEastAsia" w:hAnsiTheme="minorEastAsia" w:cstheme="minorEastAsia"/>
          <w:color w:val="auto"/>
          <w:kern w:val="0"/>
          <w:sz w:val="24"/>
          <w:highlight w:val="none"/>
        </w:rPr>
        <w:t>供应商：</w:t>
      </w:r>
      <w:bookmarkEnd w:id="1336"/>
      <w:r>
        <w:rPr>
          <w:rFonts w:hint="eastAsia" w:asciiTheme="minorEastAsia" w:hAnsiTheme="minorEastAsia" w:cstheme="minorEastAsia"/>
          <w:color w:val="auto"/>
          <w:kern w:val="0"/>
          <w:sz w:val="24"/>
          <w:highlight w:val="none"/>
          <w:u w:val="single"/>
        </w:rPr>
        <w:t xml:space="preserve">                                 （盖章）</w:t>
      </w:r>
      <w:bookmarkEnd w:id="1337"/>
      <w:r>
        <w:rPr>
          <w:rFonts w:hint="eastAsia" w:asciiTheme="minorEastAsia" w:hAnsiTheme="minorEastAsia" w:cstheme="minorEastAsia"/>
          <w:color w:val="auto"/>
          <w:kern w:val="0"/>
          <w:sz w:val="24"/>
          <w:highlight w:val="none"/>
        </w:rPr>
        <w:t xml:space="preserve"> </w:t>
      </w:r>
    </w:p>
    <w:p w14:paraId="56FB0E44">
      <w:pPr>
        <w:adjustRightInd w:val="0"/>
        <w:spacing w:line="360" w:lineRule="auto"/>
        <w:rPr>
          <w:rFonts w:asciiTheme="minorEastAsia" w:hAnsiTheme="minorEastAsia" w:cstheme="minorEastAsia"/>
          <w:color w:val="auto"/>
          <w:kern w:val="0"/>
          <w:sz w:val="24"/>
          <w:highlight w:val="none"/>
        </w:rPr>
      </w:pPr>
    </w:p>
    <w:p w14:paraId="504C2EDA">
      <w:pPr>
        <w:adjustRightInd w:val="0"/>
        <w:spacing w:line="360" w:lineRule="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 xml:space="preserve">    日    期：      年      月      日</w:t>
      </w:r>
    </w:p>
    <w:p w14:paraId="4DCDD199">
      <w:pPr>
        <w:adjustRightInd w:val="0"/>
        <w:spacing w:line="360" w:lineRule="auto"/>
        <w:rPr>
          <w:rFonts w:asciiTheme="minorEastAsia" w:hAnsiTheme="minorEastAsia" w:cstheme="minorEastAsia"/>
          <w:color w:val="auto"/>
          <w:kern w:val="0"/>
          <w:sz w:val="24"/>
          <w:highlight w:val="none"/>
        </w:rPr>
      </w:pPr>
    </w:p>
    <w:p w14:paraId="4DE976D7">
      <w:pPr>
        <w:adjustRightInd w:val="0"/>
        <w:spacing w:line="360" w:lineRule="auto"/>
        <w:rPr>
          <w:rFonts w:asciiTheme="minorEastAsia" w:hAnsiTheme="minorEastAsia" w:cstheme="minorEastAsia"/>
          <w:color w:val="auto"/>
          <w:kern w:val="0"/>
          <w:sz w:val="24"/>
          <w:highlight w:val="none"/>
        </w:rPr>
      </w:pPr>
    </w:p>
    <w:p w14:paraId="19845EDD">
      <w:pPr>
        <w:adjustRightInd w:val="0"/>
        <w:spacing w:line="360" w:lineRule="auto"/>
        <w:rPr>
          <w:rFonts w:asciiTheme="minorEastAsia" w:hAnsiTheme="minorEastAsia" w:cstheme="minorEastAsia"/>
          <w:color w:val="auto"/>
          <w:kern w:val="0"/>
          <w:sz w:val="24"/>
          <w:highlight w:val="none"/>
          <w:u w:val="dash"/>
        </w:rPr>
      </w:pPr>
      <w:r>
        <w:rPr>
          <w:rFonts w:hint="eastAsia" w:asciiTheme="minorEastAsia" w:hAnsiTheme="minorEastAsia" w:cstheme="minorEastAsia"/>
          <w:color w:val="auto"/>
          <w:kern w:val="0"/>
          <w:sz w:val="24"/>
          <w:highlight w:val="none"/>
          <w:u w:val="dash"/>
        </w:rPr>
        <w:t xml:space="preserve">附：法定代表人身份证正反面复印件并加盖公章                                                                          </w:t>
      </w:r>
    </w:p>
    <w:p w14:paraId="48DCB405">
      <w:pPr>
        <w:adjustRightInd w:val="0"/>
        <w:spacing w:line="360" w:lineRule="auto"/>
        <w:ind w:firstLine="480" w:firstLineChars="200"/>
        <w:rPr>
          <w:rFonts w:asciiTheme="minorEastAsia" w:hAnsiTheme="minorEastAsia" w:cstheme="minorEastAsia"/>
          <w:color w:val="auto"/>
          <w:kern w:val="0"/>
          <w:sz w:val="24"/>
          <w:highlight w:val="none"/>
        </w:rPr>
      </w:pPr>
    </w:p>
    <w:p w14:paraId="25D41C90">
      <w:pPr>
        <w:pStyle w:val="5"/>
        <w:spacing w:line="360" w:lineRule="auto"/>
        <w:rPr>
          <w:rFonts w:asciiTheme="minorEastAsia" w:hAnsiTheme="minorEastAsia" w:eastAsiaTheme="minorEastAsia" w:cstheme="minorEastAsia"/>
          <w:color w:val="auto"/>
          <w:szCs w:val="28"/>
          <w:highlight w:val="none"/>
        </w:rPr>
      </w:pPr>
      <w:r>
        <w:rPr>
          <w:rFonts w:hint="eastAsia" w:asciiTheme="minorEastAsia" w:hAnsiTheme="minorEastAsia" w:eastAsiaTheme="minorEastAsia" w:cstheme="minorEastAsia"/>
          <w:color w:val="auto"/>
          <w:kern w:val="0"/>
          <w:highlight w:val="none"/>
        </w:rPr>
        <w:br w:type="page"/>
      </w:r>
      <w:bookmarkStart w:id="1338" w:name="_Toc243584354"/>
      <w:bookmarkStart w:id="1339" w:name="_Toc3846"/>
      <w:bookmarkStart w:id="1340" w:name="_Toc247301833"/>
      <w:bookmarkStart w:id="1341" w:name="_Toc255977437"/>
      <w:bookmarkStart w:id="1342" w:name="_Toc16775"/>
      <w:bookmarkStart w:id="1343" w:name="_Toc247292440"/>
      <w:bookmarkStart w:id="1344" w:name="_Toc243630957"/>
      <w:r>
        <w:rPr>
          <w:rFonts w:hint="eastAsia" w:asciiTheme="minorEastAsia" w:hAnsiTheme="minorEastAsia" w:eastAsiaTheme="minorEastAsia" w:cstheme="minorEastAsia"/>
          <w:color w:val="auto"/>
          <w:kern w:val="0"/>
          <w:highlight w:val="none"/>
        </w:rPr>
        <w:t>二、</w:t>
      </w:r>
      <w:r>
        <w:rPr>
          <w:rFonts w:hint="eastAsia" w:asciiTheme="minorEastAsia" w:hAnsiTheme="minorEastAsia" w:eastAsiaTheme="minorEastAsia" w:cstheme="minorEastAsia"/>
          <w:color w:val="auto"/>
          <w:w w:val="90"/>
          <w:kern w:val="0"/>
          <w:highlight w:val="none"/>
        </w:rPr>
        <w:t>法定代表人</w:t>
      </w:r>
      <w:r>
        <w:rPr>
          <w:rFonts w:hint="eastAsia" w:asciiTheme="minorEastAsia" w:hAnsiTheme="minorEastAsia" w:eastAsiaTheme="minorEastAsia" w:cstheme="minorEastAsia"/>
          <w:color w:val="auto"/>
          <w:w w:val="90"/>
          <w:szCs w:val="28"/>
          <w:highlight w:val="none"/>
        </w:rPr>
        <w:t>授权书</w:t>
      </w:r>
      <w:bookmarkEnd w:id="1338"/>
      <w:r>
        <w:rPr>
          <w:rFonts w:hint="eastAsia" w:asciiTheme="minorEastAsia" w:hAnsiTheme="minorEastAsia" w:eastAsiaTheme="minorEastAsia" w:cstheme="minorEastAsia"/>
          <w:color w:val="auto"/>
          <w:w w:val="90"/>
          <w:szCs w:val="28"/>
          <w:highlight w:val="none"/>
        </w:rPr>
        <w:t>及授权代理人的身份证复印件（如无授权时则不需提供）</w:t>
      </w:r>
      <w:bookmarkEnd w:id="1339"/>
      <w:bookmarkEnd w:id="1340"/>
      <w:bookmarkEnd w:id="1341"/>
      <w:bookmarkEnd w:id="1342"/>
      <w:bookmarkEnd w:id="1343"/>
      <w:bookmarkEnd w:id="1344"/>
    </w:p>
    <w:p w14:paraId="71D6F41C">
      <w:pPr>
        <w:adjustRightInd w:val="0"/>
        <w:spacing w:line="360" w:lineRule="auto"/>
        <w:ind w:firstLine="562" w:firstLineChars="200"/>
        <w:jc w:val="center"/>
        <w:outlineLvl w:val="0"/>
        <w:rPr>
          <w:rFonts w:asciiTheme="minorEastAsia" w:hAnsiTheme="minorEastAsia" w:cstheme="minorEastAsia"/>
          <w:b/>
          <w:bCs/>
          <w:color w:val="auto"/>
          <w:kern w:val="0"/>
          <w:sz w:val="28"/>
          <w:szCs w:val="21"/>
          <w:highlight w:val="none"/>
        </w:rPr>
      </w:pPr>
      <w:bookmarkStart w:id="1345" w:name="_Toc25067"/>
      <w:bookmarkStart w:id="1346" w:name="_Toc26960"/>
      <w:bookmarkStart w:id="1347" w:name="_Toc97108119"/>
      <w:bookmarkStart w:id="1348" w:name="_Toc28386"/>
      <w:r>
        <w:rPr>
          <w:rFonts w:hint="eastAsia" w:asciiTheme="minorEastAsia" w:hAnsiTheme="minorEastAsia" w:cstheme="minorEastAsia"/>
          <w:b/>
          <w:bCs/>
          <w:color w:val="auto"/>
          <w:kern w:val="0"/>
          <w:sz w:val="28"/>
          <w:szCs w:val="21"/>
          <w:highlight w:val="none"/>
        </w:rPr>
        <w:t>授权委托书</w:t>
      </w:r>
      <w:bookmarkEnd w:id="1345"/>
      <w:bookmarkEnd w:id="1346"/>
      <w:bookmarkEnd w:id="1347"/>
      <w:bookmarkEnd w:id="1348"/>
    </w:p>
    <w:p w14:paraId="0122148D">
      <w:pPr>
        <w:adjustRightInd w:val="0"/>
        <w:spacing w:line="600" w:lineRule="auto"/>
        <w:ind w:firstLine="480" w:firstLineChars="200"/>
        <w:rPr>
          <w:rFonts w:asciiTheme="minorEastAsia" w:hAnsiTheme="minorEastAsia" w:cstheme="minorEastAsia"/>
          <w:color w:val="auto"/>
          <w:kern w:val="0"/>
          <w:sz w:val="24"/>
          <w:highlight w:val="none"/>
        </w:rPr>
      </w:pPr>
    </w:p>
    <w:p w14:paraId="7737B9AA">
      <w:pPr>
        <w:adjustRightInd w:val="0"/>
        <w:spacing w:line="600" w:lineRule="auto"/>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本授权书声明：我</w:t>
      </w:r>
      <w:r>
        <w:rPr>
          <w:rFonts w:hint="eastAsia" w:asciiTheme="minorEastAsia" w:hAnsiTheme="minorEastAsia" w:cstheme="minorEastAsia"/>
          <w:color w:val="auto"/>
          <w:kern w:val="0"/>
          <w:sz w:val="24"/>
          <w:highlight w:val="none"/>
          <w:u w:val="single"/>
        </w:rPr>
        <w:t xml:space="preserve">  （姓名）  </w:t>
      </w:r>
      <w:r>
        <w:rPr>
          <w:rFonts w:hint="eastAsia" w:asciiTheme="minorEastAsia" w:hAnsiTheme="minorEastAsia" w:cstheme="minorEastAsia"/>
          <w:color w:val="auto"/>
          <w:kern w:val="0"/>
          <w:sz w:val="24"/>
          <w:highlight w:val="none"/>
        </w:rPr>
        <w:t>系</w:t>
      </w:r>
      <w:r>
        <w:rPr>
          <w:rFonts w:hint="eastAsia" w:asciiTheme="minorEastAsia" w:hAnsiTheme="minorEastAsia" w:cstheme="minorEastAsia"/>
          <w:color w:val="auto"/>
          <w:kern w:val="0"/>
          <w:sz w:val="24"/>
          <w:highlight w:val="none"/>
          <w:u w:val="single"/>
        </w:rPr>
        <w:t xml:space="preserve">  （供应商名称）   </w:t>
      </w:r>
      <w:r>
        <w:rPr>
          <w:rFonts w:hint="eastAsia" w:asciiTheme="minorEastAsia" w:hAnsiTheme="minorEastAsia" w:cstheme="minorEastAsia"/>
          <w:color w:val="auto"/>
          <w:kern w:val="0"/>
          <w:sz w:val="24"/>
          <w:highlight w:val="none"/>
        </w:rPr>
        <w:t>的法定代表人， 现授权</w:t>
      </w:r>
      <w:r>
        <w:rPr>
          <w:rFonts w:hint="eastAsia" w:asciiTheme="minorEastAsia" w:hAnsiTheme="minorEastAsia" w:cstheme="minorEastAsia"/>
          <w:color w:val="auto"/>
          <w:kern w:val="0"/>
          <w:sz w:val="24"/>
          <w:highlight w:val="none"/>
          <w:u w:val="single"/>
        </w:rPr>
        <w:t xml:space="preserve">   （姓名）  </w:t>
      </w:r>
      <w:r>
        <w:rPr>
          <w:rFonts w:hint="eastAsia" w:asciiTheme="minorEastAsia" w:hAnsiTheme="minorEastAsia" w:cstheme="minorEastAsia"/>
          <w:color w:val="auto"/>
          <w:kern w:val="0"/>
          <w:sz w:val="24"/>
          <w:highlight w:val="none"/>
        </w:rPr>
        <w:t>为我公司代理人，以本公司名义参加</w:t>
      </w:r>
      <w:r>
        <w:rPr>
          <w:rFonts w:hint="eastAsia" w:asciiTheme="minorEastAsia" w:hAnsiTheme="minorEastAsia" w:cstheme="minorEastAsia"/>
          <w:color w:val="auto"/>
          <w:kern w:val="0"/>
          <w:sz w:val="24"/>
          <w:highlight w:val="none"/>
          <w:u w:val="single"/>
        </w:rPr>
        <w:t xml:space="preserve">  （采购人名称）   </w:t>
      </w:r>
      <w:r>
        <w:rPr>
          <w:rFonts w:hint="eastAsia" w:asciiTheme="minorEastAsia" w:hAnsiTheme="minorEastAsia" w:cstheme="minorEastAsia"/>
          <w:color w:val="auto"/>
          <w:kern w:val="0"/>
          <w:sz w:val="24"/>
          <w:highlight w:val="none"/>
        </w:rPr>
        <w:t xml:space="preserve">的 </w:t>
      </w:r>
      <w:r>
        <w:rPr>
          <w:rFonts w:hint="eastAsia" w:asciiTheme="minorEastAsia" w:hAnsiTheme="minorEastAsia" w:cstheme="minorEastAsia"/>
          <w:color w:val="auto"/>
          <w:kern w:val="0"/>
          <w:sz w:val="24"/>
          <w:highlight w:val="none"/>
          <w:u w:val="single"/>
        </w:rPr>
        <w:t xml:space="preserve">   （工程名称）     </w:t>
      </w:r>
      <w:r>
        <w:rPr>
          <w:rFonts w:hint="eastAsia" w:asciiTheme="minorEastAsia" w:hAnsiTheme="minorEastAsia" w:cstheme="minorEastAsia"/>
          <w:color w:val="auto"/>
          <w:kern w:val="0"/>
          <w:sz w:val="24"/>
          <w:highlight w:val="none"/>
        </w:rPr>
        <w:t>的磋商活动。代理人在磋商过程中所签署的一切文件和处理与之有关的一切事务，我均予以承认。</w:t>
      </w:r>
    </w:p>
    <w:p w14:paraId="46F62B4D">
      <w:pPr>
        <w:pStyle w:val="37"/>
        <w:spacing w:before="0" w:after="0"/>
        <w:rPr>
          <w:rFonts w:asciiTheme="minorEastAsia" w:hAnsiTheme="minorEastAsia"/>
          <w:color w:val="auto"/>
          <w:spacing w:val="0"/>
          <w:highlight w:val="none"/>
        </w:rPr>
      </w:pPr>
    </w:p>
    <w:p w14:paraId="38555E3F">
      <w:pPr>
        <w:adjustRightInd w:val="0"/>
        <w:spacing w:line="600" w:lineRule="auto"/>
        <w:rPr>
          <w:rFonts w:asciiTheme="minorEastAsia" w:hAnsiTheme="minorEastAsia" w:cstheme="minorEastAsia"/>
          <w:color w:val="auto"/>
          <w:kern w:val="0"/>
          <w:sz w:val="24"/>
          <w:highlight w:val="none"/>
          <w:u w:val="single"/>
        </w:rPr>
      </w:pPr>
      <w:r>
        <w:rPr>
          <w:rFonts w:hint="eastAsia" w:asciiTheme="minorEastAsia" w:hAnsiTheme="minorEastAsia" w:cstheme="minorEastAsia"/>
          <w:color w:val="auto"/>
          <w:kern w:val="0"/>
          <w:sz w:val="24"/>
          <w:highlight w:val="none"/>
        </w:rPr>
        <w:t xml:space="preserve"> </w:t>
      </w:r>
      <w:bookmarkStart w:id="1349" w:name="_Toc243584355"/>
      <w:r>
        <w:rPr>
          <w:rFonts w:hint="eastAsia" w:asciiTheme="minorEastAsia" w:hAnsiTheme="minorEastAsia" w:cstheme="minorEastAsia"/>
          <w:color w:val="auto"/>
          <w:kern w:val="0"/>
          <w:sz w:val="24"/>
          <w:highlight w:val="none"/>
        </w:rPr>
        <w:t>本授权书有效期为：</w:t>
      </w:r>
      <w:r>
        <w:rPr>
          <w:rFonts w:hint="eastAsia" w:asciiTheme="minorEastAsia" w:hAnsiTheme="minorEastAsia" w:cstheme="minorEastAsia"/>
          <w:color w:val="auto"/>
          <w:kern w:val="0"/>
          <w:sz w:val="24"/>
          <w:highlight w:val="none"/>
          <w:u w:val="single"/>
        </w:rPr>
        <w:t xml:space="preserve">  年  月   日至   年  月   日</w:t>
      </w:r>
    </w:p>
    <w:p w14:paraId="4D9A3681">
      <w:pPr>
        <w:pStyle w:val="37"/>
        <w:spacing w:before="0" w:after="0"/>
        <w:rPr>
          <w:rFonts w:asciiTheme="minorEastAsia" w:hAnsiTheme="minorEastAsia"/>
          <w:color w:val="auto"/>
          <w:spacing w:val="0"/>
          <w:highlight w:val="none"/>
        </w:rPr>
      </w:pPr>
    </w:p>
    <w:p w14:paraId="71657FE6">
      <w:pPr>
        <w:adjustRightInd w:val="0"/>
        <w:spacing w:line="600" w:lineRule="auto"/>
        <w:ind w:firstLine="120" w:firstLineChars="50"/>
        <w:outlineLvl w:val="0"/>
        <w:rPr>
          <w:rFonts w:asciiTheme="minorEastAsia" w:hAnsiTheme="minorEastAsia" w:cstheme="minorEastAsia"/>
          <w:color w:val="auto"/>
          <w:kern w:val="0"/>
          <w:sz w:val="24"/>
          <w:highlight w:val="none"/>
        </w:rPr>
      </w:pPr>
      <w:bookmarkStart w:id="1350" w:name="_Toc2148"/>
      <w:bookmarkStart w:id="1351" w:name="_Toc9450"/>
      <w:bookmarkStart w:id="1352" w:name="_Toc97108120"/>
      <w:bookmarkStart w:id="1353" w:name="_Toc31589"/>
      <w:r>
        <w:rPr>
          <w:rFonts w:hint="eastAsia" w:asciiTheme="minorEastAsia" w:hAnsiTheme="minorEastAsia" w:cstheme="minorEastAsia"/>
          <w:color w:val="auto"/>
          <w:kern w:val="0"/>
          <w:sz w:val="24"/>
          <w:highlight w:val="none"/>
        </w:rPr>
        <w:t>代理人无转委权。特此授权。</w:t>
      </w:r>
      <w:bookmarkEnd w:id="1349"/>
      <w:bookmarkEnd w:id="1350"/>
      <w:bookmarkEnd w:id="1351"/>
      <w:bookmarkEnd w:id="1352"/>
      <w:bookmarkEnd w:id="1353"/>
    </w:p>
    <w:p w14:paraId="5CB287DD">
      <w:pPr>
        <w:adjustRightInd w:val="0"/>
        <w:spacing w:line="600" w:lineRule="auto"/>
        <w:rPr>
          <w:rFonts w:asciiTheme="minorEastAsia" w:hAnsiTheme="minorEastAsia" w:cstheme="minorEastAsia"/>
          <w:color w:val="auto"/>
          <w:kern w:val="0"/>
          <w:sz w:val="24"/>
          <w:highlight w:val="none"/>
        </w:rPr>
      </w:pPr>
    </w:p>
    <w:p w14:paraId="13482553">
      <w:pPr>
        <w:adjustRightInd w:val="0"/>
        <w:spacing w:line="600" w:lineRule="auto"/>
        <w:ind w:firstLine="480" w:firstLineChars="200"/>
        <w:rPr>
          <w:rFonts w:asciiTheme="minorEastAsia" w:hAnsiTheme="minorEastAsia" w:cstheme="minorEastAsia"/>
          <w:color w:val="auto"/>
          <w:kern w:val="0"/>
          <w:sz w:val="24"/>
          <w:highlight w:val="none"/>
          <w:u w:val="single"/>
        </w:rPr>
      </w:pPr>
      <w:r>
        <w:rPr>
          <w:rFonts w:hint="eastAsia" w:asciiTheme="minorEastAsia" w:hAnsiTheme="minorEastAsia" w:cstheme="minorEastAsia"/>
          <w:color w:val="auto"/>
          <w:kern w:val="0"/>
          <w:sz w:val="24"/>
          <w:highlight w:val="none"/>
        </w:rPr>
        <w:t>代理人（签字）：</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 xml:space="preserve">       性别：</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 xml:space="preserve">    年龄：</w:t>
      </w:r>
      <w:r>
        <w:rPr>
          <w:rFonts w:hint="eastAsia" w:asciiTheme="minorEastAsia" w:hAnsiTheme="minorEastAsia" w:cstheme="minorEastAsia"/>
          <w:color w:val="auto"/>
          <w:kern w:val="0"/>
          <w:sz w:val="24"/>
          <w:highlight w:val="none"/>
          <w:u w:val="single"/>
        </w:rPr>
        <w:t xml:space="preserve">       </w:t>
      </w:r>
    </w:p>
    <w:p w14:paraId="77E26A7B">
      <w:pPr>
        <w:adjustRightInd w:val="0"/>
        <w:spacing w:line="600" w:lineRule="auto"/>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身份证号码：</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 xml:space="preserve">    职务：</w:t>
      </w:r>
      <w:r>
        <w:rPr>
          <w:rFonts w:hint="eastAsia" w:asciiTheme="minorEastAsia" w:hAnsiTheme="minorEastAsia" w:cstheme="minorEastAsia"/>
          <w:color w:val="auto"/>
          <w:kern w:val="0"/>
          <w:sz w:val="24"/>
          <w:highlight w:val="none"/>
          <w:u w:val="single"/>
        </w:rPr>
        <w:t xml:space="preserve">           </w:t>
      </w:r>
    </w:p>
    <w:p w14:paraId="5A4BC9EF">
      <w:pPr>
        <w:adjustRightInd w:val="0"/>
        <w:spacing w:line="600" w:lineRule="auto"/>
        <w:ind w:firstLine="480" w:firstLineChars="200"/>
        <w:outlineLvl w:val="0"/>
        <w:rPr>
          <w:rFonts w:asciiTheme="minorEastAsia" w:hAnsiTheme="minorEastAsia" w:cstheme="minorEastAsia"/>
          <w:color w:val="auto"/>
          <w:kern w:val="0"/>
          <w:sz w:val="24"/>
          <w:highlight w:val="none"/>
        </w:rPr>
      </w:pPr>
      <w:bookmarkStart w:id="1354" w:name="_Toc243584356"/>
      <w:bookmarkStart w:id="1355" w:name="_Toc97108121"/>
      <w:bookmarkStart w:id="1356" w:name="_Toc22473"/>
      <w:bookmarkStart w:id="1357" w:name="_Toc7308"/>
      <w:bookmarkStart w:id="1358" w:name="_Toc24924"/>
      <w:r>
        <w:rPr>
          <w:rFonts w:hint="eastAsia" w:asciiTheme="minorEastAsia" w:hAnsiTheme="minorEastAsia" w:cstheme="minorEastAsia"/>
          <w:color w:val="auto"/>
          <w:kern w:val="0"/>
          <w:sz w:val="24"/>
          <w:highlight w:val="none"/>
        </w:rPr>
        <w:t>供应商：</w:t>
      </w:r>
      <w:r>
        <w:rPr>
          <w:rFonts w:hint="eastAsia" w:asciiTheme="minorEastAsia" w:hAnsiTheme="minorEastAsia" w:cstheme="minorEastAsia"/>
          <w:color w:val="auto"/>
          <w:kern w:val="0"/>
          <w:sz w:val="24"/>
          <w:highlight w:val="none"/>
          <w:u w:val="single"/>
        </w:rPr>
        <w:t xml:space="preserve">                                            （盖章）</w:t>
      </w:r>
      <w:bookmarkEnd w:id="1354"/>
      <w:bookmarkEnd w:id="1355"/>
      <w:bookmarkEnd w:id="1356"/>
      <w:bookmarkEnd w:id="1357"/>
      <w:bookmarkEnd w:id="1358"/>
      <w:r>
        <w:rPr>
          <w:rFonts w:hint="eastAsia" w:asciiTheme="minorEastAsia" w:hAnsiTheme="minorEastAsia" w:cstheme="minorEastAsia"/>
          <w:color w:val="auto"/>
          <w:kern w:val="0"/>
          <w:sz w:val="24"/>
          <w:highlight w:val="none"/>
          <w:u w:val="single"/>
        </w:rPr>
        <w:t xml:space="preserve">     </w:t>
      </w:r>
    </w:p>
    <w:p w14:paraId="69DFBE41">
      <w:pPr>
        <w:adjustRightInd w:val="0"/>
        <w:spacing w:line="600" w:lineRule="auto"/>
        <w:outlineLvl w:val="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 xml:space="preserve">    </w:t>
      </w:r>
      <w:bookmarkStart w:id="1359" w:name="_Toc958"/>
      <w:bookmarkStart w:id="1360" w:name="_Toc243584357"/>
      <w:bookmarkStart w:id="1361" w:name="_Toc97108122"/>
      <w:bookmarkStart w:id="1362" w:name="_Toc23235"/>
      <w:bookmarkStart w:id="1363" w:name="_Toc9543"/>
      <w:r>
        <w:rPr>
          <w:rFonts w:hint="eastAsia" w:asciiTheme="minorEastAsia" w:hAnsiTheme="minorEastAsia" w:cstheme="minorEastAsia"/>
          <w:color w:val="auto"/>
          <w:kern w:val="0"/>
          <w:sz w:val="24"/>
          <w:highlight w:val="none"/>
        </w:rPr>
        <w:t>法定代表人：</w:t>
      </w:r>
      <w:r>
        <w:rPr>
          <w:rFonts w:hint="eastAsia" w:asciiTheme="minorEastAsia" w:hAnsiTheme="minorEastAsia" w:cstheme="minorEastAsia"/>
          <w:color w:val="auto"/>
          <w:kern w:val="0"/>
          <w:sz w:val="24"/>
          <w:highlight w:val="none"/>
          <w:u w:val="single"/>
        </w:rPr>
        <w:t xml:space="preserve">                                    （签字或盖章）</w:t>
      </w:r>
      <w:bookmarkEnd w:id="1359"/>
      <w:bookmarkEnd w:id="1360"/>
      <w:bookmarkEnd w:id="1361"/>
      <w:bookmarkEnd w:id="1362"/>
      <w:bookmarkEnd w:id="1363"/>
      <w:r>
        <w:rPr>
          <w:rFonts w:hint="eastAsia" w:asciiTheme="minorEastAsia" w:hAnsiTheme="minorEastAsia" w:cstheme="minorEastAsia"/>
          <w:color w:val="auto"/>
          <w:kern w:val="0"/>
          <w:sz w:val="24"/>
          <w:highlight w:val="none"/>
          <w:u w:val="single"/>
        </w:rPr>
        <w:t xml:space="preserve">   </w:t>
      </w:r>
    </w:p>
    <w:p w14:paraId="3F9E4FBF">
      <w:pPr>
        <w:adjustRightInd w:val="0"/>
        <w:spacing w:line="600" w:lineRule="auto"/>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日期：</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年</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月</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日</w:t>
      </w:r>
    </w:p>
    <w:p w14:paraId="71C8B349">
      <w:pPr>
        <w:adjustRightInd w:val="0"/>
        <w:spacing w:line="360" w:lineRule="auto"/>
        <w:rPr>
          <w:rFonts w:asciiTheme="minorEastAsia" w:hAnsiTheme="minorEastAsia" w:cstheme="minorEastAsia"/>
          <w:color w:val="auto"/>
          <w:kern w:val="0"/>
          <w:sz w:val="24"/>
          <w:highlight w:val="none"/>
        </w:rPr>
      </w:pPr>
    </w:p>
    <w:p w14:paraId="0DDA01FB">
      <w:pPr>
        <w:adjustRightInd w:val="0"/>
        <w:spacing w:line="360" w:lineRule="auto"/>
        <w:rPr>
          <w:rFonts w:asciiTheme="minorEastAsia" w:hAnsiTheme="minorEastAsia" w:cstheme="minorEastAsia"/>
          <w:color w:val="auto"/>
          <w:kern w:val="0"/>
          <w:sz w:val="24"/>
          <w:highlight w:val="none"/>
          <w:u w:val="dash"/>
        </w:rPr>
      </w:pPr>
      <w:r>
        <w:rPr>
          <w:rFonts w:hint="eastAsia" w:asciiTheme="minorEastAsia" w:hAnsiTheme="minorEastAsia" w:cstheme="minorEastAsia"/>
          <w:color w:val="auto"/>
          <w:kern w:val="0"/>
          <w:sz w:val="24"/>
          <w:highlight w:val="none"/>
          <w:u w:val="dash"/>
        </w:rPr>
        <w:t xml:space="preserve">                                                                            </w:t>
      </w:r>
    </w:p>
    <w:bookmarkEnd w:id="1328"/>
    <w:bookmarkEnd w:id="1329"/>
    <w:bookmarkEnd w:id="1330"/>
    <w:p w14:paraId="649A55DC">
      <w:pPr>
        <w:pStyle w:val="5"/>
        <w:spacing w:line="540" w:lineRule="exact"/>
        <w:ind w:firstLine="562" w:firstLineChars="200"/>
        <w:rPr>
          <w:rFonts w:asciiTheme="minorEastAsia" w:hAnsiTheme="minorEastAsia" w:eastAsiaTheme="minorEastAsia" w:cstheme="minorEastAsia"/>
          <w:color w:val="auto"/>
          <w:szCs w:val="28"/>
          <w:highlight w:val="none"/>
        </w:rPr>
      </w:pPr>
      <w:r>
        <w:rPr>
          <w:rFonts w:hint="eastAsia" w:asciiTheme="minorEastAsia" w:hAnsiTheme="minorEastAsia" w:eastAsiaTheme="minorEastAsia" w:cstheme="minorEastAsia"/>
          <w:color w:val="auto"/>
          <w:szCs w:val="28"/>
          <w:highlight w:val="none"/>
        </w:rPr>
        <w:t>三、有效的营业执照副本复印件；</w:t>
      </w:r>
    </w:p>
    <w:p w14:paraId="3A824CE0">
      <w:pPr>
        <w:pStyle w:val="5"/>
        <w:spacing w:line="540" w:lineRule="exact"/>
        <w:ind w:firstLine="562" w:firstLineChars="200"/>
        <w:rPr>
          <w:rFonts w:asciiTheme="minorEastAsia" w:hAnsiTheme="minorEastAsia" w:eastAsiaTheme="minorEastAsia" w:cstheme="minorEastAsia"/>
          <w:color w:val="auto"/>
          <w:sz w:val="24"/>
          <w:highlight w:val="none"/>
        </w:rPr>
      </w:pPr>
      <w:bookmarkStart w:id="1364" w:name="_Toc29317"/>
      <w:bookmarkStart w:id="1365" w:name="_Toc31403"/>
      <w:bookmarkStart w:id="1366" w:name="_Toc255977439"/>
      <w:bookmarkStart w:id="1367" w:name="_Toc247292442"/>
      <w:bookmarkStart w:id="1368" w:name="_Toc247301835"/>
      <w:r>
        <w:rPr>
          <w:rFonts w:hint="eastAsia" w:asciiTheme="minorEastAsia" w:hAnsiTheme="minorEastAsia" w:eastAsiaTheme="minorEastAsia" w:cstheme="minorEastAsia"/>
          <w:color w:val="auto"/>
          <w:szCs w:val="28"/>
          <w:highlight w:val="none"/>
        </w:rPr>
        <w:t>四、</w:t>
      </w:r>
      <w:bookmarkEnd w:id="1364"/>
      <w:bookmarkEnd w:id="1365"/>
      <w:r>
        <w:rPr>
          <w:rFonts w:hint="eastAsia" w:asciiTheme="minorEastAsia" w:hAnsiTheme="minorEastAsia" w:eastAsiaTheme="minorEastAsia" w:cstheme="minorEastAsia"/>
          <w:color w:val="auto"/>
          <w:szCs w:val="28"/>
          <w:highlight w:val="none"/>
        </w:rPr>
        <w:t>有效的安全生产许可证副本复印件；</w:t>
      </w:r>
    </w:p>
    <w:p w14:paraId="35883719">
      <w:pPr>
        <w:pStyle w:val="5"/>
        <w:spacing w:line="540" w:lineRule="exact"/>
        <w:ind w:firstLine="562" w:firstLineChars="200"/>
        <w:rPr>
          <w:rFonts w:asciiTheme="minorEastAsia" w:hAnsiTheme="minorEastAsia" w:eastAsiaTheme="minorEastAsia" w:cstheme="minorEastAsia"/>
          <w:color w:val="auto"/>
          <w:szCs w:val="28"/>
          <w:highlight w:val="none"/>
        </w:rPr>
      </w:pPr>
      <w:r>
        <w:rPr>
          <w:rFonts w:hint="eastAsia" w:asciiTheme="minorEastAsia" w:hAnsiTheme="minorEastAsia" w:eastAsiaTheme="minorEastAsia" w:cstheme="minorEastAsia"/>
          <w:color w:val="auto"/>
          <w:szCs w:val="28"/>
          <w:highlight w:val="none"/>
        </w:rPr>
        <w:t>五、有效的企业资质证书副本复印件；</w:t>
      </w:r>
    </w:p>
    <w:bookmarkEnd w:id="1366"/>
    <w:bookmarkEnd w:id="1367"/>
    <w:bookmarkEnd w:id="1368"/>
    <w:p w14:paraId="65D9FC34">
      <w:pPr>
        <w:pStyle w:val="5"/>
        <w:spacing w:line="540" w:lineRule="exact"/>
        <w:ind w:firstLine="562" w:firstLineChars="200"/>
        <w:rPr>
          <w:rFonts w:asciiTheme="minorEastAsia" w:hAnsiTheme="minorEastAsia" w:eastAsiaTheme="minorEastAsia" w:cstheme="minorEastAsia"/>
          <w:color w:val="auto"/>
          <w:szCs w:val="28"/>
          <w:highlight w:val="none"/>
        </w:rPr>
      </w:pPr>
      <w:bookmarkStart w:id="1369" w:name="_Toc546"/>
      <w:bookmarkStart w:id="1370" w:name="_Toc24771"/>
      <w:bookmarkStart w:id="1371" w:name="_Toc247292444"/>
      <w:bookmarkStart w:id="1372" w:name="_Toc247301837"/>
      <w:bookmarkStart w:id="1373" w:name="_Toc255977441"/>
      <w:r>
        <w:rPr>
          <w:rFonts w:hint="eastAsia" w:asciiTheme="minorEastAsia" w:hAnsiTheme="minorEastAsia" w:eastAsiaTheme="minorEastAsia" w:cstheme="minorEastAsia"/>
          <w:color w:val="auto"/>
          <w:szCs w:val="28"/>
          <w:highlight w:val="none"/>
        </w:rPr>
        <w:t>六、</w:t>
      </w:r>
      <w:bookmarkEnd w:id="1369"/>
      <w:bookmarkEnd w:id="1370"/>
      <w:r>
        <w:rPr>
          <w:rFonts w:hint="eastAsia" w:asciiTheme="minorEastAsia" w:hAnsiTheme="minorEastAsia" w:eastAsiaTheme="minorEastAsia" w:cstheme="minorEastAsia"/>
          <w:color w:val="auto"/>
          <w:szCs w:val="28"/>
          <w:highlight w:val="none"/>
        </w:rPr>
        <w:t>拟投入本项目的项目经理有效的注册建造师资质证书复印件；（必须提供并加盖供应商的电子签章）</w:t>
      </w:r>
    </w:p>
    <w:p w14:paraId="079EE167">
      <w:pPr>
        <w:spacing w:line="540" w:lineRule="exact"/>
        <w:ind w:firstLine="562" w:firstLineChars="200"/>
        <w:rPr>
          <w:rFonts w:asciiTheme="minorEastAsia" w:hAnsiTheme="minorEastAsia" w:cstheme="minorEastAsia"/>
          <w:b/>
          <w:color w:val="auto"/>
          <w:sz w:val="28"/>
          <w:szCs w:val="28"/>
          <w:highlight w:val="none"/>
        </w:rPr>
      </w:pPr>
      <w:r>
        <w:rPr>
          <w:rFonts w:hint="eastAsia" w:asciiTheme="minorEastAsia" w:hAnsiTheme="minorEastAsia" w:cstheme="minorEastAsia"/>
          <w:b/>
          <w:color w:val="auto"/>
          <w:sz w:val="28"/>
          <w:szCs w:val="28"/>
          <w:highlight w:val="none"/>
        </w:rPr>
        <w:t>七、</w:t>
      </w:r>
      <w:bookmarkStart w:id="1374" w:name="_Toc13702"/>
      <w:bookmarkStart w:id="1375" w:name="_Toc29665"/>
      <w:r>
        <w:rPr>
          <w:rFonts w:hint="eastAsia" w:asciiTheme="minorEastAsia" w:hAnsiTheme="minorEastAsia" w:cstheme="minorEastAsia"/>
          <w:b/>
          <w:color w:val="auto"/>
          <w:sz w:val="28"/>
          <w:szCs w:val="28"/>
          <w:highlight w:val="none"/>
        </w:rPr>
        <w:t>响应文件递交截止之日前半年内</w:t>
      </w:r>
      <w:r>
        <w:rPr>
          <w:rFonts w:hint="eastAsia" w:asciiTheme="minorEastAsia" w:hAnsiTheme="minorEastAsia" w:cstheme="minorEastAsia"/>
          <w:b/>
          <w:color w:val="auto"/>
          <w:sz w:val="28"/>
          <w:szCs w:val="28"/>
          <w:highlight w:val="none"/>
          <w:lang w:eastAsia="zh-CN"/>
        </w:rPr>
        <w:t>连续三个月</w:t>
      </w:r>
      <w:r>
        <w:rPr>
          <w:rFonts w:hint="eastAsia" w:asciiTheme="minorEastAsia" w:hAnsiTheme="minorEastAsia" w:cstheme="minorEastAsia"/>
          <w:b/>
          <w:color w:val="auto"/>
          <w:sz w:val="28"/>
          <w:szCs w:val="28"/>
          <w:highlight w:val="none"/>
        </w:rPr>
        <w:t>的依法缴纳税费或依法免缴税费的证明[复印件，格式自拟，必须提供]；无纳税记录的，应提供由磋商供应商所在地主管国税、地税部门出具的《依法纳税或依法免税证明》复印件，（从取得营业执照时间起到响应文件提交截止时间为止不足要求月数的，只需提供从取得营业执照起的依法缴纳税收相应证明文件，必须提供）；</w:t>
      </w:r>
    </w:p>
    <w:p w14:paraId="1A6F06B6">
      <w:pPr>
        <w:spacing w:line="540" w:lineRule="exact"/>
        <w:ind w:firstLine="562" w:firstLineChars="200"/>
        <w:rPr>
          <w:rFonts w:asciiTheme="minorEastAsia" w:hAnsiTheme="minorEastAsia" w:cstheme="minorEastAsia"/>
          <w:b/>
          <w:color w:val="auto"/>
          <w:sz w:val="28"/>
          <w:szCs w:val="28"/>
          <w:highlight w:val="none"/>
        </w:rPr>
      </w:pPr>
      <w:r>
        <w:rPr>
          <w:rFonts w:hint="eastAsia" w:asciiTheme="minorEastAsia" w:hAnsiTheme="minorEastAsia" w:cstheme="minorEastAsia"/>
          <w:b/>
          <w:color w:val="auto"/>
          <w:sz w:val="28"/>
          <w:szCs w:val="28"/>
          <w:highlight w:val="none"/>
        </w:rPr>
        <w:t>八、响应文件递交截止之日前半年内</w:t>
      </w:r>
      <w:r>
        <w:rPr>
          <w:rFonts w:hint="eastAsia" w:asciiTheme="minorEastAsia" w:hAnsiTheme="minorEastAsia" w:cstheme="minorEastAsia"/>
          <w:b/>
          <w:color w:val="auto"/>
          <w:sz w:val="28"/>
          <w:szCs w:val="28"/>
          <w:highlight w:val="none"/>
          <w:lang w:eastAsia="zh-CN"/>
        </w:rPr>
        <w:t>连续三个月</w:t>
      </w:r>
      <w:r>
        <w:rPr>
          <w:rFonts w:hint="eastAsia" w:asciiTheme="minorEastAsia" w:hAnsiTheme="minorEastAsia" w:cstheme="minorEastAsia"/>
          <w:b/>
          <w:color w:val="auto"/>
          <w:sz w:val="28"/>
          <w:szCs w:val="28"/>
          <w:highlight w:val="none"/>
        </w:rPr>
        <w:t>依法缴纳社保费的缴费凭证（复印件，格式自拟）[必须提供]；无缴费记录的，应提供由磋商供应商所在地社保部门出具的《依法缴纳或依法免缴社保费证明》复印件，（从取得营业执照时间起到响应文件提交截止时间为止不足要求月数的只需提供从取得营业执照起的依法缴纳社会保障资金的相应证明文件，必须提供）；</w:t>
      </w:r>
    </w:p>
    <w:p w14:paraId="579E246B">
      <w:pPr>
        <w:spacing w:line="540" w:lineRule="exact"/>
        <w:ind w:firstLine="562" w:firstLineChars="200"/>
        <w:rPr>
          <w:rFonts w:asciiTheme="minorEastAsia" w:hAnsiTheme="minorEastAsia" w:cstheme="minorEastAsia"/>
          <w:b/>
          <w:color w:val="auto"/>
          <w:sz w:val="28"/>
          <w:szCs w:val="28"/>
          <w:highlight w:val="none"/>
        </w:rPr>
      </w:pPr>
      <w:r>
        <w:rPr>
          <w:rFonts w:hint="eastAsia" w:asciiTheme="minorEastAsia" w:hAnsiTheme="minorEastAsia" w:cstheme="minorEastAsia"/>
          <w:b/>
          <w:color w:val="auto"/>
          <w:sz w:val="28"/>
          <w:szCs w:val="28"/>
          <w:highlight w:val="none"/>
        </w:rPr>
        <w:t>九、供应商202</w:t>
      </w:r>
      <w:r>
        <w:rPr>
          <w:rFonts w:hint="eastAsia" w:asciiTheme="minorEastAsia" w:hAnsiTheme="minorEastAsia" w:cstheme="minorEastAsia"/>
          <w:b/>
          <w:color w:val="auto"/>
          <w:sz w:val="28"/>
          <w:szCs w:val="28"/>
          <w:highlight w:val="none"/>
          <w:lang w:val="en-US" w:eastAsia="zh-CN"/>
        </w:rPr>
        <w:t>5</w:t>
      </w:r>
      <w:r>
        <w:rPr>
          <w:rFonts w:hint="eastAsia" w:asciiTheme="minorEastAsia" w:hAnsiTheme="minorEastAsia" w:cstheme="minorEastAsia"/>
          <w:b/>
          <w:color w:val="auto"/>
          <w:sz w:val="28"/>
          <w:szCs w:val="28"/>
          <w:highlight w:val="none"/>
        </w:rPr>
        <w:t>年的年度财务报告复印件，如财务报告未经相关审计单位审计的须同时由供应商出具财务报表承诺书，承诺该财务报表数据真实可靠；新成立的企业则提供公司成立时间以来的财务报表，同时由供应商出具财务报表承诺书，承诺该财务报表数据真实可靠（格式自拟）；（必须提供）</w:t>
      </w:r>
    </w:p>
    <w:p w14:paraId="19155E22">
      <w:pPr>
        <w:spacing w:line="540" w:lineRule="exact"/>
        <w:ind w:firstLine="562" w:firstLineChars="200"/>
        <w:rPr>
          <w:rFonts w:asciiTheme="minorEastAsia" w:hAnsiTheme="minorEastAsia" w:cstheme="minorEastAsia"/>
          <w:b/>
          <w:color w:val="auto"/>
          <w:sz w:val="28"/>
          <w:szCs w:val="28"/>
          <w:highlight w:val="none"/>
        </w:rPr>
        <w:sectPr>
          <w:pgSz w:w="11910" w:h="16840"/>
          <w:pgMar w:top="1417" w:right="1191" w:bottom="1134" w:left="1304" w:header="870" w:footer="999" w:gutter="0"/>
          <w:cols w:space="720" w:num="1"/>
        </w:sectPr>
      </w:pPr>
    </w:p>
    <w:bookmarkEnd w:id="1371"/>
    <w:bookmarkEnd w:id="1372"/>
    <w:bookmarkEnd w:id="1373"/>
    <w:bookmarkEnd w:id="1374"/>
    <w:bookmarkEnd w:id="1375"/>
    <w:p w14:paraId="640407E2">
      <w:pPr>
        <w:pStyle w:val="5"/>
        <w:spacing w:line="540" w:lineRule="exact"/>
        <w:ind w:firstLine="560" w:firstLineChars="200"/>
        <w:rPr>
          <w:rFonts w:asciiTheme="minorEastAsia" w:hAnsiTheme="minorEastAsia" w:eastAsiaTheme="minorEastAsia" w:cstheme="minorEastAsia"/>
          <w:color w:val="auto"/>
          <w:szCs w:val="28"/>
          <w:highlight w:val="none"/>
        </w:rPr>
      </w:pPr>
      <w:bookmarkStart w:id="1376" w:name="_Toc26437"/>
      <w:bookmarkStart w:id="1377" w:name="_Toc255977442"/>
      <w:bookmarkStart w:id="1378" w:name="_Toc247292445"/>
      <w:bookmarkStart w:id="1379" w:name="_Toc23940"/>
      <w:bookmarkStart w:id="1380" w:name="_Toc247301838"/>
      <w:r>
        <w:rPr>
          <w:rFonts w:hint="eastAsia" w:asciiTheme="minorEastAsia" w:hAnsiTheme="minorEastAsia" w:eastAsiaTheme="minorEastAsia" w:cstheme="minorEastAsia"/>
          <w:color w:val="auto"/>
          <w:szCs w:val="28"/>
          <w:highlight w:val="none"/>
        </w:rPr>
        <w:t>十、政府采购项目投标资格承诺函；</w:t>
      </w:r>
    </w:p>
    <w:p w14:paraId="1574F098">
      <w:pPr>
        <w:rPr>
          <w:rFonts w:asciiTheme="minorEastAsia" w:hAnsiTheme="minorEastAsia"/>
          <w:color w:val="auto"/>
          <w:highlight w:val="none"/>
        </w:rPr>
      </w:pPr>
    </w:p>
    <w:p w14:paraId="5241AEA4">
      <w:pPr>
        <w:spacing w:line="360" w:lineRule="auto"/>
        <w:jc w:val="center"/>
        <w:textAlignment w:val="baseline"/>
        <w:rPr>
          <w:rFonts w:cs="Times New Roman" w:asciiTheme="minorEastAsia" w:hAnsiTheme="minorEastAsia"/>
          <w:b/>
          <w:color w:val="auto"/>
          <w:sz w:val="32"/>
          <w:szCs w:val="32"/>
          <w:highlight w:val="none"/>
        </w:rPr>
      </w:pPr>
    </w:p>
    <w:p w14:paraId="4D0F84E8">
      <w:pPr>
        <w:spacing w:line="360" w:lineRule="auto"/>
        <w:jc w:val="center"/>
        <w:textAlignment w:val="baseline"/>
        <w:rPr>
          <w:rFonts w:cs="Times New Roman" w:asciiTheme="minorEastAsia" w:hAnsiTheme="minorEastAsia"/>
          <w:b/>
          <w:color w:val="auto"/>
          <w:sz w:val="32"/>
          <w:szCs w:val="32"/>
          <w:highlight w:val="none"/>
        </w:rPr>
      </w:pPr>
      <w:r>
        <w:rPr>
          <w:rFonts w:hint="eastAsia" w:cs="Times New Roman" w:asciiTheme="minorEastAsia" w:hAnsiTheme="minorEastAsia"/>
          <w:b/>
          <w:color w:val="auto"/>
          <w:sz w:val="32"/>
          <w:szCs w:val="32"/>
          <w:highlight w:val="none"/>
        </w:rPr>
        <w:t xml:space="preserve"> 政府采购项目投标资格承诺函</w:t>
      </w:r>
    </w:p>
    <w:p w14:paraId="3C893F4A">
      <w:pPr>
        <w:spacing w:line="360" w:lineRule="auto"/>
        <w:ind w:firstLine="484" w:firstLineChars="202"/>
        <w:textAlignment w:val="baseline"/>
        <w:rPr>
          <w:rFonts w:cs="Times New Roman" w:asciiTheme="minorEastAsia" w:hAnsiTheme="minorEastAsia"/>
          <w:color w:val="auto"/>
          <w:sz w:val="24"/>
          <w:szCs w:val="24"/>
          <w:highlight w:val="none"/>
        </w:rPr>
      </w:pPr>
      <w:r>
        <w:rPr>
          <w:rFonts w:cs="Times New Roman" w:asciiTheme="minorEastAsia" w:hAnsiTheme="minorEastAsia"/>
          <w:color w:val="auto"/>
          <w:sz w:val="24"/>
          <w:szCs w:val="24"/>
          <w:highlight w:val="none"/>
        </w:rPr>
        <w:t>本公司郑重承诺，根据《中华人民共和国政府采购法》第二十二条的规定，本公司为参加政府采购活动的合格供应商。即本公司同时满足以下条件：</w:t>
      </w:r>
    </w:p>
    <w:p w14:paraId="70345B52">
      <w:pPr>
        <w:spacing w:line="360" w:lineRule="auto"/>
        <w:ind w:firstLine="484" w:firstLineChars="202"/>
        <w:textAlignment w:val="baseline"/>
        <w:rPr>
          <w:rFonts w:cs="Times New Roman" w:asciiTheme="minorEastAsia" w:hAnsiTheme="minorEastAsia"/>
          <w:color w:val="auto"/>
          <w:sz w:val="24"/>
          <w:szCs w:val="24"/>
          <w:highlight w:val="none"/>
        </w:rPr>
      </w:pPr>
      <w:r>
        <w:rPr>
          <w:rFonts w:cs="Times New Roman" w:asciiTheme="minorEastAsia" w:hAnsiTheme="minorEastAsia"/>
          <w:color w:val="auto"/>
          <w:sz w:val="24"/>
          <w:szCs w:val="24"/>
          <w:highlight w:val="none"/>
        </w:rPr>
        <w:t>1.具有独立承担民事责任的能力。</w:t>
      </w:r>
    </w:p>
    <w:p w14:paraId="34403FEC">
      <w:pPr>
        <w:spacing w:line="360" w:lineRule="auto"/>
        <w:ind w:firstLine="484" w:firstLineChars="202"/>
        <w:textAlignment w:val="baseline"/>
        <w:rPr>
          <w:rFonts w:cs="Times New Roman" w:asciiTheme="minorEastAsia" w:hAnsiTheme="minorEastAsia"/>
          <w:color w:val="auto"/>
          <w:sz w:val="24"/>
          <w:szCs w:val="24"/>
          <w:highlight w:val="none"/>
        </w:rPr>
      </w:pPr>
      <w:r>
        <w:rPr>
          <w:rFonts w:cs="Times New Roman" w:asciiTheme="minorEastAsia" w:hAnsiTheme="minorEastAsia"/>
          <w:color w:val="auto"/>
          <w:sz w:val="24"/>
          <w:szCs w:val="24"/>
          <w:highlight w:val="none"/>
        </w:rPr>
        <w:t>2.具有良好的商业信誉和健全的财务会计制度。</w:t>
      </w:r>
    </w:p>
    <w:p w14:paraId="6B6623A5">
      <w:pPr>
        <w:spacing w:line="360" w:lineRule="auto"/>
        <w:ind w:firstLine="484" w:firstLineChars="202"/>
        <w:textAlignment w:val="baseline"/>
        <w:rPr>
          <w:rFonts w:cs="Times New Roman" w:asciiTheme="minorEastAsia" w:hAnsiTheme="minorEastAsia"/>
          <w:color w:val="auto"/>
          <w:sz w:val="24"/>
          <w:szCs w:val="24"/>
          <w:highlight w:val="none"/>
        </w:rPr>
      </w:pPr>
      <w:r>
        <w:rPr>
          <w:rFonts w:cs="Times New Roman" w:asciiTheme="minorEastAsia" w:hAnsiTheme="minorEastAsia"/>
          <w:color w:val="auto"/>
          <w:sz w:val="24"/>
          <w:szCs w:val="24"/>
          <w:highlight w:val="none"/>
        </w:rPr>
        <w:t>3.具有履行合同所必需的设备和专业技术能力。</w:t>
      </w:r>
    </w:p>
    <w:p w14:paraId="71880217">
      <w:pPr>
        <w:spacing w:line="360" w:lineRule="auto"/>
        <w:ind w:firstLine="484" w:firstLineChars="202"/>
        <w:textAlignment w:val="baseline"/>
        <w:rPr>
          <w:rFonts w:cs="Times New Roman" w:asciiTheme="minorEastAsia" w:hAnsiTheme="minorEastAsia"/>
          <w:color w:val="auto"/>
          <w:sz w:val="24"/>
          <w:szCs w:val="24"/>
          <w:highlight w:val="none"/>
        </w:rPr>
      </w:pPr>
      <w:r>
        <w:rPr>
          <w:rFonts w:cs="Times New Roman" w:asciiTheme="minorEastAsia" w:hAnsiTheme="minorEastAsia"/>
          <w:color w:val="auto"/>
          <w:sz w:val="24"/>
          <w:szCs w:val="24"/>
          <w:highlight w:val="none"/>
        </w:rPr>
        <w:t>4.有依法缴纳税收和社会保障资金的良好记录。</w:t>
      </w:r>
    </w:p>
    <w:p w14:paraId="02AEF661">
      <w:pPr>
        <w:spacing w:line="360" w:lineRule="auto"/>
        <w:ind w:firstLine="484" w:firstLineChars="202"/>
        <w:textAlignment w:val="baseline"/>
        <w:rPr>
          <w:rFonts w:cs="Times New Roman" w:asciiTheme="minorEastAsia" w:hAnsiTheme="minorEastAsia"/>
          <w:color w:val="auto"/>
          <w:sz w:val="24"/>
          <w:szCs w:val="24"/>
          <w:highlight w:val="none"/>
        </w:rPr>
      </w:pPr>
      <w:r>
        <w:rPr>
          <w:rFonts w:cs="Times New Roman" w:asciiTheme="minorEastAsia" w:hAnsiTheme="minorEastAsia"/>
          <w:color w:val="auto"/>
          <w:sz w:val="24"/>
          <w:szCs w:val="24"/>
          <w:highlight w:val="none"/>
        </w:rPr>
        <w:t>5. 提交投标文件截止日期前三年内，在经营活动中没有重大违法记录。</w:t>
      </w:r>
    </w:p>
    <w:p w14:paraId="4BDBE35E">
      <w:pPr>
        <w:spacing w:line="360" w:lineRule="auto"/>
        <w:ind w:firstLine="484" w:firstLineChars="202"/>
        <w:textAlignment w:val="baseline"/>
        <w:rPr>
          <w:rFonts w:cs="Times New Roman" w:asciiTheme="minorEastAsia" w:hAnsiTheme="minorEastAsia"/>
          <w:color w:val="auto"/>
          <w:sz w:val="24"/>
          <w:szCs w:val="24"/>
          <w:highlight w:val="none"/>
        </w:rPr>
      </w:pPr>
      <w:r>
        <w:rPr>
          <w:rFonts w:cs="Times New Roman" w:asciiTheme="minorEastAsia" w:hAnsiTheme="minorEastAsia"/>
          <w:color w:val="auto"/>
          <w:sz w:val="24"/>
          <w:szCs w:val="24"/>
          <w:highlight w:val="none"/>
        </w:rPr>
        <w:t>本公司对上述承诺的真实性负责，并接受政府采购、税务、社会保障等监督管理部门、采购文件规定的资格审查机构、社会公众的监督和检查。如有虚假，将依法承担相应责任。</w:t>
      </w:r>
    </w:p>
    <w:p w14:paraId="3D81466E">
      <w:pPr>
        <w:spacing w:line="360" w:lineRule="auto"/>
        <w:textAlignment w:val="baseline"/>
        <w:rPr>
          <w:rFonts w:cs="Times New Roman" w:asciiTheme="minorEastAsia" w:hAnsiTheme="minorEastAsia"/>
          <w:color w:val="auto"/>
          <w:sz w:val="24"/>
          <w:szCs w:val="24"/>
          <w:highlight w:val="none"/>
        </w:rPr>
      </w:pPr>
    </w:p>
    <w:p w14:paraId="4F60EA1C">
      <w:pPr>
        <w:spacing w:line="360" w:lineRule="auto"/>
        <w:textAlignment w:val="baseline"/>
        <w:rPr>
          <w:rFonts w:cs="Times New Roman" w:asciiTheme="minorEastAsia" w:hAnsiTheme="minorEastAsia"/>
          <w:color w:val="auto"/>
          <w:sz w:val="24"/>
          <w:szCs w:val="24"/>
          <w:highlight w:val="none"/>
        </w:rPr>
      </w:pPr>
    </w:p>
    <w:p w14:paraId="05C03844">
      <w:pPr>
        <w:spacing w:line="360" w:lineRule="auto"/>
        <w:ind w:firstLine="4536" w:firstLineChars="1890"/>
        <w:textAlignment w:val="baseline"/>
        <w:rPr>
          <w:rFonts w:cs="Times New Roman" w:asciiTheme="minorEastAsia" w:hAnsiTheme="minorEastAsia"/>
          <w:color w:val="auto"/>
          <w:sz w:val="24"/>
          <w:szCs w:val="24"/>
          <w:highlight w:val="none"/>
        </w:rPr>
      </w:pPr>
      <w:r>
        <w:rPr>
          <w:rFonts w:cs="Times New Roman" w:asciiTheme="minorEastAsia" w:hAnsiTheme="minorEastAsia"/>
          <w:color w:val="auto"/>
          <w:sz w:val="24"/>
          <w:szCs w:val="24"/>
          <w:highlight w:val="none"/>
        </w:rPr>
        <w:t>企业名称（盖章）：</w:t>
      </w:r>
    </w:p>
    <w:p w14:paraId="175E7803">
      <w:pPr>
        <w:spacing w:line="360" w:lineRule="auto"/>
        <w:ind w:firstLine="4536" w:firstLineChars="1890"/>
        <w:textAlignment w:val="baseline"/>
        <w:rPr>
          <w:rFonts w:cs="Times New Roman" w:asciiTheme="minorEastAsia" w:hAnsiTheme="minorEastAsia"/>
          <w:color w:val="auto"/>
          <w:sz w:val="24"/>
          <w:szCs w:val="24"/>
          <w:highlight w:val="none"/>
        </w:rPr>
      </w:pPr>
      <w:r>
        <w:rPr>
          <w:rFonts w:cs="Times New Roman" w:asciiTheme="minorEastAsia" w:hAnsiTheme="minorEastAsia"/>
          <w:color w:val="auto"/>
          <w:sz w:val="24"/>
          <w:szCs w:val="24"/>
          <w:highlight w:val="none"/>
        </w:rPr>
        <w:t>法定代表人（签名）：</w:t>
      </w:r>
    </w:p>
    <w:p w14:paraId="2D44673D">
      <w:pPr>
        <w:ind w:firstLine="4560" w:firstLineChars="1900"/>
        <w:rPr>
          <w:rFonts w:asciiTheme="minorEastAsia" w:hAnsiTheme="minorEastAsia"/>
          <w:color w:val="auto"/>
          <w:highlight w:val="none"/>
        </w:rPr>
      </w:pPr>
      <w:r>
        <w:rPr>
          <w:rFonts w:cs="Times New Roman" w:asciiTheme="minorEastAsia" w:hAnsiTheme="minorEastAsia"/>
          <w:color w:val="auto"/>
          <w:sz w:val="24"/>
          <w:szCs w:val="24"/>
          <w:highlight w:val="none"/>
        </w:rPr>
        <w:t>日期：     年     月      日</w:t>
      </w:r>
    </w:p>
    <w:bookmarkEnd w:id="1376"/>
    <w:bookmarkEnd w:id="1377"/>
    <w:bookmarkEnd w:id="1378"/>
    <w:bookmarkEnd w:id="1379"/>
    <w:bookmarkEnd w:id="1380"/>
    <w:p w14:paraId="64B04DF2">
      <w:pPr>
        <w:spacing w:line="480" w:lineRule="auto"/>
        <w:ind w:firstLine="420" w:firstLineChars="200"/>
        <w:rPr>
          <w:rFonts w:asciiTheme="minorEastAsia" w:hAnsiTheme="minorEastAsia" w:cstheme="minorEastAsia"/>
          <w:color w:val="auto"/>
          <w:kern w:val="0"/>
          <w:sz w:val="24"/>
          <w:highlight w:val="none"/>
        </w:rPr>
      </w:pPr>
      <w:r>
        <w:rPr>
          <w:rFonts w:hint="eastAsia" w:asciiTheme="minorEastAsia" w:hAnsiTheme="minorEastAsia"/>
          <w:color w:val="auto"/>
          <w:highlight w:val="none"/>
        </w:rPr>
        <w:br w:type="page"/>
      </w:r>
    </w:p>
    <w:p w14:paraId="0AD84013">
      <w:pPr>
        <w:spacing w:line="480" w:lineRule="exact"/>
        <w:ind w:firstLine="560" w:firstLineChars="200"/>
        <w:rPr>
          <w:rFonts w:asciiTheme="minorEastAsia" w:hAnsiTheme="minorEastAsia" w:cstheme="minorEastAsia"/>
          <w:b/>
          <w:color w:val="auto"/>
          <w:sz w:val="28"/>
          <w:szCs w:val="28"/>
          <w:highlight w:val="none"/>
        </w:rPr>
      </w:pPr>
      <w:r>
        <w:rPr>
          <w:rFonts w:hint="eastAsia" w:asciiTheme="minorEastAsia" w:hAnsiTheme="minorEastAsia" w:cstheme="minorEastAsia"/>
          <w:b/>
          <w:color w:val="auto"/>
          <w:sz w:val="28"/>
          <w:szCs w:val="28"/>
          <w:highlight w:val="none"/>
        </w:rPr>
        <w:t>十一、供应商参加政府采购活动前三年内在经营活动中没有重大违法记录和不良信用记录的书面声明原件；（供应商可在“信用中国”网站（www.creditchina.gov.cn）、中国政府采购网（www.ccgp.gov.cn）查询相关供应商主体信用记录，同时将查询结果截图加盖单位公章与上述书面声明一并提交）；</w:t>
      </w:r>
    </w:p>
    <w:p w14:paraId="6238365A">
      <w:pPr>
        <w:pStyle w:val="13"/>
        <w:rPr>
          <w:color w:val="auto"/>
          <w:highlight w:val="none"/>
        </w:rPr>
      </w:pPr>
    </w:p>
    <w:p w14:paraId="01C1C2CA">
      <w:pPr>
        <w:pStyle w:val="37"/>
        <w:spacing w:before="0" w:after="0"/>
        <w:rPr>
          <w:rFonts w:asciiTheme="minorEastAsia" w:hAnsiTheme="minorEastAsia"/>
          <w:color w:val="auto"/>
          <w:spacing w:val="0"/>
          <w:highlight w:val="none"/>
        </w:rPr>
      </w:pPr>
    </w:p>
    <w:p w14:paraId="2E9B7078">
      <w:pPr>
        <w:spacing w:line="480" w:lineRule="auto"/>
        <w:jc w:val="center"/>
        <w:rPr>
          <w:rFonts w:cs="宋体" w:asciiTheme="minorEastAsia" w:hAnsiTheme="minorEastAsia"/>
          <w:color w:val="auto"/>
          <w:kern w:val="0"/>
          <w:sz w:val="24"/>
          <w:highlight w:val="none"/>
        </w:rPr>
      </w:pPr>
      <w:r>
        <w:rPr>
          <w:rFonts w:hint="eastAsia" w:asciiTheme="minorEastAsia" w:hAnsiTheme="minorEastAsia" w:cstheme="minorEastAsia"/>
          <w:b/>
          <w:color w:val="auto"/>
          <w:sz w:val="28"/>
          <w:szCs w:val="28"/>
          <w:highlight w:val="none"/>
        </w:rPr>
        <w:t>供应商参加政府采购活动前三年内在经营活动中没有重大违法记录和不良信用记录的书面声明</w:t>
      </w:r>
    </w:p>
    <w:p w14:paraId="2EBD5BFB">
      <w:pPr>
        <w:spacing w:line="480" w:lineRule="auto"/>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致：</w:t>
      </w:r>
      <w:r>
        <w:rPr>
          <w:rFonts w:hint="eastAsia" w:cs="宋体" w:asciiTheme="minorEastAsia" w:hAnsiTheme="minorEastAsia"/>
          <w:color w:val="auto"/>
          <w:kern w:val="0"/>
          <w:sz w:val="24"/>
          <w:highlight w:val="none"/>
          <w:u w:val="single"/>
        </w:rPr>
        <w:t xml:space="preserve">     (采购人名称)     </w:t>
      </w:r>
      <w:r>
        <w:rPr>
          <w:rFonts w:hint="eastAsia" w:cs="宋体" w:asciiTheme="minorEastAsia" w:hAnsiTheme="minorEastAsia"/>
          <w:color w:val="auto"/>
          <w:kern w:val="0"/>
          <w:sz w:val="24"/>
          <w:highlight w:val="none"/>
        </w:rPr>
        <w:t xml:space="preserve">             </w:t>
      </w:r>
    </w:p>
    <w:p w14:paraId="397C7615">
      <w:pPr>
        <w:spacing w:line="480" w:lineRule="auto"/>
        <w:ind w:firstLine="480" w:firstLineChars="200"/>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我单位在参加政府采购活动前三年内在经营活动中没有《中华人民共和国政府采购法》第二十二条第一款第(五)项所称重大违法记录，包括：</w:t>
      </w:r>
    </w:p>
    <w:p w14:paraId="5FFD63B7">
      <w:pPr>
        <w:spacing w:line="480" w:lineRule="auto"/>
        <w:ind w:firstLine="480" w:firstLineChars="200"/>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我单位或者其法定代表人、董事、监事、高级管理人员未因经营活动中的违法行为受到刑事处罚或者责令停产停业、吊销许可证或者执照、较大数额罚款等行政处罚。</w:t>
      </w:r>
    </w:p>
    <w:p w14:paraId="23A3BC61">
      <w:pPr>
        <w:spacing w:line="480" w:lineRule="auto"/>
        <w:ind w:firstLine="480" w:firstLineChars="200"/>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我单位在“信用中国”网站(www.creditchina.gov.cn)、中国政府采购网(www.ccgp.gov.cn)等渠道没有被列入失信被执行人、重大税收违法案件当事人名单、政府采购严重违法失信行为记录名单。</w:t>
      </w:r>
    </w:p>
    <w:p w14:paraId="15C9CF0B">
      <w:pPr>
        <w:spacing w:line="480" w:lineRule="auto"/>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特此声明！</w:t>
      </w:r>
    </w:p>
    <w:p w14:paraId="57DDA725">
      <w:pPr>
        <w:snapToGrid w:val="0"/>
        <w:spacing w:line="360" w:lineRule="auto"/>
        <w:rPr>
          <w:rFonts w:cs="宋体" w:asciiTheme="minorEastAsia" w:hAnsiTheme="minorEastAsia"/>
          <w:color w:val="auto"/>
          <w:sz w:val="24"/>
          <w:szCs w:val="24"/>
          <w:highlight w:val="none"/>
        </w:rPr>
      </w:pPr>
    </w:p>
    <w:p w14:paraId="5DD2EE39">
      <w:pPr>
        <w:pStyle w:val="16"/>
        <w:spacing w:line="440" w:lineRule="exact"/>
        <w:ind w:left="420" w:leftChars="200" w:firstLine="2280" w:firstLineChars="950"/>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供应商名称(公章)：</w:t>
      </w:r>
      <w:r>
        <w:rPr>
          <w:rFonts w:hint="eastAsia"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 xml:space="preserve"> </w:t>
      </w:r>
    </w:p>
    <w:p w14:paraId="5EF56D3A">
      <w:pPr>
        <w:snapToGrid w:val="0"/>
        <w:spacing w:line="360" w:lineRule="exact"/>
        <w:ind w:firstLine="3120" w:firstLineChars="1300"/>
        <w:rPr>
          <w:rFonts w:cs="宋体" w:asciiTheme="minorEastAsia" w:hAnsiTheme="minorEastAsia"/>
          <w:color w:val="auto"/>
          <w:sz w:val="24"/>
          <w:szCs w:val="24"/>
          <w:highlight w:val="none"/>
          <w:u w:val="single"/>
        </w:rPr>
      </w:pPr>
      <w:r>
        <w:rPr>
          <w:rFonts w:hint="eastAsia" w:cs="宋体" w:asciiTheme="minorEastAsia" w:hAnsiTheme="minorEastAsia"/>
          <w:color w:val="auto"/>
          <w:sz w:val="24"/>
          <w:szCs w:val="24"/>
          <w:highlight w:val="none"/>
        </w:rPr>
        <w:t>法定代表人或被授权人签字：</w:t>
      </w:r>
      <w:r>
        <w:rPr>
          <w:rFonts w:hint="eastAsia" w:cs="宋体" w:asciiTheme="minorEastAsia" w:hAnsiTheme="minorEastAsia"/>
          <w:color w:val="auto"/>
          <w:sz w:val="24"/>
          <w:szCs w:val="24"/>
          <w:highlight w:val="none"/>
          <w:u w:val="single"/>
        </w:rPr>
        <w:t xml:space="preserve">          </w:t>
      </w:r>
    </w:p>
    <w:p w14:paraId="03DC0843">
      <w:pPr>
        <w:pStyle w:val="16"/>
        <w:spacing w:line="440" w:lineRule="exact"/>
        <w:ind w:left="420" w:leftChars="200" w:firstLine="2280" w:firstLineChars="950"/>
        <w:rPr>
          <w:rFonts w:cs="宋体" w:asciiTheme="minorEastAsia" w:hAnsiTheme="minorEastAsia" w:eastAsiaTheme="minorEastAsia"/>
          <w:color w:val="auto"/>
          <w:sz w:val="24"/>
          <w:szCs w:val="24"/>
          <w:highlight w:val="none"/>
          <w:u w:val="single"/>
        </w:rPr>
      </w:pPr>
      <w:bookmarkStart w:id="1381" w:name="_Toc494380997"/>
      <w:bookmarkStart w:id="1382" w:name="_Toc494205633"/>
      <w:r>
        <w:rPr>
          <w:rFonts w:hint="eastAsia" w:cs="宋体" w:asciiTheme="minorEastAsia" w:hAnsiTheme="minorEastAsia" w:eastAsiaTheme="minorEastAsia"/>
          <w:color w:val="auto"/>
          <w:sz w:val="24"/>
          <w:szCs w:val="24"/>
          <w:highlight w:val="none"/>
        </w:rPr>
        <w:t>日  期：</w:t>
      </w:r>
      <w:bookmarkEnd w:id="1381"/>
      <w:bookmarkEnd w:id="1382"/>
      <w:r>
        <w:rPr>
          <w:rFonts w:hint="eastAsia" w:cs="宋体" w:asciiTheme="minorEastAsia" w:hAnsiTheme="minorEastAsia" w:eastAsiaTheme="minorEastAsia"/>
          <w:color w:val="auto"/>
          <w:sz w:val="24"/>
          <w:szCs w:val="24"/>
          <w:highlight w:val="none"/>
          <w:u w:val="single"/>
        </w:rPr>
        <w:t xml:space="preserve">   年    月   日</w:t>
      </w:r>
    </w:p>
    <w:p w14:paraId="7795B98C">
      <w:pPr>
        <w:pStyle w:val="37"/>
        <w:spacing w:before="0" w:after="0"/>
        <w:rPr>
          <w:rFonts w:asciiTheme="minorEastAsia" w:hAnsiTheme="minorEastAsia"/>
          <w:color w:val="auto"/>
          <w:spacing w:val="0"/>
          <w:highlight w:val="none"/>
        </w:rPr>
      </w:pPr>
    </w:p>
    <w:p w14:paraId="5ABA25DA">
      <w:pPr>
        <w:pStyle w:val="37"/>
        <w:spacing w:before="0" w:after="0"/>
        <w:rPr>
          <w:rFonts w:asciiTheme="minorEastAsia" w:hAnsiTheme="minorEastAsia"/>
          <w:color w:val="auto"/>
          <w:spacing w:val="0"/>
          <w:highlight w:val="none"/>
        </w:rPr>
      </w:pPr>
    </w:p>
    <w:bookmarkEnd w:id="1277"/>
    <w:bookmarkEnd w:id="1319"/>
    <w:bookmarkEnd w:id="1320"/>
    <w:bookmarkEnd w:id="1331"/>
    <w:bookmarkEnd w:id="1332"/>
    <w:bookmarkEnd w:id="1333"/>
    <w:bookmarkEnd w:id="1334"/>
    <w:bookmarkEnd w:id="1335"/>
    <w:p w14:paraId="0F10C43F">
      <w:pPr>
        <w:rPr>
          <w:rFonts w:asciiTheme="minorEastAsia" w:hAnsiTheme="minorEastAsia" w:cstheme="minorEastAsia"/>
          <w:b/>
          <w:color w:val="auto"/>
          <w:sz w:val="28"/>
          <w:highlight w:val="none"/>
        </w:rPr>
      </w:pPr>
      <w:bookmarkStart w:id="1383" w:name="_Toc25623"/>
      <w:bookmarkStart w:id="1384" w:name="_Toc6060"/>
      <w:bookmarkStart w:id="1385" w:name="_Toc304362809"/>
      <w:bookmarkStart w:id="1386" w:name="_Toc247292466"/>
      <w:bookmarkStart w:id="1387" w:name="_Toc255977454"/>
      <w:bookmarkStart w:id="1388" w:name="_Toc245445246"/>
      <w:bookmarkStart w:id="1389" w:name="_Toc247301852"/>
      <w:r>
        <w:rPr>
          <w:rFonts w:hint="eastAsia" w:asciiTheme="minorEastAsia" w:hAnsiTheme="minorEastAsia" w:cstheme="minorEastAsia"/>
          <w:b/>
          <w:color w:val="auto"/>
          <w:sz w:val="28"/>
          <w:highlight w:val="none"/>
        </w:rPr>
        <w:br w:type="page"/>
      </w:r>
    </w:p>
    <w:p w14:paraId="7A3ED7E0">
      <w:pPr>
        <w:jc w:val="center"/>
        <w:rPr>
          <w:rFonts w:eastAsia="宋体" w:cs="宋体"/>
          <w:b/>
          <w:color w:val="auto"/>
          <w:sz w:val="24"/>
          <w:szCs w:val="24"/>
          <w:highlight w:val="none"/>
        </w:rPr>
      </w:pPr>
      <w:bookmarkStart w:id="1390" w:name="_Toc12124"/>
      <w:bookmarkStart w:id="1391" w:name="_Toc97108123"/>
      <w:r>
        <w:rPr>
          <w:rFonts w:hint="eastAsia" w:asciiTheme="minorEastAsia" w:hAnsiTheme="minorEastAsia" w:cstheme="minorEastAsia"/>
          <w:b/>
          <w:color w:val="auto"/>
          <w:sz w:val="28"/>
          <w:highlight w:val="none"/>
        </w:rPr>
        <w:t>十二、供应商认为必要提供的声明及其它资料</w:t>
      </w:r>
    </w:p>
    <w:p w14:paraId="6A0B4308">
      <w:pPr>
        <w:pStyle w:val="16"/>
        <w:spacing w:line="480" w:lineRule="exact"/>
        <w:ind w:firstLine="480" w:firstLineChars="200"/>
        <w:rPr>
          <w:rFonts w:cs="宋体"/>
          <w:b/>
          <w:color w:val="auto"/>
          <w:sz w:val="24"/>
          <w:szCs w:val="24"/>
          <w:highlight w:val="none"/>
        </w:rPr>
      </w:pPr>
    </w:p>
    <w:p w14:paraId="5D501D0A">
      <w:pPr>
        <w:pStyle w:val="16"/>
        <w:spacing w:line="480" w:lineRule="exact"/>
        <w:ind w:firstLine="480" w:firstLineChars="200"/>
        <w:rPr>
          <w:rFonts w:cs="宋体"/>
          <w:b/>
          <w:color w:val="auto"/>
          <w:sz w:val="24"/>
          <w:szCs w:val="24"/>
          <w:highlight w:val="none"/>
        </w:rPr>
      </w:pPr>
      <w:r>
        <w:rPr>
          <w:rFonts w:hint="eastAsia" w:cs="宋体"/>
          <w:b/>
          <w:color w:val="auto"/>
          <w:sz w:val="24"/>
          <w:szCs w:val="24"/>
          <w:highlight w:val="none"/>
          <w:lang w:val="en-US" w:eastAsia="zh-CN"/>
        </w:rPr>
        <w:t>中小</w:t>
      </w:r>
      <w:r>
        <w:rPr>
          <w:rFonts w:cs="宋体"/>
          <w:b/>
          <w:color w:val="auto"/>
          <w:sz w:val="24"/>
          <w:szCs w:val="24"/>
          <w:highlight w:val="none"/>
        </w:rPr>
        <w:t>企业声明函</w:t>
      </w:r>
      <w:r>
        <w:rPr>
          <w:rFonts w:hint="eastAsia" w:cs="宋体"/>
          <w:b/>
          <w:color w:val="auto"/>
          <w:sz w:val="24"/>
          <w:szCs w:val="24"/>
          <w:highlight w:val="none"/>
        </w:rPr>
        <w:t>（</w:t>
      </w:r>
      <w:r>
        <w:rPr>
          <w:rFonts w:cs="宋体"/>
          <w:b/>
          <w:color w:val="auto"/>
          <w:sz w:val="24"/>
          <w:szCs w:val="24"/>
          <w:highlight w:val="none"/>
        </w:rPr>
        <w:t>格式</w:t>
      </w:r>
      <w:r>
        <w:rPr>
          <w:rFonts w:hint="eastAsia" w:cs="宋体"/>
          <w:b/>
          <w:color w:val="auto"/>
          <w:sz w:val="24"/>
          <w:szCs w:val="24"/>
          <w:highlight w:val="none"/>
        </w:rPr>
        <w:t>）</w:t>
      </w:r>
    </w:p>
    <w:p w14:paraId="5FAEE40A">
      <w:pPr>
        <w:pStyle w:val="16"/>
        <w:spacing w:line="480" w:lineRule="exact"/>
        <w:ind w:firstLine="480" w:firstLineChars="200"/>
        <w:jc w:val="center"/>
        <w:rPr>
          <w:rFonts w:cs="宋体"/>
          <w:b/>
          <w:color w:val="auto"/>
          <w:sz w:val="24"/>
          <w:szCs w:val="24"/>
          <w:highlight w:val="none"/>
        </w:rPr>
      </w:pPr>
      <w:r>
        <w:rPr>
          <w:rFonts w:hint="eastAsia" w:cs="宋体"/>
          <w:b/>
          <w:color w:val="auto"/>
          <w:sz w:val="24"/>
          <w:szCs w:val="24"/>
          <w:highlight w:val="none"/>
          <w:lang w:val="en-US" w:eastAsia="zh-CN"/>
        </w:rPr>
        <w:t>中小</w:t>
      </w:r>
      <w:r>
        <w:rPr>
          <w:rFonts w:cs="宋体"/>
          <w:b/>
          <w:color w:val="auto"/>
          <w:sz w:val="24"/>
          <w:szCs w:val="24"/>
          <w:highlight w:val="none"/>
        </w:rPr>
        <w:t>企业声明函</w:t>
      </w:r>
    </w:p>
    <w:p w14:paraId="700A4213">
      <w:pPr>
        <w:pStyle w:val="16"/>
        <w:spacing w:line="480" w:lineRule="exact"/>
        <w:ind w:firstLine="480" w:firstLineChars="200"/>
        <w:rPr>
          <w:rFonts w:cs="宋体"/>
          <w:b/>
          <w:color w:val="auto"/>
          <w:sz w:val="24"/>
          <w:szCs w:val="24"/>
          <w:highlight w:val="none"/>
        </w:rPr>
      </w:pPr>
      <w:r>
        <w:rPr>
          <w:rFonts w:cs="宋体"/>
          <w:b/>
          <w:color w:val="auto"/>
          <w:sz w:val="24"/>
          <w:szCs w:val="24"/>
          <w:highlight w:val="none"/>
        </w:rPr>
        <w:t>本公司（联合体）郑重声明，根据《政府采购促进中小企业发展管理办法》（财库﹝2020﹞46 号）的规定，本公司（联合体）参加 （单位名称） 的（项目名称）采购活动，提供的货物全部由符合政策要求的中小企业制造。相关企业（含联合体中的</w:t>
      </w:r>
      <w:r>
        <w:rPr>
          <w:rFonts w:hint="eastAsia" w:cs="宋体"/>
          <w:b/>
          <w:color w:val="auto"/>
          <w:sz w:val="24"/>
          <w:szCs w:val="24"/>
          <w:highlight w:val="none"/>
          <w:lang w:val="en-US" w:eastAsia="zh-CN"/>
        </w:rPr>
        <w:t>小微</w:t>
      </w:r>
      <w:r>
        <w:rPr>
          <w:rFonts w:cs="宋体"/>
          <w:b/>
          <w:color w:val="auto"/>
          <w:sz w:val="24"/>
          <w:szCs w:val="24"/>
          <w:highlight w:val="none"/>
        </w:rPr>
        <w:t>企业、签订分包意向协议的</w:t>
      </w:r>
      <w:r>
        <w:rPr>
          <w:rFonts w:hint="eastAsia" w:cs="宋体"/>
          <w:b/>
          <w:color w:val="auto"/>
          <w:sz w:val="24"/>
          <w:szCs w:val="24"/>
          <w:highlight w:val="none"/>
          <w:lang w:val="en-US" w:eastAsia="zh-CN"/>
        </w:rPr>
        <w:t>小微</w:t>
      </w:r>
      <w:r>
        <w:rPr>
          <w:rFonts w:cs="宋体"/>
          <w:b/>
          <w:color w:val="auto"/>
          <w:sz w:val="24"/>
          <w:szCs w:val="24"/>
          <w:highlight w:val="none"/>
        </w:rPr>
        <w:t>企业）的具体情况如下：</w:t>
      </w:r>
    </w:p>
    <w:p w14:paraId="767149EE">
      <w:pPr>
        <w:pStyle w:val="16"/>
        <w:spacing w:line="480" w:lineRule="exact"/>
        <w:ind w:firstLine="480" w:firstLineChars="200"/>
        <w:rPr>
          <w:rFonts w:cs="宋体"/>
          <w:b/>
          <w:color w:val="auto"/>
          <w:sz w:val="24"/>
          <w:szCs w:val="24"/>
          <w:highlight w:val="none"/>
        </w:rPr>
      </w:pPr>
      <w:r>
        <w:rPr>
          <w:rFonts w:cs="宋体"/>
          <w:b/>
          <w:color w:val="auto"/>
          <w:sz w:val="24"/>
          <w:szCs w:val="24"/>
          <w:highlight w:val="none"/>
        </w:rPr>
        <w:t>1.（标的名称），属于（采购文件中明确的所属行业）行业；制造商为（企业名称），从业人员 人，营业收入为 万元，资产总额为 万元，属于（</w:t>
      </w:r>
      <w:r>
        <w:rPr>
          <w:rFonts w:hint="eastAsia" w:cs="宋体"/>
          <w:b/>
          <w:color w:val="auto"/>
          <w:sz w:val="24"/>
          <w:szCs w:val="24"/>
          <w:highlight w:val="none"/>
          <w:lang w:val="en-US" w:eastAsia="zh-CN"/>
        </w:rPr>
        <w:t>中型企业、</w:t>
      </w:r>
      <w:r>
        <w:rPr>
          <w:rFonts w:cs="宋体"/>
          <w:b/>
          <w:color w:val="auto"/>
          <w:sz w:val="24"/>
          <w:szCs w:val="24"/>
          <w:highlight w:val="none"/>
        </w:rPr>
        <w:t>小型企业、微型企业）；</w:t>
      </w:r>
    </w:p>
    <w:p w14:paraId="1D478B41">
      <w:pPr>
        <w:pStyle w:val="16"/>
        <w:spacing w:line="480" w:lineRule="exact"/>
        <w:ind w:firstLine="480" w:firstLineChars="200"/>
        <w:rPr>
          <w:rFonts w:cs="宋体"/>
          <w:b/>
          <w:color w:val="auto"/>
          <w:sz w:val="24"/>
          <w:szCs w:val="24"/>
          <w:highlight w:val="none"/>
        </w:rPr>
      </w:pPr>
      <w:r>
        <w:rPr>
          <w:rFonts w:cs="宋体"/>
          <w:b/>
          <w:color w:val="auto"/>
          <w:sz w:val="24"/>
          <w:szCs w:val="24"/>
          <w:highlight w:val="none"/>
        </w:rPr>
        <w:t>2.（标的名称），属于（采购文件中明确的所属行业）行业；制造商为（企业名称），从业人员 人，营业收入为 万元，资产总额为 万元，属于（</w:t>
      </w:r>
      <w:r>
        <w:rPr>
          <w:rFonts w:hint="eastAsia" w:cs="宋体"/>
          <w:b/>
          <w:color w:val="auto"/>
          <w:sz w:val="24"/>
          <w:szCs w:val="24"/>
          <w:highlight w:val="none"/>
          <w:lang w:val="en-US" w:eastAsia="zh-CN"/>
        </w:rPr>
        <w:t>中型企业、</w:t>
      </w:r>
      <w:r>
        <w:rPr>
          <w:rFonts w:cs="宋体"/>
          <w:b/>
          <w:color w:val="auto"/>
          <w:sz w:val="24"/>
          <w:szCs w:val="24"/>
          <w:highlight w:val="none"/>
        </w:rPr>
        <w:t>小型企业、微型企业）；……</w:t>
      </w:r>
    </w:p>
    <w:p w14:paraId="36E3B1AD">
      <w:pPr>
        <w:pStyle w:val="16"/>
        <w:spacing w:line="480" w:lineRule="exact"/>
        <w:ind w:firstLine="480" w:firstLineChars="200"/>
        <w:rPr>
          <w:rFonts w:cs="宋体"/>
          <w:b/>
          <w:color w:val="auto"/>
          <w:sz w:val="24"/>
          <w:szCs w:val="24"/>
          <w:highlight w:val="none"/>
        </w:rPr>
      </w:pPr>
      <w:r>
        <w:rPr>
          <w:rFonts w:cs="宋体"/>
          <w:b/>
          <w:color w:val="auto"/>
          <w:sz w:val="24"/>
          <w:szCs w:val="24"/>
          <w:highlight w:val="none"/>
        </w:rPr>
        <w:t>以上企业，不属于大企业的分支机构，不存在控股股东为大企业的情形，也不存在与大企业的负责人为同一人的情形。</w:t>
      </w:r>
    </w:p>
    <w:p w14:paraId="2F70A652">
      <w:pPr>
        <w:pStyle w:val="16"/>
        <w:spacing w:line="480" w:lineRule="exact"/>
        <w:ind w:firstLine="480" w:firstLineChars="200"/>
        <w:rPr>
          <w:rFonts w:cs="宋体"/>
          <w:b/>
          <w:color w:val="auto"/>
          <w:sz w:val="24"/>
          <w:szCs w:val="24"/>
          <w:highlight w:val="none"/>
        </w:rPr>
      </w:pPr>
      <w:r>
        <w:rPr>
          <w:rFonts w:cs="宋体"/>
          <w:b/>
          <w:color w:val="auto"/>
          <w:sz w:val="24"/>
          <w:szCs w:val="24"/>
          <w:highlight w:val="none"/>
        </w:rPr>
        <w:t>本企业对上述声明内容的真实性负责。如有虚假，将依法承担相应责任。</w:t>
      </w:r>
    </w:p>
    <w:p w14:paraId="712DE7B3">
      <w:pPr>
        <w:pStyle w:val="16"/>
        <w:spacing w:line="480" w:lineRule="exact"/>
        <w:ind w:firstLine="480" w:firstLineChars="200"/>
        <w:jc w:val="right"/>
        <w:rPr>
          <w:rFonts w:cs="宋体"/>
          <w:b/>
          <w:color w:val="auto"/>
          <w:sz w:val="24"/>
          <w:szCs w:val="24"/>
          <w:highlight w:val="none"/>
        </w:rPr>
      </w:pPr>
      <w:r>
        <w:rPr>
          <w:rFonts w:cs="宋体"/>
          <w:b/>
          <w:color w:val="auto"/>
          <w:sz w:val="24"/>
          <w:szCs w:val="24"/>
          <w:highlight w:val="none"/>
        </w:rPr>
        <w:t>供应商名称（盖公章）：</w:t>
      </w:r>
    </w:p>
    <w:p w14:paraId="3865FFEF">
      <w:pPr>
        <w:pStyle w:val="16"/>
        <w:spacing w:line="480" w:lineRule="exact"/>
        <w:ind w:firstLine="480" w:firstLineChars="200"/>
        <w:jc w:val="right"/>
        <w:rPr>
          <w:rFonts w:cs="宋体"/>
          <w:b/>
          <w:color w:val="auto"/>
          <w:sz w:val="24"/>
          <w:szCs w:val="24"/>
          <w:highlight w:val="none"/>
        </w:rPr>
      </w:pPr>
      <w:r>
        <w:rPr>
          <w:rFonts w:cs="宋体"/>
          <w:b/>
          <w:color w:val="auto"/>
          <w:sz w:val="24"/>
          <w:szCs w:val="24"/>
          <w:highlight w:val="none"/>
        </w:rPr>
        <w:t>日期： 年 月 日</w:t>
      </w:r>
    </w:p>
    <w:p w14:paraId="787061DF">
      <w:pPr>
        <w:pStyle w:val="16"/>
        <w:spacing w:line="480" w:lineRule="exact"/>
        <w:ind w:firstLine="480" w:firstLineChars="200"/>
        <w:jc w:val="right"/>
        <w:rPr>
          <w:rFonts w:cs="宋体"/>
          <w:b/>
          <w:color w:val="auto"/>
          <w:sz w:val="24"/>
          <w:szCs w:val="24"/>
          <w:highlight w:val="none"/>
        </w:rPr>
      </w:pPr>
    </w:p>
    <w:p w14:paraId="08B43657">
      <w:pPr>
        <w:pStyle w:val="16"/>
        <w:spacing w:line="480" w:lineRule="exact"/>
        <w:ind w:firstLine="480" w:firstLineChars="200"/>
        <w:rPr>
          <w:rFonts w:cs="宋体"/>
          <w:b/>
          <w:color w:val="auto"/>
          <w:sz w:val="24"/>
          <w:szCs w:val="24"/>
          <w:highlight w:val="none"/>
        </w:rPr>
      </w:pPr>
      <w:r>
        <w:rPr>
          <w:rFonts w:cs="宋体"/>
          <w:b/>
          <w:color w:val="auto"/>
          <w:sz w:val="24"/>
          <w:szCs w:val="24"/>
          <w:highlight w:val="none"/>
        </w:rPr>
        <w:t>注：享受《政府采购促进中小企业发展管理办法》（财库〔2020〕46 号）规定的中小企业扶持政策的，采购人或者采购代理机构应当随成交结果公开成交供应商的《中小企业声明函》，接受社会监督。从业人员、营业收入、资产总额填报上一年度数据，无上一年度数据的新成立企业可不填报。</w:t>
      </w:r>
    </w:p>
    <w:p w14:paraId="311AEF0B">
      <w:pPr>
        <w:pStyle w:val="16"/>
        <w:spacing w:line="480" w:lineRule="exact"/>
        <w:ind w:firstLine="480" w:firstLineChars="200"/>
        <w:rPr>
          <w:rFonts w:cs="宋体"/>
          <w:b/>
          <w:color w:val="auto"/>
          <w:sz w:val="24"/>
          <w:szCs w:val="24"/>
          <w:highlight w:val="none"/>
        </w:rPr>
      </w:pPr>
    </w:p>
    <w:p w14:paraId="7DA0A044">
      <w:pPr>
        <w:pStyle w:val="16"/>
        <w:spacing w:line="480" w:lineRule="exact"/>
        <w:ind w:firstLine="480" w:firstLineChars="200"/>
        <w:rPr>
          <w:rFonts w:cs="宋体"/>
          <w:b/>
          <w:color w:val="auto"/>
          <w:sz w:val="24"/>
          <w:szCs w:val="24"/>
          <w:highlight w:val="none"/>
        </w:rPr>
      </w:pPr>
    </w:p>
    <w:p w14:paraId="4E07204A">
      <w:pPr>
        <w:pStyle w:val="16"/>
        <w:spacing w:line="480" w:lineRule="exact"/>
        <w:ind w:firstLine="480" w:firstLineChars="200"/>
        <w:rPr>
          <w:rFonts w:cs="宋体"/>
          <w:b/>
          <w:color w:val="auto"/>
          <w:sz w:val="24"/>
          <w:szCs w:val="24"/>
          <w:highlight w:val="none"/>
        </w:rPr>
      </w:pPr>
    </w:p>
    <w:p w14:paraId="5DDD29C8">
      <w:pPr>
        <w:pStyle w:val="16"/>
        <w:spacing w:line="480" w:lineRule="exact"/>
        <w:ind w:firstLine="480" w:firstLineChars="200"/>
        <w:rPr>
          <w:rFonts w:cs="宋体"/>
          <w:b/>
          <w:color w:val="auto"/>
          <w:sz w:val="24"/>
          <w:szCs w:val="24"/>
          <w:highlight w:val="none"/>
        </w:rPr>
      </w:pPr>
    </w:p>
    <w:p w14:paraId="00B5E0AF">
      <w:pPr>
        <w:pStyle w:val="16"/>
        <w:spacing w:line="480" w:lineRule="exact"/>
        <w:rPr>
          <w:rFonts w:cs="宋体"/>
          <w:b/>
          <w:color w:val="auto"/>
          <w:sz w:val="24"/>
          <w:szCs w:val="24"/>
          <w:highlight w:val="none"/>
        </w:rPr>
      </w:pPr>
    </w:p>
    <w:p w14:paraId="55DB5BB9">
      <w:pPr>
        <w:snapToGrid w:val="0"/>
        <w:spacing w:before="50" w:afterLines="50" w:line="480" w:lineRule="exact"/>
        <w:ind w:firstLine="480" w:firstLineChars="200"/>
        <w:rPr>
          <w:rFonts w:ascii="宋体" w:hAnsi="宋体" w:cs="宋体"/>
          <w:b/>
          <w:color w:val="auto"/>
          <w:sz w:val="24"/>
          <w:highlight w:val="none"/>
        </w:rPr>
      </w:pPr>
      <w:bookmarkStart w:id="1392" w:name="OLE_LINK13"/>
      <w:bookmarkStart w:id="1393" w:name="OLE_LINK14"/>
      <w:r>
        <w:rPr>
          <w:rFonts w:hint="eastAsia" w:ascii="宋体" w:hAnsi="宋体" w:cs="宋体"/>
          <w:b/>
          <w:color w:val="auto"/>
          <w:sz w:val="24"/>
          <w:highlight w:val="none"/>
        </w:rPr>
        <w:t>残疾人福利性单位声明函（格式）：</w:t>
      </w:r>
    </w:p>
    <w:p w14:paraId="1901A042">
      <w:pPr>
        <w:snapToGrid w:val="0"/>
        <w:spacing w:before="50" w:afterLines="50" w:line="480" w:lineRule="exact"/>
        <w:ind w:firstLine="480" w:firstLineChars="200"/>
        <w:rPr>
          <w:rFonts w:ascii="宋体" w:hAnsi="宋体" w:cs="宋体"/>
          <w:b/>
          <w:color w:val="auto"/>
          <w:sz w:val="24"/>
          <w:highlight w:val="none"/>
        </w:rPr>
      </w:pPr>
    </w:p>
    <w:p w14:paraId="213D9D51">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残疾人福利性单位声明函</w:t>
      </w:r>
    </w:p>
    <w:bookmarkEnd w:id="1392"/>
    <w:bookmarkEnd w:id="1393"/>
    <w:p w14:paraId="36F3DF8B">
      <w:pPr>
        <w:spacing w:line="480" w:lineRule="exact"/>
        <w:rPr>
          <w:rFonts w:ascii="宋体" w:hAnsi="宋体" w:cs="宋体"/>
          <w:color w:val="auto"/>
          <w:spacing w:val="6"/>
          <w:sz w:val="24"/>
          <w:highlight w:val="none"/>
        </w:rPr>
      </w:pPr>
    </w:p>
    <w:p w14:paraId="0E049C00">
      <w:pPr>
        <w:spacing w:line="48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本单位郑重声明，根据《财政部 民政部 中国残疾人联合会关于促进残疾人就业政府采购政策的通知》（财库</w:t>
      </w:r>
      <w:r>
        <w:rPr>
          <w:rFonts w:hint="eastAsia" w:ascii="宋体" w:hAnsi="宋体" w:cs="宋体"/>
          <w:color w:val="auto"/>
          <w:sz w:val="24"/>
          <w:highlight w:val="none"/>
        </w:rPr>
        <w:t>〔2017〕 141</w:t>
      </w:r>
      <w:r>
        <w:rPr>
          <w:rFonts w:hint="eastAsia" w:ascii="宋体" w:hAnsi="宋体" w:cs="宋体"/>
          <w:color w:val="auto"/>
          <w:spacing w:val="6"/>
          <w:sz w:val="24"/>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AE60CF6">
      <w:pPr>
        <w:spacing w:line="48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本单位对上述声明的真实性负责。如有虚假，将依法承担相应责任。</w:t>
      </w:r>
    </w:p>
    <w:p w14:paraId="76CEAE1A">
      <w:pPr>
        <w:spacing w:line="480" w:lineRule="exact"/>
        <w:ind w:firstLine="504" w:firstLineChars="200"/>
        <w:rPr>
          <w:rFonts w:ascii="宋体" w:hAnsi="宋体" w:cs="宋体"/>
          <w:color w:val="auto"/>
          <w:spacing w:val="6"/>
          <w:sz w:val="24"/>
          <w:highlight w:val="none"/>
        </w:rPr>
      </w:pPr>
    </w:p>
    <w:p w14:paraId="4B840A14">
      <w:pPr>
        <w:tabs>
          <w:tab w:val="left" w:pos="4860"/>
        </w:tabs>
        <w:spacing w:line="480" w:lineRule="exact"/>
        <w:ind w:right="1560" w:firstLine="504" w:firstLineChars="200"/>
        <w:jc w:val="center"/>
        <w:rPr>
          <w:rFonts w:ascii="宋体" w:hAnsi="宋体" w:cs="宋体"/>
          <w:color w:val="auto"/>
          <w:spacing w:val="6"/>
          <w:sz w:val="24"/>
          <w:highlight w:val="none"/>
        </w:rPr>
      </w:pPr>
      <w:r>
        <w:rPr>
          <w:rFonts w:hint="eastAsia" w:ascii="宋体" w:hAnsi="宋体" w:cs="宋体"/>
          <w:color w:val="auto"/>
          <w:spacing w:val="6"/>
          <w:sz w:val="24"/>
          <w:highlight w:val="none"/>
        </w:rPr>
        <w:t xml:space="preserve">               单位名称（盖章）：</w:t>
      </w:r>
    </w:p>
    <w:p w14:paraId="4EB4DC03">
      <w:pPr>
        <w:tabs>
          <w:tab w:val="left" w:pos="4860"/>
        </w:tabs>
        <w:spacing w:line="480" w:lineRule="exact"/>
        <w:ind w:right="1560" w:firstLine="504" w:firstLineChars="200"/>
        <w:jc w:val="center"/>
        <w:rPr>
          <w:rFonts w:ascii="宋体" w:hAnsi="宋体" w:cs="宋体"/>
          <w:b/>
          <w:color w:val="auto"/>
          <w:sz w:val="24"/>
          <w:highlight w:val="none"/>
        </w:rPr>
      </w:pPr>
      <w:r>
        <w:rPr>
          <w:rFonts w:hint="eastAsia" w:ascii="宋体" w:hAnsi="宋体" w:cs="宋体"/>
          <w:color w:val="auto"/>
          <w:spacing w:val="6"/>
          <w:sz w:val="24"/>
          <w:highlight w:val="none"/>
        </w:rPr>
        <w:t xml:space="preserve">       日  期：</w:t>
      </w:r>
    </w:p>
    <w:p w14:paraId="27ADB5AE">
      <w:pPr>
        <w:spacing w:line="480" w:lineRule="exact"/>
        <w:rPr>
          <w:rFonts w:ascii="宋体" w:hAnsi="宋体" w:cs="宋体"/>
          <w:b/>
          <w:color w:val="auto"/>
          <w:sz w:val="24"/>
          <w:highlight w:val="none"/>
        </w:rPr>
      </w:pPr>
    </w:p>
    <w:p w14:paraId="5771E1A3">
      <w:pPr>
        <w:spacing w:line="400" w:lineRule="exact"/>
        <w:rPr>
          <w:rFonts w:ascii="宋体" w:hAnsi="宋体" w:cs="宋体"/>
          <w:bCs/>
          <w:color w:val="auto"/>
          <w:sz w:val="24"/>
          <w:highlight w:val="none"/>
        </w:rPr>
      </w:pPr>
      <w:r>
        <w:rPr>
          <w:rFonts w:hint="eastAsia" w:ascii="宋体" w:hAnsi="宋体" w:cs="宋体"/>
          <w:b/>
          <w:color w:val="auto"/>
          <w:sz w:val="24"/>
          <w:highlight w:val="none"/>
        </w:rPr>
        <w:t>备注：</w:t>
      </w:r>
      <w:r>
        <w:rPr>
          <w:rFonts w:hint="eastAsia" w:ascii="宋体" w:hAnsi="宋体" w:cs="宋体"/>
          <w:bCs/>
          <w:color w:val="auto"/>
          <w:sz w:val="24"/>
          <w:highlight w:val="none"/>
        </w:rPr>
        <w:t>享受政府采购支持政策的残疾人福利性单位应当同时满足以下条件：</w:t>
      </w:r>
    </w:p>
    <w:p w14:paraId="00F61DE7">
      <w:pPr>
        <w:spacing w:line="400" w:lineRule="exact"/>
        <w:rPr>
          <w:rFonts w:ascii="宋体" w:hAnsi="宋体" w:cs="宋体"/>
          <w:bCs/>
          <w:color w:val="auto"/>
          <w:sz w:val="24"/>
          <w:highlight w:val="none"/>
        </w:rPr>
      </w:pPr>
      <w:r>
        <w:rPr>
          <w:rFonts w:hint="eastAsia" w:ascii="宋体" w:hAnsi="宋体" w:cs="宋体"/>
          <w:bCs/>
          <w:color w:val="auto"/>
          <w:sz w:val="24"/>
          <w:highlight w:val="none"/>
        </w:rPr>
        <w:t>（一）安置的残疾人占本单位在职职工人数的比例不低于25%（含25%），并且安置的残疾人人数不少于10人（含10人）；</w:t>
      </w:r>
    </w:p>
    <w:p w14:paraId="237FF9D6">
      <w:pPr>
        <w:spacing w:line="400" w:lineRule="exact"/>
        <w:rPr>
          <w:rFonts w:ascii="宋体" w:hAnsi="宋体" w:cs="宋体"/>
          <w:bCs/>
          <w:color w:val="auto"/>
          <w:sz w:val="24"/>
          <w:highlight w:val="none"/>
        </w:rPr>
      </w:pPr>
      <w:r>
        <w:rPr>
          <w:rFonts w:hint="eastAsia" w:ascii="宋体" w:hAnsi="宋体" w:cs="宋体"/>
          <w:bCs/>
          <w:color w:val="auto"/>
          <w:sz w:val="24"/>
          <w:highlight w:val="none"/>
        </w:rPr>
        <w:t>（二）依法与安置的每位残疾人签订了一年以上（含一年）的劳动合同或服务协议；</w:t>
      </w:r>
    </w:p>
    <w:p w14:paraId="76765519">
      <w:pPr>
        <w:spacing w:line="400" w:lineRule="exact"/>
        <w:rPr>
          <w:rFonts w:ascii="宋体" w:hAnsi="宋体" w:cs="宋体"/>
          <w:bCs/>
          <w:color w:val="auto"/>
          <w:sz w:val="24"/>
          <w:highlight w:val="none"/>
        </w:rPr>
      </w:pPr>
      <w:r>
        <w:rPr>
          <w:rFonts w:hint="eastAsia" w:ascii="宋体" w:hAnsi="宋体" w:cs="宋体"/>
          <w:bCs/>
          <w:color w:val="auto"/>
          <w:sz w:val="24"/>
          <w:highlight w:val="none"/>
        </w:rPr>
        <w:t>（三）为安置的每位残疾人按月足额缴纳了基本养老保险、基本医疗保险、失业保险、工伤保险和生育保险等社会保险费；</w:t>
      </w:r>
    </w:p>
    <w:p w14:paraId="6EC9007C">
      <w:pPr>
        <w:spacing w:line="400" w:lineRule="exact"/>
        <w:rPr>
          <w:rFonts w:ascii="宋体" w:hAnsi="宋体" w:cs="宋体"/>
          <w:bCs/>
          <w:color w:val="auto"/>
          <w:sz w:val="24"/>
          <w:highlight w:val="none"/>
        </w:rPr>
      </w:pPr>
      <w:r>
        <w:rPr>
          <w:rFonts w:hint="eastAsia" w:ascii="宋体" w:hAnsi="宋体" w:cs="宋体"/>
          <w:bCs/>
          <w:color w:val="auto"/>
          <w:sz w:val="24"/>
          <w:highlight w:val="none"/>
        </w:rPr>
        <w:t>（四）通过银行等金融机构向安置的每位残疾人，按月支付了不低于单位所在区县适用的经省级人民政府批准的月最低工资标准的工资；</w:t>
      </w:r>
    </w:p>
    <w:p w14:paraId="5B7862B8">
      <w:pPr>
        <w:spacing w:line="400" w:lineRule="exact"/>
        <w:rPr>
          <w:rFonts w:ascii="宋体" w:hAnsi="宋体" w:cs="宋体"/>
          <w:bCs/>
          <w:color w:val="auto"/>
          <w:sz w:val="24"/>
          <w:highlight w:val="none"/>
        </w:rPr>
      </w:pPr>
      <w:r>
        <w:rPr>
          <w:rFonts w:hint="eastAsia" w:ascii="宋体" w:hAnsi="宋体" w:cs="宋体"/>
          <w:bCs/>
          <w:color w:val="auto"/>
          <w:sz w:val="24"/>
          <w:highlight w:val="none"/>
        </w:rPr>
        <w:t>（五）提供本单位制造的货物、承担的工程或者服务（以下简称产品），或者提供其他残疾人福利性单位制造的货物（不包括使用非残疾人福利性单位注册商标的货物）。</w:t>
      </w:r>
    </w:p>
    <w:p w14:paraId="76BB1691">
      <w:pPr>
        <w:spacing w:line="400" w:lineRule="exact"/>
        <w:rPr>
          <w:rFonts w:ascii="宋体" w:hAnsi="宋体" w:cs="宋体"/>
          <w:b/>
          <w:color w:val="auto"/>
          <w:sz w:val="24"/>
          <w:highlight w:val="none"/>
        </w:rPr>
      </w:pPr>
      <w:r>
        <w:rPr>
          <w:rFonts w:hint="eastAsia" w:ascii="宋体" w:hAnsi="宋体" w:cs="宋体"/>
          <w:bCs/>
          <w:color w:val="auto"/>
          <w:sz w:val="24"/>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527C5040">
      <w:pPr>
        <w:rPr>
          <w:color w:val="auto"/>
          <w:highlight w:val="none"/>
        </w:rPr>
      </w:pPr>
    </w:p>
    <w:p w14:paraId="4E396DF4">
      <w:pPr>
        <w:pStyle w:val="3"/>
        <w:spacing w:line="360" w:lineRule="auto"/>
        <w:rPr>
          <w:rFonts w:asciiTheme="minorEastAsia" w:hAnsiTheme="minorEastAsia" w:cstheme="minorEastAsia"/>
          <w:color w:val="auto"/>
          <w:sz w:val="36"/>
          <w:highlight w:val="none"/>
        </w:rPr>
      </w:pPr>
      <w:bookmarkStart w:id="1394" w:name="_Toc7528"/>
      <w:bookmarkStart w:id="1395" w:name="_Toc28569"/>
      <w:r>
        <w:rPr>
          <w:rFonts w:hint="eastAsia" w:asciiTheme="minorEastAsia" w:hAnsiTheme="minorEastAsia" w:cstheme="minorEastAsia"/>
          <w:color w:val="auto"/>
          <w:sz w:val="36"/>
          <w:highlight w:val="none"/>
        </w:rPr>
        <w:t>二、  商务及技术部分</w:t>
      </w:r>
      <w:bookmarkEnd w:id="1390"/>
      <w:bookmarkEnd w:id="1391"/>
      <w:bookmarkEnd w:id="1394"/>
      <w:bookmarkEnd w:id="1395"/>
    </w:p>
    <w:p w14:paraId="2B9DA0C6">
      <w:pPr>
        <w:pStyle w:val="4"/>
        <w:spacing w:line="360" w:lineRule="auto"/>
        <w:jc w:val="center"/>
        <w:rPr>
          <w:rFonts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封面格式</w:t>
      </w:r>
    </w:p>
    <w:tbl>
      <w:tblPr>
        <w:tblStyle w:val="28"/>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7F5A9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4" w:hRule="atLeast"/>
        </w:trPr>
        <w:tc>
          <w:tcPr>
            <w:tcW w:w="9180" w:type="dxa"/>
          </w:tcPr>
          <w:p w14:paraId="24491C4B">
            <w:pPr>
              <w:adjustRightInd w:val="0"/>
              <w:spacing w:line="360" w:lineRule="auto"/>
              <w:jc w:val="center"/>
              <w:rPr>
                <w:rFonts w:asciiTheme="minorEastAsia" w:hAnsiTheme="minorEastAsia" w:cstheme="minorEastAsia"/>
                <w:b/>
                <w:color w:val="auto"/>
                <w:kern w:val="0"/>
                <w:sz w:val="44"/>
                <w:highlight w:val="none"/>
              </w:rPr>
            </w:pPr>
          </w:p>
          <w:p w14:paraId="36BAF3A9">
            <w:pPr>
              <w:adjustRightInd w:val="0"/>
              <w:spacing w:line="360" w:lineRule="auto"/>
              <w:jc w:val="center"/>
              <w:rPr>
                <w:rFonts w:asciiTheme="minorEastAsia" w:hAnsiTheme="minorEastAsia" w:cstheme="minorEastAsia"/>
                <w:b/>
                <w:color w:val="auto"/>
                <w:kern w:val="0"/>
                <w:sz w:val="44"/>
                <w:highlight w:val="none"/>
              </w:rPr>
            </w:pPr>
          </w:p>
          <w:p w14:paraId="21EE7553">
            <w:pPr>
              <w:adjustRightInd w:val="0"/>
              <w:spacing w:line="360" w:lineRule="auto"/>
              <w:jc w:val="center"/>
              <w:outlineLvl w:val="0"/>
              <w:rPr>
                <w:rFonts w:asciiTheme="minorEastAsia" w:hAnsiTheme="minorEastAsia" w:cstheme="minorEastAsia"/>
                <w:b/>
                <w:color w:val="auto"/>
                <w:kern w:val="0"/>
                <w:sz w:val="36"/>
                <w:highlight w:val="none"/>
              </w:rPr>
            </w:pPr>
            <w:r>
              <w:rPr>
                <w:rFonts w:hint="eastAsia" w:asciiTheme="minorEastAsia" w:hAnsiTheme="minorEastAsia" w:cstheme="minorEastAsia"/>
                <w:b/>
                <w:color w:val="auto"/>
                <w:kern w:val="0"/>
                <w:sz w:val="36"/>
                <w:highlight w:val="none"/>
                <w:u w:val="single"/>
              </w:rPr>
              <w:t xml:space="preserve">                        </w:t>
            </w:r>
            <w:bookmarkStart w:id="1396" w:name="_Toc29671"/>
            <w:bookmarkStart w:id="1397" w:name="_Toc2745"/>
            <w:bookmarkStart w:id="1398" w:name="_Toc25912"/>
            <w:bookmarkStart w:id="1399" w:name="_Toc97108124"/>
            <w:r>
              <w:rPr>
                <w:rFonts w:hint="eastAsia" w:asciiTheme="minorEastAsia" w:hAnsiTheme="minorEastAsia" w:cstheme="minorEastAsia"/>
                <w:b/>
                <w:color w:val="auto"/>
                <w:kern w:val="0"/>
                <w:sz w:val="36"/>
                <w:highlight w:val="none"/>
              </w:rPr>
              <w:t>工程</w:t>
            </w:r>
            <w:bookmarkEnd w:id="1396"/>
            <w:bookmarkEnd w:id="1397"/>
            <w:bookmarkEnd w:id="1398"/>
            <w:bookmarkEnd w:id="1399"/>
          </w:p>
          <w:p w14:paraId="052FDBB6">
            <w:pPr>
              <w:adjustRightInd w:val="0"/>
              <w:spacing w:line="360" w:lineRule="auto"/>
              <w:jc w:val="center"/>
              <w:rPr>
                <w:rFonts w:asciiTheme="minorEastAsia" w:hAnsiTheme="minorEastAsia" w:cstheme="minorEastAsia"/>
                <w:b/>
                <w:color w:val="auto"/>
                <w:kern w:val="0"/>
                <w:sz w:val="24"/>
                <w:highlight w:val="none"/>
              </w:rPr>
            </w:pPr>
          </w:p>
          <w:p w14:paraId="74E3D6E2">
            <w:pPr>
              <w:adjustRightInd w:val="0"/>
              <w:spacing w:line="360" w:lineRule="auto"/>
              <w:jc w:val="center"/>
              <w:rPr>
                <w:rFonts w:asciiTheme="minorEastAsia" w:hAnsiTheme="minorEastAsia" w:cstheme="minorEastAsia"/>
                <w:color w:val="auto"/>
                <w:kern w:val="0"/>
                <w:sz w:val="24"/>
                <w:highlight w:val="none"/>
              </w:rPr>
            </w:pPr>
          </w:p>
          <w:p w14:paraId="3A95603C">
            <w:pPr>
              <w:adjustRightInd w:val="0"/>
              <w:spacing w:line="360" w:lineRule="auto"/>
              <w:jc w:val="center"/>
              <w:rPr>
                <w:rFonts w:asciiTheme="minorEastAsia" w:hAnsiTheme="minorEastAsia" w:cstheme="minorEastAsia"/>
                <w:color w:val="auto"/>
                <w:kern w:val="0"/>
                <w:sz w:val="24"/>
                <w:highlight w:val="none"/>
              </w:rPr>
            </w:pPr>
          </w:p>
          <w:p w14:paraId="2B6932FB">
            <w:pPr>
              <w:adjustRightInd w:val="0"/>
              <w:spacing w:line="360" w:lineRule="auto"/>
              <w:jc w:val="center"/>
              <w:outlineLvl w:val="0"/>
              <w:rPr>
                <w:rFonts w:asciiTheme="minorEastAsia" w:hAnsiTheme="minorEastAsia" w:cstheme="minorEastAsia"/>
                <w:b/>
                <w:color w:val="auto"/>
                <w:kern w:val="0"/>
                <w:sz w:val="72"/>
                <w:highlight w:val="none"/>
              </w:rPr>
            </w:pPr>
            <w:bookmarkStart w:id="1400" w:name="_Toc21537"/>
            <w:bookmarkStart w:id="1401" w:name="_Toc32677"/>
            <w:bookmarkStart w:id="1402" w:name="_Toc6273"/>
            <w:bookmarkStart w:id="1403" w:name="_Toc97108125"/>
            <w:r>
              <w:rPr>
                <w:rFonts w:hint="eastAsia" w:asciiTheme="minorEastAsia" w:hAnsiTheme="minorEastAsia" w:cstheme="minorEastAsia"/>
                <w:b/>
                <w:color w:val="auto"/>
                <w:kern w:val="0"/>
                <w:sz w:val="72"/>
                <w:highlight w:val="none"/>
              </w:rPr>
              <w:t>响 应 文 件</w:t>
            </w:r>
            <w:bookmarkEnd w:id="1400"/>
            <w:bookmarkEnd w:id="1401"/>
            <w:bookmarkEnd w:id="1402"/>
            <w:bookmarkEnd w:id="1403"/>
          </w:p>
          <w:p w14:paraId="50EB8D67">
            <w:pPr>
              <w:adjustRightInd w:val="0"/>
              <w:spacing w:line="360" w:lineRule="auto"/>
              <w:jc w:val="center"/>
              <w:rPr>
                <w:rFonts w:asciiTheme="minorEastAsia" w:hAnsiTheme="minorEastAsia" w:cstheme="minorEastAsia"/>
                <w:color w:val="auto"/>
                <w:kern w:val="0"/>
                <w:sz w:val="24"/>
                <w:highlight w:val="none"/>
              </w:rPr>
            </w:pPr>
          </w:p>
          <w:p w14:paraId="2D367E53">
            <w:pPr>
              <w:adjustRightInd w:val="0"/>
              <w:spacing w:line="360" w:lineRule="auto"/>
              <w:jc w:val="center"/>
              <w:rPr>
                <w:rFonts w:asciiTheme="minorEastAsia" w:hAnsiTheme="minorEastAsia" w:cstheme="minorEastAsia"/>
                <w:color w:val="auto"/>
                <w:kern w:val="0"/>
                <w:sz w:val="24"/>
                <w:highlight w:val="none"/>
              </w:rPr>
            </w:pPr>
          </w:p>
          <w:p w14:paraId="1D48687B">
            <w:pPr>
              <w:adjustRightInd w:val="0"/>
              <w:spacing w:line="360" w:lineRule="auto"/>
              <w:jc w:val="center"/>
              <w:rPr>
                <w:rFonts w:asciiTheme="minorEastAsia" w:hAnsiTheme="minorEastAsia" w:cstheme="minorEastAsia"/>
                <w:color w:val="auto"/>
                <w:kern w:val="0"/>
                <w:sz w:val="24"/>
                <w:highlight w:val="none"/>
              </w:rPr>
            </w:pPr>
          </w:p>
          <w:p w14:paraId="1F5601C2">
            <w:pPr>
              <w:adjustRightInd w:val="0"/>
              <w:spacing w:line="360" w:lineRule="auto"/>
              <w:jc w:val="center"/>
              <w:rPr>
                <w:rFonts w:asciiTheme="minorEastAsia" w:hAnsiTheme="minorEastAsia" w:cstheme="minorEastAsia"/>
                <w:color w:val="auto"/>
                <w:kern w:val="0"/>
                <w:sz w:val="24"/>
                <w:highlight w:val="none"/>
              </w:rPr>
            </w:pPr>
          </w:p>
          <w:p w14:paraId="3A8D6FB4">
            <w:pPr>
              <w:adjustRightInd w:val="0"/>
              <w:spacing w:line="360" w:lineRule="auto"/>
              <w:jc w:val="center"/>
              <w:rPr>
                <w:rFonts w:asciiTheme="minorEastAsia" w:hAnsiTheme="minorEastAsia" w:cstheme="minorEastAsia"/>
                <w:color w:val="auto"/>
                <w:kern w:val="0"/>
                <w:sz w:val="24"/>
                <w:highlight w:val="none"/>
              </w:rPr>
            </w:pPr>
          </w:p>
          <w:p w14:paraId="36985279">
            <w:pPr>
              <w:adjustRightInd w:val="0"/>
              <w:spacing w:line="360" w:lineRule="auto"/>
              <w:jc w:val="center"/>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 xml:space="preserve">   </w:t>
            </w:r>
          </w:p>
          <w:p w14:paraId="1B94842D">
            <w:pPr>
              <w:adjustRightInd w:val="0"/>
              <w:spacing w:line="360" w:lineRule="auto"/>
              <w:ind w:firstLine="560" w:firstLineChars="200"/>
              <w:outlineLvl w:val="0"/>
              <w:rPr>
                <w:rFonts w:asciiTheme="minorEastAsia" w:hAnsiTheme="minorEastAsia" w:cstheme="minorEastAsia"/>
                <w:color w:val="auto"/>
                <w:kern w:val="0"/>
                <w:sz w:val="28"/>
                <w:highlight w:val="none"/>
                <w:u w:val="single"/>
              </w:rPr>
            </w:pPr>
            <w:bookmarkStart w:id="1404" w:name="_Toc97108126"/>
            <w:bookmarkStart w:id="1405" w:name="_Toc14194"/>
            <w:bookmarkStart w:id="1406" w:name="_Toc14768"/>
            <w:bookmarkStart w:id="1407" w:name="_Toc24000"/>
            <w:r>
              <w:rPr>
                <w:rFonts w:hint="eastAsia" w:asciiTheme="minorEastAsia" w:hAnsiTheme="minorEastAsia" w:cstheme="minorEastAsia"/>
                <w:color w:val="auto"/>
                <w:kern w:val="0"/>
                <w:sz w:val="28"/>
                <w:highlight w:val="none"/>
              </w:rPr>
              <w:t>项目名称：</w:t>
            </w:r>
            <w:bookmarkEnd w:id="1404"/>
            <w:bookmarkEnd w:id="1405"/>
            <w:bookmarkEnd w:id="1406"/>
            <w:bookmarkEnd w:id="1407"/>
            <w:r>
              <w:rPr>
                <w:rFonts w:hint="eastAsia" w:asciiTheme="minorEastAsia" w:hAnsiTheme="minorEastAsia" w:cstheme="minorEastAsia"/>
                <w:color w:val="auto"/>
                <w:kern w:val="0"/>
                <w:sz w:val="28"/>
                <w:highlight w:val="none"/>
                <w:u w:val="single"/>
              </w:rPr>
              <w:t xml:space="preserve">                                              </w:t>
            </w:r>
          </w:p>
          <w:p w14:paraId="55E348B1">
            <w:pPr>
              <w:adjustRightInd w:val="0"/>
              <w:spacing w:line="360" w:lineRule="auto"/>
              <w:rPr>
                <w:rFonts w:asciiTheme="minorEastAsia" w:hAnsiTheme="minorEastAsia" w:cstheme="minorEastAsia"/>
                <w:color w:val="auto"/>
                <w:kern w:val="0"/>
                <w:sz w:val="28"/>
                <w:highlight w:val="none"/>
              </w:rPr>
            </w:pPr>
            <w:r>
              <w:rPr>
                <w:rFonts w:hint="eastAsia" w:asciiTheme="minorEastAsia" w:hAnsiTheme="minorEastAsia" w:cstheme="minorEastAsia"/>
                <w:color w:val="auto"/>
                <w:kern w:val="0"/>
                <w:sz w:val="28"/>
                <w:highlight w:val="none"/>
              </w:rPr>
              <w:t xml:space="preserve">    响应文件内容：</w:t>
            </w:r>
            <w:r>
              <w:rPr>
                <w:rFonts w:hint="eastAsia" w:asciiTheme="minorEastAsia" w:hAnsiTheme="minorEastAsia" w:cstheme="minorEastAsia"/>
                <w:color w:val="auto"/>
                <w:kern w:val="0"/>
                <w:sz w:val="28"/>
                <w:highlight w:val="none"/>
                <w:u w:val="single"/>
              </w:rPr>
              <w:t xml:space="preserve">      商务及技术部分                 </w:t>
            </w:r>
          </w:p>
          <w:p w14:paraId="5D1E43EE">
            <w:pPr>
              <w:adjustRightInd w:val="0"/>
              <w:spacing w:line="360" w:lineRule="auto"/>
              <w:ind w:firstLine="560" w:firstLineChars="200"/>
              <w:outlineLvl w:val="0"/>
              <w:rPr>
                <w:rFonts w:asciiTheme="minorEastAsia" w:hAnsiTheme="minorEastAsia" w:cstheme="minorEastAsia"/>
                <w:color w:val="auto"/>
                <w:kern w:val="0"/>
                <w:sz w:val="28"/>
                <w:highlight w:val="none"/>
                <w:u w:val="single"/>
              </w:rPr>
            </w:pPr>
            <w:bookmarkStart w:id="1408" w:name="_Toc10507"/>
            <w:bookmarkStart w:id="1409" w:name="_Toc97108127"/>
            <w:bookmarkStart w:id="1410" w:name="_Toc20479"/>
            <w:bookmarkStart w:id="1411" w:name="_Toc432"/>
            <w:r>
              <w:rPr>
                <w:rFonts w:hint="eastAsia" w:asciiTheme="minorEastAsia" w:hAnsiTheme="minorEastAsia" w:cstheme="minorEastAsia"/>
                <w:color w:val="auto"/>
                <w:kern w:val="0"/>
                <w:sz w:val="28"/>
                <w:highlight w:val="none"/>
              </w:rPr>
              <w:t>供 应 商：</w:t>
            </w:r>
            <w:r>
              <w:rPr>
                <w:rFonts w:hint="eastAsia" w:asciiTheme="minorEastAsia" w:hAnsiTheme="minorEastAsia" w:cstheme="minorEastAsia"/>
                <w:color w:val="auto"/>
                <w:kern w:val="0"/>
                <w:sz w:val="28"/>
                <w:highlight w:val="none"/>
                <w:u w:val="single"/>
              </w:rPr>
              <w:t xml:space="preserve">                                    （盖章）</w:t>
            </w:r>
            <w:bookmarkEnd w:id="1408"/>
            <w:bookmarkEnd w:id="1409"/>
            <w:bookmarkEnd w:id="1410"/>
            <w:bookmarkEnd w:id="1411"/>
            <w:r>
              <w:rPr>
                <w:rFonts w:hint="eastAsia" w:asciiTheme="minorEastAsia" w:hAnsiTheme="minorEastAsia" w:cstheme="minorEastAsia"/>
                <w:color w:val="auto"/>
                <w:kern w:val="0"/>
                <w:sz w:val="28"/>
                <w:highlight w:val="none"/>
                <w:u w:val="single"/>
              </w:rPr>
              <w:t xml:space="preserve">  </w:t>
            </w:r>
          </w:p>
          <w:p w14:paraId="7BF24B3D">
            <w:pPr>
              <w:adjustRightInd w:val="0"/>
              <w:spacing w:line="360" w:lineRule="auto"/>
              <w:ind w:firstLine="560" w:firstLineChars="200"/>
              <w:outlineLvl w:val="0"/>
              <w:rPr>
                <w:rFonts w:asciiTheme="minorEastAsia" w:hAnsiTheme="minorEastAsia" w:cstheme="minorEastAsia"/>
                <w:color w:val="auto"/>
                <w:kern w:val="0"/>
                <w:sz w:val="28"/>
                <w:highlight w:val="none"/>
              </w:rPr>
            </w:pPr>
            <w:bookmarkStart w:id="1412" w:name="_Toc32484"/>
            <w:bookmarkStart w:id="1413" w:name="_Toc1768"/>
            <w:bookmarkStart w:id="1414" w:name="_Toc97108128"/>
            <w:bookmarkStart w:id="1415" w:name="_Toc21612"/>
            <w:r>
              <w:rPr>
                <w:rFonts w:hint="eastAsia" w:asciiTheme="minorEastAsia" w:hAnsiTheme="minorEastAsia" w:cstheme="minorEastAsia"/>
                <w:color w:val="auto"/>
                <w:kern w:val="0"/>
                <w:sz w:val="28"/>
                <w:highlight w:val="none"/>
              </w:rPr>
              <w:t>法定代表人或其授权代理人：</w:t>
            </w:r>
            <w:r>
              <w:rPr>
                <w:rFonts w:hint="eastAsia" w:asciiTheme="minorEastAsia" w:hAnsiTheme="minorEastAsia" w:cstheme="minorEastAsia"/>
                <w:color w:val="auto"/>
                <w:kern w:val="0"/>
                <w:sz w:val="28"/>
                <w:highlight w:val="none"/>
                <w:u w:val="single"/>
              </w:rPr>
              <w:t xml:space="preserve">              （签字或盖章）</w:t>
            </w:r>
            <w:bookmarkEnd w:id="1412"/>
            <w:bookmarkEnd w:id="1413"/>
            <w:bookmarkEnd w:id="1414"/>
            <w:bookmarkEnd w:id="1415"/>
            <w:r>
              <w:rPr>
                <w:rFonts w:hint="eastAsia" w:asciiTheme="minorEastAsia" w:hAnsiTheme="minorEastAsia" w:cstheme="minorEastAsia"/>
                <w:color w:val="auto"/>
                <w:kern w:val="0"/>
                <w:sz w:val="28"/>
                <w:highlight w:val="none"/>
                <w:u w:val="single"/>
              </w:rPr>
              <w:t xml:space="preserve"> </w:t>
            </w:r>
          </w:p>
          <w:p w14:paraId="432BBE61">
            <w:pPr>
              <w:spacing w:line="360" w:lineRule="auto"/>
              <w:ind w:firstLine="560" w:firstLineChars="200"/>
              <w:rPr>
                <w:rFonts w:asciiTheme="minorEastAsia" w:hAnsiTheme="minorEastAsia" w:cstheme="minorEastAsia"/>
                <w:color w:val="auto"/>
                <w:kern w:val="0"/>
                <w:sz w:val="28"/>
                <w:highlight w:val="none"/>
              </w:rPr>
            </w:pPr>
            <w:r>
              <w:rPr>
                <w:rFonts w:hint="eastAsia" w:asciiTheme="minorEastAsia" w:hAnsiTheme="minorEastAsia" w:cstheme="minorEastAsia"/>
                <w:color w:val="auto"/>
                <w:kern w:val="0"/>
                <w:sz w:val="28"/>
                <w:highlight w:val="none"/>
              </w:rPr>
              <w:t>日    期：</w:t>
            </w:r>
            <w:r>
              <w:rPr>
                <w:rFonts w:hint="eastAsia" w:asciiTheme="minorEastAsia" w:hAnsiTheme="minorEastAsia" w:cstheme="minorEastAsia"/>
                <w:color w:val="auto"/>
                <w:kern w:val="0"/>
                <w:sz w:val="28"/>
                <w:highlight w:val="none"/>
                <w:u w:val="single"/>
              </w:rPr>
              <w:t xml:space="preserve">                </w:t>
            </w:r>
            <w:r>
              <w:rPr>
                <w:rFonts w:hint="eastAsia" w:asciiTheme="minorEastAsia" w:hAnsiTheme="minorEastAsia" w:cstheme="minorEastAsia"/>
                <w:color w:val="auto"/>
                <w:kern w:val="0"/>
                <w:sz w:val="28"/>
                <w:highlight w:val="none"/>
              </w:rPr>
              <w:t>年</w:t>
            </w:r>
            <w:r>
              <w:rPr>
                <w:rFonts w:hint="eastAsia" w:asciiTheme="minorEastAsia" w:hAnsiTheme="minorEastAsia" w:cstheme="minorEastAsia"/>
                <w:color w:val="auto"/>
                <w:kern w:val="0"/>
                <w:sz w:val="28"/>
                <w:highlight w:val="none"/>
                <w:u w:val="single"/>
              </w:rPr>
              <w:t xml:space="preserve">            </w:t>
            </w:r>
            <w:r>
              <w:rPr>
                <w:rFonts w:hint="eastAsia" w:asciiTheme="minorEastAsia" w:hAnsiTheme="minorEastAsia" w:cstheme="minorEastAsia"/>
                <w:color w:val="auto"/>
                <w:kern w:val="0"/>
                <w:sz w:val="28"/>
                <w:highlight w:val="none"/>
              </w:rPr>
              <w:t>月</w:t>
            </w:r>
            <w:r>
              <w:rPr>
                <w:rFonts w:hint="eastAsia" w:asciiTheme="minorEastAsia" w:hAnsiTheme="minorEastAsia" w:cstheme="minorEastAsia"/>
                <w:color w:val="auto"/>
                <w:kern w:val="0"/>
                <w:sz w:val="28"/>
                <w:highlight w:val="none"/>
                <w:u w:val="single"/>
              </w:rPr>
              <w:t xml:space="preserve">            </w:t>
            </w:r>
            <w:r>
              <w:rPr>
                <w:rFonts w:hint="eastAsia" w:asciiTheme="minorEastAsia" w:hAnsiTheme="minorEastAsia" w:cstheme="minorEastAsia"/>
                <w:color w:val="auto"/>
                <w:kern w:val="0"/>
                <w:sz w:val="28"/>
                <w:highlight w:val="none"/>
              </w:rPr>
              <w:t>日</w:t>
            </w:r>
          </w:p>
        </w:tc>
      </w:tr>
    </w:tbl>
    <w:p w14:paraId="2D9003EC">
      <w:pPr>
        <w:rPr>
          <w:rFonts w:asciiTheme="minorEastAsia" w:hAnsiTheme="minorEastAsia" w:cstheme="minorEastAsia"/>
          <w:color w:val="auto"/>
          <w:highlight w:val="none"/>
        </w:rPr>
      </w:pPr>
    </w:p>
    <w:p w14:paraId="66996543">
      <w:pPr>
        <w:pStyle w:val="5"/>
        <w:spacing w:line="360" w:lineRule="auto"/>
        <w:jc w:val="center"/>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商务及技术标部分目录</w:t>
      </w:r>
    </w:p>
    <w:p w14:paraId="02BB01D4">
      <w:pPr>
        <w:jc w:val="center"/>
        <w:rPr>
          <w:rFonts w:asciiTheme="minorEastAsia" w:hAnsiTheme="minorEastAsia"/>
          <w:color w:val="auto"/>
          <w:sz w:val="22"/>
          <w:szCs w:val="24"/>
          <w:highlight w:val="none"/>
        </w:rPr>
      </w:pPr>
      <w:r>
        <w:rPr>
          <w:rFonts w:hint="eastAsia" w:asciiTheme="minorEastAsia" w:hAnsiTheme="minorEastAsia" w:cstheme="minorEastAsia"/>
          <w:color w:val="auto"/>
          <w:kern w:val="0"/>
          <w:sz w:val="24"/>
          <w:szCs w:val="36"/>
          <w:highlight w:val="none"/>
        </w:rPr>
        <w:t>（应附有页码）</w:t>
      </w:r>
    </w:p>
    <w:p w14:paraId="079E4F0D">
      <w:pPr>
        <w:pStyle w:val="46"/>
        <w:tabs>
          <w:tab w:val="left" w:pos="1972"/>
        </w:tabs>
        <w:spacing w:line="360" w:lineRule="auto"/>
        <w:ind w:left="0" w:firstLine="638" w:firstLineChars="266"/>
        <w:outlineLvl w:val="0"/>
        <w:rPr>
          <w:rFonts w:asciiTheme="minorEastAsia" w:hAnsiTheme="minorEastAsia" w:eastAsiaTheme="minorEastAsia"/>
          <w:color w:val="auto"/>
          <w:sz w:val="24"/>
          <w:highlight w:val="none"/>
        </w:rPr>
      </w:pPr>
      <w:bookmarkStart w:id="1416" w:name="_Toc24367"/>
      <w:bookmarkStart w:id="1417" w:name="_Toc23998"/>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rPr>
        <w:t>1）</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函；</w:t>
      </w:r>
      <w:r>
        <w:rPr>
          <w:rFonts w:hint="eastAsia" w:asciiTheme="minorEastAsia" w:hAnsiTheme="minorEastAsia" w:cstheme="minorEastAsia"/>
          <w:b/>
          <w:bCs/>
          <w:color w:val="auto"/>
          <w:sz w:val="24"/>
          <w:szCs w:val="24"/>
          <w:highlight w:val="none"/>
        </w:rPr>
        <w:t>（必须提供）</w:t>
      </w:r>
      <w:bookmarkEnd w:id="1416"/>
      <w:bookmarkEnd w:id="1417"/>
    </w:p>
    <w:p w14:paraId="49B7DA4D">
      <w:pPr>
        <w:pStyle w:val="46"/>
        <w:tabs>
          <w:tab w:val="left" w:pos="1972"/>
        </w:tabs>
        <w:spacing w:line="360" w:lineRule="auto"/>
        <w:ind w:left="0" w:firstLine="638" w:firstLineChars="266"/>
        <w:outlineLvl w:val="0"/>
        <w:rPr>
          <w:rFonts w:asciiTheme="minorEastAsia" w:hAnsiTheme="minorEastAsia" w:eastAsiaTheme="minorEastAsia"/>
          <w:color w:val="auto"/>
          <w:sz w:val="24"/>
          <w:highlight w:val="none"/>
        </w:rPr>
      </w:pPr>
      <w:bookmarkStart w:id="1418" w:name="_Toc17827"/>
      <w:bookmarkStart w:id="1419" w:name="_Toc9033"/>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rPr>
        <w:t>2）</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函附录；</w:t>
      </w:r>
      <w:r>
        <w:rPr>
          <w:rFonts w:hint="eastAsia" w:asciiTheme="minorEastAsia" w:hAnsiTheme="minorEastAsia" w:cstheme="minorEastAsia"/>
          <w:b/>
          <w:bCs/>
          <w:color w:val="auto"/>
          <w:sz w:val="24"/>
          <w:szCs w:val="24"/>
          <w:highlight w:val="none"/>
        </w:rPr>
        <w:t>（必须提供）</w:t>
      </w:r>
      <w:bookmarkEnd w:id="1418"/>
      <w:bookmarkEnd w:id="1419"/>
    </w:p>
    <w:p w14:paraId="5CA20FF8">
      <w:pPr>
        <w:pStyle w:val="46"/>
        <w:tabs>
          <w:tab w:val="left" w:pos="1972"/>
        </w:tabs>
        <w:spacing w:line="360" w:lineRule="auto"/>
        <w:ind w:left="0" w:firstLine="638" w:firstLineChars="266"/>
        <w:outlineLvl w:val="0"/>
        <w:rPr>
          <w:rFonts w:asciiTheme="minorEastAsia" w:hAnsiTheme="minorEastAsia" w:eastAsiaTheme="minorEastAsia"/>
          <w:b/>
          <w:bCs/>
          <w:color w:val="auto"/>
          <w:sz w:val="24"/>
          <w:highlight w:val="none"/>
        </w:rPr>
      </w:pPr>
      <w:bookmarkStart w:id="1420" w:name="_Toc10517"/>
      <w:bookmarkStart w:id="1421" w:name="_Toc25692"/>
      <w:r>
        <w:rPr>
          <w:rFonts w:hint="eastAsia" w:asciiTheme="minorEastAsia" w:hAnsiTheme="minorEastAsia" w:eastAsiaTheme="minorEastAsia"/>
          <w:color w:val="auto"/>
          <w:sz w:val="24"/>
          <w:highlight w:val="none"/>
          <w:lang w:val="en-US"/>
        </w:rPr>
        <w:t>（3）</w:t>
      </w:r>
      <w:r>
        <w:rPr>
          <w:rFonts w:hint="eastAsia" w:asciiTheme="minorEastAsia" w:hAnsiTheme="minorEastAsia" w:eastAsiaTheme="minorEastAsia"/>
          <w:color w:val="auto"/>
          <w:sz w:val="24"/>
          <w:highlight w:val="none"/>
        </w:rPr>
        <w:t>磋商报价汇总表；</w:t>
      </w:r>
      <w:r>
        <w:rPr>
          <w:rFonts w:hint="eastAsia" w:asciiTheme="minorEastAsia" w:hAnsiTheme="minorEastAsia" w:eastAsiaTheme="minorEastAsia"/>
          <w:b/>
          <w:bCs/>
          <w:color w:val="auto"/>
          <w:sz w:val="24"/>
          <w:highlight w:val="none"/>
        </w:rPr>
        <w:t>（必须提供）</w:t>
      </w:r>
      <w:bookmarkEnd w:id="1420"/>
      <w:bookmarkEnd w:id="1421"/>
    </w:p>
    <w:p w14:paraId="3320D5DD">
      <w:pPr>
        <w:pStyle w:val="46"/>
        <w:tabs>
          <w:tab w:val="left" w:pos="1972"/>
        </w:tabs>
        <w:spacing w:line="360" w:lineRule="auto"/>
        <w:ind w:left="0" w:firstLine="638" w:firstLineChars="266"/>
        <w:outlineLvl w:val="0"/>
        <w:rPr>
          <w:rFonts w:asciiTheme="minorEastAsia" w:hAnsiTheme="minorEastAsia" w:eastAsiaTheme="minorEastAsia"/>
          <w:color w:val="auto"/>
          <w:sz w:val="24"/>
          <w:highlight w:val="none"/>
          <w:lang w:val="en-US"/>
        </w:rPr>
      </w:pPr>
      <w:bookmarkStart w:id="1422" w:name="_Toc23661"/>
      <w:bookmarkStart w:id="1423" w:name="_Toc31050"/>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rPr>
        <w:t>4）磋商报价系列表格；</w:t>
      </w:r>
      <w:r>
        <w:rPr>
          <w:rFonts w:hint="eastAsia" w:asciiTheme="minorEastAsia" w:hAnsiTheme="minorEastAsia" w:eastAsiaTheme="minorEastAsia"/>
          <w:b/>
          <w:bCs/>
          <w:color w:val="auto"/>
          <w:sz w:val="24"/>
          <w:highlight w:val="none"/>
        </w:rPr>
        <w:t>（必须提供并加盖供应商的电子签章）</w:t>
      </w:r>
      <w:bookmarkEnd w:id="1422"/>
      <w:bookmarkEnd w:id="1423"/>
    </w:p>
    <w:p w14:paraId="645FDDCC">
      <w:pPr>
        <w:pStyle w:val="46"/>
        <w:tabs>
          <w:tab w:val="left" w:pos="1972"/>
        </w:tabs>
        <w:spacing w:line="360" w:lineRule="auto"/>
        <w:ind w:left="0" w:firstLine="638" w:firstLineChars="266"/>
        <w:outlineLvl w:val="0"/>
        <w:rPr>
          <w:rFonts w:asciiTheme="minorEastAsia" w:hAnsiTheme="minorEastAsia" w:eastAsiaTheme="minorEastAsia"/>
          <w:color w:val="auto"/>
          <w:sz w:val="24"/>
          <w:highlight w:val="none"/>
        </w:rPr>
      </w:pPr>
      <w:bookmarkStart w:id="1424" w:name="_Toc30016"/>
      <w:bookmarkStart w:id="1425" w:name="_Toc22542"/>
      <w:r>
        <w:rPr>
          <w:rFonts w:hint="eastAsia" w:asciiTheme="minorEastAsia" w:hAnsiTheme="minorEastAsia" w:eastAsiaTheme="minorEastAsia"/>
          <w:color w:val="auto"/>
          <w:sz w:val="24"/>
          <w:highlight w:val="none"/>
        </w:rPr>
        <w:t>【注：磋商报价系列表格应根据采购人提供的工程量清单相应表格及有关规定执行,可按预结算软件打印格式提供,本采购文件不另提供参考格式。】</w:t>
      </w:r>
      <w:bookmarkEnd w:id="1424"/>
      <w:bookmarkEnd w:id="1425"/>
    </w:p>
    <w:p w14:paraId="7DDEF80C">
      <w:pPr>
        <w:pStyle w:val="46"/>
        <w:tabs>
          <w:tab w:val="left" w:pos="1972"/>
        </w:tabs>
        <w:spacing w:line="360" w:lineRule="auto"/>
        <w:ind w:left="0" w:firstLine="638" w:firstLineChars="266"/>
        <w:outlineLvl w:val="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  </w:t>
      </w:r>
      <w:bookmarkStart w:id="1426" w:name="_Toc26384"/>
      <w:bookmarkStart w:id="1427" w:name="_Toc14497"/>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rPr>
        <w:t>5</w:t>
      </w:r>
      <w:r>
        <w:rPr>
          <w:rFonts w:hint="eastAsia" w:asciiTheme="minorEastAsia" w:hAnsiTheme="minorEastAsia" w:eastAsiaTheme="minorEastAsia"/>
          <w:color w:val="auto"/>
          <w:sz w:val="24"/>
          <w:highlight w:val="none"/>
        </w:rPr>
        <w:t>) 项目管理机构配备；</w:t>
      </w:r>
      <w:r>
        <w:rPr>
          <w:rFonts w:hint="eastAsia" w:asciiTheme="minorEastAsia" w:hAnsiTheme="minorEastAsia" w:eastAsiaTheme="minorEastAsia"/>
          <w:b/>
          <w:bCs/>
          <w:color w:val="auto"/>
          <w:sz w:val="24"/>
          <w:highlight w:val="none"/>
        </w:rPr>
        <w:t>（必须提供并加盖供应商的电子签章）</w:t>
      </w:r>
      <w:bookmarkEnd w:id="1426"/>
      <w:bookmarkEnd w:id="1427"/>
    </w:p>
    <w:p w14:paraId="04071200">
      <w:pPr>
        <w:pStyle w:val="46"/>
        <w:tabs>
          <w:tab w:val="left" w:pos="1972"/>
        </w:tabs>
        <w:spacing w:line="360" w:lineRule="auto"/>
        <w:ind w:left="0" w:firstLine="638" w:firstLineChars="266"/>
        <w:outlineLvl w:val="0"/>
        <w:rPr>
          <w:rFonts w:asciiTheme="minorEastAsia" w:hAnsiTheme="minorEastAsia" w:eastAsiaTheme="minorEastAsia"/>
          <w:color w:val="auto"/>
          <w:sz w:val="24"/>
          <w:highlight w:val="none"/>
        </w:rPr>
      </w:pPr>
      <w:bookmarkStart w:id="1428" w:name="_Toc24500"/>
      <w:bookmarkStart w:id="1429" w:name="_Toc7734"/>
      <w:r>
        <w:rPr>
          <w:rFonts w:hint="eastAsia" w:asciiTheme="minorEastAsia" w:hAnsiTheme="minorEastAsia" w:eastAsiaTheme="minorEastAsia"/>
          <w:color w:val="auto"/>
          <w:sz w:val="24"/>
          <w:highlight w:val="none"/>
        </w:rPr>
        <w:t>① 项目管理机构配备情况表；</w:t>
      </w:r>
      <w:bookmarkEnd w:id="1428"/>
      <w:bookmarkEnd w:id="1429"/>
    </w:p>
    <w:p w14:paraId="1E7CD294">
      <w:pPr>
        <w:pStyle w:val="46"/>
        <w:tabs>
          <w:tab w:val="left" w:pos="1972"/>
        </w:tabs>
        <w:spacing w:line="360" w:lineRule="auto"/>
        <w:ind w:left="0" w:firstLine="638" w:firstLineChars="266"/>
        <w:outlineLvl w:val="0"/>
        <w:rPr>
          <w:rFonts w:asciiTheme="minorEastAsia" w:hAnsiTheme="minorEastAsia" w:eastAsiaTheme="minorEastAsia"/>
          <w:color w:val="auto"/>
          <w:sz w:val="24"/>
          <w:highlight w:val="none"/>
        </w:rPr>
      </w:pPr>
      <w:bookmarkStart w:id="1430" w:name="_Toc23030"/>
      <w:bookmarkStart w:id="1431" w:name="_Toc1674"/>
      <w:r>
        <w:rPr>
          <w:rFonts w:hint="eastAsia" w:asciiTheme="minorEastAsia" w:hAnsiTheme="minorEastAsia" w:eastAsiaTheme="minorEastAsia"/>
          <w:color w:val="auto"/>
          <w:sz w:val="24"/>
          <w:highlight w:val="none"/>
        </w:rPr>
        <w:t>② 项目经理简历表；</w:t>
      </w:r>
      <w:bookmarkEnd w:id="1430"/>
      <w:bookmarkEnd w:id="1431"/>
    </w:p>
    <w:p w14:paraId="1D5467A1">
      <w:pPr>
        <w:pStyle w:val="46"/>
        <w:tabs>
          <w:tab w:val="left" w:pos="1972"/>
        </w:tabs>
        <w:spacing w:line="360" w:lineRule="auto"/>
        <w:ind w:left="0" w:firstLine="638" w:firstLineChars="266"/>
        <w:outlineLvl w:val="0"/>
        <w:rPr>
          <w:rFonts w:asciiTheme="minorEastAsia" w:hAnsiTheme="minorEastAsia" w:eastAsiaTheme="minorEastAsia"/>
          <w:color w:val="auto"/>
          <w:sz w:val="24"/>
          <w:highlight w:val="none"/>
        </w:rPr>
      </w:pPr>
      <w:bookmarkStart w:id="1432" w:name="_Toc11858"/>
      <w:bookmarkStart w:id="1433" w:name="_Toc6793"/>
      <w:r>
        <w:rPr>
          <w:rFonts w:hint="eastAsia" w:asciiTheme="minorEastAsia" w:hAnsiTheme="minorEastAsia" w:eastAsiaTheme="minorEastAsia"/>
          <w:color w:val="auto"/>
          <w:sz w:val="24"/>
          <w:highlight w:val="none"/>
        </w:rPr>
        <w:t>③ 项目技术负责人简历表；</w:t>
      </w:r>
      <w:bookmarkEnd w:id="1432"/>
      <w:bookmarkEnd w:id="1433"/>
    </w:p>
    <w:p w14:paraId="6CCA6F18">
      <w:pPr>
        <w:pStyle w:val="46"/>
        <w:tabs>
          <w:tab w:val="left" w:pos="1972"/>
        </w:tabs>
        <w:spacing w:line="360" w:lineRule="auto"/>
        <w:ind w:left="0" w:firstLine="638" w:firstLineChars="266"/>
        <w:outlineLvl w:val="0"/>
        <w:rPr>
          <w:rFonts w:asciiTheme="minorEastAsia" w:hAnsiTheme="minorEastAsia" w:eastAsiaTheme="minorEastAsia"/>
          <w:color w:val="auto"/>
          <w:sz w:val="24"/>
          <w:highlight w:val="none"/>
        </w:rPr>
      </w:pPr>
      <w:bookmarkStart w:id="1434" w:name="_Toc22742"/>
      <w:bookmarkStart w:id="1435" w:name="_Toc28408"/>
      <w:r>
        <w:rPr>
          <w:rFonts w:hint="eastAsia" w:asciiTheme="minorEastAsia" w:hAnsiTheme="minorEastAsia" w:eastAsiaTheme="minorEastAsia"/>
          <w:color w:val="auto"/>
          <w:sz w:val="24"/>
          <w:highlight w:val="none"/>
        </w:rPr>
        <w:t>④ 项目管理机构配置情况辅助说明资料。</w:t>
      </w:r>
      <w:bookmarkEnd w:id="1434"/>
      <w:bookmarkEnd w:id="1435"/>
    </w:p>
    <w:p w14:paraId="31F2DBFD">
      <w:pPr>
        <w:pStyle w:val="46"/>
        <w:tabs>
          <w:tab w:val="left" w:pos="1972"/>
        </w:tabs>
        <w:spacing w:line="360" w:lineRule="auto"/>
        <w:ind w:left="0" w:firstLine="638" w:firstLineChars="266"/>
        <w:outlineLvl w:val="0"/>
        <w:rPr>
          <w:rFonts w:asciiTheme="minorEastAsia" w:hAnsiTheme="minorEastAsia" w:eastAsiaTheme="minorEastAsia"/>
          <w:color w:val="auto"/>
          <w:sz w:val="24"/>
          <w:highlight w:val="none"/>
        </w:rPr>
      </w:pPr>
      <w:bookmarkStart w:id="1436" w:name="_Toc26413"/>
      <w:bookmarkStart w:id="1437" w:name="_Toc667"/>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rPr>
        <w:t>6）</w:t>
      </w:r>
      <w:r>
        <w:rPr>
          <w:rFonts w:hint="eastAsia" w:asciiTheme="minorEastAsia" w:hAnsiTheme="minorEastAsia" w:eastAsiaTheme="minorEastAsia"/>
          <w:color w:val="auto"/>
          <w:sz w:val="24"/>
          <w:highlight w:val="none"/>
        </w:rPr>
        <w:t>施工组织设计；（加盖供应商的电子签章）</w:t>
      </w:r>
      <w:bookmarkEnd w:id="1436"/>
      <w:bookmarkEnd w:id="1437"/>
    </w:p>
    <w:p w14:paraId="6DA85972">
      <w:pPr>
        <w:pStyle w:val="46"/>
        <w:tabs>
          <w:tab w:val="left" w:pos="1972"/>
        </w:tabs>
        <w:spacing w:line="360" w:lineRule="auto"/>
        <w:ind w:left="0" w:firstLine="638" w:firstLineChars="266"/>
        <w:outlineLvl w:val="0"/>
        <w:rPr>
          <w:rFonts w:asciiTheme="minorEastAsia" w:hAnsiTheme="minorEastAsia" w:eastAsiaTheme="minorEastAsia"/>
          <w:color w:val="auto"/>
          <w:sz w:val="24"/>
          <w:highlight w:val="none"/>
        </w:rPr>
      </w:pPr>
      <w:bookmarkStart w:id="1438" w:name="_Toc17518"/>
      <w:bookmarkStart w:id="1439" w:name="_Toc3667"/>
      <w:r>
        <w:rPr>
          <w:rFonts w:hint="eastAsia" w:asciiTheme="minorEastAsia" w:hAnsiTheme="minorEastAsia" w:eastAsiaTheme="minorEastAsia"/>
          <w:color w:val="auto"/>
          <w:sz w:val="24"/>
          <w:highlight w:val="none"/>
          <w:lang w:val="en-US"/>
        </w:rPr>
        <w:t>（7）供应商</w:t>
      </w:r>
      <w:r>
        <w:rPr>
          <w:rFonts w:hint="eastAsia" w:asciiTheme="minorEastAsia" w:hAnsiTheme="minorEastAsia" w:eastAsiaTheme="minorEastAsia"/>
          <w:color w:val="auto"/>
          <w:sz w:val="24"/>
          <w:highlight w:val="none"/>
        </w:rPr>
        <w:t>可结合本项目的评标办法视自身情况自行提交相关证明材料（</w:t>
      </w:r>
      <w:r>
        <w:rPr>
          <w:rFonts w:hint="eastAsia" w:asciiTheme="minorEastAsia" w:hAnsiTheme="minorEastAsia" w:eastAsiaTheme="minorEastAsia"/>
          <w:color w:val="auto"/>
          <w:sz w:val="24"/>
          <w:highlight w:val="none"/>
          <w:lang w:val="en-US"/>
        </w:rPr>
        <w:t>如业绩等[需列汇总表格]，</w:t>
      </w:r>
      <w:r>
        <w:rPr>
          <w:rFonts w:hint="eastAsia" w:asciiTheme="minorEastAsia" w:hAnsiTheme="minorEastAsia" w:eastAsiaTheme="minorEastAsia"/>
          <w:color w:val="auto"/>
          <w:sz w:val="24"/>
          <w:highlight w:val="none"/>
        </w:rPr>
        <w:t>如有，请提供）</w:t>
      </w:r>
      <w:bookmarkEnd w:id="1438"/>
      <w:bookmarkEnd w:id="1439"/>
    </w:p>
    <w:p w14:paraId="70BA55A1">
      <w:pPr>
        <w:pStyle w:val="37"/>
        <w:spacing w:before="0" w:after="0"/>
        <w:rPr>
          <w:rFonts w:asciiTheme="minorEastAsia" w:hAnsiTheme="minorEastAsia" w:cstheme="minorEastAsia"/>
          <w:color w:val="auto"/>
          <w:spacing w:val="0"/>
          <w:highlight w:val="none"/>
        </w:rPr>
      </w:pPr>
    </w:p>
    <w:p w14:paraId="458E2EFD">
      <w:pPr>
        <w:pStyle w:val="37"/>
        <w:spacing w:before="0" w:after="0"/>
        <w:rPr>
          <w:rFonts w:asciiTheme="minorEastAsia" w:hAnsiTheme="minorEastAsia" w:cstheme="minorEastAsia"/>
          <w:color w:val="auto"/>
          <w:spacing w:val="0"/>
          <w:highlight w:val="none"/>
        </w:rPr>
      </w:pPr>
    </w:p>
    <w:p w14:paraId="5CCE2E84">
      <w:pPr>
        <w:pStyle w:val="37"/>
        <w:spacing w:before="0" w:after="0"/>
        <w:rPr>
          <w:rFonts w:asciiTheme="minorEastAsia" w:hAnsiTheme="minorEastAsia" w:cstheme="minorEastAsia"/>
          <w:color w:val="auto"/>
          <w:spacing w:val="0"/>
          <w:highlight w:val="none"/>
        </w:rPr>
      </w:pPr>
    </w:p>
    <w:p w14:paraId="4D731047">
      <w:pPr>
        <w:rPr>
          <w:rFonts w:asciiTheme="minorEastAsia" w:hAnsiTheme="minorEastAsia" w:cstheme="minorEastAsia"/>
          <w:color w:val="auto"/>
          <w:highlight w:val="none"/>
        </w:rPr>
      </w:pPr>
    </w:p>
    <w:p w14:paraId="6BF71CBE">
      <w:pPr>
        <w:pStyle w:val="37"/>
        <w:spacing w:before="0" w:after="0"/>
        <w:rPr>
          <w:rFonts w:asciiTheme="minorEastAsia" w:hAnsiTheme="minorEastAsia" w:cstheme="minorEastAsia"/>
          <w:color w:val="auto"/>
          <w:spacing w:val="0"/>
          <w:highlight w:val="none"/>
        </w:rPr>
      </w:pPr>
    </w:p>
    <w:p w14:paraId="509404A6">
      <w:pPr>
        <w:pStyle w:val="37"/>
        <w:spacing w:before="0" w:after="0"/>
        <w:rPr>
          <w:rFonts w:asciiTheme="minorEastAsia" w:hAnsiTheme="minorEastAsia" w:cstheme="minorEastAsia"/>
          <w:color w:val="auto"/>
          <w:spacing w:val="0"/>
          <w:highlight w:val="none"/>
        </w:rPr>
      </w:pPr>
    </w:p>
    <w:p w14:paraId="72F5C1C1">
      <w:pPr>
        <w:pStyle w:val="37"/>
        <w:spacing w:before="0" w:after="0"/>
        <w:rPr>
          <w:rFonts w:asciiTheme="minorEastAsia" w:hAnsiTheme="minorEastAsia" w:cstheme="minorEastAsia"/>
          <w:color w:val="auto"/>
          <w:spacing w:val="0"/>
          <w:highlight w:val="none"/>
        </w:rPr>
      </w:pPr>
    </w:p>
    <w:p w14:paraId="62460D97">
      <w:pPr>
        <w:pStyle w:val="37"/>
        <w:spacing w:before="0" w:after="0"/>
        <w:rPr>
          <w:rFonts w:asciiTheme="minorEastAsia" w:hAnsiTheme="minorEastAsia" w:cstheme="minorEastAsia"/>
          <w:color w:val="auto"/>
          <w:spacing w:val="0"/>
          <w:highlight w:val="none"/>
        </w:rPr>
      </w:pPr>
    </w:p>
    <w:p w14:paraId="5DEAF591">
      <w:pPr>
        <w:pStyle w:val="37"/>
        <w:spacing w:before="0" w:after="0"/>
        <w:rPr>
          <w:rFonts w:asciiTheme="minorEastAsia" w:hAnsiTheme="minorEastAsia" w:cstheme="minorEastAsia"/>
          <w:color w:val="auto"/>
          <w:spacing w:val="0"/>
          <w:highlight w:val="none"/>
        </w:rPr>
      </w:pPr>
    </w:p>
    <w:p w14:paraId="4BC1231E">
      <w:pPr>
        <w:pStyle w:val="37"/>
        <w:spacing w:before="0" w:after="0"/>
        <w:rPr>
          <w:rFonts w:asciiTheme="minorEastAsia" w:hAnsiTheme="minorEastAsia" w:cstheme="minorEastAsia"/>
          <w:color w:val="auto"/>
          <w:spacing w:val="0"/>
          <w:highlight w:val="none"/>
        </w:rPr>
      </w:pPr>
    </w:p>
    <w:p w14:paraId="6E26776B">
      <w:pPr>
        <w:pStyle w:val="37"/>
        <w:spacing w:before="0" w:after="0"/>
        <w:rPr>
          <w:rFonts w:asciiTheme="minorEastAsia" w:hAnsiTheme="minorEastAsia" w:cstheme="minorEastAsia"/>
          <w:color w:val="auto"/>
          <w:spacing w:val="0"/>
          <w:highlight w:val="none"/>
        </w:rPr>
      </w:pPr>
    </w:p>
    <w:p w14:paraId="3596F6AD">
      <w:pPr>
        <w:pStyle w:val="37"/>
        <w:spacing w:before="0" w:after="0"/>
        <w:rPr>
          <w:rFonts w:asciiTheme="minorEastAsia" w:hAnsiTheme="minorEastAsia" w:cstheme="minorEastAsia"/>
          <w:color w:val="auto"/>
          <w:spacing w:val="0"/>
          <w:highlight w:val="none"/>
        </w:rPr>
      </w:pPr>
    </w:p>
    <w:p w14:paraId="3434EC14">
      <w:pPr>
        <w:pStyle w:val="37"/>
        <w:spacing w:before="0" w:after="0"/>
        <w:rPr>
          <w:rFonts w:asciiTheme="minorEastAsia" w:hAnsiTheme="minorEastAsia" w:cstheme="minorEastAsia"/>
          <w:color w:val="auto"/>
          <w:spacing w:val="0"/>
          <w:highlight w:val="none"/>
        </w:rPr>
      </w:pPr>
    </w:p>
    <w:p w14:paraId="4E18619E">
      <w:pPr>
        <w:pStyle w:val="37"/>
        <w:spacing w:before="0" w:after="0"/>
        <w:rPr>
          <w:rFonts w:asciiTheme="minorEastAsia" w:hAnsiTheme="minorEastAsia" w:cstheme="minorEastAsia"/>
          <w:color w:val="auto"/>
          <w:spacing w:val="0"/>
          <w:highlight w:val="none"/>
        </w:rPr>
      </w:pPr>
    </w:p>
    <w:p w14:paraId="6D7FB695">
      <w:pPr>
        <w:pStyle w:val="37"/>
        <w:spacing w:before="0" w:after="0"/>
        <w:rPr>
          <w:rFonts w:asciiTheme="minorEastAsia" w:hAnsiTheme="minorEastAsia" w:cstheme="minorEastAsia"/>
          <w:color w:val="auto"/>
          <w:spacing w:val="0"/>
          <w:highlight w:val="none"/>
        </w:rPr>
      </w:pPr>
    </w:p>
    <w:p w14:paraId="033235C6">
      <w:pPr>
        <w:pStyle w:val="37"/>
        <w:spacing w:before="0" w:after="0"/>
        <w:rPr>
          <w:rFonts w:asciiTheme="minorEastAsia" w:hAnsiTheme="minorEastAsia" w:cstheme="minorEastAsia"/>
          <w:color w:val="auto"/>
          <w:spacing w:val="0"/>
          <w:highlight w:val="none"/>
        </w:rPr>
      </w:pPr>
    </w:p>
    <w:p w14:paraId="2CA513B1">
      <w:pPr>
        <w:pStyle w:val="37"/>
        <w:spacing w:before="0" w:after="0"/>
        <w:rPr>
          <w:rFonts w:asciiTheme="minorEastAsia" w:hAnsiTheme="minorEastAsia" w:cstheme="minorEastAsia"/>
          <w:color w:val="auto"/>
          <w:spacing w:val="0"/>
          <w:highlight w:val="none"/>
        </w:rPr>
      </w:pPr>
    </w:p>
    <w:p w14:paraId="4CB15BAF">
      <w:pPr>
        <w:pStyle w:val="37"/>
        <w:spacing w:before="0" w:after="0"/>
        <w:rPr>
          <w:rFonts w:asciiTheme="minorEastAsia" w:hAnsiTheme="minorEastAsia" w:cstheme="minorEastAsia"/>
          <w:color w:val="auto"/>
          <w:spacing w:val="0"/>
          <w:highlight w:val="none"/>
        </w:rPr>
      </w:pPr>
    </w:p>
    <w:p w14:paraId="3269356C">
      <w:pPr>
        <w:pStyle w:val="37"/>
        <w:spacing w:before="0" w:after="0"/>
        <w:rPr>
          <w:rFonts w:asciiTheme="minorEastAsia" w:hAnsiTheme="minorEastAsia" w:cstheme="minorEastAsia"/>
          <w:color w:val="auto"/>
          <w:spacing w:val="0"/>
          <w:highlight w:val="none"/>
        </w:rPr>
      </w:pPr>
    </w:p>
    <w:p w14:paraId="04DCBC98">
      <w:pPr>
        <w:pStyle w:val="37"/>
        <w:spacing w:before="0" w:after="0"/>
        <w:rPr>
          <w:rFonts w:asciiTheme="minorEastAsia" w:hAnsiTheme="minorEastAsia" w:cstheme="minorEastAsia"/>
          <w:color w:val="auto"/>
          <w:spacing w:val="0"/>
          <w:highlight w:val="none"/>
        </w:rPr>
      </w:pPr>
    </w:p>
    <w:p w14:paraId="4B28BCC8">
      <w:pPr>
        <w:pStyle w:val="5"/>
        <w:spacing w:line="360" w:lineRule="auto"/>
        <w:jc w:val="center"/>
        <w:rPr>
          <w:rFonts w:asciiTheme="minorEastAsia" w:hAnsiTheme="minorEastAsia" w:eastAsiaTheme="minorEastAsia" w:cstheme="minorEastAsia"/>
          <w:color w:val="auto"/>
          <w:highlight w:val="none"/>
        </w:rPr>
      </w:pPr>
      <w:bookmarkStart w:id="1440" w:name="_Toc18741"/>
      <w:r>
        <w:rPr>
          <w:rFonts w:hint="eastAsia" w:asciiTheme="minorEastAsia" w:hAnsiTheme="minorEastAsia" w:eastAsiaTheme="minorEastAsia" w:cstheme="minorEastAsia"/>
          <w:color w:val="auto"/>
          <w:highlight w:val="none"/>
        </w:rPr>
        <w:t>一、磋商函</w:t>
      </w:r>
      <w:bookmarkEnd w:id="1383"/>
      <w:bookmarkEnd w:id="1384"/>
      <w:bookmarkEnd w:id="1385"/>
      <w:bookmarkEnd w:id="1440"/>
    </w:p>
    <w:p w14:paraId="49928F15">
      <w:pPr>
        <w:spacing w:line="360" w:lineRule="auto"/>
        <w:rPr>
          <w:rFonts w:asciiTheme="minorEastAsia" w:hAnsiTheme="minorEastAsia" w:cstheme="minorEastAsia"/>
          <w:color w:val="auto"/>
          <w:highlight w:val="none"/>
        </w:rPr>
      </w:pPr>
    </w:p>
    <w:p w14:paraId="6201810D">
      <w:pPr>
        <w:spacing w:line="360" w:lineRule="auto"/>
        <w:rPr>
          <w:rFonts w:asciiTheme="minorEastAsia" w:hAnsiTheme="minorEastAsia" w:cstheme="minorEastAsia"/>
          <w:color w:val="auto"/>
          <w:kern w:val="0"/>
          <w:sz w:val="24"/>
          <w:highlight w:val="none"/>
          <w:u w:val="single"/>
        </w:rPr>
      </w:pPr>
      <w:r>
        <w:rPr>
          <w:rFonts w:hint="eastAsia" w:asciiTheme="minorEastAsia" w:hAnsiTheme="minorEastAsia" w:cstheme="minorEastAsia"/>
          <w:color w:val="auto"/>
          <w:kern w:val="0"/>
          <w:sz w:val="24"/>
          <w:highlight w:val="none"/>
          <w:u w:val="single"/>
        </w:rPr>
        <w:t>致：（采购人名称/采购代理机构）</w:t>
      </w:r>
    </w:p>
    <w:p w14:paraId="2877CFF6">
      <w:pPr>
        <w:adjustRightInd w:val="0"/>
        <w:spacing w:line="360" w:lineRule="auto"/>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1.</w:t>
      </w:r>
      <w:r>
        <w:rPr>
          <w:rFonts w:hint="eastAsia" w:asciiTheme="minorEastAsia" w:hAnsiTheme="minorEastAsia" w:cstheme="minorEastAsia"/>
          <w:b/>
          <w:color w:val="auto"/>
          <w:kern w:val="0"/>
          <w:sz w:val="24"/>
          <w:highlight w:val="none"/>
        </w:rPr>
        <w:t xml:space="preserve"> </w:t>
      </w:r>
      <w:r>
        <w:rPr>
          <w:rFonts w:hint="eastAsia" w:asciiTheme="minorEastAsia" w:hAnsiTheme="minorEastAsia" w:cstheme="minorEastAsia"/>
          <w:color w:val="auto"/>
          <w:kern w:val="0"/>
          <w:sz w:val="24"/>
          <w:highlight w:val="none"/>
        </w:rPr>
        <w:t>根据你方采购编号为</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的</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工程的采购文件，遵照《中华人民共和国政府采购法》等有关规定，经我公司研究上述采购文件的磋商须知、合同条款、图纸、工程建设标准和工程量清单及其他有关文件后，我方愿以人民币（大写）：</w:t>
      </w:r>
      <w:r>
        <w:rPr>
          <w:rFonts w:hint="eastAsia" w:asciiTheme="minorEastAsia" w:hAnsiTheme="minorEastAsia" w:cstheme="minorEastAsia"/>
          <w:color w:val="auto"/>
          <w:kern w:val="0"/>
          <w:sz w:val="24"/>
          <w:highlight w:val="none"/>
          <w:u w:val="single"/>
        </w:rPr>
        <w:t xml:space="preserve">         （¥          元）</w:t>
      </w:r>
      <w:r>
        <w:rPr>
          <w:rFonts w:hint="eastAsia" w:asciiTheme="minorEastAsia" w:hAnsiTheme="minorEastAsia" w:cstheme="minorEastAsia"/>
          <w:color w:val="auto"/>
          <w:kern w:val="0"/>
          <w:sz w:val="24"/>
          <w:highlight w:val="none"/>
        </w:rPr>
        <w:t>的磋商总价，并按上述图纸、合同条款、工程建设标准的条件要求承包上述工程的施工、竣工，并承担任何质量缺陷保修责任。</w:t>
      </w:r>
    </w:p>
    <w:p w14:paraId="21110B26">
      <w:pPr>
        <w:adjustRightInd w:val="0"/>
        <w:spacing w:line="360" w:lineRule="auto"/>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2. 我方已详细审核全部采购文件，包括修改文件（</w:t>
      </w:r>
      <w:r>
        <w:rPr>
          <w:rFonts w:hint="eastAsia" w:cs="宋体" w:asciiTheme="minorEastAsia" w:hAnsiTheme="minorEastAsia"/>
          <w:color w:val="auto"/>
          <w:highlight w:val="none"/>
        </w:rPr>
        <w:t>如有时</w:t>
      </w:r>
      <w:r>
        <w:rPr>
          <w:rFonts w:hint="eastAsia" w:asciiTheme="minorEastAsia" w:hAnsiTheme="minorEastAsia" w:cstheme="minorEastAsia"/>
          <w:color w:val="auto"/>
          <w:kern w:val="0"/>
          <w:sz w:val="24"/>
          <w:highlight w:val="none"/>
        </w:rPr>
        <w:t>）以及全部参考资料和有关附件，已经了解我方对于采购文件、采购过程、采购结果有依法进行询问、质疑、投诉的权利及相关渠道和要求。</w:t>
      </w:r>
    </w:p>
    <w:p w14:paraId="7E5DB866">
      <w:pPr>
        <w:adjustRightInd w:val="0"/>
        <w:spacing w:line="360" w:lineRule="auto"/>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3、我方在磋商之前已经与贵方进行了充分的沟通，完全理解并接受采购文件的各项规定和要求，对采购文件的合理性、合法性不再有异议。</w:t>
      </w:r>
    </w:p>
    <w:p w14:paraId="2510AFB5">
      <w:pPr>
        <w:adjustRightInd w:val="0"/>
        <w:spacing w:line="360" w:lineRule="auto"/>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3. 我方承认磋商函附录是我方磋商函的组成部分。</w:t>
      </w:r>
    </w:p>
    <w:p w14:paraId="55FE11A5">
      <w:pPr>
        <w:adjustRightInd w:val="0"/>
        <w:spacing w:line="360" w:lineRule="auto"/>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4. 一旦我方成交，我方保证按合同协议书中约定的工期</w:t>
      </w:r>
      <w:r>
        <w:rPr>
          <w:rFonts w:hint="eastAsia" w:asciiTheme="minorEastAsia" w:hAnsiTheme="minorEastAsia" w:cstheme="minorEastAsia"/>
          <w:color w:val="auto"/>
          <w:sz w:val="24"/>
          <w:szCs w:val="24"/>
          <w:highlight w:val="none"/>
          <w:u w:val="single"/>
        </w:rPr>
        <w:t xml:space="preserve">          </w:t>
      </w:r>
      <w:r>
        <w:rPr>
          <w:rFonts w:hint="eastAsia" w:asciiTheme="minorEastAsia" w:hAnsiTheme="minorEastAsia" w:cstheme="minorEastAsia"/>
          <w:color w:val="auto"/>
          <w:kern w:val="0"/>
          <w:sz w:val="24"/>
          <w:szCs w:val="24"/>
          <w:highlight w:val="none"/>
        </w:rPr>
        <w:t>日历日内</w:t>
      </w:r>
      <w:r>
        <w:rPr>
          <w:rFonts w:hint="eastAsia" w:asciiTheme="minorEastAsia" w:hAnsiTheme="minorEastAsia" w:cstheme="minorEastAsia"/>
          <w:color w:val="auto"/>
          <w:kern w:val="0"/>
          <w:sz w:val="24"/>
          <w:highlight w:val="none"/>
        </w:rPr>
        <w:t>完成并移交全部工程，并保证工程质量</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w:t>
      </w:r>
    </w:p>
    <w:p w14:paraId="6811338D">
      <w:pPr>
        <w:adjustRightInd w:val="0"/>
        <w:spacing w:line="360" w:lineRule="auto"/>
        <w:ind w:firstLine="477" w:firstLineChars="199"/>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5. 我方同意所提交的响应文件在“磋商须知”规定的磋商有效期内有效，在此期间内如果成交，我方将受此约束。</w:t>
      </w:r>
    </w:p>
    <w:p w14:paraId="3A2EE5D3">
      <w:pPr>
        <w:adjustRightInd w:val="0"/>
        <w:spacing w:line="360" w:lineRule="auto"/>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6. 除非另外达成协议并生效，你方的成交通知书和本响应文件将成为约束双方的合同文件的组成部分。</w:t>
      </w:r>
    </w:p>
    <w:p w14:paraId="1501B0E5">
      <w:pPr>
        <w:adjustRightInd w:val="0"/>
        <w:spacing w:line="360" w:lineRule="auto"/>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7. 我方将与本磋商函一起，提交人民币</w:t>
      </w:r>
      <w:r>
        <w:rPr>
          <w:rFonts w:hint="eastAsia" w:asciiTheme="minorEastAsia" w:hAnsiTheme="minorEastAsia" w:cstheme="minorEastAsia"/>
          <w:b/>
          <w:color w:val="auto"/>
          <w:kern w:val="0"/>
          <w:sz w:val="24"/>
          <w:highlight w:val="none"/>
          <w:u w:val="single"/>
        </w:rPr>
        <w:t xml:space="preserve">       </w:t>
      </w:r>
      <w:r>
        <w:rPr>
          <w:rFonts w:hint="eastAsia" w:asciiTheme="minorEastAsia" w:hAnsiTheme="minorEastAsia" w:cstheme="minorEastAsia"/>
          <w:bCs/>
          <w:color w:val="auto"/>
          <w:kern w:val="0"/>
          <w:sz w:val="24"/>
          <w:highlight w:val="none"/>
        </w:rPr>
        <w:t>元</w:t>
      </w:r>
      <w:r>
        <w:rPr>
          <w:rFonts w:hint="eastAsia" w:asciiTheme="minorEastAsia" w:hAnsiTheme="minorEastAsia" w:cstheme="minorEastAsia"/>
          <w:color w:val="auto"/>
          <w:kern w:val="0"/>
          <w:sz w:val="24"/>
          <w:highlight w:val="none"/>
        </w:rPr>
        <w:t>的磋商保证金。</w:t>
      </w:r>
    </w:p>
    <w:p w14:paraId="6D5E8D58">
      <w:pPr>
        <w:adjustRightInd w:val="0"/>
        <w:spacing w:line="360" w:lineRule="auto"/>
        <w:ind w:firstLine="1200" w:firstLineChars="5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供 应 商：</w:t>
      </w:r>
      <w:r>
        <w:rPr>
          <w:rFonts w:hint="eastAsia" w:asciiTheme="minorEastAsia" w:hAnsiTheme="minorEastAsia" w:cstheme="minorEastAsia"/>
          <w:color w:val="auto"/>
          <w:kern w:val="0"/>
          <w:sz w:val="24"/>
          <w:highlight w:val="none"/>
          <w:u w:val="single"/>
        </w:rPr>
        <w:t xml:space="preserve">                                         （盖章）</w:t>
      </w:r>
    </w:p>
    <w:p w14:paraId="68740AD6">
      <w:pPr>
        <w:adjustRightInd w:val="0"/>
        <w:spacing w:line="360" w:lineRule="auto"/>
        <w:rPr>
          <w:rFonts w:asciiTheme="minorEastAsia" w:hAnsiTheme="minorEastAsia" w:cstheme="minorEastAsia"/>
          <w:color w:val="auto"/>
          <w:kern w:val="0"/>
          <w:sz w:val="24"/>
          <w:highlight w:val="none"/>
          <w:u w:val="single"/>
        </w:rPr>
      </w:pPr>
      <w:r>
        <w:rPr>
          <w:rFonts w:hint="eastAsia" w:asciiTheme="minorEastAsia" w:hAnsiTheme="minorEastAsia" w:cstheme="minorEastAsia"/>
          <w:color w:val="auto"/>
          <w:kern w:val="0"/>
          <w:sz w:val="24"/>
          <w:highlight w:val="none"/>
        </w:rPr>
        <w:t xml:space="preserve">          单位地址：                 </w:t>
      </w:r>
      <w:r>
        <w:rPr>
          <w:rFonts w:hint="eastAsia" w:asciiTheme="minorEastAsia" w:hAnsiTheme="minorEastAsia" w:cstheme="minorEastAsia"/>
          <w:color w:val="auto"/>
          <w:kern w:val="0"/>
          <w:sz w:val="24"/>
          <w:highlight w:val="none"/>
          <w:u w:val="single"/>
        </w:rPr>
        <w:t xml:space="preserve">                                                  </w:t>
      </w:r>
    </w:p>
    <w:p w14:paraId="2D1D4BEC">
      <w:pPr>
        <w:adjustRightInd w:val="0"/>
        <w:spacing w:line="360" w:lineRule="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 xml:space="preserve">          法定代表人或其授权代理人：</w:t>
      </w:r>
      <w:r>
        <w:rPr>
          <w:rFonts w:hint="eastAsia" w:asciiTheme="minorEastAsia" w:hAnsiTheme="minorEastAsia" w:cstheme="minorEastAsia"/>
          <w:color w:val="auto"/>
          <w:kern w:val="0"/>
          <w:sz w:val="24"/>
          <w:highlight w:val="none"/>
          <w:u w:val="single"/>
        </w:rPr>
        <w:t xml:space="preserve">                   （签字或盖章）</w:t>
      </w:r>
    </w:p>
    <w:p w14:paraId="76775F23">
      <w:pPr>
        <w:adjustRightInd w:val="0"/>
        <w:spacing w:line="360" w:lineRule="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 xml:space="preserve">          邮政编码：</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 xml:space="preserve"> 电话：</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 xml:space="preserve">  传真：</w:t>
      </w:r>
      <w:r>
        <w:rPr>
          <w:rFonts w:hint="eastAsia" w:asciiTheme="minorEastAsia" w:hAnsiTheme="minorEastAsia" w:cstheme="minorEastAsia"/>
          <w:color w:val="auto"/>
          <w:kern w:val="0"/>
          <w:sz w:val="24"/>
          <w:highlight w:val="none"/>
          <w:u w:val="single"/>
        </w:rPr>
        <w:t xml:space="preserve">          </w:t>
      </w:r>
    </w:p>
    <w:p w14:paraId="0EAC0FEB">
      <w:pPr>
        <w:adjustRightInd w:val="0"/>
        <w:spacing w:line="360" w:lineRule="auto"/>
        <w:ind w:firstLine="1200" w:firstLineChars="500"/>
        <w:rPr>
          <w:rFonts w:asciiTheme="minorEastAsia" w:hAnsiTheme="minorEastAsia" w:cstheme="minorEastAsia"/>
          <w:color w:val="auto"/>
          <w:kern w:val="0"/>
          <w:sz w:val="24"/>
          <w:highlight w:val="none"/>
          <w:u w:val="single"/>
        </w:rPr>
      </w:pPr>
      <w:r>
        <w:rPr>
          <w:rFonts w:hint="eastAsia" w:asciiTheme="minorEastAsia" w:hAnsiTheme="minorEastAsia" w:cstheme="minorEastAsia"/>
          <w:color w:val="auto"/>
          <w:kern w:val="0"/>
          <w:sz w:val="24"/>
          <w:highlight w:val="none"/>
        </w:rPr>
        <w:t>开户银行名称：</w:t>
      </w:r>
      <w:r>
        <w:rPr>
          <w:rFonts w:hint="eastAsia" w:asciiTheme="minorEastAsia" w:hAnsiTheme="minorEastAsia" w:cstheme="minorEastAsia"/>
          <w:color w:val="auto"/>
          <w:kern w:val="0"/>
          <w:sz w:val="24"/>
          <w:highlight w:val="none"/>
          <w:u w:val="single"/>
        </w:rPr>
        <w:t xml:space="preserve">                                             </w:t>
      </w:r>
    </w:p>
    <w:p w14:paraId="73D157E4">
      <w:pPr>
        <w:adjustRightInd w:val="0"/>
        <w:spacing w:line="360" w:lineRule="auto"/>
        <w:rPr>
          <w:rFonts w:asciiTheme="minorEastAsia" w:hAnsiTheme="minorEastAsia" w:cstheme="minorEastAsia"/>
          <w:color w:val="auto"/>
          <w:kern w:val="0"/>
          <w:sz w:val="24"/>
          <w:highlight w:val="none"/>
          <w:u w:val="single"/>
        </w:rPr>
      </w:pPr>
      <w:r>
        <w:rPr>
          <w:rFonts w:hint="eastAsia" w:asciiTheme="minorEastAsia" w:hAnsiTheme="minorEastAsia" w:cstheme="minorEastAsia"/>
          <w:color w:val="auto"/>
          <w:kern w:val="0"/>
          <w:sz w:val="24"/>
          <w:highlight w:val="none"/>
        </w:rPr>
        <w:t xml:space="preserve">          开户银行帐号：</w:t>
      </w:r>
      <w:r>
        <w:rPr>
          <w:rFonts w:hint="eastAsia" w:asciiTheme="minorEastAsia" w:hAnsiTheme="minorEastAsia" w:cstheme="minorEastAsia"/>
          <w:color w:val="auto"/>
          <w:kern w:val="0"/>
          <w:sz w:val="24"/>
          <w:highlight w:val="none"/>
          <w:u w:val="single"/>
        </w:rPr>
        <w:t xml:space="preserve">                                             </w:t>
      </w:r>
    </w:p>
    <w:p w14:paraId="2071060D">
      <w:pPr>
        <w:adjustRightInd w:val="0"/>
        <w:spacing w:line="360" w:lineRule="auto"/>
        <w:ind w:firstLine="1200" w:firstLineChars="500"/>
        <w:rPr>
          <w:rFonts w:asciiTheme="minorEastAsia" w:hAnsiTheme="minorEastAsia" w:cstheme="minorEastAsia"/>
          <w:color w:val="auto"/>
          <w:kern w:val="0"/>
          <w:sz w:val="24"/>
          <w:highlight w:val="none"/>
          <w:u w:val="single"/>
        </w:rPr>
      </w:pPr>
      <w:r>
        <w:rPr>
          <w:rFonts w:hint="eastAsia" w:asciiTheme="minorEastAsia" w:hAnsiTheme="minorEastAsia" w:cstheme="minorEastAsia"/>
          <w:color w:val="auto"/>
          <w:kern w:val="0"/>
          <w:sz w:val="24"/>
          <w:highlight w:val="none"/>
        </w:rPr>
        <w:t>开户银行地址：</w:t>
      </w:r>
      <w:r>
        <w:rPr>
          <w:rFonts w:hint="eastAsia" w:asciiTheme="minorEastAsia" w:hAnsiTheme="minorEastAsia" w:cstheme="minorEastAsia"/>
          <w:color w:val="auto"/>
          <w:kern w:val="0"/>
          <w:sz w:val="24"/>
          <w:highlight w:val="none"/>
          <w:u w:val="single"/>
        </w:rPr>
        <w:t xml:space="preserve">                                             </w:t>
      </w:r>
    </w:p>
    <w:p w14:paraId="6E36F91D">
      <w:pPr>
        <w:adjustRightInd w:val="0"/>
        <w:spacing w:line="360" w:lineRule="auto"/>
        <w:ind w:firstLine="1200" w:firstLineChars="5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日    期：</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年</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月</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日</w:t>
      </w:r>
    </w:p>
    <w:p w14:paraId="35C177EA">
      <w:pPr>
        <w:adjustRightInd w:val="0"/>
        <w:spacing w:line="360" w:lineRule="auto"/>
        <w:ind w:firstLine="960" w:firstLineChars="400"/>
        <w:rPr>
          <w:rFonts w:asciiTheme="minorEastAsia" w:hAnsiTheme="minorEastAsia" w:cstheme="minorEastAsia"/>
          <w:color w:val="auto"/>
          <w:kern w:val="0"/>
          <w:sz w:val="24"/>
          <w:highlight w:val="none"/>
        </w:rPr>
      </w:pPr>
    </w:p>
    <w:p w14:paraId="3D5D3E65">
      <w:pPr>
        <w:adjustRightInd w:val="0"/>
        <w:snapToGrid w:val="0"/>
        <w:spacing w:line="460" w:lineRule="exact"/>
        <w:jc w:val="center"/>
        <w:textAlignment w:val="baseline"/>
        <w:rPr>
          <w:rFonts w:ascii="宋体" w:hAnsi="宋体" w:eastAsia="宋体" w:cs="仿宋"/>
          <w:b/>
          <w:bCs/>
          <w:snapToGrid w:val="0"/>
          <w:color w:val="auto"/>
          <w:kern w:val="0"/>
          <w:sz w:val="28"/>
          <w:szCs w:val="28"/>
          <w:highlight w:val="none"/>
        </w:rPr>
      </w:pPr>
      <w:r>
        <w:rPr>
          <w:rFonts w:hint="eastAsia" w:ascii="宋体" w:hAnsi="宋体" w:eastAsia="宋体" w:cs="仿宋"/>
          <w:b/>
          <w:bCs/>
          <w:snapToGrid w:val="0"/>
          <w:color w:val="auto"/>
          <w:kern w:val="0"/>
          <w:sz w:val="28"/>
          <w:szCs w:val="28"/>
          <w:highlight w:val="none"/>
        </w:rPr>
        <w:t>二、磋商函附录</w:t>
      </w:r>
    </w:p>
    <w:tbl>
      <w:tblPr>
        <w:tblStyle w:val="28"/>
        <w:tblW w:w="9449" w:type="dxa"/>
        <w:tblInd w:w="-2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0"/>
        <w:gridCol w:w="1590"/>
        <w:gridCol w:w="1275"/>
        <w:gridCol w:w="5024"/>
        <w:gridCol w:w="900"/>
      </w:tblGrid>
      <w:tr w14:paraId="5B178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60" w:type="dxa"/>
            <w:vAlign w:val="center"/>
          </w:tcPr>
          <w:p w14:paraId="0E90A31D">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序号</w:t>
            </w:r>
          </w:p>
        </w:tc>
        <w:tc>
          <w:tcPr>
            <w:tcW w:w="1590" w:type="dxa"/>
            <w:vAlign w:val="center"/>
          </w:tcPr>
          <w:p w14:paraId="0FF9E672">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项目内容</w:t>
            </w:r>
          </w:p>
        </w:tc>
        <w:tc>
          <w:tcPr>
            <w:tcW w:w="1275" w:type="dxa"/>
            <w:vAlign w:val="center"/>
          </w:tcPr>
          <w:p w14:paraId="26AA32A0">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合同条款号</w:t>
            </w:r>
          </w:p>
        </w:tc>
        <w:tc>
          <w:tcPr>
            <w:tcW w:w="5024" w:type="dxa"/>
            <w:vAlign w:val="center"/>
          </w:tcPr>
          <w:p w14:paraId="2B25221E">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约定内容</w:t>
            </w:r>
          </w:p>
        </w:tc>
        <w:tc>
          <w:tcPr>
            <w:tcW w:w="900" w:type="dxa"/>
            <w:vAlign w:val="center"/>
          </w:tcPr>
          <w:p w14:paraId="1B05AD0F">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备注</w:t>
            </w:r>
          </w:p>
        </w:tc>
      </w:tr>
      <w:tr w14:paraId="6697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43" w:hRule="atLeast"/>
        </w:trPr>
        <w:tc>
          <w:tcPr>
            <w:tcW w:w="660" w:type="dxa"/>
            <w:vAlign w:val="center"/>
          </w:tcPr>
          <w:p w14:paraId="4E3DD7C2">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1</w:t>
            </w:r>
          </w:p>
        </w:tc>
        <w:tc>
          <w:tcPr>
            <w:tcW w:w="1590" w:type="dxa"/>
            <w:vAlign w:val="center"/>
          </w:tcPr>
          <w:p w14:paraId="2D529B13">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工程进度款</w:t>
            </w:r>
          </w:p>
        </w:tc>
        <w:tc>
          <w:tcPr>
            <w:tcW w:w="1275" w:type="dxa"/>
            <w:vAlign w:val="center"/>
          </w:tcPr>
          <w:p w14:paraId="2CB2066D">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12.4.1</w:t>
            </w:r>
          </w:p>
        </w:tc>
        <w:tc>
          <w:tcPr>
            <w:tcW w:w="5024" w:type="dxa"/>
            <w:vAlign w:val="center"/>
          </w:tcPr>
          <w:p w14:paraId="655F812B">
            <w:pPr>
              <w:keepNext w:val="0"/>
              <w:keepLines w:val="0"/>
              <w:pageBreakBefore w:val="0"/>
              <w:widowControl/>
              <w:kinsoku/>
              <w:wordWrap/>
              <w:overflowPunct/>
              <w:topLinePunct w:val="0"/>
              <w:autoSpaceDE/>
              <w:autoSpaceDN/>
              <w:bidi w:val="0"/>
              <w:snapToGrid/>
              <w:spacing w:line="360" w:lineRule="auto"/>
              <w:ind w:left="0" w:leftChars="0" w:right="0" w:firstLine="480" w:firstLineChars="200"/>
              <w:jc w:val="both"/>
              <w:textAlignment w:val="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进度款按月支付，付款金额为当月确认实际完成工程量款项的80%；完成总工程量后支付至合同价的80%；结算报告完成后，工程款支付至结算价的9</w:t>
            </w:r>
            <w:r>
              <w:rPr>
                <w:rFonts w:hint="eastAsia" w:asciiTheme="minorEastAsia" w:hAnsiTheme="minorEastAsia" w:cstheme="minorEastAsia"/>
                <w:color w:val="auto"/>
                <w:kern w:val="0"/>
                <w:sz w:val="24"/>
                <w:highlight w:val="none"/>
                <w:lang w:val="en-US" w:eastAsia="zh-CN"/>
              </w:rPr>
              <w:t>7</w:t>
            </w:r>
            <w:r>
              <w:rPr>
                <w:rFonts w:hint="eastAsia" w:asciiTheme="minorEastAsia" w:hAnsiTheme="minorEastAsia" w:cstheme="minorEastAsia"/>
                <w:color w:val="auto"/>
                <w:kern w:val="0"/>
                <w:sz w:val="24"/>
                <w:highlight w:val="none"/>
              </w:rPr>
              <w:t>%，余下的</w:t>
            </w:r>
            <w:r>
              <w:rPr>
                <w:rFonts w:hint="eastAsia" w:asciiTheme="minorEastAsia" w:hAnsiTheme="minorEastAsia" w:cstheme="minorEastAsia"/>
                <w:color w:val="auto"/>
                <w:kern w:val="0"/>
                <w:sz w:val="24"/>
                <w:highlight w:val="none"/>
                <w:lang w:val="en-US" w:eastAsia="zh-CN"/>
              </w:rPr>
              <w:t>3</w:t>
            </w:r>
            <w:r>
              <w:rPr>
                <w:rFonts w:hint="eastAsia" w:asciiTheme="minorEastAsia" w:hAnsiTheme="minorEastAsia" w:cstheme="minorEastAsia"/>
                <w:color w:val="auto"/>
                <w:kern w:val="0"/>
                <w:sz w:val="24"/>
                <w:highlight w:val="none"/>
              </w:rPr>
              <w:t>%作为工程质量保证金，待工程质量保修期满后无息退还。</w:t>
            </w:r>
          </w:p>
        </w:tc>
        <w:tc>
          <w:tcPr>
            <w:tcW w:w="900" w:type="dxa"/>
            <w:vAlign w:val="center"/>
          </w:tcPr>
          <w:p w14:paraId="15A72A67">
            <w:pPr>
              <w:keepNext w:val="0"/>
              <w:keepLines w:val="0"/>
              <w:pageBreakBefore w:val="0"/>
              <w:widowControl/>
              <w:kinsoku/>
              <w:wordWrap/>
              <w:overflowPunct/>
              <w:topLinePunct w:val="0"/>
              <w:autoSpaceDE/>
              <w:autoSpaceDN/>
              <w:bidi w:val="0"/>
              <w:adjustRightInd w:val="0"/>
              <w:snapToGrid/>
              <w:spacing w:line="360" w:lineRule="auto"/>
              <w:ind w:left="0" w:leftChars="0" w:right="0" w:firstLine="480" w:firstLineChars="200"/>
              <w:jc w:val="both"/>
              <w:textAlignment w:val="auto"/>
              <w:rPr>
                <w:rFonts w:asciiTheme="minorEastAsia" w:hAnsiTheme="minorEastAsia" w:cstheme="minorEastAsia"/>
                <w:color w:val="auto"/>
                <w:kern w:val="0"/>
                <w:sz w:val="24"/>
                <w:highlight w:val="none"/>
              </w:rPr>
            </w:pPr>
          </w:p>
        </w:tc>
      </w:tr>
      <w:tr w14:paraId="05B32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60" w:type="dxa"/>
            <w:vAlign w:val="center"/>
          </w:tcPr>
          <w:p w14:paraId="70BB00B7">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2</w:t>
            </w:r>
          </w:p>
        </w:tc>
        <w:tc>
          <w:tcPr>
            <w:tcW w:w="1590" w:type="dxa"/>
            <w:vAlign w:val="center"/>
          </w:tcPr>
          <w:p w14:paraId="491A716A">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误期违约金</w:t>
            </w:r>
          </w:p>
        </w:tc>
        <w:tc>
          <w:tcPr>
            <w:tcW w:w="1275" w:type="dxa"/>
            <w:vAlign w:val="center"/>
          </w:tcPr>
          <w:p w14:paraId="5E7F3FD7">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stheme="minorEastAsia"/>
                <w:color w:val="auto"/>
                <w:kern w:val="0"/>
                <w:sz w:val="24"/>
                <w:highlight w:val="none"/>
              </w:rPr>
            </w:pPr>
            <w:r>
              <w:rPr>
                <w:rFonts w:hint="eastAsia" w:ascii="宋体" w:hAnsi="宋体" w:cs="宋体"/>
                <w:color w:val="auto"/>
                <w:sz w:val="24"/>
                <w:szCs w:val="24"/>
                <w:highlight w:val="none"/>
              </w:rPr>
              <w:t>7.5.2</w:t>
            </w:r>
          </w:p>
        </w:tc>
        <w:tc>
          <w:tcPr>
            <w:tcW w:w="5024" w:type="dxa"/>
            <w:vAlign w:val="center"/>
          </w:tcPr>
          <w:p w14:paraId="09A11B8A">
            <w:pPr>
              <w:keepNext w:val="0"/>
              <w:keepLines w:val="0"/>
              <w:pageBreakBefore w:val="0"/>
              <w:widowControl/>
              <w:kinsoku/>
              <w:wordWrap/>
              <w:overflowPunct/>
              <w:topLinePunct w:val="0"/>
              <w:autoSpaceDE/>
              <w:autoSpaceDN/>
              <w:bidi w:val="0"/>
              <w:snapToGrid/>
              <w:spacing w:line="360" w:lineRule="auto"/>
              <w:ind w:left="0" w:leftChars="0" w:right="0" w:firstLine="480" w:firstLineChars="200"/>
              <w:jc w:val="both"/>
              <w:textAlignment w:val="auto"/>
              <w:rPr>
                <w:rFonts w:asciiTheme="minorEastAsia" w:hAnsiTheme="minorEastAsia" w:cstheme="minorEastAsia"/>
                <w:color w:val="auto"/>
                <w:kern w:val="0"/>
                <w:sz w:val="24"/>
                <w:szCs w:val="24"/>
                <w:highlight w:val="none"/>
              </w:rPr>
            </w:pPr>
            <w:r>
              <w:rPr>
                <w:rFonts w:hint="eastAsia" w:ascii="宋体" w:hAnsi="宋体" w:cs="宋体"/>
                <w:color w:val="auto"/>
                <w:sz w:val="24"/>
                <w:szCs w:val="24"/>
                <w:highlight w:val="none"/>
              </w:rPr>
              <w:t xml:space="preserve">非上述原因，承包人不能按合同约定的时间竣工，承包人应承担违约责任。应向发包人支付误期赔偿费（监理人可向承包人发出整改通知，承包人未能按合同约定，已造成工期延误，并向承包人索赔每天5000元的违约金，若因此给发包人造成实际损失的，承包人还应对此承担赔偿责任，罚款直接从结算款中扣除。），误期时间从规定竣工日期起直到实际竣工日期的天数（扣除发包人批准顺延的工期）。发包人可从应向承包人支付的任何金额中扣除此项赔款费或其他方式收回此款，此赔偿款的支付并不能解除承包人应完成工程的责任或合同规定的其他责任。 </w:t>
            </w:r>
          </w:p>
        </w:tc>
        <w:tc>
          <w:tcPr>
            <w:tcW w:w="900" w:type="dxa"/>
            <w:vAlign w:val="center"/>
          </w:tcPr>
          <w:p w14:paraId="2136C165">
            <w:pPr>
              <w:keepNext w:val="0"/>
              <w:keepLines w:val="0"/>
              <w:pageBreakBefore w:val="0"/>
              <w:widowControl/>
              <w:kinsoku/>
              <w:wordWrap/>
              <w:overflowPunct/>
              <w:topLinePunct w:val="0"/>
              <w:autoSpaceDE/>
              <w:autoSpaceDN/>
              <w:bidi w:val="0"/>
              <w:adjustRightInd w:val="0"/>
              <w:snapToGrid/>
              <w:spacing w:line="360" w:lineRule="auto"/>
              <w:ind w:left="0" w:leftChars="0" w:right="0" w:firstLine="480" w:firstLineChars="200"/>
              <w:jc w:val="both"/>
              <w:textAlignment w:val="auto"/>
              <w:rPr>
                <w:rFonts w:asciiTheme="minorEastAsia" w:hAnsiTheme="minorEastAsia" w:cstheme="minorEastAsia"/>
                <w:color w:val="auto"/>
                <w:kern w:val="0"/>
                <w:sz w:val="24"/>
                <w:highlight w:val="none"/>
              </w:rPr>
            </w:pPr>
          </w:p>
        </w:tc>
      </w:tr>
      <w:tr w14:paraId="009F3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trPr>
        <w:tc>
          <w:tcPr>
            <w:tcW w:w="660" w:type="dxa"/>
            <w:vAlign w:val="center"/>
          </w:tcPr>
          <w:p w14:paraId="3CD6AEC1">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3</w:t>
            </w:r>
          </w:p>
        </w:tc>
        <w:tc>
          <w:tcPr>
            <w:tcW w:w="1590" w:type="dxa"/>
            <w:vAlign w:val="center"/>
          </w:tcPr>
          <w:p w14:paraId="627CF548">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误期违约金上限</w:t>
            </w:r>
          </w:p>
        </w:tc>
        <w:tc>
          <w:tcPr>
            <w:tcW w:w="1275" w:type="dxa"/>
            <w:vAlign w:val="center"/>
          </w:tcPr>
          <w:p w14:paraId="680AB31D">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stheme="minorEastAsia"/>
                <w:color w:val="auto"/>
                <w:kern w:val="0"/>
                <w:sz w:val="24"/>
                <w:highlight w:val="none"/>
              </w:rPr>
            </w:pPr>
            <w:r>
              <w:rPr>
                <w:rFonts w:hint="eastAsia" w:ascii="宋体" w:hAnsi="宋体" w:cs="宋体"/>
                <w:color w:val="auto"/>
                <w:sz w:val="24"/>
                <w:szCs w:val="24"/>
                <w:highlight w:val="none"/>
              </w:rPr>
              <w:t>7.5.2</w:t>
            </w:r>
          </w:p>
        </w:tc>
        <w:tc>
          <w:tcPr>
            <w:tcW w:w="5024" w:type="dxa"/>
            <w:vAlign w:val="center"/>
          </w:tcPr>
          <w:p w14:paraId="5ECDAFF5">
            <w:pPr>
              <w:keepNext w:val="0"/>
              <w:keepLines w:val="0"/>
              <w:pageBreakBefore w:val="0"/>
              <w:widowControl/>
              <w:kinsoku/>
              <w:wordWrap/>
              <w:overflowPunct/>
              <w:topLinePunct w:val="0"/>
              <w:autoSpaceDE/>
              <w:autoSpaceDN/>
              <w:bidi w:val="0"/>
              <w:adjustRightInd w:val="0"/>
              <w:snapToGrid/>
              <w:spacing w:line="360" w:lineRule="auto"/>
              <w:ind w:left="0" w:leftChars="0" w:right="0" w:firstLine="480" w:firstLineChars="200"/>
              <w:jc w:val="both"/>
              <w:textAlignment w:val="auto"/>
              <w:rPr>
                <w:rFonts w:asciiTheme="minorEastAsia" w:hAnsiTheme="minorEastAsia" w:cstheme="minorEastAsia"/>
                <w:color w:val="auto"/>
                <w:kern w:val="0"/>
                <w:sz w:val="24"/>
                <w:szCs w:val="24"/>
                <w:highlight w:val="none"/>
              </w:rPr>
            </w:pPr>
            <w:r>
              <w:rPr>
                <w:rFonts w:hint="eastAsia" w:ascii="宋体" w:hAnsi="宋体" w:cs="宋体"/>
                <w:color w:val="auto"/>
                <w:sz w:val="24"/>
                <w:szCs w:val="24"/>
                <w:highlight w:val="none"/>
              </w:rPr>
              <w:t>逾期竣工的单位工程结算造价扣除建安劳保费、发包人材料价款、暂估专业工程、暂列金额后的10%。</w:t>
            </w:r>
          </w:p>
        </w:tc>
        <w:tc>
          <w:tcPr>
            <w:tcW w:w="900" w:type="dxa"/>
            <w:vAlign w:val="center"/>
          </w:tcPr>
          <w:p w14:paraId="141A41C0">
            <w:pPr>
              <w:keepNext w:val="0"/>
              <w:keepLines w:val="0"/>
              <w:pageBreakBefore w:val="0"/>
              <w:widowControl/>
              <w:kinsoku/>
              <w:wordWrap/>
              <w:overflowPunct/>
              <w:topLinePunct w:val="0"/>
              <w:autoSpaceDE/>
              <w:autoSpaceDN/>
              <w:bidi w:val="0"/>
              <w:adjustRightInd w:val="0"/>
              <w:snapToGrid/>
              <w:spacing w:line="360" w:lineRule="auto"/>
              <w:ind w:left="0" w:leftChars="0" w:right="0" w:firstLine="480" w:firstLineChars="200"/>
              <w:jc w:val="both"/>
              <w:textAlignment w:val="auto"/>
              <w:rPr>
                <w:rFonts w:asciiTheme="minorEastAsia" w:hAnsiTheme="minorEastAsia" w:cstheme="minorEastAsia"/>
                <w:color w:val="auto"/>
                <w:kern w:val="0"/>
                <w:sz w:val="24"/>
                <w:highlight w:val="none"/>
              </w:rPr>
            </w:pPr>
          </w:p>
        </w:tc>
      </w:tr>
      <w:tr w14:paraId="63D51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60" w:type="dxa"/>
            <w:vAlign w:val="center"/>
          </w:tcPr>
          <w:p w14:paraId="75AA9339">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4</w:t>
            </w:r>
          </w:p>
        </w:tc>
        <w:tc>
          <w:tcPr>
            <w:tcW w:w="1590" w:type="dxa"/>
            <w:vAlign w:val="center"/>
          </w:tcPr>
          <w:p w14:paraId="113D2CBB">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质量保修期</w:t>
            </w:r>
          </w:p>
        </w:tc>
        <w:tc>
          <w:tcPr>
            <w:tcW w:w="1275" w:type="dxa"/>
            <w:vAlign w:val="center"/>
          </w:tcPr>
          <w:p w14:paraId="411B5809">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stheme="minorEastAsia"/>
                <w:color w:val="auto"/>
                <w:kern w:val="0"/>
                <w:sz w:val="24"/>
                <w:highlight w:val="none"/>
              </w:rPr>
            </w:pPr>
            <w:r>
              <w:rPr>
                <w:rFonts w:hint="eastAsia" w:asciiTheme="minorEastAsia" w:hAnsiTheme="minorEastAsia"/>
                <w:color w:val="auto"/>
                <w:sz w:val="24"/>
                <w:szCs w:val="24"/>
                <w:highlight w:val="none"/>
              </w:rPr>
              <w:t>15.4.1</w:t>
            </w:r>
          </w:p>
        </w:tc>
        <w:tc>
          <w:tcPr>
            <w:tcW w:w="5024" w:type="dxa"/>
            <w:vAlign w:val="center"/>
          </w:tcPr>
          <w:p w14:paraId="46D09194">
            <w:pPr>
              <w:keepNext w:val="0"/>
              <w:keepLines w:val="0"/>
              <w:pageBreakBefore w:val="0"/>
              <w:widowControl/>
              <w:kinsoku/>
              <w:wordWrap/>
              <w:overflowPunct/>
              <w:topLinePunct w:val="0"/>
              <w:autoSpaceDE/>
              <w:autoSpaceDN/>
              <w:bidi w:val="0"/>
              <w:adjustRightInd w:val="0"/>
              <w:snapToGrid/>
              <w:spacing w:line="360" w:lineRule="auto"/>
              <w:ind w:left="0" w:leftChars="0" w:right="0" w:firstLine="480" w:firstLineChars="200"/>
              <w:jc w:val="both"/>
              <w:textAlignment w:val="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 xml:space="preserve">  执行《建设工程质量管理条例》规定    </w:t>
            </w:r>
          </w:p>
        </w:tc>
        <w:tc>
          <w:tcPr>
            <w:tcW w:w="900" w:type="dxa"/>
            <w:vAlign w:val="center"/>
          </w:tcPr>
          <w:p w14:paraId="2B15C676">
            <w:pPr>
              <w:keepNext w:val="0"/>
              <w:keepLines w:val="0"/>
              <w:pageBreakBefore w:val="0"/>
              <w:widowControl/>
              <w:kinsoku/>
              <w:wordWrap/>
              <w:overflowPunct/>
              <w:topLinePunct w:val="0"/>
              <w:autoSpaceDE/>
              <w:autoSpaceDN/>
              <w:bidi w:val="0"/>
              <w:adjustRightInd w:val="0"/>
              <w:snapToGrid/>
              <w:spacing w:line="360" w:lineRule="auto"/>
              <w:ind w:left="0" w:leftChars="0" w:right="0" w:firstLine="480" w:firstLineChars="200"/>
              <w:jc w:val="both"/>
              <w:textAlignment w:val="auto"/>
              <w:rPr>
                <w:rFonts w:asciiTheme="minorEastAsia" w:hAnsiTheme="minorEastAsia" w:cstheme="minorEastAsia"/>
                <w:color w:val="auto"/>
                <w:kern w:val="0"/>
                <w:sz w:val="24"/>
                <w:highlight w:val="none"/>
              </w:rPr>
            </w:pPr>
          </w:p>
        </w:tc>
      </w:tr>
      <w:tr w14:paraId="4F751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60" w:type="dxa"/>
            <w:vAlign w:val="center"/>
          </w:tcPr>
          <w:p w14:paraId="1AB54CF8">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5</w:t>
            </w:r>
          </w:p>
        </w:tc>
        <w:tc>
          <w:tcPr>
            <w:tcW w:w="1590" w:type="dxa"/>
            <w:vAlign w:val="center"/>
          </w:tcPr>
          <w:p w14:paraId="31498FCB">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lang w:val="en-US" w:eastAsia="zh-CN"/>
              </w:rPr>
              <w:t>履约</w:t>
            </w:r>
            <w:r>
              <w:rPr>
                <w:rFonts w:hint="eastAsia" w:asciiTheme="minorEastAsia" w:hAnsiTheme="minorEastAsia" w:cstheme="minorEastAsia"/>
                <w:color w:val="auto"/>
                <w:kern w:val="0"/>
                <w:sz w:val="24"/>
                <w:highlight w:val="none"/>
              </w:rPr>
              <w:t>保证金</w:t>
            </w:r>
          </w:p>
        </w:tc>
        <w:tc>
          <w:tcPr>
            <w:tcW w:w="1275" w:type="dxa"/>
            <w:vAlign w:val="center"/>
          </w:tcPr>
          <w:p w14:paraId="4948D2F8">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stheme="minorEastAsia"/>
                <w:color w:val="auto"/>
                <w:kern w:val="0"/>
                <w:sz w:val="24"/>
                <w:highlight w:val="none"/>
              </w:rPr>
            </w:pPr>
            <w:r>
              <w:rPr>
                <w:rFonts w:hint="eastAsia" w:asciiTheme="minorEastAsia" w:hAnsiTheme="minorEastAsia"/>
                <w:color w:val="auto"/>
                <w:sz w:val="24"/>
                <w:szCs w:val="24"/>
                <w:highlight w:val="none"/>
              </w:rPr>
              <w:t>15.3.1</w:t>
            </w:r>
          </w:p>
        </w:tc>
        <w:tc>
          <w:tcPr>
            <w:tcW w:w="5024" w:type="dxa"/>
            <w:vAlign w:val="center"/>
          </w:tcPr>
          <w:p w14:paraId="4817F9A2">
            <w:pPr>
              <w:keepNext w:val="0"/>
              <w:keepLines w:val="0"/>
              <w:pageBreakBefore w:val="0"/>
              <w:widowControl/>
              <w:kinsoku/>
              <w:wordWrap/>
              <w:overflowPunct/>
              <w:topLinePunct w:val="0"/>
              <w:autoSpaceDE/>
              <w:autoSpaceDN/>
              <w:bidi w:val="0"/>
              <w:adjustRightInd w:val="0"/>
              <w:snapToGrid/>
              <w:spacing w:line="360" w:lineRule="auto"/>
              <w:ind w:left="0" w:leftChars="0" w:right="0" w:firstLine="480" w:firstLineChars="200"/>
              <w:jc w:val="both"/>
              <w:textAlignment w:val="auto"/>
              <w:rPr>
                <w:rFonts w:hint="eastAsia" w:asciiTheme="minorEastAsia" w:hAnsiTheme="minorEastAsia" w:eastAsiaTheme="minorEastAsia" w:cstheme="minorEastAsia"/>
                <w:color w:val="auto"/>
                <w:kern w:val="0"/>
                <w:sz w:val="24"/>
                <w:highlight w:val="none"/>
                <w:u w:val="single"/>
                <w:lang w:eastAsia="zh-CN"/>
              </w:rPr>
            </w:pPr>
            <w:r>
              <w:rPr>
                <w:rFonts w:hint="eastAsia" w:ascii="宋体" w:hAnsi="宋体" w:cs="宋体"/>
                <w:color w:val="auto"/>
                <w:sz w:val="24"/>
                <w:szCs w:val="24"/>
                <w:highlight w:val="none"/>
                <w:lang w:val="en-US" w:eastAsia="zh-CN"/>
              </w:rPr>
              <w:t>无</w:t>
            </w:r>
          </w:p>
        </w:tc>
        <w:tc>
          <w:tcPr>
            <w:tcW w:w="900" w:type="dxa"/>
            <w:vAlign w:val="center"/>
          </w:tcPr>
          <w:p w14:paraId="43A98A55">
            <w:pPr>
              <w:keepNext w:val="0"/>
              <w:keepLines w:val="0"/>
              <w:pageBreakBefore w:val="0"/>
              <w:widowControl/>
              <w:kinsoku/>
              <w:wordWrap/>
              <w:overflowPunct/>
              <w:topLinePunct w:val="0"/>
              <w:autoSpaceDE/>
              <w:autoSpaceDN/>
              <w:bidi w:val="0"/>
              <w:adjustRightInd w:val="0"/>
              <w:snapToGrid/>
              <w:spacing w:line="360" w:lineRule="auto"/>
              <w:ind w:left="0" w:leftChars="0" w:right="0" w:firstLine="480" w:firstLineChars="200"/>
              <w:jc w:val="both"/>
              <w:textAlignment w:val="auto"/>
              <w:rPr>
                <w:rFonts w:asciiTheme="minorEastAsia" w:hAnsiTheme="minorEastAsia" w:cstheme="minorEastAsia"/>
                <w:color w:val="auto"/>
                <w:kern w:val="0"/>
                <w:sz w:val="24"/>
                <w:highlight w:val="none"/>
              </w:rPr>
            </w:pPr>
          </w:p>
        </w:tc>
      </w:tr>
      <w:tr w14:paraId="6F2AD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atLeast"/>
        </w:trPr>
        <w:tc>
          <w:tcPr>
            <w:tcW w:w="660" w:type="dxa"/>
            <w:vAlign w:val="center"/>
          </w:tcPr>
          <w:p w14:paraId="4521733E">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6</w:t>
            </w:r>
          </w:p>
        </w:tc>
        <w:tc>
          <w:tcPr>
            <w:tcW w:w="1590" w:type="dxa"/>
            <w:vAlign w:val="center"/>
          </w:tcPr>
          <w:p w14:paraId="65A8F0FD">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szCs w:val="24"/>
                <w:highlight w:val="none"/>
              </w:rPr>
              <w:t>磋商</w:t>
            </w:r>
            <w:r>
              <w:rPr>
                <w:rFonts w:hint="eastAsia" w:asciiTheme="minorEastAsia" w:hAnsiTheme="minorEastAsia" w:cstheme="minorEastAsia"/>
                <w:color w:val="auto"/>
                <w:kern w:val="0"/>
                <w:sz w:val="24"/>
                <w:highlight w:val="none"/>
              </w:rPr>
              <w:t>有效期</w:t>
            </w:r>
          </w:p>
        </w:tc>
        <w:tc>
          <w:tcPr>
            <w:tcW w:w="1275" w:type="dxa"/>
            <w:vAlign w:val="center"/>
          </w:tcPr>
          <w:p w14:paraId="5DE1348C">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olor w:val="auto"/>
                <w:sz w:val="24"/>
                <w:szCs w:val="24"/>
                <w:highlight w:val="none"/>
              </w:rPr>
            </w:pPr>
          </w:p>
        </w:tc>
        <w:tc>
          <w:tcPr>
            <w:tcW w:w="5024" w:type="dxa"/>
            <w:vAlign w:val="center"/>
          </w:tcPr>
          <w:p w14:paraId="2D4D06F9">
            <w:pPr>
              <w:keepNext w:val="0"/>
              <w:keepLines w:val="0"/>
              <w:pageBreakBefore w:val="0"/>
              <w:widowControl/>
              <w:kinsoku/>
              <w:wordWrap/>
              <w:overflowPunct/>
              <w:topLinePunct w:val="0"/>
              <w:autoSpaceDE/>
              <w:autoSpaceDN/>
              <w:bidi w:val="0"/>
              <w:adjustRightInd w:val="0"/>
              <w:snapToGrid/>
              <w:spacing w:line="360" w:lineRule="auto"/>
              <w:ind w:left="0" w:leftChars="0" w:right="0" w:firstLine="480" w:firstLineChars="200"/>
              <w:jc w:val="both"/>
              <w:textAlignment w:val="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szCs w:val="24"/>
                <w:highlight w:val="none"/>
              </w:rPr>
              <w:t>60 日（自提交响应文件截止之日算起）</w:t>
            </w:r>
          </w:p>
        </w:tc>
        <w:tc>
          <w:tcPr>
            <w:tcW w:w="900" w:type="dxa"/>
            <w:vAlign w:val="center"/>
          </w:tcPr>
          <w:p w14:paraId="7AC19361">
            <w:pPr>
              <w:keepNext w:val="0"/>
              <w:keepLines w:val="0"/>
              <w:pageBreakBefore w:val="0"/>
              <w:widowControl/>
              <w:kinsoku/>
              <w:wordWrap/>
              <w:overflowPunct/>
              <w:topLinePunct w:val="0"/>
              <w:autoSpaceDE/>
              <w:autoSpaceDN/>
              <w:bidi w:val="0"/>
              <w:adjustRightInd w:val="0"/>
              <w:snapToGrid/>
              <w:spacing w:line="360" w:lineRule="auto"/>
              <w:ind w:left="0" w:leftChars="0" w:right="0" w:firstLine="480" w:firstLineChars="200"/>
              <w:jc w:val="both"/>
              <w:textAlignment w:val="auto"/>
              <w:rPr>
                <w:rFonts w:asciiTheme="minorEastAsia" w:hAnsiTheme="minorEastAsia" w:cstheme="minorEastAsia"/>
                <w:color w:val="auto"/>
                <w:kern w:val="0"/>
                <w:sz w:val="24"/>
                <w:highlight w:val="none"/>
              </w:rPr>
            </w:pPr>
          </w:p>
        </w:tc>
      </w:tr>
      <w:tr w14:paraId="46029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660" w:type="dxa"/>
            <w:vAlign w:val="center"/>
          </w:tcPr>
          <w:p w14:paraId="6AAEED30">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7</w:t>
            </w:r>
          </w:p>
        </w:tc>
        <w:tc>
          <w:tcPr>
            <w:tcW w:w="1590" w:type="dxa"/>
            <w:vAlign w:val="center"/>
          </w:tcPr>
          <w:p w14:paraId="105A77D7">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合同履约期限</w:t>
            </w:r>
          </w:p>
        </w:tc>
        <w:tc>
          <w:tcPr>
            <w:tcW w:w="1275" w:type="dxa"/>
            <w:vAlign w:val="center"/>
          </w:tcPr>
          <w:p w14:paraId="08C62A9B">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stheme="minorEastAsia"/>
                <w:color w:val="auto"/>
                <w:kern w:val="0"/>
                <w:sz w:val="24"/>
                <w:highlight w:val="none"/>
              </w:rPr>
            </w:pPr>
          </w:p>
        </w:tc>
        <w:tc>
          <w:tcPr>
            <w:tcW w:w="5024" w:type="dxa"/>
            <w:vAlign w:val="center"/>
          </w:tcPr>
          <w:p w14:paraId="7C56F3E4">
            <w:pPr>
              <w:keepNext w:val="0"/>
              <w:keepLines w:val="0"/>
              <w:pageBreakBefore w:val="0"/>
              <w:widowControl/>
              <w:kinsoku/>
              <w:wordWrap/>
              <w:overflowPunct/>
              <w:topLinePunct w:val="0"/>
              <w:autoSpaceDE/>
              <w:autoSpaceDN/>
              <w:bidi w:val="0"/>
              <w:adjustRightInd w:val="0"/>
              <w:snapToGrid/>
              <w:spacing w:line="360" w:lineRule="auto"/>
              <w:ind w:left="0" w:leftChars="0" w:right="0" w:firstLine="480" w:firstLineChars="200"/>
              <w:jc w:val="both"/>
              <w:textAlignment w:val="auto"/>
              <w:rPr>
                <w:rFonts w:asciiTheme="minorEastAsia" w:hAnsiTheme="minorEastAsia" w:cstheme="minorEastAsia"/>
                <w:color w:val="auto"/>
                <w:kern w:val="0"/>
                <w:sz w:val="24"/>
                <w:highlight w:val="none"/>
              </w:rPr>
            </w:pPr>
            <w:r>
              <w:rPr>
                <w:rFonts w:hint="eastAsia" w:ascii="宋体" w:hAnsi="宋体" w:cs="宋体"/>
                <w:color w:val="auto"/>
                <w:sz w:val="24"/>
                <w:szCs w:val="24"/>
                <w:highlight w:val="none"/>
              </w:rPr>
              <w:t>从本项目开工之日起</w:t>
            </w:r>
            <w:r>
              <w:rPr>
                <w:rFonts w:hint="eastAsia" w:ascii="宋体" w:hAnsi="宋体" w:cs="宋体"/>
                <w:color w:val="auto"/>
                <w:sz w:val="24"/>
                <w:szCs w:val="24"/>
                <w:highlight w:val="none"/>
                <w:lang w:val="en-US" w:eastAsia="zh-CN"/>
              </w:rPr>
              <w:t>60</w:t>
            </w:r>
            <w:r>
              <w:rPr>
                <w:rFonts w:hint="eastAsia" w:ascii="宋体" w:hAnsi="宋体" w:cs="宋体"/>
                <w:color w:val="auto"/>
                <w:sz w:val="24"/>
                <w:szCs w:val="24"/>
                <w:highlight w:val="none"/>
              </w:rPr>
              <w:t>个日历天内完成（具体开工时间由采购人另外约定）</w:t>
            </w:r>
          </w:p>
        </w:tc>
        <w:tc>
          <w:tcPr>
            <w:tcW w:w="900" w:type="dxa"/>
            <w:vAlign w:val="center"/>
          </w:tcPr>
          <w:p w14:paraId="7B509748">
            <w:pPr>
              <w:keepNext w:val="0"/>
              <w:keepLines w:val="0"/>
              <w:pageBreakBefore w:val="0"/>
              <w:widowControl/>
              <w:kinsoku/>
              <w:wordWrap/>
              <w:overflowPunct/>
              <w:topLinePunct w:val="0"/>
              <w:autoSpaceDE/>
              <w:autoSpaceDN/>
              <w:bidi w:val="0"/>
              <w:adjustRightInd w:val="0"/>
              <w:snapToGrid/>
              <w:spacing w:line="360" w:lineRule="auto"/>
              <w:ind w:left="0" w:leftChars="0" w:right="0" w:firstLine="480" w:firstLineChars="200"/>
              <w:jc w:val="both"/>
              <w:textAlignment w:val="auto"/>
              <w:rPr>
                <w:rFonts w:asciiTheme="minorEastAsia" w:hAnsiTheme="minorEastAsia" w:cstheme="minorEastAsia"/>
                <w:color w:val="auto"/>
                <w:kern w:val="0"/>
                <w:sz w:val="24"/>
                <w:highlight w:val="none"/>
              </w:rPr>
            </w:pPr>
          </w:p>
        </w:tc>
      </w:tr>
      <w:tr w14:paraId="3921B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60" w:type="dxa"/>
            <w:vAlign w:val="center"/>
          </w:tcPr>
          <w:p w14:paraId="79A560EC">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8</w:t>
            </w:r>
          </w:p>
        </w:tc>
        <w:tc>
          <w:tcPr>
            <w:tcW w:w="1590" w:type="dxa"/>
            <w:vAlign w:val="center"/>
          </w:tcPr>
          <w:p w14:paraId="42798187">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承诺工程质量</w:t>
            </w:r>
          </w:p>
        </w:tc>
        <w:tc>
          <w:tcPr>
            <w:tcW w:w="1275" w:type="dxa"/>
            <w:vAlign w:val="center"/>
          </w:tcPr>
          <w:p w14:paraId="7E3A4F39">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stheme="minorEastAsia"/>
                <w:color w:val="auto"/>
                <w:kern w:val="0"/>
                <w:sz w:val="24"/>
                <w:highlight w:val="none"/>
              </w:rPr>
            </w:pPr>
          </w:p>
        </w:tc>
        <w:tc>
          <w:tcPr>
            <w:tcW w:w="5024" w:type="dxa"/>
            <w:vAlign w:val="center"/>
          </w:tcPr>
          <w:p w14:paraId="169C70A3">
            <w:pPr>
              <w:keepNext w:val="0"/>
              <w:keepLines w:val="0"/>
              <w:pageBreakBefore w:val="0"/>
              <w:widowControl/>
              <w:kinsoku/>
              <w:wordWrap/>
              <w:overflowPunct/>
              <w:topLinePunct w:val="0"/>
              <w:autoSpaceDE/>
              <w:autoSpaceDN/>
              <w:bidi w:val="0"/>
              <w:adjustRightInd w:val="0"/>
              <w:snapToGrid/>
              <w:spacing w:line="360" w:lineRule="auto"/>
              <w:ind w:left="0" w:leftChars="0" w:right="0" w:firstLine="480" w:firstLineChars="200"/>
              <w:jc w:val="both"/>
              <w:textAlignment w:val="auto"/>
              <w:rPr>
                <w:rFonts w:asciiTheme="minorEastAsia" w:hAnsiTheme="minorEastAsia" w:cstheme="minorEastAsia"/>
                <w:color w:val="auto"/>
                <w:kern w:val="0"/>
                <w:sz w:val="24"/>
                <w:highlight w:val="none"/>
              </w:rPr>
            </w:pPr>
            <w:r>
              <w:rPr>
                <w:rFonts w:hint="eastAsia" w:asciiTheme="minorEastAsia" w:hAnsiTheme="minorEastAsia" w:cstheme="minorEastAsia"/>
                <w:bCs/>
                <w:color w:val="auto"/>
                <w:sz w:val="24"/>
                <w:szCs w:val="24"/>
                <w:highlight w:val="none"/>
              </w:rPr>
              <w:t>达到国家和行业颁发的施工及验收规程规范要求。</w:t>
            </w:r>
          </w:p>
        </w:tc>
        <w:tc>
          <w:tcPr>
            <w:tcW w:w="900" w:type="dxa"/>
            <w:vAlign w:val="center"/>
          </w:tcPr>
          <w:p w14:paraId="5844BB54">
            <w:pPr>
              <w:keepNext w:val="0"/>
              <w:keepLines w:val="0"/>
              <w:pageBreakBefore w:val="0"/>
              <w:widowControl/>
              <w:kinsoku/>
              <w:wordWrap/>
              <w:overflowPunct/>
              <w:topLinePunct w:val="0"/>
              <w:autoSpaceDE/>
              <w:autoSpaceDN/>
              <w:bidi w:val="0"/>
              <w:adjustRightInd w:val="0"/>
              <w:snapToGrid/>
              <w:spacing w:line="360" w:lineRule="auto"/>
              <w:ind w:left="0" w:leftChars="0" w:right="0" w:firstLine="480" w:firstLineChars="200"/>
              <w:jc w:val="both"/>
              <w:textAlignment w:val="auto"/>
              <w:rPr>
                <w:rFonts w:asciiTheme="minorEastAsia" w:hAnsiTheme="minorEastAsia" w:cstheme="minorEastAsia"/>
                <w:color w:val="auto"/>
                <w:kern w:val="0"/>
                <w:sz w:val="24"/>
                <w:highlight w:val="none"/>
                <w:u w:val="single"/>
              </w:rPr>
            </w:pPr>
          </w:p>
        </w:tc>
      </w:tr>
      <w:tr w14:paraId="4573E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60" w:type="dxa"/>
            <w:vAlign w:val="center"/>
          </w:tcPr>
          <w:p w14:paraId="52967136">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9</w:t>
            </w:r>
          </w:p>
        </w:tc>
        <w:tc>
          <w:tcPr>
            <w:tcW w:w="1590" w:type="dxa"/>
            <w:vAlign w:val="center"/>
          </w:tcPr>
          <w:p w14:paraId="28DECF58">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服务响应时间</w:t>
            </w:r>
          </w:p>
        </w:tc>
        <w:tc>
          <w:tcPr>
            <w:tcW w:w="1275" w:type="dxa"/>
            <w:vAlign w:val="center"/>
          </w:tcPr>
          <w:p w14:paraId="114554AC">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stheme="minorEastAsia"/>
                <w:color w:val="auto"/>
                <w:kern w:val="0"/>
                <w:sz w:val="24"/>
                <w:highlight w:val="none"/>
              </w:rPr>
            </w:pPr>
          </w:p>
        </w:tc>
        <w:tc>
          <w:tcPr>
            <w:tcW w:w="5024" w:type="dxa"/>
            <w:vAlign w:val="center"/>
          </w:tcPr>
          <w:p w14:paraId="149DC42A">
            <w:pPr>
              <w:keepNext w:val="0"/>
              <w:keepLines w:val="0"/>
              <w:pageBreakBefore w:val="0"/>
              <w:widowControl/>
              <w:kinsoku/>
              <w:wordWrap/>
              <w:overflowPunct/>
              <w:topLinePunct w:val="0"/>
              <w:autoSpaceDE/>
              <w:autoSpaceDN/>
              <w:bidi w:val="0"/>
              <w:adjustRightInd w:val="0"/>
              <w:snapToGrid/>
              <w:spacing w:line="360" w:lineRule="auto"/>
              <w:ind w:left="0" w:leftChars="0" w:right="0" w:firstLine="480" w:firstLineChars="200"/>
              <w:jc w:val="both"/>
              <w:textAlignment w:val="auto"/>
              <w:rPr>
                <w:rFonts w:asciiTheme="minorEastAsia" w:hAnsiTheme="minorEastAsia" w:cstheme="minorEastAsia"/>
                <w:bCs/>
                <w:color w:val="auto"/>
                <w:sz w:val="24"/>
                <w:szCs w:val="24"/>
                <w:highlight w:val="none"/>
              </w:rPr>
            </w:pPr>
            <w:r>
              <w:rPr>
                <w:rFonts w:hint="eastAsia" w:asciiTheme="minorEastAsia" w:hAnsiTheme="minorEastAsia" w:cstheme="minorEastAsia"/>
                <w:bCs/>
                <w:color w:val="auto"/>
                <w:sz w:val="24"/>
                <w:szCs w:val="24"/>
                <w:highlight w:val="none"/>
              </w:rPr>
              <w:t>三小时内</w:t>
            </w:r>
          </w:p>
        </w:tc>
        <w:tc>
          <w:tcPr>
            <w:tcW w:w="900" w:type="dxa"/>
            <w:vAlign w:val="center"/>
          </w:tcPr>
          <w:p w14:paraId="69738155">
            <w:pPr>
              <w:keepNext w:val="0"/>
              <w:keepLines w:val="0"/>
              <w:pageBreakBefore w:val="0"/>
              <w:widowControl/>
              <w:kinsoku/>
              <w:wordWrap/>
              <w:overflowPunct/>
              <w:topLinePunct w:val="0"/>
              <w:autoSpaceDE/>
              <w:autoSpaceDN/>
              <w:bidi w:val="0"/>
              <w:adjustRightInd w:val="0"/>
              <w:snapToGrid/>
              <w:spacing w:line="360" w:lineRule="auto"/>
              <w:ind w:left="0" w:leftChars="0" w:right="0" w:firstLine="480" w:firstLineChars="200"/>
              <w:jc w:val="both"/>
              <w:textAlignment w:val="auto"/>
              <w:rPr>
                <w:rFonts w:asciiTheme="minorEastAsia" w:hAnsiTheme="minorEastAsia" w:cstheme="minorEastAsia"/>
                <w:color w:val="auto"/>
                <w:kern w:val="0"/>
                <w:sz w:val="24"/>
                <w:highlight w:val="none"/>
                <w:u w:val="single"/>
              </w:rPr>
            </w:pPr>
          </w:p>
        </w:tc>
      </w:tr>
      <w:tr w14:paraId="39C15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60" w:type="dxa"/>
            <w:vAlign w:val="center"/>
          </w:tcPr>
          <w:p w14:paraId="64B1A646">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hint="default" w:asciiTheme="minorEastAsia" w:hAnsiTheme="minorEastAsia" w:eastAsiaTheme="minorEastAsia" w:cstheme="minorEastAsia"/>
                <w:color w:val="auto"/>
                <w:kern w:val="0"/>
                <w:sz w:val="24"/>
                <w:highlight w:val="none"/>
                <w:lang w:val="en-US" w:eastAsia="zh-CN"/>
              </w:rPr>
            </w:pPr>
            <w:r>
              <w:rPr>
                <w:rFonts w:hint="eastAsia" w:asciiTheme="minorEastAsia" w:hAnsiTheme="minorEastAsia" w:cstheme="minorEastAsia"/>
                <w:color w:val="auto"/>
                <w:kern w:val="0"/>
                <w:sz w:val="24"/>
                <w:highlight w:val="none"/>
                <w:lang w:val="en-US" w:eastAsia="zh-CN"/>
              </w:rPr>
              <w:t>10</w:t>
            </w:r>
          </w:p>
        </w:tc>
        <w:tc>
          <w:tcPr>
            <w:tcW w:w="1590" w:type="dxa"/>
            <w:vAlign w:val="center"/>
          </w:tcPr>
          <w:p w14:paraId="75D1D20A">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hint="default" w:asciiTheme="minorEastAsia" w:hAnsiTheme="minorEastAsia" w:eastAsiaTheme="minorEastAsia" w:cstheme="minorEastAsia"/>
                <w:color w:val="auto"/>
                <w:kern w:val="0"/>
                <w:sz w:val="24"/>
                <w:highlight w:val="none"/>
                <w:lang w:val="en-US" w:eastAsia="zh-CN"/>
              </w:rPr>
            </w:pPr>
            <w:r>
              <w:rPr>
                <w:rFonts w:hint="eastAsia" w:asciiTheme="minorEastAsia" w:hAnsiTheme="minorEastAsia" w:cstheme="minorEastAsia"/>
                <w:color w:val="auto"/>
                <w:kern w:val="0"/>
                <w:sz w:val="24"/>
                <w:highlight w:val="none"/>
                <w:lang w:val="en-US" w:eastAsia="zh-CN"/>
              </w:rPr>
              <w:t>特别要求</w:t>
            </w:r>
          </w:p>
        </w:tc>
        <w:tc>
          <w:tcPr>
            <w:tcW w:w="1275" w:type="dxa"/>
            <w:vAlign w:val="center"/>
          </w:tcPr>
          <w:p w14:paraId="670462A7">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stheme="minorEastAsia"/>
                <w:color w:val="auto"/>
                <w:kern w:val="0"/>
                <w:sz w:val="24"/>
                <w:highlight w:val="none"/>
              </w:rPr>
            </w:pPr>
          </w:p>
        </w:tc>
        <w:tc>
          <w:tcPr>
            <w:tcW w:w="5024" w:type="dxa"/>
            <w:vAlign w:val="center"/>
          </w:tcPr>
          <w:p w14:paraId="10252EAC">
            <w:pPr>
              <w:keepNext w:val="0"/>
              <w:keepLines w:val="0"/>
              <w:pageBreakBefore w:val="0"/>
              <w:widowControl/>
              <w:tabs>
                <w:tab w:val="left" w:pos="1855"/>
              </w:tabs>
              <w:kinsoku/>
              <w:wordWrap/>
              <w:overflowPunct/>
              <w:topLinePunct w:val="0"/>
              <w:autoSpaceDE/>
              <w:autoSpaceDN/>
              <w:bidi w:val="0"/>
              <w:adjustRightInd w:val="0"/>
              <w:snapToGrid/>
              <w:spacing w:line="360" w:lineRule="auto"/>
              <w:ind w:left="0" w:leftChars="0" w:right="0" w:firstLine="480" w:firstLineChars="200"/>
              <w:jc w:val="both"/>
              <w:textAlignment w:val="auto"/>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cstheme="minorEastAsia"/>
                <w:bCs/>
                <w:color w:val="auto"/>
                <w:sz w:val="24"/>
                <w:szCs w:val="24"/>
                <w:highlight w:val="none"/>
                <w:lang w:eastAsia="zh-CN"/>
              </w:rPr>
              <w:t>中标方开展旧建筑物拆除工作，产生的旧建筑物报废残值由甲方委托第三方资质机构评估出具，中标方需将评估金额缴纳至甲方指定账户。</w:t>
            </w:r>
          </w:p>
        </w:tc>
        <w:tc>
          <w:tcPr>
            <w:tcW w:w="900" w:type="dxa"/>
            <w:vAlign w:val="center"/>
          </w:tcPr>
          <w:p w14:paraId="6FB115A2">
            <w:pPr>
              <w:keepNext w:val="0"/>
              <w:keepLines w:val="0"/>
              <w:pageBreakBefore w:val="0"/>
              <w:widowControl/>
              <w:kinsoku/>
              <w:wordWrap/>
              <w:overflowPunct/>
              <w:topLinePunct w:val="0"/>
              <w:autoSpaceDE/>
              <w:autoSpaceDN/>
              <w:bidi w:val="0"/>
              <w:adjustRightInd w:val="0"/>
              <w:snapToGrid/>
              <w:spacing w:line="360" w:lineRule="auto"/>
              <w:ind w:left="0" w:leftChars="0" w:right="0" w:firstLine="480" w:firstLineChars="200"/>
              <w:jc w:val="both"/>
              <w:textAlignment w:val="auto"/>
              <w:rPr>
                <w:rFonts w:asciiTheme="minorEastAsia" w:hAnsiTheme="minorEastAsia" w:cstheme="minorEastAsia"/>
                <w:color w:val="auto"/>
                <w:kern w:val="0"/>
                <w:sz w:val="24"/>
                <w:highlight w:val="none"/>
                <w:u w:val="single"/>
              </w:rPr>
            </w:pPr>
          </w:p>
        </w:tc>
      </w:tr>
      <w:tr w14:paraId="51F16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9449" w:type="dxa"/>
            <w:gridSpan w:val="5"/>
            <w:vAlign w:val="center"/>
          </w:tcPr>
          <w:p w14:paraId="42EBB878">
            <w:pPr>
              <w:keepNext w:val="0"/>
              <w:keepLines w:val="0"/>
              <w:pageBreakBefore w:val="0"/>
              <w:widowControl/>
              <w:kinsoku/>
              <w:wordWrap/>
              <w:overflowPunct/>
              <w:topLinePunct w:val="0"/>
              <w:autoSpaceDE/>
              <w:autoSpaceDN/>
              <w:bidi w:val="0"/>
              <w:adjustRightInd w:val="0"/>
              <w:snapToGrid/>
              <w:spacing w:line="360" w:lineRule="auto"/>
              <w:ind w:left="0" w:leftChars="0" w:right="0" w:firstLine="0" w:firstLineChars="0"/>
              <w:jc w:val="center"/>
              <w:textAlignment w:val="auto"/>
              <w:rPr>
                <w:rFonts w:asciiTheme="minorEastAsia" w:hAnsiTheme="minorEastAsia" w:cstheme="minorEastAsia"/>
                <w:color w:val="auto"/>
                <w:kern w:val="0"/>
                <w:sz w:val="24"/>
                <w:highlight w:val="none"/>
                <w:u w:val="single"/>
              </w:rPr>
            </w:pPr>
            <w:r>
              <w:rPr>
                <w:rFonts w:hint="eastAsia" w:cs="宋体" w:asciiTheme="minorEastAsia" w:hAnsiTheme="minorEastAsia"/>
                <w:color w:val="auto"/>
                <w:sz w:val="24"/>
                <w:szCs w:val="24"/>
                <w:highlight w:val="none"/>
              </w:rPr>
              <w:t>备注：投标人在响应采购文件中规定的实质性要求和条件的基础上，可做出其他有利于招标人的承诺。此类承诺可在本表中予以补充填写。</w:t>
            </w:r>
          </w:p>
        </w:tc>
      </w:tr>
    </w:tbl>
    <w:p w14:paraId="70026F8F">
      <w:pPr>
        <w:adjustRightInd w:val="0"/>
        <w:spacing w:line="360" w:lineRule="auto"/>
        <w:ind w:firstLine="960" w:firstLineChars="400"/>
        <w:rPr>
          <w:rFonts w:asciiTheme="minorEastAsia" w:hAnsiTheme="minorEastAsia" w:cstheme="minorEastAsia"/>
          <w:color w:val="auto"/>
          <w:kern w:val="0"/>
          <w:sz w:val="24"/>
          <w:highlight w:val="none"/>
          <w:u w:val="single"/>
        </w:rPr>
      </w:pPr>
      <w:r>
        <w:rPr>
          <w:rFonts w:hint="eastAsia" w:asciiTheme="minorEastAsia" w:hAnsiTheme="minorEastAsia" w:cstheme="minorEastAsia"/>
          <w:color w:val="auto"/>
          <w:kern w:val="0"/>
          <w:sz w:val="24"/>
          <w:highlight w:val="none"/>
        </w:rPr>
        <w:t>供 应 商：</w:t>
      </w:r>
      <w:r>
        <w:rPr>
          <w:rFonts w:hint="eastAsia" w:asciiTheme="minorEastAsia" w:hAnsiTheme="minorEastAsia" w:cstheme="minorEastAsia"/>
          <w:color w:val="auto"/>
          <w:kern w:val="0"/>
          <w:sz w:val="24"/>
          <w:highlight w:val="none"/>
          <w:u w:val="single"/>
        </w:rPr>
        <w:t xml:space="preserve">                                         （盖章）</w:t>
      </w:r>
    </w:p>
    <w:p w14:paraId="00298B07">
      <w:pPr>
        <w:adjustRightInd w:val="0"/>
        <w:spacing w:line="360" w:lineRule="auto"/>
        <w:ind w:firstLine="960" w:firstLineChars="400"/>
        <w:rPr>
          <w:rFonts w:asciiTheme="minorEastAsia" w:hAnsiTheme="minorEastAsia" w:cstheme="minorEastAsia"/>
          <w:color w:val="auto"/>
          <w:kern w:val="0"/>
          <w:sz w:val="24"/>
          <w:highlight w:val="none"/>
          <w:u w:val="single"/>
        </w:rPr>
      </w:pPr>
      <w:r>
        <w:rPr>
          <w:rFonts w:hint="eastAsia" w:asciiTheme="minorEastAsia" w:hAnsiTheme="minorEastAsia" w:cstheme="minorEastAsia"/>
          <w:color w:val="auto"/>
          <w:kern w:val="0"/>
          <w:sz w:val="24"/>
          <w:highlight w:val="none"/>
        </w:rPr>
        <w:t>法定代表人或其授权代理人：</w:t>
      </w:r>
      <w:r>
        <w:rPr>
          <w:rFonts w:hint="eastAsia" w:asciiTheme="minorEastAsia" w:hAnsiTheme="minorEastAsia" w:cstheme="minorEastAsia"/>
          <w:color w:val="auto"/>
          <w:kern w:val="0"/>
          <w:sz w:val="24"/>
          <w:highlight w:val="none"/>
          <w:u w:val="single"/>
        </w:rPr>
        <w:t xml:space="preserve">                   （签字或盖章）</w:t>
      </w:r>
    </w:p>
    <w:p w14:paraId="0E772A51">
      <w:pPr>
        <w:adjustRightInd w:val="0"/>
        <w:spacing w:line="360" w:lineRule="auto"/>
        <w:ind w:firstLine="1200" w:firstLineChars="5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日    期：</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年</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月</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日</w:t>
      </w:r>
    </w:p>
    <w:p w14:paraId="03AAAF15">
      <w:pPr>
        <w:pStyle w:val="13"/>
        <w:rPr>
          <w:color w:val="auto"/>
          <w:highlight w:val="none"/>
        </w:rPr>
        <w:sectPr>
          <w:endnotePr>
            <w:numFmt w:val="decimal"/>
          </w:endnotePr>
          <w:pgSz w:w="11906" w:h="16838"/>
          <w:pgMar w:top="1418" w:right="1418" w:bottom="1134" w:left="1418" w:header="567" w:footer="680" w:gutter="0"/>
          <w:cols w:space="720" w:num="1"/>
          <w:docGrid w:type="linesAndChars" w:linePitch="312" w:charSpace="0"/>
        </w:sectPr>
      </w:pPr>
      <w:r>
        <w:rPr>
          <w:rFonts w:hint="eastAsia" w:asciiTheme="minorEastAsia" w:hAnsiTheme="minorEastAsia" w:cstheme="minorEastAsia"/>
          <w:color w:val="auto"/>
          <w:sz w:val="24"/>
          <w:highlight w:val="none"/>
          <w:u w:val="single"/>
        </w:rPr>
        <w:t xml:space="preserve"> </w:t>
      </w:r>
    </w:p>
    <w:p w14:paraId="196DFF99">
      <w:pPr>
        <w:pStyle w:val="5"/>
        <w:spacing w:line="360" w:lineRule="auto"/>
        <w:jc w:val="center"/>
        <w:rPr>
          <w:rFonts w:asciiTheme="minorEastAsia" w:hAnsiTheme="minorEastAsia" w:eastAsiaTheme="minorEastAsia" w:cstheme="minorEastAsia"/>
          <w:color w:val="auto"/>
          <w:highlight w:val="none"/>
        </w:rPr>
      </w:pPr>
      <w:bookmarkStart w:id="1441" w:name="_Toc6574"/>
      <w:bookmarkStart w:id="1442" w:name="_Toc6376"/>
      <w:bookmarkStart w:id="1443" w:name="_Toc304362811"/>
      <w:bookmarkStart w:id="1444" w:name="_Toc24212"/>
      <w:r>
        <w:rPr>
          <w:rFonts w:hint="eastAsia" w:asciiTheme="minorEastAsia" w:hAnsiTheme="minorEastAsia" w:eastAsiaTheme="minorEastAsia" w:cstheme="minorEastAsia"/>
          <w:color w:val="auto"/>
          <w:highlight w:val="none"/>
        </w:rPr>
        <w:t>三、磋商报价汇总表</w:t>
      </w:r>
      <w:bookmarkEnd w:id="1441"/>
      <w:bookmarkEnd w:id="1442"/>
      <w:bookmarkEnd w:id="1443"/>
      <w:bookmarkEnd w:id="1444"/>
    </w:p>
    <w:p w14:paraId="4B51DE57">
      <w:pPr>
        <w:spacing w:line="360" w:lineRule="auto"/>
        <w:rPr>
          <w:rFonts w:asciiTheme="minorEastAsia" w:hAnsiTheme="minorEastAsia" w:cstheme="minorEastAsia"/>
          <w:color w:val="auto"/>
          <w:sz w:val="28"/>
          <w:highlight w:val="none"/>
        </w:rPr>
      </w:pPr>
    </w:p>
    <w:p w14:paraId="66E22A43">
      <w:pPr>
        <w:spacing w:line="360" w:lineRule="auto"/>
        <w:rPr>
          <w:rFonts w:asciiTheme="minorEastAsia" w:hAnsiTheme="minorEastAsia" w:cstheme="minorEastAsia"/>
          <w:color w:val="auto"/>
          <w:kern w:val="0"/>
          <w:sz w:val="24"/>
          <w:highlight w:val="none"/>
        </w:rPr>
      </w:pPr>
      <w:r>
        <w:rPr>
          <w:rFonts w:hint="eastAsia" w:asciiTheme="minorEastAsia" w:hAnsiTheme="minorEastAsia" w:cstheme="minorEastAsia"/>
          <w:color w:val="auto"/>
          <w:sz w:val="24"/>
          <w:highlight w:val="none"/>
          <w:u w:val="single"/>
        </w:rPr>
        <w:t xml:space="preserve">（工程项目名称）    </w:t>
      </w:r>
      <w:r>
        <w:rPr>
          <w:rFonts w:hint="eastAsia" w:asciiTheme="minorEastAsia" w:hAnsiTheme="minorEastAsia" w:cstheme="minorEastAsia"/>
          <w:color w:val="auto"/>
          <w:sz w:val="24"/>
          <w:highlight w:val="none"/>
        </w:rPr>
        <w:t xml:space="preserve">工程                         </w:t>
      </w:r>
      <w:r>
        <w:rPr>
          <w:rFonts w:hint="eastAsia" w:asciiTheme="minorEastAsia" w:hAnsiTheme="minorEastAsia" w:cstheme="minorEastAsia"/>
          <w:color w:val="auto"/>
          <w:kern w:val="0"/>
          <w:sz w:val="28"/>
          <w:highlight w:val="none"/>
        </w:rPr>
        <w:t xml:space="preserve">       </w:t>
      </w:r>
      <w:r>
        <w:rPr>
          <w:rFonts w:hint="eastAsia" w:asciiTheme="minorEastAsia" w:hAnsiTheme="minorEastAsia" w:cstheme="minorEastAsia"/>
          <w:color w:val="auto"/>
          <w:kern w:val="0"/>
          <w:sz w:val="24"/>
          <w:highlight w:val="none"/>
        </w:rPr>
        <w:t>币种：人民币</w:t>
      </w:r>
    </w:p>
    <w:tbl>
      <w:tblPr>
        <w:tblStyle w:val="28"/>
        <w:tblW w:w="96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8"/>
        <w:gridCol w:w="3176"/>
        <w:gridCol w:w="2400"/>
      </w:tblGrid>
      <w:tr w14:paraId="659B2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23B15670">
            <w:pPr>
              <w:spacing w:line="360" w:lineRule="auto"/>
              <w:jc w:val="center"/>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项目内容</w:t>
            </w:r>
          </w:p>
        </w:tc>
        <w:tc>
          <w:tcPr>
            <w:tcW w:w="3176" w:type="dxa"/>
            <w:vAlign w:val="center"/>
          </w:tcPr>
          <w:p w14:paraId="2C54DB4E">
            <w:pPr>
              <w:spacing w:line="360" w:lineRule="auto"/>
              <w:jc w:val="center"/>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金额</w:t>
            </w:r>
          </w:p>
        </w:tc>
        <w:tc>
          <w:tcPr>
            <w:tcW w:w="2400" w:type="dxa"/>
            <w:vAlign w:val="center"/>
          </w:tcPr>
          <w:p w14:paraId="485072B4">
            <w:pPr>
              <w:spacing w:line="360" w:lineRule="auto"/>
              <w:jc w:val="center"/>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备注</w:t>
            </w:r>
          </w:p>
        </w:tc>
      </w:tr>
      <w:tr w14:paraId="47F8A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78567AC2">
            <w:pPr>
              <w:spacing w:line="360" w:lineRule="auto"/>
              <w:jc w:val="center"/>
              <w:rPr>
                <w:rFonts w:asciiTheme="minorEastAsia" w:hAnsiTheme="minorEastAsia" w:cstheme="minorEastAsia"/>
                <w:color w:val="auto"/>
                <w:sz w:val="24"/>
                <w:szCs w:val="24"/>
                <w:highlight w:val="none"/>
              </w:rPr>
            </w:pPr>
          </w:p>
        </w:tc>
        <w:tc>
          <w:tcPr>
            <w:tcW w:w="3176" w:type="dxa"/>
            <w:vAlign w:val="center"/>
          </w:tcPr>
          <w:p w14:paraId="6CDCD684">
            <w:pPr>
              <w:spacing w:line="360" w:lineRule="auto"/>
              <w:ind w:right="140"/>
              <w:jc w:val="center"/>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 xml:space="preserve">                 元</w:t>
            </w:r>
          </w:p>
        </w:tc>
        <w:tc>
          <w:tcPr>
            <w:tcW w:w="2400" w:type="dxa"/>
            <w:vAlign w:val="center"/>
          </w:tcPr>
          <w:p w14:paraId="2736A2C0">
            <w:pPr>
              <w:spacing w:line="360" w:lineRule="auto"/>
              <w:jc w:val="center"/>
              <w:rPr>
                <w:rFonts w:asciiTheme="minorEastAsia" w:hAnsiTheme="minorEastAsia" w:cstheme="minorEastAsia"/>
                <w:color w:val="auto"/>
                <w:sz w:val="24"/>
                <w:szCs w:val="24"/>
                <w:highlight w:val="none"/>
              </w:rPr>
            </w:pPr>
          </w:p>
        </w:tc>
      </w:tr>
      <w:tr w14:paraId="3104E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1E20A5E0">
            <w:pPr>
              <w:spacing w:line="360" w:lineRule="auto"/>
              <w:jc w:val="center"/>
              <w:rPr>
                <w:rFonts w:asciiTheme="minorEastAsia" w:hAnsiTheme="minorEastAsia" w:cstheme="minorEastAsia"/>
                <w:color w:val="auto"/>
                <w:sz w:val="24"/>
                <w:szCs w:val="24"/>
                <w:highlight w:val="none"/>
              </w:rPr>
            </w:pPr>
          </w:p>
        </w:tc>
        <w:tc>
          <w:tcPr>
            <w:tcW w:w="3176" w:type="dxa"/>
            <w:vAlign w:val="center"/>
          </w:tcPr>
          <w:p w14:paraId="48B95DB6">
            <w:pPr>
              <w:spacing w:line="360" w:lineRule="auto"/>
              <w:ind w:right="140"/>
              <w:jc w:val="center"/>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 xml:space="preserve">                 元</w:t>
            </w:r>
          </w:p>
        </w:tc>
        <w:tc>
          <w:tcPr>
            <w:tcW w:w="2400" w:type="dxa"/>
            <w:vAlign w:val="center"/>
          </w:tcPr>
          <w:p w14:paraId="73B0A339">
            <w:pPr>
              <w:spacing w:line="360" w:lineRule="auto"/>
              <w:jc w:val="center"/>
              <w:rPr>
                <w:rFonts w:asciiTheme="minorEastAsia" w:hAnsiTheme="minorEastAsia" w:cstheme="minorEastAsia"/>
                <w:color w:val="auto"/>
                <w:sz w:val="24"/>
                <w:szCs w:val="24"/>
                <w:highlight w:val="none"/>
              </w:rPr>
            </w:pPr>
          </w:p>
        </w:tc>
      </w:tr>
      <w:tr w14:paraId="3DA4F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799C76FE">
            <w:pPr>
              <w:spacing w:line="360" w:lineRule="auto"/>
              <w:jc w:val="center"/>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合计</w:t>
            </w:r>
          </w:p>
        </w:tc>
        <w:tc>
          <w:tcPr>
            <w:tcW w:w="3176" w:type="dxa"/>
            <w:vAlign w:val="center"/>
          </w:tcPr>
          <w:p w14:paraId="1931A39E">
            <w:pPr>
              <w:spacing w:line="360" w:lineRule="auto"/>
              <w:ind w:right="140"/>
              <w:jc w:val="center"/>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 xml:space="preserve">                 元</w:t>
            </w:r>
          </w:p>
        </w:tc>
        <w:tc>
          <w:tcPr>
            <w:tcW w:w="2400" w:type="dxa"/>
            <w:vAlign w:val="center"/>
          </w:tcPr>
          <w:p w14:paraId="6CF50EC6">
            <w:pPr>
              <w:spacing w:line="360" w:lineRule="auto"/>
              <w:jc w:val="center"/>
              <w:rPr>
                <w:rFonts w:asciiTheme="minorEastAsia" w:hAnsiTheme="minorEastAsia" w:cstheme="minorEastAsia"/>
                <w:color w:val="auto"/>
                <w:sz w:val="24"/>
                <w:szCs w:val="24"/>
                <w:highlight w:val="none"/>
              </w:rPr>
            </w:pPr>
          </w:p>
        </w:tc>
      </w:tr>
      <w:tr w14:paraId="439AB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exact"/>
        </w:trPr>
        <w:tc>
          <w:tcPr>
            <w:tcW w:w="9674" w:type="dxa"/>
            <w:gridSpan w:val="3"/>
            <w:vAlign w:val="center"/>
          </w:tcPr>
          <w:p w14:paraId="703D2F59">
            <w:pPr>
              <w:spacing w:line="360" w:lineRule="auto"/>
              <w:jc w:val="center"/>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磋商总报价：大写</w:t>
            </w:r>
            <w:r>
              <w:rPr>
                <w:rFonts w:hint="eastAsia" w:asciiTheme="minorEastAsia" w:hAnsiTheme="minorEastAsia" w:cstheme="minorEastAsia"/>
                <w:color w:val="auto"/>
                <w:sz w:val="24"/>
                <w:szCs w:val="24"/>
                <w:highlight w:val="none"/>
                <w:u w:val="single"/>
              </w:rPr>
              <w:t xml:space="preserve">                            （¥               ）</w:t>
            </w:r>
          </w:p>
        </w:tc>
      </w:tr>
      <w:tr w14:paraId="68CD0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2" w:hRule="atLeast"/>
        </w:trPr>
        <w:tc>
          <w:tcPr>
            <w:tcW w:w="9674" w:type="dxa"/>
            <w:gridSpan w:val="3"/>
          </w:tcPr>
          <w:p w14:paraId="7FB9127A">
            <w:pPr>
              <w:spacing w:line="360" w:lineRule="auto"/>
              <w:ind w:right="700"/>
              <w:rPr>
                <w:rFonts w:asciiTheme="minorEastAsia" w:hAnsiTheme="minorEastAsia" w:cstheme="minorEastAsia"/>
                <w:color w:val="auto"/>
                <w:szCs w:val="21"/>
                <w:highlight w:val="none"/>
              </w:rPr>
            </w:pPr>
          </w:p>
          <w:p w14:paraId="48478ADE">
            <w:pPr>
              <w:spacing w:line="360" w:lineRule="auto"/>
              <w:ind w:right="700"/>
              <w:rPr>
                <w:rFonts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说明：</w:t>
            </w:r>
          </w:p>
        </w:tc>
      </w:tr>
      <w:tr w14:paraId="6DBA2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0F87EAA9">
            <w:pPr>
              <w:spacing w:line="360" w:lineRule="auto"/>
              <w:jc w:val="center"/>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工期（日历日）</w:t>
            </w:r>
          </w:p>
        </w:tc>
        <w:tc>
          <w:tcPr>
            <w:tcW w:w="5576" w:type="dxa"/>
            <w:gridSpan w:val="2"/>
            <w:vAlign w:val="center"/>
          </w:tcPr>
          <w:p w14:paraId="440A0187">
            <w:pPr>
              <w:spacing w:line="360" w:lineRule="auto"/>
              <w:ind w:right="700"/>
              <w:jc w:val="center"/>
              <w:rPr>
                <w:rFonts w:asciiTheme="minorEastAsia" w:hAnsiTheme="minorEastAsia" w:cstheme="minorEastAsia"/>
                <w:color w:val="auto"/>
                <w:szCs w:val="21"/>
                <w:highlight w:val="none"/>
              </w:rPr>
            </w:pPr>
          </w:p>
        </w:tc>
      </w:tr>
      <w:tr w14:paraId="7E7BD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434673D5">
            <w:pPr>
              <w:spacing w:line="360" w:lineRule="auto"/>
              <w:jc w:val="center"/>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承诺工程质量</w:t>
            </w:r>
          </w:p>
        </w:tc>
        <w:tc>
          <w:tcPr>
            <w:tcW w:w="5576" w:type="dxa"/>
            <w:gridSpan w:val="2"/>
            <w:vAlign w:val="center"/>
          </w:tcPr>
          <w:p w14:paraId="23F6BABF">
            <w:pPr>
              <w:spacing w:line="360" w:lineRule="auto"/>
              <w:ind w:right="700"/>
              <w:jc w:val="center"/>
              <w:rPr>
                <w:rFonts w:asciiTheme="minorEastAsia" w:hAnsiTheme="minorEastAsia" w:cstheme="minorEastAsia"/>
                <w:color w:val="auto"/>
                <w:szCs w:val="21"/>
                <w:highlight w:val="none"/>
              </w:rPr>
            </w:pPr>
          </w:p>
        </w:tc>
      </w:tr>
    </w:tbl>
    <w:p w14:paraId="271698A5">
      <w:pPr>
        <w:spacing w:line="360" w:lineRule="auto"/>
        <w:ind w:right="700" w:firstLine="315" w:firstLineChars="150"/>
        <w:rPr>
          <w:rFonts w:asciiTheme="minorEastAsia" w:hAnsiTheme="minorEastAsia" w:cstheme="minorEastAsia"/>
          <w:color w:val="auto"/>
          <w:szCs w:val="21"/>
          <w:highlight w:val="none"/>
        </w:rPr>
      </w:pPr>
    </w:p>
    <w:p w14:paraId="7B311343">
      <w:pPr>
        <w:spacing w:line="360" w:lineRule="auto"/>
        <w:rPr>
          <w:rFonts w:asciiTheme="minorEastAsia" w:hAnsiTheme="minorEastAsia" w:cstheme="minorEastAsia"/>
          <w:color w:val="auto"/>
          <w:highlight w:val="none"/>
        </w:rPr>
      </w:pPr>
    </w:p>
    <w:p w14:paraId="29C2C62B">
      <w:pPr>
        <w:spacing w:line="360" w:lineRule="auto"/>
        <w:ind w:firstLine="960" w:firstLineChars="400"/>
        <w:rPr>
          <w:rFonts w:asciiTheme="minorEastAsia" w:hAnsiTheme="minorEastAsia" w:cstheme="minorEastAsia"/>
          <w:color w:val="auto"/>
          <w:sz w:val="24"/>
          <w:highlight w:val="none"/>
        </w:rPr>
      </w:pPr>
    </w:p>
    <w:p w14:paraId="16396897">
      <w:pPr>
        <w:spacing w:line="360" w:lineRule="auto"/>
        <w:ind w:firstLine="960" w:firstLineChars="400"/>
        <w:rPr>
          <w:rFonts w:asciiTheme="minorEastAsia" w:hAnsiTheme="minorEastAsia" w:cstheme="minorEastAsia"/>
          <w:color w:val="auto"/>
          <w:sz w:val="24"/>
          <w:highlight w:val="none"/>
          <w:u w:val="single"/>
        </w:rPr>
      </w:pPr>
      <w:r>
        <w:rPr>
          <w:rFonts w:hint="eastAsia" w:asciiTheme="minorEastAsia" w:hAnsiTheme="minorEastAsia" w:cstheme="minorEastAsia"/>
          <w:color w:val="auto"/>
          <w:sz w:val="24"/>
          <w:highlight w:val="none"/>
        </w:rPr>
        <w:t>供应商：</w:t>
      </w:r>
      <w:r>
        <w:rPr>
          <w:rFonts w:hint="eastAsia" w:asciiTheme="minorEastAsia" w:hAnsiTheme="minorEastAsia" w:cstheme="minorEastAsia"/>
          <w:color w:val="auto"/>
          <w:sz w:val="24"/>
          <w:highlight w:val="none"/>
          <w:u w:val="single"/>
        </w:rPr>
        <w:t xml:space="preserve">                                           （盖章）</w:t>
      </w:r>
    </w:p>
    <w:p w14:paraId="7A9FB630">
      <w:pPr>
        <w:spacing w:line="360" w:lineRule="auto"/>
        <w:ind w:firstLine="960" w:firstLineChars="400"/>
        <w:rPr>
          <w:rFonts w:asciiTheme="minorEastAsia" w:hAnsiTheme="minorEastAsia" w:cstheme="minorEastAsia"/>
          <w:color w:val="auto"/>
          <w:sz w:val="24"/>
          <w:highlight w:val="none"/>
          <w:u w:val="single"/>
        </w:rPr>
      </w:pPr>
      <w:r>
        <w:rPr>
          <w:rFonts w:hint="eastAsia" w:asciiTheme="minorEastAsia" w:hAnsiTheme="minorEastAsia" w:cstheme="minorEastAsia"/>
          <w:color w:val="auto"/>
          <w:sz w:val="24"/>
          <w:highlight w:val="none"/>
        </w:rPr>
        <w:t>法定代表人或其授权代理人：</w:t>
      </w:r>
      <w:r>
        <w:rPr>
          <w:rFonts w:hint="eastAsia" w:asciiTheme="minorEastAsia" w:hAnsiTheme="minorEastAsia" w:cstheme="minorEastAsia"/>
          <w:color w:val="auto"/>
          <w:sz w:val="24"/>
          <w:highlight w:val="none"/>
          <w:u w:val="single"/>
        </w:rPr>
        <w:t xml:space="preserve">                   （签字或盖章）</w:t>
      </w:r>
    </w:p>
    <w:p w14:paraId="56D888A4">
      <w:pPr>
        <w:pStyle w:val="27"/>
        <w:spacing w:line="360" w:lineRule="auto"/>
        <w:ind w:firstLine="960" w:firstLineChars="400"/>
        <w:rPr>
          <w:rFonts w:asciiTheme="minorEastAsia" w:hAnsiTheme="minorEastAsia" w:cstheme="minorEastAsia"/>
          <w:color w:val="auto"/>
          <w:sz w:val="24"/>
          <w:highlight w:val="none"/>
        </w:rPr>
      </w:pPr>
    </w:p>
    <w:p w14:paraId="0B9A21D4">
      <w:pPr>
        <w:adjustRightInd w:val="0"/>
        <w:spacing w:line="360" w:lineRule="auto"/>
        <w:ind w:firstLine="1200" w:firstLineChars="500"/>
        <w:rPr>
          <w:rFonts w:hint="eastAsia" w:asciiTheme="minorEastAsia" w:hAnsiTheme="minorEastAsia" w:cstheme="minorEastAsia"/>
          <w:color w:val="auto"/>
          <w:kern w:val="0"/>
          <w:sz w:val="24"/>
          <w:highlight w:val="none"/>
        </w:rPr>
      </w:pPr>
      <w:bookmarkStart w:id="1445" w:name="_Toc28472"/>
      <w:bookmarkStart w:id="1446" w:name="_Toc304362812"/>
      <w:bookmarkStart w:id="1447" w:name="_Toc28375"/>
      <w:bookmarkStart w:id="1448" w:name="_Toc11525"/>
      <w:r>
        <w:rPr>
          <w:rFonts w:hint="eastAsia" w:asciiTheme="minorEastAsia" w:hAnsiTheme="minorEastAsia" w:cstheme="minorEastAsia"/>
          <w:color w:val="auto"/>
          <w:kern w:val="0"/>
          <w:sz w:val="24"/>
          <w:highlight w:val="none"/>
        </w:rPr>
        <w:t>日    期：</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年</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月</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日</w:t>
      </w:r>
    </w:p>
    <w:p w14:paraId="64DD04FB">
      <w:pPr>
        <w:rPr>
          <w:rFonts w:hint="eastAsia"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br w:type="page"/>
      </w:r>
    </w:p>
    <w:p w14:paraId="15DBE572">
      <w:pPr>
        <w:pStyle w:val="10"/>
        <w:rPr>
          <w:color w:val="auto"/>
          <w:highlight w:val="none"/>
        </w:rPr>
      </w:pPr>
    </w:p>
    <w:p w14:paraId="585D5E0B">
      <w:pPr>
        <w:pStyle w:val="5"/>
        <w:spacing w:line="360" w:lineRule="auto"/>
        <w:jc w:val="center"/>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四、</w:t>
      </w:r>
      <w:bookmarkEnd w:id="1445"/>
      <w:bookmarkEnd w:id="1446"/>
      <w:bookmarkEnd w:id="1447"/>
      <w:r>
        <w:rPr>
          <w:rFonts w:hint="eastAsia" w:asciiTheme="minorEastAsia" w:hAnsiTheme="minorEastAsia" w:eastAsiaTheme="minorEastAsia" w:cstheme="minorEastAsia"/>
          <w:color w:val="auto"/>
          <w:highlight w:val="none"/>
        </w:rPr>
        <w:t>磋商报价系列表格</w:t>
      </w:r>
      <w:bookmarkEnd w:id="1448"/>
    </w:p>
    <w:p w14:paraId="178E1D12">
      <w:pPr>
        <w:spacing w:line="360" w:lineRule="auto"/>
        <w:rPr>
          <w:rFonts w:asciiTheme="minorEastAsia" w:hAnsiTheme="minorEastAsia" w:cstheme="minorEastAsia"/>
          <w:color w:val="auto"/>
          <w:sz w:val="28"/>
          <w:szCs w:val="28"/>
          <w:highlight w:val="none"/>
        </w:rPr>
      </w:pPr>
    </w:p>
    <w:p w14:paraId="20CE6548">
      <w:pPr>
        <w:spacing w:line="360" w:lineRule="auto"/>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注：磋商报价系列表格应根据采购人提供的工程量清单相应表格及有关规定执行,可按预结算软件打印格式提供,本采购文件不另提供参考格式。</w:t>
      </w:r>
    </w:p>
    <w:p w14:paraId="4FD05E86">
      <w:pPr>
        <w:spacing w:line="360" w:lineRule="auto"/>
        <w:rPr>
          <w:rFonts w:asciiTheme="minorEastAsia" w:hAnsiTheme="minorEastAsia" w:cstheme="minorEastAsia"/>
          <w:color w:val="auto"/>
          <w:sz w:val="24"/>
          <w:szCs w:val="24"/>
          <w:highlight w:val="none"/>
        </w:rPr>
      </w:pPr>
    </w:p>
    <w:p w14:paraId="5FA372ED">
      <w:pPr>
        <w:spacing w:line="360" w:lineRule="auto"/>
        <w:rPr>
          <w:rFonts w:asciiTheme="minorEastAsia" w:hAnsiTheme="minorEastAsia" w:cstheme="minorEastAsia"/>
          <w:color w:val="auto"/>
          <w:sz w:val="24"/>
          <w:szCs w:val="24"/>
          <w:highlight w:val="none"/>
        </w:rPr>
      </w:pPr>
    </w:p>
    <w:p w14:paraId="2E01AA16">
      <w:pPr>
        <w:spacing w:line="360" w:lineRule="auto"/>
        <w:rPr>
          <w:rFonts w:asciiTheme="minorEastAsia" w:hAnsiTheme="minorEastAsia" w:cstheme="minorEastAsia"/>
          <w:color w:val="auto"/>
          <w:sz w:val="24"/>
          <w:szCs w:val="24"/>
          <w:highlight w:val="none"/>
        </w:rPr>
      </w:pPr>
    </w:p>
    <w:p w14:paraId="67FD4906">
      <w:pPr>
        <w:spacing w:line="360" w:lineRule="auto"/>
        <w:rPr>
          <w:rFonts w:asciiTheme="minorEastAsia" w:hAnsiTheme="minorEastAsia" w:cstheme="minorEastAsia"/>
          <w:color w:val="auto"/>
          <w:sz w:val="24"/>
          <w:szCs w:val="24"/>
          <w:highlight w:val="none"/>
        </w:rPr>
      </w:pPr>
    </w:p>
    <w:p w14:paraId="08466B3B">
      <w:pPr>
        <w:spacing w:line="360" w:lineRule="auto"/>
        <w:rPr>
          <w:rFonts w:asciiTheme="minorEastAsia" w:hAnsiTheme="minorEastAsia" w:cstheme="minorEastAsia"/>
          <w:color w:val="auto"/>
          <w:sz w:val="24"/>
          <w:szCs w:val="24"/>
          <w:highlight w:val="none"/>
        </w:rPr>
      </w:pPr>
    </w:p>
    <w:p w14:paraId="2DE6CD2C">
      <w:pPr>
        <w:spacing w:line="360" w:lineRule="auto"/>
        <w:rPr>
          <w:rFonts w:asciiTheme="minorEastAsia" w:hAnsiTheme="minorEastAsia" w:cstheme="minorEastAsia"/>
          <w:color w:val="auto"/>
          <w:sz w:val="24"/>
          <w:szCs w:val="24"/>
          <w:highlight w:val="none"/>
        </w:rPr>
      </w:pPr>
    </w:p>
    <w:p w14:paraId="04F443DC">
      <w:pPr>
        <w:spacing w:line="360" w:lineRule="auto"/>
        <w:rPr>
          <w:rFonts w:asciiTheme="minorEastAsia" w:hAnsiTheme="minorEastAsia" w:cstheme="minorEastAsia"/>
          <w:color w:val="auto"/>
          <w:sz w:val="24"/>
          <w:szCs w:val="24"/>
          <w:highlight w:val="none"/>
        </w:rPr>
      </w:pPr>
    </w:p>
    <w:p w14:paraId="149E9F33">
      <w:pPr>
        <w:spacing w:line="360" w:lineRule="auto"/>
        <w:rPr>
          <w:rFonts w:asciiTheme="minorEastAsia" w:hAnsiTheme="minorEastAsia" w:cstheme="minorEastAsia"/>
          <w:color w:val="auto"/>
          <w:sz w:val="24"/>
          <w:szCs w:val="24"/>
          <w:highlight w:val="none"/>
        </w:rPr>
      </w:pPr>
    </w:p>
    <w:p w14:paraId="3D9D184A">
      <w:pPr>
        <w:spacing w:line="360" w:lineRule="auto"/>
        <w:rPr>
          <w:rFonts w:asciiTheme="minorEastAsia" w:hAnsiTheme="minorEastAsia" w:cstheme="minorEastAsia"/>
          <w:color w:val="auto"/>
          <w:sz w:val="24"/>
          <w:szCs w:val="24"/>
          <w:highlight w:val="none"/>
        </w:rPr>
      </w:pPr>
    </w:p>
    <w:p w14:paraId="14001AC8">
      <w:pPr>
        <w:spacing w:line="360" w:lineRule="auto"/>
        <w:rPr>
          <w:rFonts w:asciiTheme="minorEastAsia" w:hAnsiTheme="minorEastAsia" w:cstheme="minorEastAsia"/>
          <w:color w:val="auto"/>
          <w:sz w:val="24"/>
          <w:szCs w:val="24"/>
          <w:highlight w:val="none"/>
        </w:rPr>
      </w:pPr>
    </w:p>
    <w:p w14:paraId="12690629">
      <w:pPr>
        <w:spacing w:line="360" w:lineRule="auto"/>
        <w:rPr>
          <w:rFonts w:asciiTheme="minorEastAsia" w:hAnsiTheme="minorEastAsia" w:cstheme="minorEastAsia"/>
          <w:color w:val="auto"/>
          <w:sz w:val="24"/>
          <w:szCs w:val="24"/>
          <w:highlight w:val="none"/>
        </w:rPr>
      </w:pPr>
    </w:p>
    <w:p w14:paraId="2B4BE9EA">
      <w:pPr>
        <w:spacing w:line="360" w:lineRule="auto"/>
        <w:rPr>
          <w:rFonts w:asciiTheme="minorEastAsia" w:hAnsiTheme="minorEastAsia" w:cstheme="minorEastAsia"/>
          <w:color w:val="auto"/>
          <w:sz w:val="24"/>
          <w:szCs w:val="24"/>
          <w:highlight w:val="none"/>
        </w:rPr>
      </w:pPr>
    </w:p>
    <w:p w14:paraId="08465BF9">
      <w:pPr>
        <w:spacing w:line="360" w:lineRule="auto"/>
        <w:rPr>
          <w:rFonts w:asciiTheme="minorEastAsia" w:hAnsiTheme="minorEastAsia" w:cstheme="minorEastAsia"/>
          <w:color w:val="auto"/>
          <w:sz w:val="24"/>
          <w:szCs w:val="24"/>
          <w:highlight w:val="none"/>
        </w:rPr>
      </w:pPr>
    </w:p>
    <w:p w14:paraId="0D9CCDCE">
      <w:pPr>
        <w:spacing w:line="360" w:lineRule="auto"/>
        <w:rPr>
          <w:rFonts w:asciiTheme="minorEastAsia" w:hAnsiTheme="minorEastAsia" w:cstheme="minorEastAsia"/>
          <w:color w:val="auto"/>
          <w:sz w:val="24"/>
          <w:szCs w:val="24"/>
          <w:highlight w:val="none"/>
        </w:rPr>
      </w:pPr>
    </w:p>
    <w:p w14:paraId="41DEECC1">
      <w:pPr>
        <w:spacing w:line="360" w:lineRule="auto"/>
        <w:rPr>
          <w:rFonts w:asciiTheme="minorEastAsia" w:hAnsiTheme="minorEastAsia" w:cstheme="minorEastAsia"/>
          <w:color w:val="auto"/>
          <w:sz w:val="24"/>
          <w:szCs w:val="24"/>
          <w:highlight w:val="none"/>
        </w:rPr>
      </w:pPr>
    </w:p>
    <w:p w14:paraId="785A3FCC">
      <w:pPr>
        <w:spacing w:line="360" w:lineRule="auto"/>
        <w:rPr>
          <w:rFonts w:asciiTheme="minorEastAsia" w:hAnsiTheme="minorEastAsia" w:cstheme="minorEastAsia"/>
          <w:color w:val="auto"/>
          <w:sz w:val="24"/>
          <w:szCs w:val="24"/>
          <w:highlight w:val="none"/>
        </w:rPr>
      </w:pPr>
    </w:p>
    <w:p w14:paraId="492ECC42">
      <w:pPr>
        <w:spacing w:line="360" w:lineRule="auto"/>
        <w:rPr>
          <w:rFonts w:asciiTheme="minorEastAsia" w:hAnsiTheme="minorEastAsia" w:cstheme="minorEastAsia"/>
          <w:color w:val="auto"/>
          <w:sz w:val="24"/>
          <w:szCs w:val="24"/>
          <w:highlight w:val="none"/>
        </w:rPr>
      </w:pPr>
    </w:p>
    <w:p w14:paraId="01C1EB91">
      <w:pPr>
        <w:spacing w:line="360" w:lineRule="auto"/>
        <w:rPr>
          <w:rFonts w:asciiTheme="minorEastAsia" w:hAnsiTheme="minorEastAsia" w:cstheme="minorEastAsia"/>
          <w:color w:val="auto"/>
          <w:sz w:val="24"/>
          <w:highlight w:val="none"/>
        </w:rPr>
      </w:pPr>
    </w:p>
    <w:p w14:paraId="17F49593">
      <w:pPr>
        <w:pStyle w:val="13"/>
        <w:autoSpaceDE/>
        <w:autoSpaceDN/>
        <w:spacing w:line="278" w:lineRule="auto"/>
        <w:ind w:left="398" w:right="386" w:firstLine="420"/>
        <w:rPr>
          <w:rFonts w:asciiTheme="minorEastAsia" w:hAnsiTheme="minorEastAsia" w:eastAsiaTheme="minorEastAsia"/>
          <w:color w:val="auto"/>
          <w:highlight w:val="none"/>
        </w:rPr>
      </w:pPr>
    </w:p>
    <w:p w14:paraId="1ED98927">
      <w:pPr>
        <w:pStyle w:val="13"/>
        <w:autoSpaceDE/>
        <w:autoSpaceDN/>
        <w:spacing w:line="278" w:lineRule="auto"/>
        <w:ind w:left="398" w:right="386" w:firstLine="420"/>
        <w:rPr>
          <w:rFonts w:asciiTheme="minorEastAsia" w:hAnsiTheme="minorEastAsia" w:eastAsiaTheme="minorEastAsia"/>
          <w:color w:val="auto"/>
          <w:highlight w:val="none"/>
        </w:rPr>
      </w:pPr>
    </w:p>
    <w:p w14:paraId="7F41974A">
      <w:pPr>
        <w:pStyle w:val="13"/>
        <w:autoSpaceDE/>
        <w:autoSpaceDN/>
        <w:spacing w:line="278" w:lineRule="auto"/>
        <w:ind w:left="398" w:right="386" w:firstLine="420"/>
        <w:rPr>
          <w:rFonts w:asciiTheme="minorEastAsia" w:hAnsiTheme="minorEastAsia" w:eastAsiaTheme="minorEastAsia"/>
          <w:color w:val="auto"/>
          <w:highlight w:val="none"/>
        </w:rPr>
      </w:pPr>
    </w:p>
    <w:p w14:paraId="398BAC8B">
      <w:pPr>
        <w:pStyle w:val="13"/>
        <w:autoSpaceDE/>
        <w:autoSpaceDN/>
        <w:spacing w:line="278" w:lineRule="auto"/>
        <w:ind w:left="398" w:right="386" w:firstLine="420"/>
        <w:rPr>
          <w:rFonts w:asciiTheme="minorEastAsia" w:hAnsiTheme="minorEastAsia" w:eastAsiaTheme="minorEastAsia" w:cstheme="minorEastAsia"/>
          <w:color w:val="auto"/>
          <w:sz w:val="24"/>
          <w:szCs w:val="24"/>
          <w:highlight w:val="none"/>
        </w:rPr>
      </w:pPr>
    </w:p>
    <w:p w14:paraId="1F13A0C2">
      <w:pPr>
        <w:pStyle w:val="13"/>
        <w:autoSpaceDE/>
        <w:autoSpaceDN/>
        <w:spacing w:line="278" w:lineRule="auto"/>
        <w:ind w:left="398" w:right="386" w:firstLine="420"/>
        <w:rPr>
          <w:rFonts w:asciiTheme="minorEastAsia" w:hAnsiTheme="minorEastAsia" w:eastAsiaTheme="minorEastAsia" w:cstheme="minorEastAsia"/>
          <w:color w:val="auto"/>
          <w:sz w:val="24"/>
          <w:szCs w:val="24"/>
          <w:highlight w:val="none"/>
        </w:rPr>
      </w:pPr>
    </w:p>
    <w:p w14:paraId="193DBD29">
      <w:pPr>
        <w:pStyle w:val="13"/>
        <w:autoSpaceDE/>
        <w:autoSpaceDN/>
        <w:spacing w:line="278" w:lineRule="auto"/>
        <w:ind w:right="386"/>
        <w:rPr>
          <w:rFonts w:asciiTheme="minorEastAsia" w:hAnsiTheme="minorEastAsia" w:eastAsiaTheme="minorEastAsia" w:cstheme="minorEastAsia"/>
          <w:color w:val="auto"/>
          <w:sz w:val="24"/>
          <w:szCs w:val="24"/>
          <w:highlight w:val="none"/>
        </w:rPr>
      </w:pPr>
    </w:p>
    <w:p w14:paraId="25AD12F8">
      <w:pPr>
        <w:spacing w:line="600" w:lineRule="auto"/>
        <w:ind w:left="420" w:leftChars="200"/>
        <w:jc w:val="center"/>
        <w:rPr>
          <w:rFonts w:asciiTheme="minorEastAsia" w:hAnsiTheme="minorEastAsia" w:cstheme="minorEastAsia"/>
          <w:b/>
          <w:color w:val="auto"/>
          <w:sz w:val="28"/>
          <w:highlight w:val="none"/>
        </w:rPr>
      </w:pPr>
    </w:p>
    <w:p w14:paraId="539C612E">
      <w:pPr>
        <w:pStyle w:val="5"/>
        <w:spacing w:line="360" w:lineRule="auto"/>
        <w:jc w:val="center"/>
        <w:rPr>
          <w:rFonts w:cs="宋体" w:asciiTheme="minorEastAsia" w:hAnsiTheme="minorEastAsia" w:eastAsiaTheme="minorEastAsia"/>
          <w:color w:val="auto"/>
          <w:highlight w:val="none"/>
        </w:rPr>
      </w:pPr>
      <w:bookmarkStart w:id="1449" w:name="_Toc304362813"/>
      <w:bookmarkStart w:id="1450" w:name="_Toc1298"/>
      <w:bookmarkStart w:id="1451" w:name="_Toc12632"/>
      <w:bookmarkStart w:id="1452" w:name="_Toc16938"/>
      <w:bookmarkStart w:id="1453" w:name="_Toc9374"/>
      <w:bookmarkStart w:id="1454" w:name="_Toc255977448"/>
      <w:bookmarkStart w:id="1455" w:name="_Toc247301843"/>
      <w:bookmarkStart w:id="1456" w:name="_Toc244942489"/>
      <w:r>
        <w:rPr>
          <w:rFonts w:hint="eastAsia" w:cs="宋体" w:asciiTheme="minorEastAsia" w:hAnsiTheme="minorEastAsia" w:eastAsiaTheme="minorEastAsia"/>
          <w:color w:val="auto"/>
          <w:highlight w:val="none"/>
        </w:rPr>
        <w:t>五、</w:t>
      </w:r>
      <w:bookmarkEnd w:id="1449"/>
      <w:r>
        <w:rPr>
          <w:rFonts w:hint="eastAsia" w:cs="宋体" w:asciiTheme="minorEastAsia" w:hAnsiTheme="minorEastAsia" w:eastAsiaTheme="minorEastAsia"/>
          <w:color w:val="auto"/>
          <w:highlight w:val="none"/>
        </w:rPr>
        <w:t>项目管理机构配备情况</w:t>
      </w:r>
      <w:bookmarkEnd w:id="1450"/>
      <w:bookmarkEnd w:id="1451"/>
      <w:bookmarkEnd w:id="1452"/>
    </w:p>
    <w:p w14:paraId="5D50D104">
      <w:pPr>
        <w:spacing w:line="360" w:lineRule="auto"/>
        <w:ind w:right="-288" w:rightChars="-137" w:firstLine="560" w:firstLineChars="200"/>
        <w:rPr>
          <w:rFonts w:cs="宋体" w:asciiTheme="minorEastAsia" w:hAnsiTheme="minorEastAsia"/>
          <w:color w:val="auto"/>
          <w:sz w:val="28"/>
          <w:szCs w:val="28"/>
          <w:highlight w:val="none"/>
        </w:rPr>
      </w:pPr>
      <w:r>
        <w:rPr>
          <w:rFonts w:hint="eastAsia" w:cs="宋体" w:asciiTheme="minorEastAsia" w:hAnsiTheme="minorEastAsia"/>
          <w:color w:val="auto"/>
          <w:sz w:val="28"/>
          <w:szCs w:val="28"/>
          <w:highlight w:val="none"/>
        </w:rPr>
        <w:t>1. 项目管理机构配备情况表               表7.6</w:t>
      </w:r>
    </w:p>
    <w:p w14:paraId="04A0FD4A">
      <w:pPr>
        <w:spacing w:line="360" w:lineRule="auto"/>
        <w:ind w:right="-288" w:rightChars="-137" w:firstLine="560" w:firstLineChars="200"/>
        <w:rPr>
          <w:rFonts w:cs="宋体" w:asciiTheme="minorEastAsia" w:hAnsiTheme="minorEastAsia"/>
          <w:color w:val="auto"/>
          <w:sz w:val="28"/>
          <w:szCs w:val="28"/>
          <w:highlight w:val="none"/>
        </w:rPr>
      </w:pPr>
      <w:r>
        <w:rPr>
          <w:rFonts w:hint="eastAsia" w:cs="宋体" w:asciiTheme="minorEastAsia" w:hAnsiTheme="minorEastAsia"/>
          <w:color w:val="auto"/>
          <w:sz w:val="28"/>
          <w:szCs w:val="28"/>
          <w:highlight w:val="none"/>
        </w:rPr>
        <w:t>2. 项目经理简历表                       表7.7</w:t>
      </w:r>
    </w:p>
    <w:p w14:paraId="519C200D">
      <w:pPr>
        <w:spacing w:line="360" w:lineRule="auto"/>
        <w:ind w:right="-288" w:rightChars="-137" w:firstLine="560" w:firstLineChars="200"/>
        <w:rPr>
          <w:rFonts w:cs="宋体" w:asciiTheme="minorEastAsia" w:hAnsiTheme="minorEastAsia"/>
          <w:color w:val="auto"/>
          <w:sz w:val="28"/>
          <w:szCs w:val="28"/>
          <w:highlight w:val="none"/>
        </w:rPr>
      </w:pPr>
      <w:r>
        <w:rPr>
          <w:rFonts w:hint="eastAsia" w:cs="宋体" w:asciiTheme="minorEastAsia" w:hAnsiTheme="minorEastAsia"/>
          <w:color w:val="auto"/>
          <w:sz w:val="28"/>
          <w:szCs w:val="28"/>
          <w:highlight w:val="none"/>
        </w:rPr>
        <w:t>3. 项目技术负责人简历表                 表7.8</w:t>
      </w:r>
    </w:p>
    <w:p w14:paraId="1AFE0A1E">
      <w:pPr>
        <w:spacing w:line="360" w:lineRule="auto"/>
        <w:ind w:right="-137" w:firstLine="560" w:firstLineChars="200"/>
        <w:rPr>
          <w:rFonts w:cs="宋体" w:asciiTheme="minorEastAsia" w:hAnsiTheme="minorEastAsia"/>
          <w:color w:val="auto"/>
          <w:sz w:val="28"/>
          <w:szCs w:val="28"/>
          <w:highlight w:val="none"/>
        </w:rPr>
        <w:sectPr>
          <w:pgSz w:w="11906" w:h="16838"/>
          <w:pgMar w:top="1134" w:right="1418" w:bottom="1134" w:left="1418" w:header="567" w:footer="680" w:gutter="0"/>
          <w:cols w:space="720" w:num="1"/>
          <w:docGrid w:type="lines" w:linePitch="312" w:charSpace="0"/>
        </w:sectPr>
      </w:pPr>
      <w:r>
        <w:rPr>
          <w:rFonts w:hint="eastAsia" w:cs="宋体" w:asciiTheme="minorEastAsia" w:hAnsiTheme="minorEastAsia"/>
          <w:color w:val="auto"/>
          <w:sz w:val="28"/>
          <w:szCs w:val="28"/>
          <w:highlight w:val="none"/>
        </w:rPr>
        <w:t>4. 项目管理机构配备情况辅助说明资料     表7.9</w:t>
      </w:r>
    </w:p>
    <w:p w14:paraId="48147467">
      <w:pPr>
        <w:spacing w:line="360" w:lineRule="auto"/>
        <w:jc w:val="center"/>
        <w:rPr>
          <w:rFonts w:cs="宋体" w:asciiTheme="minorEastAsia" w:hAnsiTheme="minorEastAsia"/>
          <w:b/>
          <w:color w:val="auto"/>
          <w:sz w:val="28"/>
          <w:highlight w:val="none"/>
        </w:rPr>
      </w:pPr>
      <w:r>
        <w:rPr>
          <w:rFonts w:hint="eastAsia" w:cs="宋体" w:asciiTheme="minorEastAsia" w:hAnsiTheme="minorEastAsia"/>
          <w:b/>
          <w:color w:val="auto"/>
          <w:sz w:val="28"/>
          <w:highlight w:val="none"/>
        </w:rPr>
        <w:t>1. 项目管理机构配备情况表</w:t>
      </w:r>
    </w:p>
    <w:p w14:paraId="326B4AF6">
      <w:pPr>
        <w:spacing w:line="360" w:lineRule="auto"/>
        <w:rPr>
          <w:rFonts w:cs="宋体" w:asciiTheme="minorEastAsia" w:hAnsiTheme="minorEastAsia"/>
          <w:b/>
          <w:color w:val="auto"/>
          <w:sz w:val="24"/>
          <w:highlight w:val="none"/>
        </w:rPr>
      </w:pPr>
      <w:r>
        <w:rPr>
          <w:rFonts w:hint="eastAsia" w:cs="宋体" w:asciiTheme="minorEastAsia" w:hAnsiTheme="minorEastAsia"/>
          <w:color w:val="auto"/>
          <w:sz w:val="24"/>
          <w:highlight w:val="none"/>
          <w:u w:val="single"/>
        </w:rPr>
        <w:t xml:space="preserve">         （工程项目名称）    </w:t>
      </w:r>
      <w:r>
        <w:rPr>
          <w:rFonts w:hint="eastAsia" w:cs="宋体" w:asciiTheme="minorEastAsia" w:hAnsiTheme="minorEastAsia"/>
          <w:color w:val="auto"/>
          <w:sz w:val="24"/>
          <w:highlight w:val="none"/>
        </w:rPr>
        <w:t xml:space="preserve">工程                                 </w:t>
      </w:r>
      <w:r>
        <w:rPr>
          <w:rFonts w:hint="eastAsia" w:cs="宋体" w:asciiTheme="minorEastAsia" w:hAnsiTheme="minorEastAsia"/>
          <w:b/>
          <w:color w:val="auto"/>
          <w:sz w:val="24"/>
          <w:highlight w:val="none"/>
        </w:rPr>
        <w:t>表7.6</w:t>
      </w:r>
    </w:p>
    <w:tbl>
      <w:tblPr>
        <w:tblStyle w:val="28"/>
        <w:tblW w:w="92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20"/>
        <w:gridCol w:w="1260"/>
        <w:gridCol w:w="1440"/>
        <w:gridCol w:w="1080"/>
        <w:gridCol w:w="1800"/>
        <w:gridCol w:w="1091"/>
      </w:tblGrid>
      <w:tr w14:paraId="33508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1008" w:type="dxa"/>
            <w:vMerge w:val="restart"/>
            <w:vAlign w:val="center"/>
          </w:tcPr>
          <w:p w14:paraId="68C31256">
            <w:pPr>
              <w:spacing w:line="360" w:lineRule="auto"/>
              <w:jc w:val="center"/>
              <w:rPr>
                <w:rFonts w:cs="宋体" w:asciiTheme="minorEastAsia" w:hAnsiTheme="minorEastAsia"/>
                <w:b/>
                <w:color w:val="auto"/>
                <w:sz w:val="24"/>
                <w:highlight w:val="none"/>
              </w:rPr>
            </w:pPr>
            <w:r>
              <w:rPr>
                <w:rFonts w:hint="eastAsia" w:cs="宋体" w:asciiTheme="minorEastAsia" w:hAnsiTheme="minorEastAsia"/>
                <w:b/>
                <w:color w:val="auto"/>
                <w:sz w:val="24"/>
                <w:highlight w:val="none"/>
              </w:rPr>
              <w:t>职务</w:t>
            </w:r>
          </w:p>
        </w:tc>
        <w:tc>
          <w:tcPr>
            <w:tcW w:w="1620" w:type="dxa"/>
            <w:vMerge w:val="restart"/>
            <w:vAlign w:val="center"/>
          </w:tcPr>
          <w:p w14:paraId="6C313EE2">
            <w:pPr>
              <w:spacing w:line="360" w:lineRule="auto"/>
              <w:jc w:val="center"/>
              <w:rPr>
                <w:rFonts w:cs="宋体" w:asciiTheme="minorEastAsia" w:hAnsiTheme="minorEastAsia"/>
                <w:b/>
                <w:color w:val="auto"/>
                <w:sz w:val="24"/>
                <w:highlight w:val="none"/>
              </w:rPr>
            </w:pPr>
            <w:r>
              <w:rPr>
                <w:rFonts w:hint="eastAsia" w:cs="宋体" w:asciiTheme="minorEastAsia" w:hAnsiTheme="minorEastAsia"/>
                <w:b/>
                <w:color w:val="auto"/>
                <w:sz w:val="24"/>
                <w:highlight w:val="none"/>
              </w:rPr>
              <w:t>姓名</w:t>
            </w:r>
          </w:p>
        </w:tc>
        <w:tc>
          <w:tcPr>
            <w:tcW w:w="1260" w:type="dxa"/>
            <w:vMerge w:val="restart"/>
            <w:vAlign w:val="center"/>
          </w:tcPr>
          <w:p w14:paraId="50C6A655">
            <w:pPr>
              <w:spacing w:line="360" w:lineRule="auto"/>
              <w:jc w:val="center"/>
              <w:rPr>
                <w:rFonts w:cs="宋体" w:asciiTheme="minorEastAsia" w:hAnsiTheme="minorEastAsia"/>
                <w:b/>
                <w:color w:val="auto"/>
                <w:sz w:val="24"/>
                <w:highlight w:val="none"/>
              </w:rPr>
            </w:pPr>
            <w:r>
              <w:rPr>
                <w:rFonts w:hint="eastAsia" w:cs="宋体" w:asciiTheme="minorEastAsia" w:hAnsiTheme="minorEastAsia"/>
                <w:b/>
                <w:color w:val="auto"/>
                <w:sz w:val="24"/>
                <w:highlight w:val="none"/>
              </w:rPr>
              <w:t>职称</w:t>
            </w:r>
          </w:p>
        </w:tc>
        <w:tc>
          <w:tcPr>
            <w:tcW w:w="5411" w:type="dxa"/>
            <w:gridSpan w:val="4"/>
            <w:vAlign w:val="center"/>
          </w:tcPr>
          <w:p w14:paraId="2294D1C3">
            <w:pPr>
              <w:spacing w:line="360" w:lineRule="auto"/>
              <w:jc w:val="center"/>
              <w:rPr>
                <w:rFonts w:cs="宋体" w:asciiTheme="minorEastAsia" w:hAnsiTheme="minorEastAsia"/>
                <w:b/>
                <w:color w:val="auto"/>
                <w:sz w:val="24"/>
                <w:highlight w:val="none"/>
              </w:rPr>
            </w:pPr>
            <w:r>
              <w:rPr>
                <w:rFonts w:hint="eastAsia" w:cs="宋体" w:asciiTheme="minorEastAsia" w:hAnsiTheme="minorEastAsia"/>
                <w:b/>
                <w:color w:val="auto"/>
                <w:sz w:val="24"/>
                <w:highlight w:val="none"/>
              </w:rPr>
              <w:t>执业或职业资格证明</w:t>
            </w:r>
          </w:p>
        </w:tc>
      </w:tr>
      <w:tr w14:paraId="519F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 w:hRule="atLeast"/>
        </w:trPr>
        <w:tc>
          <w:tcPr>
            <w:tcW w:w="1008" w:type="dxa"/>
            <w:vMerge w:val="continue"/>
            <w:vAlign w:val="center"/>
          </w:tcPr>
          <w:p w14:paraId="164CF101">
            <w:pPr>
              <w:spacing w:line="360" w:lineRule="auto"/>
              <w:jc w:val="center"/>
              <w:rPr>
                <w:rFonts w:cs="宋体" w:asciiTheme="minorEastAsia" w:hAnsiTheme="minorEastAsia"/>
                <w:b/>
                <w:color w:val="auto"/>
                <w:sz w:val="24"/>
                <w:highlight w:val="none"/>
              </w:rPr>
            </w:pPr>
          </w:p>
        </w:tc>
        <w:tc>
          <w:tcPr>
            <w:tcW w:w="1620" w:type="dxa"/>
            <w:vMerge w:val="continue"/>
            <w:vAlign w:val="center"/>
          </w:tcPr>
          <w:p w14:paraId="41B8A1A7">
            <w:pPr>
              <w:spacing w:line="360" w:lineRule="auto"/>
              <w:jc w:val="center"/>
              <w:rPr>
                <w:rFonts w:cs="宋体" w:asciiTheme="minorEastAsia" w:hAnsiTheme="minorEastAsia"/>
                <w:b/>
                <w:color w:val="auto"/>
                <w:sz w:val="24"/>
                <w:highlight w:val="none"/>
              </w:rPr>
            </w:pPr>
          </w:p>
        </w:tc>
        <w:tc>
          <w:tcPr>
            <w:tcW w:w="1260" w:type="dxa"/>
            <w:vMerge w:val="continue"/>
            <w:vAlign w:val="center"/>
          </w:tcPr>
          <w:p w14:paraId="72614BCC">
            <w:pPr>
              <w:spacing w:line="360" w:lineRule="auto"/>
              <w:jc w:val="center"/>
              <w:rPr>
                <w:rFonts w:cs="宋体" w:asciiTheme="minorEastAsia" w:hAnsiTheme="minorEastAsia"/>
                <w:b/>
                <w:color w:val="auto"/>
                <w:sz w:val="24"/>
                <w:highlight w:val="none"/>
              </w:rPr>
            </w:pPr>
          </w:p>
        </w:tc>
        <w:tc>
          <w:tcPr>
            <w:tcW w:w="1440" w:type="dxa"/>
            <w:vAlign w:val="center"/>
          </w:tcPr>
          <w:p w14:paraId="4C5463BA">
            <w:pPr>
              <w:spacing w:line="360" w:lineRule="auto"/>
              <w:jc w:val="center"/>
              <w:rPr>
                <w:rFonts w:cs="宋体" w:asciiTheme="minorEastAsia" w:hAnsiTheme="minorEastAsia"/>
                <w:b/>
                <w:color w:val="auto"/>
                <w:sz w:val="24"/>
                <w:highlight w:val="none"/>
              </w:rPr>
            </w:pPr>
            <w:r>
              <w:rPr>
                <w:rFonts w:hint="eastAsia" w:cs="宋体" w:asciiTheme="minorEastAsia" w:hAnsiTheme="minorEastAsia"/>
                <w:b/>
                <w:color w:val="auto"/>
                <w:sz w:val="24"/>
                <w:highlight w:val="none"/>
              </w:rPr>
              <w:t>证书</w:t>
            </w:r>
          </w:p>
          <w:p w14:paraId="06825C41">
            <w:pPr>
              <w:spacing w:line="360" w:lineRule="auto"/>
              <w:jc w:val="center"/>
              <w:rPr>
                <w:rFonts w:cs="宋体" w:asciiTheme="minorEastAsia" w:hAnsiTheme="minorEastAsia"/>
                <w:b/>
                <w:color w:val="auto"/>
                <w:sz w:val="24"/>
                <w:highlight w:val="none"/>
              </w:rPr>
            </w:pPr>
            <w:r>
              <w:rPr>
                <w:rFonts w:hint="eastAsia" w:cs="宋体" w:asciiTheme="minorEastAsia" w:hAnsiTheme="minorEastAsia"/>
                <w:b/>
                <w:color w:val="auto"/>
                <w:sz w:val="24"/>
                <w:highlight w:val="none"/>
              </w:rPr>
              <w:t>名称</w:t>
            </w:r>
          </w:p>
        </w:tc>
        <w:tc>
          <w:tcPr>
            <w:tcW w:w="1080" w:type="dxa"/>
            <w:vAlign w:val="center"/>
          </w:tcPr>
          <w:p w14:paraId="1E0A8D34">
            <w:pPr>
              <w:spacing w:line="360" w:lineRule="auto"/>
              <w:jc w:val="center"/>
              <w:rPr>
                <w:rFonts w:cs="宋体" w:asciiTheme="minorEastAsia" w:hAnsiTheme="minorEastAsia"/>
                <w:b/>
                <w:color w:val="auto"/>
                <w:sz w:val="24"/>
                <w:highlight w:val="none"/>
              </w:rPr>
            </w:pPr>
            <w:r>
              <w:rPr>
                <w:rFonts w:hint="eastAsia" w:cs="宋体" w:asciiTheme="minorEastAsia" w:hAnsiTheme="minorEastAsia"/>
                <w:b/>
                <w:color w:val="auto"/>
                <w:sz w:val="24"/>
                <w:highlight w:val="none"/>
              </w:rPr>
              <w:t>级别</w:t>
            </w:r>
          </w:p>
        </w:tc>
        <w:tc>
          <w:tcPr>
            <w:tcW w:w="1800" w:type="dxa"/>
            <w:vAlign w:val="center"/>
          </w:tcPr>
          <w:p w14:paraId="3D9E9353">
            <w:pPr>
              <w:spacing w:line="360" w:lineRule="auto"/>
              <w:jc w:val="center"/>
              <w:rPr>
                <w:rFonts w:cs="宋体" w:asciiTheme="minorEastAsia" w:hAnsiTheme="minorEastAsia"/>
                <w:b/>
                <w:color w:val="auto"/>
                <w:sz w:val="24"/>
                <w:highlight w:val="none"/>
              </w:rPr>
            </w:pPr>
            <w:r>
              <w:rPr>
                <w:rFonts w:hint="eastAsia" w:cs="宋体" w:asciiTheme="minorEastAsia" w:hAnsiTheme="minorEastAsia"/>
                <w:b/>
                <w:color w:val="auto"/>
                <w:sz w:val="24"/>
                <w:highlight w:val="none"/>
              </w:rPr>
              <w:t>证号</w:t>
            </w:r>
          </w:p>
        </w:tc>
        <w:tc>
          <w:tcPr>
            <w:tcW w:w="1091" w:type="dxa"/>
            <w:vAlign w:val="center"/>
          </w:tcPr>
          <w:p w14:paraId="6974FDE9">
            <w:pPr>
              <w:spacing w:line="360" w:lineRule="auto"/>
              <w:jc w:val="center"/>
              <w:rPr>
                <w:rFonts w:cs="宋体" w:asciiTheme="minorEastAsia" w:hAnsiTheme="minorEastAsia"/>
                <w:b/>
                <w:color w:val="auto"/>
                <w:sz w:val="24"/>
                <w:highlight w:val="none"/>
              </w:rPr>
            </w:pPr>
            <w:r>
              <w:rPr>
                <w:rFonts w:hint="eastAsia" w:cs="宋体" w:asciiTheme="minorEastAsia" w:hAnsiTheme="minorEastAsia"/>
                <w:b/>
                <w:color w:val="auto"/>
                <w:sz w:val="24"/>
                <w:highlight w:val="none"/>
              </w:rPr>
              <w:t>专业</w:t>
            </w:r>
          </w:p>
        </w:tc>
      </w:tr>
      <w:tr w14:paraId="1FC63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08" w:type="dxa"/>
            <w:vAlign w:val="center"/>
          </w:tcPr>
          <w:p w14:paraId="6A02A6D0">
            <w:pPr>
              <w:spacing w:line="360" w:lineRule="auto"/>
              <w:jc w:val="center"/>
              <w:rPr>
                <w:rFonts w:cs="宋体" w:asciiTheme="minorEastAsia" w:hAnsiTheme="minorEastAsia"/>
                <w:b/>
                <w:color w:val="auto"/>
                <w:sz w:val="24"/>
                <w:highlight w:val="none"/>
              </w:rPr>
            </w:pPr>
          </w:p>
        </w:tc>
        <w:tc>
          <w:tcPr>
            <w:tcW w:w="1620" w:type="dxa"/>
            <w:vAlign w:val="center"/>
          </w:tcPr>
          <w:p w14:paraId="6ECA3528">
            <w:pPr>
              <w:spacing w:line="360" w:lineRule="auto"/>
              <w:jc w:val="center"/>
              <w:rPr>
                <w:rFonts w:cs="宋体" w:asciiTheme="minorEastAsia" w:hAnsiTheme="minorEastAsia"/>
                <w:b/>
                <w:color w:val="auto"/>
                <w:sz w:val="24"/>
                <w:highlight w:val="none"/>
              </w:rPr>
            </w:pPr>
          </w:p>
        </w:tc>
        <w:tc>
          <w:tcPr>
            <w:tcW w:w="1260" w:type="dxa"/>
            <w:vAlign w:val="center"/>
          </w:tcPr>
          <w:p w14:paraId="107777E6">
            <w:pPr>
              <w:spacing w:line="360" w:lineRule="auto"/>
              <w:jc w:val="center"/>
              <w:rPr>
                <w:rFonts w:cs="宋体" w:asciiTheme="minorEastAsia" w:hAnsiTheme="minorEastAsia"/>
                <w:b/>
                <w:color w:val="auto"/>
                <w:sz w:val="24"/>
                <w:highlight w:val="none"/>
              </w:rPr>
            </w:pPr>
          </w:p>
        </w:tc>
        <w:tc>
          <w:tcPr>
            <w:tcW w:w="1440" w:type="dxa"/>
            <w:vAlign w:val="center"/>
          </w:tcPr>
          <w:p w14:paraId="4C0419A8">
            <w:pPr>
              <w:spacing w:line="360" w:lineRule="auto"/>
              <w:jc w:val="center"/>
              <w:rPr>
                <w:rFonts w:cs="宋体" w:asciiTheme="minorEastAsia" w:hAnsiTheme="minorEastAsia"/>
                <w:b/>
                <w:color w:val="auto"/>
                <w:sz w:val="24"/>
                <w:highlight w:val="none"/>
              </w:rPr>
            </w:pPr>
          </w:p>
        </w:tc>
        <w:tc>
          <w:tcPr>
            <w:tcW w:w="1080" w:type="dxa"/>
            <w:vAlign w:val="center"/>
          </w:tcPr>
          <w:p w14:paraId="437EEA0C">
            <w:pPr>
              <w:spacing w:line="360" w:lineRule="auto"/>
              <w:jc w:val="center"/>
              <w:rPr>
                <w:rFonts w:cs="宋体" w:asciiTheme="minorEastAsia" w:hAnsiTheme="minorEastAsia"/>
                <w:b/>
                <w:color w:val="auto"/>
                <w:sz w:val="24"/>
                <w:highlight w:val="none"/>
              </w:rPr>
            </w:pPr>
          </w:p>
        </w:tc>
        <w:tc>
          <w:tcPr>
            <w:tcW w:w="1800" w:type="dxa"/>
            <w:vAlign w:val="center"/>
          </w:tcPr>
          <w:p w14:paraId="4F7C7534">
            <w:pPr>
              <w:spacing w:line="360" w:lineRule="auto"/>
              <w:jc w:val="center"/>
              <w:rPr>
                <w:rFonts w:cs="宋体" w:asciiTheme="minorEastAsia" w:hAnsiTheme="minorEastAsia"/>
                <w:b/>
                <w:color w:val="auto"/>
                <w:sz w:val="24"/>
                <w:highlight w:val="none"/>
              </w:rPr>
            </w:pPr>
          </w:p>
        </w:tc>
        <w:tc>
          <w:tcPr>
            <w:tcW w:w="1091" w:type="dxa"/>
            <w:vAlign w:val="center"/>
          </w:tcPr>
          <w:p w14:paraId="14436245">
            <w:pPr>
              <w:spacing w:line="360" w:lineRule="auto"/>
              <w:jc w:val="center"/>
              <w:rPr>
                <w:rFonts w:cs="宋体" w:asciiTheme="minorEastAsia" w:hAnsiTheme="minorEastAsia"/>
                <w:b/>
                <w:color w:val="auto"/>
                <w:sz w:val="24"/>
                <w:highlight w:val="none"/>
              </w:rPr>
            </w:pPr>
          </w:p>
        </w:tc>
      </w:tr>
      <w:tr w14:paraId="189E1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08" w:type="dxa"/>
            <w:vAlign w:val="center"/>
          </w:tcPr>
          <w:p w14:paraId="3EB295DE">
            <w:pPr>
              <w:spacing w:line="360" w:lineRule="auto"/>
              <w:jc w:val="center"/>
              <w:rPr>
                <w:rFonts w:cs="宋体" w:asciiTheme="minorEastAsia" w:hAnsiTheme="minorEastAsia"/>
                <w:b/>
                <w:color w:val="auto"/>
                <w:sz w:val="24"/>
                <w:highlight w:val="none"/>
              </w:rPr>
            </w:pPr>
          </w:p>
        </w:tc>
        <w:tc>
          <w:tcPr>
            <w:tcW w:w="1620" w:type="dxa"/>
            <w:vAlign w:val="center"/>
          </w:tcPr>
          <w:p w14:paraId="50968E58">
            <w:pPr>
              <w:spacing w:line="360" w:lineRule="auto"/>
              <w:jc w:val="center"/>
              <w:rPr>
                <w:rFonts w:cs="宋体" w:asciiTheme="minorEastAsia" w:hAnsiTheme="minorEastAsia"/>
                <w:b/>
                <w:color w:val="auto"/>
                <w:sz w:val="24"/>
                <w:highlight w:val="none"/>
              </w:rPr>
            </w:pPr>
          </w:p>
        </w:tc>
        <w:tc>
          <w:tcPr>
            <w:tcW w:w="1260" w:type="dxa"/>
            <w:vAlign w:val="center"/>
          </w:tcPr>
          <w:p w14:paraId="613C26D0">
            <w:pPr>
              <w:spacing w:line="360" w:lineRule="auto"/>
              <w:jc w:val="center"/>
              <w:rPr>
                <w:rFonts w:cs="宋体" w:asciiTheme="minorEastAsia" w:hAnsiTheme="minorEastAsia"/>
                <w:b/>
                <w:color w:val="auto"/>
                <w:sz w:val="24"/>
                <w:highlight w:val="none"/>
              </w:rPr>
            </w:pPr>
          </w:p>
        </w:tc>
        <w:tc>
          <w:tcPr>
            <w:tcW w:w="1440" w:type="dxa"/>
            <w:vAlign w:val="center"/>
          </w:tcPr>
          <w:p w14:paraId="5378E5DD">
            <w:pPr>
              <w:spacing w:line="360" w:lineRule="auto"/>
              <w:jc w:val="center"/>
              <w:rPr>
                <w:rFonts w:cs="宋体" w:asciiTheme="minorEastAsia" w:hAnsiTheme="minorEastAsia"/>
                <w:b/>
                <w:color w:val="auto"/>
                <w:sz w:val="24"/>
                <w:highlight w:val="none"/>
              </w:rPr>
            </w:pPr>
          </w:p>
        </w:tc>
        <w:tc>
          <w:tcPr>
            <w:tcW w:w="1080" w:type="dxa"/>
            <w:vAlign w:val="center"/>
          </w:tcPr>
          <w:p w14:paraId="768B3664">
            <w:pPr>
              <w:spacing w:line="360" w:lineRule="auto"/>
              <w:jc w:val="center"/>
              <w:rPr>
                <w:rFonts w:cs="宋体" w:asciiTheme="minorEastAsia" w:hAnsiTheme="minorEastAsia"/>
                <w:b/>
                <w:color w:val="auto"/>
                <w:sz w:val="24"/>
                <w:highlight w:val="none"/>
              </w:rPr>
            </w:pPr>
          </w:p>
        </w:tc>
        <w:tc>
          <w:tcPr>
            <w:tcW w:w="1800" w:type="dxa"/>
            <w:vAlign w:val="center"/>
          </w:tcPr>
          <w:p w14:paraId="584B3231">
            <w:pPr>
              <w:spacing w:line="360" w:lineRule="auto"/>
              <w:jc w:val="center"/>
              <w:rPr>
                <w:rFonts w:cs="宋体" w:asciiTheme="minorEastAsia" w:hAnsiTheme="minorEastAsia"/>
                <w:b/>
                <w:color w:val="auto"/>
                <w:sz w:val="24"/>
                <w:highlight w:val="none"/>
              </w:rPr>
            </w:pPr>
          </w:p>
        </w:tc>
        <w:tc>
          <w:tcPr>
            <w:tcW w:w="1091" w:type="dxa"/>
            <w:vAlign w:val="center"/>
          </w:tcPr>
          <w:p w14:paraId="0B51857B">
            <w:pPr>
              <w:spacing w:line="360" w:lineRule="auto"/>
              <w:jc w:val="center"/>
              <w:rPr>
                <w:rFonts w:cs="宋体" w:asciiTheme="minorEastAsia" w:hAnsiTheme="minorEastAsia"/>
                <w:b/>
                <w:color w:val="auto"/>
                <w:sz w:val="24"/>
                <w:highlight w:val="none"/>
              </w:rPr>
            </w:pPr>
          </w:p>
        </w:tc>
      </w:tr>
      <w:tr w14:paraId="7F35C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08" w:type="dxa"/>
            <w:vAlign w:val="center"/>
          </w:tcPr>
          <w:p w14:paraId="67BE10E6">
            <w:pPr>
              <w:spacing w:line="360" w:lineRule="auto"/>
              <w:jc w:val="center"/>
              <w:rPr>
                <w:rFonts w:cs="宋体" w:asciiTheme="minorEastAsia" w:hAnsiTheme="minorEastAsia"/>
                <w:b/>
                <w:color w:val="auto"/>
                <w:sz w:val="24"/>
                <w:highlight w:val="none"/>
              </w:rPr>
            </w:pPr>
          </w:p>
        </w:tc>
        <w:tc>
          <w:tcPr>
            <w:tcW w:w="1620" w:type="dxa"/>
            <w:vAlign w:val="center"/>
          </w:tcPr>
          <w:p w14:paraId="410DA003">
            <w:pPr>
              <w:spacing w:line="360" w:lineRule="auto"/>
              <w:jc w:val="center"/>
              <w:rPr>
                <w:rFonts w:cs="宋体" w:asciiTheme="minorEastAsia" w:hAnsiTheme="minorEastAsia"/>
                <w:b/>
                <w:color w:val="auto"/>
                <w:sz w:val="24"/>
                <w:highlight w:val="none"/>
              </w:rPr>
            </w:pPr>
          </w:p>
        </w:tc>
        <w:tc>
          <w:tcPr>
            <w:tcW w:w="1260" w:type="dxa"/>
            <w:vAlign w:val="center"/>
          </w:tcPr>
          <w:p w14:paraId="2A0BD0D5">
            <w:pPr>
              <w:spacing w:line="360" w:lineRule="auto"/>
              <w:jc w:val="center"/>
              <w:rPr>
                <w:rFonts w:cs="宋体" w:asciiTheme="minorEastAsia" w:hAnsiTheme="minorEastAsia"/>
                <w:b/>
                <w:color w:val="auto"/>
                <w:sz w:val="24"/>
                <w:highlight w:val="none"/>
              </w:rPr>
            </w:pPr>
          </w:p>
        </w:tc>
        <w:tc>
          <w:tcPr>
            <w:tcW w:w="1440" w:type="dxa"/>
            <w:vAlign w:val="center"/>
          </w:tcPr>
          <w:p w14:paraId="04C6111B">
            <w:pPr>
              <w:spacing w:line="360" w:lineRule="auto"/>
              <w:jc w:val="center"/>
              <w:rPr>
                <w:rFonts w:cs="宋体" w:asciiTheme="minorEastAsia" w:hAnsiTheme="minorEastAsia"/>
                <w:b/>
                <w:color w:val="auto"/>
                <w:sz w:val="24"/>
                <w:highlight w:val="none"/>
              </w:rPr>
            </w:pPr>
          </w:p>
        </w:tc>
        <w:tc>
          <w:tcPr>
            <w:tcW w:w="1080" w:type="dxa"/>
            <w:vAlign w:val="center"/>
          </w:tcPr>
          <w:p w14:paraId="29CE2A7E">
            <w:pPr>
              <w:spacing w:line="360" w:lineRule="auto"/>
              <w:jc w:val="center"/>
              <w:rPr>
                <w:rFonts w:cs="宋体" w:asciiTheme="minorEastAsia" w:hAnsiTheme="minorEastAsia"/>
                <w:b/>
                <w:color w:val="auto"/>
                <w:sz w:val="24"/>
                <w:highlight w:val="none"/>
              </w:rPr>
            </w:pPr>
          </w:p>
        </w:tc>
        <w:tc>
          <w:tcPr>
            <w:tcW w:w="1800" w:type="dxa"/>
            <w:vAlign w:val="center"/>
          </w:tcPr>
          <w:p w14:paraId="1F1E7217">
            <w:pPr>
              <w:spacing w:line="360" w:lineRule="auto"/>
              <w:jc w:val="center"/>
              <w:rPr>
                <w:rFonts w:cs="宋体" w:asciiTheme="minorEastAsia" w:hAnsiTheme="minorEastAsia"/>
                <w:b/>
                <w:color w:val="auto"/>
                <w:sz w:val="24"/>
                <w:highlight w:val="none"/>
              </w:rPr>
            </w:pPr>
          </w:p>
        </w:tc>
        <w:tc>
          <w:tcPr>
            <w:tcW w:w="1091" w:type="dxa"/>
            <w:vAlign w:val="center"/>
          </w:tcPr>
          <w:p w14:paraId="6407443F">
            <w:pPr>
              <w:spacing w:line="360" w:lineRule="auto"/>
              <w:jc w:val="center"/>
              <w:rPr>
                <w:rFonts w:cs="宋体" w:asciiTheme="minorEastAsia" w:hAnsiTheme="minorEastAsia"/>
                <w:b/>
                <w:color w:val="auto"/>
                <w:sz w:val="24"/>
                <w:highlight w:val="none"/>
              </w:rPr>
            </w:pPr>
          </w:p>
        </w:tc>
      </w:tr>
      <w:tr w14:paraId="7AD10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08" w:type="dxa"/>
            <w:vAlign w:val="center"/>
          </w:tcPr>
          <w:p w14:paraId="390EFDAA">
            <w:pPr>
              <w:spacing w:line="360" w:lineRule="auto"/>
              <w:jc w:val="center"/>
              <w:rPr>
                <w:rFonts w:cs="宋体" w:asciiTheme="minorEastAsia" w:hAnsiTheme="minorEastAsia"/>
                <w:b/>
                <w:color w:val="auto"/>
                <w:sz w:val="24"/>
                <w:highlight w:val="none"/>
              </w:rPr>
            </w:pPr>
          </w:p>
        </w:tc>
        <w:tc>
          <w:tcPr>
            <w:tcW w:w="1620" w:type="dxa"/>
            <w:vAlign w:val="center"/>
          </w:tcPr>
          <w:p w14:paraId="4B266897">
            <w:pPr>
              <w:spacing w:line="360" w:lineRule="auto"/>
              <w:jc w:val="center"/>
              <w:rPr>
                <w:rFonts w:cs="宋体" w:asciiTheme="minorEastAsia" w:hAnsiTheme="minorEastAsia"/>
                <w:b/>
                <w:color w:val="auto"/>
                <w:sz w:val="24"/>
                <w:highlight w:val="none"/>
              </w:rPr>
            </w:pPr>
          </w:p>
        </w:tc>
        <w:tc>
          <w:tcPr>
            <w:tcW w:w="1260" w:type="dxa"/>
            <w:vAlign w:val="center"/>
          </w:tcPr>
          <w:p w14:paraId="23FE0705">
            <w:pPr>
              <w:spacing w:line="360" w:lineRule="auto"/>
              <w:jc w:val="center"/>
              <w:rPr>
                <w:rFonts w:cs="宋体" w:asciiTheme="minorEastAsia" w:hAnsiTheme="minorEastAsia"/>
                <w:b/>
                <w:color w:val="auto"/>
                <w:sz w:val="24"/>
                <w:highlight w:val="none"/>
              </w:rPr>
            </w:pPr>
          </w:p>
        </w:tc>
        <w:tc>
          <w:tcPr>
            <w:tcW w:w="1440" w:type="dxa"/>
            <w:vAlign w:val="center"/>
          </w:tcPr>
          <w:p w14:paraId="1AFB7301">
            <w:pPr>
              <w:spacing w:line="360" w:lineRule="auto"/>
              <w:jc w:val="center"/>
              <w:rPr>
                <w:rFonts w:cs="宋体" w:asciiTheme="minorEastAsia" w:hAnsiTheme="minorEastAsia"/>
                <w:b/>
                <w:color w:val="auto"/>
                <w:sz w:val="24"/>
                <w:highlight w:val="none"/>
              </w:rPr>
            </w:pPr>
          </w:p>
        </w:tc>
        <w:tc>
          <w:tcPr>
            <w:tcW w:w="1080" w:type="dxa"/>
            <w:vAlign w:val="center"/>
          </w:tcPr>
          <w:p w14:paraId="6C31FEC0">
            <w:pPr>
              <w:spacing w:line="360" w:lineRule="auto"/>
              <w:jc w:val="center"/>
              <w:rPr>
                <w:rFonts w:cs="宋体" w:asciiTheme="minorEastAsia" w:hAnsiTheme="minorEastAsia"/>
                <w:b/>
                <w:color w:val="auto"/>
                <w:sz w:val="24"/>
                <w:highlight w:val="none"/>
              </w:rPr>
            </w:pPr>
          </w:p>
        </w:tc>
        <w:tc>
          <w:tcPr>
            <w:tcW w:w="1800" w:type="dxa"/>
            <w:vAlign w:val="center"/>
          </w:tcPr>
          <w:p w14:paraId="2E2CA41C">
            <w:pPr>
              <w:spacing w:line="360" w:lineRule="auto"/>
              <w:jc w:val="center"/>
              <w:rPr>
                <w:rFonts w:cs="宋体" w:asciiTheme="minorEastAsia" w:hAnsiTheme="minorEastAsia"/>
                <w:b/>
                <w:color w:val="auto"/>
                <w:sz w:val="24"/>
                <w:highlight w:val="none"/>
              </w:rPr>
            </w:pPr>
          </w:p>
        </w:tc>
        <w:tc>
          <w:tcPr>
            <w:tcW w:w="1091" w:type="dxa"/>
            <w:vAlign w:val="center"/>
          </w:tcPr>
          <w:p w14:paraId="6459CD08">
            <w:pPr>
              <w:spacing w:line="360" w:lineRule="auto"/>
              <w:jc w:val="center"/>
              <w:rPr>
                <w:rFonts w:cs="宋体" w:asciiTheme="minorEastAsia" w:hAnsiTheme="minorEastAsia"/>
                <w:b/>
                <w:color w:val="auto"/>
                <w:sz w:val="24"/>
                <w:highlight w:val="none"/>
              </w:rPr>
            </w:pPr>
          </w:p>
        </w:tc>
      </w:tr>
      <w:tr w14:paraId="093BF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08" w:type="dxa"/>
            <w:vAlign w:val="center"/>
          </w:tcPr>
          <w:p w14:paraId="695B168B">
            <w:pPr>
              <w:spacing w:line="360" w:lineRule="auto"/>
              <w:jc w:val="center"/>
              <w:rPr>
                <w:rFonts w:cs="宋体" w:asciiTheme="minorEastAsia" w:hAnsiTheme="minorEastAsia"/>
                <w:b/>
                <w:color w:val="auto"/>
                <w:sz w:val="24"/>
                <w:highlight w:val="none"/>
              </w:rPr>
            </w:pPr>
          </w:p>
        </w:tc>
        <w:tc>
          <w:tcPr>
            <w:tcW w:w="1620" w:type="dxa"/>
            <w:vAlign w:val="center"/>
          </w:tcPr>
          <w:p w14:paraId="26660596">
            <w:pPr>
              <w:spacing w:line="360" w:lineRule="auto"/>
              <w:jc w:val="center"/>
              <w:rPr>
                <w:rFonts w:cs="宋体" w:asciiTheme="minorEastAsia" w:hAnsiTheme="minorEastAsia"/>
                <w:b/>
                <w:color w:val="auto"/>
                <w:sz w:val="24"/>
                <w:highlight w:val="none"/>
              </w:rPr>
            </w:pPr>
          </w:p>
        </w:tc>
        <w:tc>
          <w:tcPr>
            <w:tcW w:w="1260" w:type="dxa"/>
            <w:vAlign w:val="center"/>
          </w:tcPr>
          <w:p w14:paraId="1C32FF86">
            <w:pPr>
              <w:spacing w:line="360" w:lineRule="auto"/>
              <w:jc w:val="center"/>
              <w:rPr>
                <w:rFonts w:cs="宋体" w:asciiTheme="minorEastAsia" w:hAnsiTheme="minorEastAsia"/>
                <w:b/>
                <w:color w:val="auto"/>
                <w:sz w:val="24"/>
                <w:highlight w:val="none"/>
              </w:rPr>
            </w:pPr>
          </w:p>
        </w:tc>
        <w:tc>
          <w:tcPr>
            <w:tcW w:w="1440" w:type="dxa"/>
            <w:vAlign w:val="center"/>
          </w:tcPr>
          <w:p w14:paraId="07D00FD5">
            <w:pPr>
              <w:spacing w:line="360" w:lineRule="auto"/>
              <w:jc w:val="center"/>
              <w:rPr>
                <w:rFonts w:cs="宋体" w:asciiTheme="minorEastAsia" w:hAnsiTheme="minorEastAsia"/>
                <w:b/>
                <w:color w:val="auto"/>
                <w:sz w:val="24"/>
                <w:highlight w:val="none"/>
              </w:rPr>
            </w:pPr>
          </w:p>
        </w:tc>
        <w:tc>
          <w:tcPr>
            <w:tcW w:w="1080" w:type="dxa"/>
            <w:vAlign w:val="center"/>
          </w:tcPr>
          <w:p w14:paraId="72A86226">
            <w:pPr>
              <w:spacing w:line="360" w:lineRule="auto"/>
              <w:jc w:val="center"/>
              <w:rPr>
                <w:rFonts w:cs="宋体" w:asciiTheme="minorEastAsia" w:hAnsiTheme="minorEastAsia"/>
                <w:b/>
                <w:color w:val="auto"/>
                <w:sz w:val="24"/>
                <w:highlight w:val="none"/>
              </w:rPr>
            </w:pPr>
          </w:p>
        </w:tc>
        <w:tc>
          <w:tcPr>
            <w:tcW w:w="1800" w:type="dxa"/>
            <w:vAlign w:val="center"/>
          </w:tcPr>
          <w:p w14:paraId="712A0970">
            <w:pPr>
              <w:spacing w:line="360" w:lineRule="auto"/>
              <w:jc w:val="center"/>
              <w:rPr>
                <w:rFonts w:cs="宋体" w:asciiTheme="minorEastAsia" w:hAnsiTheme="minorEastAsia"/>
                <w:b/>
                <w:color w:val="auto"/>
                <w:sz w:val="24"/>
                <w:highlight w:val="none"/>
              </w:rPr>
            </w:pPr>
          </w:p>
        </w:tc>
        <w:tc>
          <w:tcPr>
            <w:tcW w:w="1091" w:type="dxa"/>
            <w:vAlign w:val="center"/>
          </w:tcPr>
          <w:p w14:paraId="0578B9E7">
            <w:pPr>
              <w:spacing w:line="360" w:lineRule="auto"/>
              <w:jc w:val="center"/>
              <w:rPr>
                <w:rFonts w:cs="宋体" w:asciiTheme="minorEastAsia" w:hAnsiTheme="minorEastAsia"/>
                <w:b/>
                <w:color w:val="auto"/>
                <w:sz w:val="24"/>
                <w:highlight w:val="none"/>
              </w:rPr>
            </w:pPr>
          </w:p>
        </w:tc>
      </w:tr>
      <w:tr w14:paraId="481DC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08" w:type="dxa"/>
            <w:vAlign w:val="center"/>
          </w:tcPr>
          <w:p w14:paraId="5CB138A9">
            <w:pPr>
              <w:spacing w:line="360" w:lineRule="auto"/>
              <w:jc w:val="center"/>
              <w:rPr>
                <w:rFonts w:cs="宋体" w:asciiTheme="minorEastAsia" w:hAnsiTheme="minorEastAsia"/>
                <w:b/>
                <w:color w:val="auto"/>
                <w:sz w:val="24"/>
                <w:highlight w:val="none"/>
              </w:rPr>
            </w:pPr>
          </w:p>
        </w:tc>
        <w:tc>
          <w:tcPr>
            <w:tcW w:w="1620" w:type="dxa"/>
            <w:vAlign w:val="center"/>
          </w:tcPr>
          <w:p w14:paraId="062B388E">
            <w:pPr>
              <w:spacing w:line="360" w:lineRule="auto"/>
              <w:jc w:val="center"/>
              <w:rPr>
                <w:rFonts w:cs="宋体" w:asciiTheme="minorEastAsia" w:hAnsiTheme="minorEastAsia"/>
                <w:b/>
                <w:color w:val="auto"/>
                <w:sz w:val="24"/>
                <w:highlight w:val="none"/>
              </w:rPr>
            </w:pPr>
          </w:p>
        </w:tc>
        <w:tc>
          <w:tcPr>
            <w:tcW w:w="1260" w:type="dxa"/>
            <w:vAlign w:val="center"/>
          </w:tcPr>
          <w:p w14:paraId="433F9870">
            <w:pPr>
              <w:spacing w:line="360" w:lineRule="auto"/>
              <w:jc w:val="center"/>
              <w:rPr>
                <w:rFonts w:cs="宋体" w:asciiTheme="minorEastAsia" w:hAnsiTheme="minorEastAsia"/>
                <w:b/>
                <w:color w:val="auto"/>
                <w:sz w:val="24"/>
                <w:highlight w:val="none"/>
              </w:rPr>
            </w:pPr>
          </w:p>
        </w:tc>
        <w:tc>
          <w:tcPr>
            <w:tcW w:w="1440" w:type="dxa"/>
            <w:vAlign w:val="center"/>
          </w:tcPr>
          <w:p w14:paraId="2B4C0613">
            <w:pPr>
              <w:spacing w:line="360" w:lineRule="auto"/>
              <w:jc w:val="center"/>
              <w:rPr>
                <w:rFonts w:cs="宋体" w:asciiTheme="minorEastAsia" w:hAnsiTheme="minorEastAsia"/>
                <w:b/>
                <w:color w:val="auto"/>
                <w:sz w:val="24"/>
                <w:highlight w:val="none"/>
              </w:rPr>
            </w:pPr>
          </w:p>
        </w:tc>
        <w:tc>
          <w:tcPr>
            <w:tcW w:w="1080" w:type="dxa"/>
            <w:vAlign w:val="center"/>
          </w:tcPr>
          <w:p w14:paraId="6675FF00">
            <w:pPr>
              <w:spacing w:line="360" w:lineRule="auto"/>
              <w:jc w:val="center"/>
              <w:rPr>
                <w:rFonts w:cs="宋体" w:asciiTheme="minorEastAsia" w:hAnsiTheme="minorEastAsia"/>
                <w:b/>
                <w:color w:val="auto"/>
                <w:sz w:val="24"/>
                <w:highlight w:val="none"/>
              </w:rPr>
            </w:pPr>
          </w:p>
        </w:tc>
        <w:tc>
          <w:tcPr>
            <w:tcW w:w="1800" w:type="dxa"/>
            <w:vAlign w:val="center"/>
          </w:tcPr>
          <w:p w14:paraId="2D76FE9A">
            <w:pPr>
              <w:spacing w:line="360" w:lineRule="auto"/>
              <w:jc w:val="center"/>
              <w:rPr>
                <w:rFonts w:cs="宋体" w:asciiTheme="minorEastAsia" w:hAnsiTheme="minorEastAsia"/>
                <w:b/>
                <w:color w:val="auto"/>
                <w:sz w:val="24"/>
                <w:highlight w:val="none"/>
              </w:rPr>
            </w:pPr>
          </w:p>
        </w:tc>
        <w:tc>
          <w:tcPr>
            <w:tcW w:w="1091" w:type="dxa"/>
            <w:vAlign w:val="center"/>
          </w:tcPr>
          <w:p w14:paraId="6B0AEDCA">
            <w:pPr>
              <w:spacing w:line="360" w:lineRule="auto"/>
              <w:jc w:val="center"/>
              <w:rPr>
                <w:rFonts w:cs="宋体" w:asciiTheme="minorEastAsia" w:hAnsiTheme="minorEastAsia"/>
                <w:b/>
                <w:color w:val="auto"/>
                <w:sz w:val="24"/>
                <w:highlight w:val="none"/>
              </w:rPr>
            </w:pPr>
          </w:p>
        </w:tc>
      </w:tr>
      <w:tr w14:paraId="4211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08" w:type="dxa"/>
            <w:vAlign w:val="center"/>
          </w:tcPr>
          <w:p w14:paraId="1947003E">
            <w:pPr>
              <w:spacing w:line="360" w:lineRule="auto"/>
              <w:jc w:val="center"/>
              <w:rPr>
                <w:rFonts w:cs="宋体" w:asciiTheme="minorEastAsia" w:hAnsiTheme="minorEastAsia"/>
                <w:b/>
                <w:color w:val="auto"/>
                <w:sz w:val="24"/>
                <w:highlight w:val="none"/>
              </w:rPr>
            </w:pPr>
          </w:p>
        </w:tc>
        <w:tc>
          <w:tcPr>
            <w:tcW w:w="1620" w:type="dxa"/>
            <w:vAlign w:val="center"/>
          </w:tcPr>
          <w:p w14:paraId="0764C873">
            <w:pPr>
              <w:spacing w:line="360" w:lineRule="auto"/>
              <w:jc w:val="center"/>
              <w:rPr>
                <w:rFonts w:cs="宋体" w:asciiTheme="minorEastAsia" w:hAnsiTheme="minorEastAsia"/>
                <w:b/>
                <w:color w:val="auto"/>
                <w:sz w:val="24"/>
                <w:highlight w:val="none"/>
              </w:rPr>
            </w:pPr>
          </w:p>
        </w:tc>
        <w:tc>
          <w:tcPr>
            <w:tcW w:w="1260" w:type="dxa"/>
            <w:vAlign w:val="center"/>
          </w:tcPr>
          <w:p w14:paraId="733144A0">
            <w:pPr>
              <w:spacing w:line="360" w:lineRule="auto"/>
              <w:jc w:val="center"/>
              <w:rPr>
                <w:rFonts w:cs="宋体" w:asciiTheme="minorEastAsia" w:hAnsiTheme="minorEastAsia"/>
                <w:b/>
                <w:color w:val="auto"/>
                <w:sz w:val="24"/>
                <w:highlight w:val="none"/>
              </w:rPr>
            </w:pPr>
          </w:p>
        </w:tc>
        <w:tc>
          <w:tcPr>
            <w:tcW w:w="1440" w:type="dxa"/>
            <w:vAlign w:val="center"/>
          </w:tcPr>
          <w:p w14:paraId="1E47302D">
            <w:pPr>
              <w:spacing w:line="360" w:lineRule="auto"/>
              <w:jc w:val="center"/>
              <w:rPr>
                <w:rFonts w:cs="宋体" w:asciiTheme="minorEastAsia" w:hAnsiTheme="minorEastAsia"/>
                <w:b/>
                <w:color w:val="auto"/>
                <w:sz w:val="24"/>
                <w:highlight w:val="none"/>
              </w:rPr>
            </w:pPr>
          </w:p>
        </w:tc>
        <w:tc>
          <w:tcPr>
            <w:tcW w:w="1080" w:type="dxa"/>
            <w:vAlign w:val="center"/>
          </w:tcPr>
          <w:p w14:paraId="66065014">
            <w:pPr>
              <w:spacing w:line="360" w:lineRule="auto"/>
              <w:jc w:val="center"/>
              <w:rPr>
                <w:rFonts w:cs="宋体" w:asciiTheme="minorEastAsia" w:hAnsiTheme="minorEastAsia"/>
                <w:b/>
                <w:color w:val="auto"/>
                <w:sz w:val="24"/>
                <w:highlight w:val="none"/>
              </w:rPr>
            </w:pPr>
          </w:p>
        </w:tc>
        <w:tc>
          <w:tcPr>
            <w:tcW w:w="1800" w:type="dxa"/>
            <w:vAlign w:val="center"/>
          </w:tcPr>
          <w:p w14:paraId="11FE86A1">
            <w:pPr>
              <w:spacing w:line="360" w:lineRule="auto"/>
              <w:jc w:val="center"/>
              <w:rPr>
                <w:rFonts w:cs="宋体" w:asciiTheme="minorEastAsia" w:hAnsiTheme="minorEastAsia"/>
                <w:b/>
                <w:color w:val="auto"/>
                <w:sz w:val="24"/>
                <w:highlight w:val="none"/>
              </w:rPr>
            </w:pPr>
          </w:p>
        </w:tc>
        <w:tc>
          <w:tcPr>
            <w:tcW w:w="1091" w:type="dxa"/>
            <w:vAlign w:val="center"/>
          </w:tcPr>
          <w:p w14:paraId="69D2684D">
            <w:pPr>
              <w:spacing w:line="360" w:lineRule="auto"/>
              <w:jc w:val="center"/>
              <w:rPr>
                <w:rFonts w:cs="宋体" w:asciiTheme="minorEastAsia" w:hAnsiTheme="minorEastAsia"/>
                <w:b/>
                <w:color w:val="auto"/>
                <w:sz w:val="24"/>
                <w:highlight w:val="none"/>
              </w:rPr>
            </w:pPr>
          </w:p>
        </w:tc>
      </w:tr>
      <w:tr w14:paraId="1457C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08" w:type="dxa"/>
            <w:vAlign w:val="center"/>
          </w:tcPr>
          <w:p w14:paraId="5B5145B3">
            <w:pPr>
              <w:spacing w:line="360" w:lineRule="auto"/>
              <w:jc w:val="center"/>
              <w:rPr>
                <w:rFonts w:cs="宋体" w:asciiTheme="minorEastAsia" w:hAnsiTheme="minorEastAsia"/>
                <w:b/>
                <w:color w:val="auto"/>
                <w:sz w:val="24"/>
                <w:highlight w:val="none"/>
              </w:rPr>
            </w:pPr>
          </w:p>
        </w:tc>
        <w:tc>
          <w:tcPr>
            <w:tcW w:w="1620" w:type="dxa"/>
            <w:vAlign w:val="center"/>
          </w:tcPr>
          <w:p w14:paraId="4B3446B4">
            <w:pPr>
              <w:spacing w:line="360" w:lineRule="auto"/>
              <w:jc w:val="center"/>
              <w:rPr>
                <w:rFonts w:cs="宋体" w:asciiTheme="minorEastAsia" w:hAnsiTheme="minorEastAsia"/>
                <w:b/>
                <w:color w:val="auto"/>
                <w:sz w:val="24"/>
                <w:highlight w:val="none"/>
              </w:rPr>
            </w:pPr>
          </w:p>
        </w:tc>
        <w:tc>
          <w:tcPr>
            <w:tcW w:w="1260" w:type="dxa"/>
            <w:vAlign w:val="center"/>
          </w:tcPr>
          <w:p w14:paraId="0B62DD10">
            <w:pPr>
              <w:spacing w:line="360" w:lineRule="auto"/>
              <w:jc w:val="center"/>
              <w:rPr>
                <w:rFonts w:cs="宋体" w:asciiTheme="minorEastAsia" w:hAnsiTheme="minorEastAsia"/>
                <w:b/>
                <w:color w:val="auto"/>
                <w:sz w:val="24"/>
                <w:highlight w:val="none"/>
              </w:rPr>
            </w:pPr>
          </w:p>
        </w:tc>
        <w:tc>
          <w:tcPr>
            <w:tcW w:w="1440" w:type="dxa"/>
            <w:vAlign w:val="center"/>
          </w:tcPr>
          <w:p w14:paraId="2FBB87B1">
            <w:pPr>
              <w:spacing w:line="360" w:lineRule="auto"/>
              <w:jc w:val="center"/>
              <w:rPr>
                <w:rFonts w:cs="宋体" w:asciiTheme="minorEastAsia" w:hAnsiTheme="minorEastAsia"/>
                <w:b/>
                <w:color w:val="auto"/>
                <w:sz w:val="24"/>
                <w:highlight w:val="none"/>
              </w:rPr>
            </w:pPr>
          </w:p>
        </w:tc>
        <w:tc>
          <w:tcPr>
            <w:tcW w:w="1080" w:type="dxa"/>
            <w:vAlign w:val="center"/>
          </w:tcPr>
          <w:p w14:paraId="2B14E9B0">
            <w:pPr>
              <w:spacing w:line="360" w:lineRule="auto"/>
              <w:jc w:val="center"/>
              <w:rPr>
                <w:rFonts w:cs="宋体" w:asciiTheme="minorEastAsia" w:hAnsiTheme="minorEastAsia"/>
                <w:b/>
                <w:color w:val="auto"/>
                <w:sz w:val="24"/>
                <w:highlight w:val="none"/>
              </w:rPr>
            </w:pPr>
          </w:p>
        </w:tc>
        <w:tc>
          <w:tcPr>
            <w:tcW w:w="1800" w:type="dxa"/>
            <w:vAlign w:val="center"/>
          </w:tcPr>
          <w:p w14:paraId="063EBC7D">
            <w:pPr>
              <w:spacing w:line="360" w:lineRule="auto"/>
              <w:jc w:val="center"/>
              <w:rPr>
                <w:rFonts w:cs="宋体" w:asciiTheme="minorEastAsia" w:hAnsiTheme="minorEastAsia"/>
                <w:b/>
                <w:color w:val="auto"/>
                <w:sz w:val="24"/>
                <w:highlight w:val="none"/>
              </w:rPr>
            </w:pPr>
          </w:p>
        </w:tc>
        <w:tc>
          <w:tcPr>
            <w:tcW w:w="1091" w:type="dxa"/>
            <w:vAlign w:val="center"/>
          </w:tcPr>
          <w:p w14:paraId="268845A7">
            <w:pPr>
              <w:spacing w:line="360" w:lineRule="auto"/>
              <w:jc w:val="center"/>
              <w:rPr>
                <w:rFonts w:cs="宋体" w:asciiTheme="minorEastAsia" w:hAnsiTheme="minorEastAsia"/>
                <w:b/>
                <w:color w:val="auto"/>
                <w:sz w:val="24"/>
                <w:highlight w:val="none"/>
              </w:rPr>
            </w:pPr>
          </w:p>
        </w:tc>
      </w:tr>
      <w:tr w14:paraId="087EF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08" w:type="dxa"/>
            <w:vAlign w:val="center"/>
          </w:tcPr>
          <w:p w14:paraId="53AA90F3">
            <w:pPr>
              <w:spacing w:line="360" w:lineRule="auto"/>
              <w:jc w:val="center"/>
              <w:rPr>
                <w:rFonts w:cs="宋体" w:asciiTheme="minorEastAsia" w:hAnsiTheme="minorEastAsia"/>
                <w:b/>
                <w:color w:val="auto"/>
                <w:sz w:val="24"/>
                <w:highlight w:val="none"/>
              </w:rPr>
            </w:pPr>
          </w:p>
        </w:tc>
        <w:tc>
          <w:tcPr>
            <w:tcW w:w="1620" w:type="dxa"/>
            <w:vAlign w:val="center"/>
          </w:tcPr>
          <w:p w14:paraId="30C7012D">
            <w:pPr>
              <w:spacing w:line="360" w:lineRule="auto"/>
              <w:jc w:val="center"/>
              <w:rPr>
                <w:rFonts w:cs="宋体" w:asciiTheme="minorEastAsia" w:hAnsiTheme="minorEastAsia"/>
                <w:b/>
                <w:color w:val="auto"/>
                <w:sz w:val="24"/>
                <w:highlight w:val="none"/>
              </w:rPr>
            </w:pPr>
          </w:p>
        </w:tc>
        <w:tc>
          <w:tcPr>
            <w:tcW w:w="1260" w:type="dxa"/>
            <w:vAlign w:val="center"/>
          </w:tcPr>
          <w:p w14:paraId="4D97BD88">
            <w:pPr>
              <w:spacing w:line="360" w:lineRule="auto"/>
              <w:jc w:val="center"/>
              <w:rPr>
                <w:rFonts w:cs="宋体" w:asciiTheme="minorEastAsia" w:hAnsiTheme="minorEastAsia"/>
                <w:b/>
                <w:color w:val="auto"/>
                <w:sz w:val="24"/>
                <w:highlight w:val="none"/>
              </w:rPr>
            </w:pPr>
          </w:p>
        </w:tc>
        <w:tc>
          <w:tcPr>
            <w:tcW w:w="1440" w:type="dxa"/>
            <w:vAlign w:val="center"/>
          </w:tcPr>
          <w:p w14:paraId="010DD54F">
            <w:pPr>
              <w:spacing w:line="360" w:lineRule="auto"/>
              <w:jc w:val="center"/>
              <w:rPr>
                <w:rFonts w:cs="宋体" w:asciiTheme="minorEastAsia" w:hAnsiTheme="minorEastAsia"/>
                <w:b/>
                <w:color w:val="auto"/>
                <w:sz w:val="24"/>
                <w:highlight w:val="none"/>
              </w:rPr>
            </w:pPr>
          </w:p>
        </w:tc>
        <w:tc>
          <w:tcPr>
            <w:tcW w:w="1080" w:type="dxa"/>
            <w:vAlign w:val="center"/>
          </w:tcPr>
          <w:p w14:paraId="0B8926ED">
            <w:pPr>
              <w:spacing w:line="360" w:lineRule="auto"/>
              <w:jc w:val="center"/>
              <w:rPr>
                <w:rFonts w:cs="宋体" w:asciiTheme="minorEastAsia" w:hAnsiTheme="minorEastAsia"/>
                <w:b/>
                <w:color w:val="auto"/>
                <w:sz w:val="24"/>
                <w:highlight w:val="none"/>
              </w:rPr>
            </w:pPr>
          </w:p>
        </w:tc>
        <w:tc>
          <w:tcPr>
            <w:tcW w:w="1800" w:type="dxa"/>
            <w:vAlign w:val="center"/>
          </w:tcPr>
          <w:p w14:paraId="695FBBA4">
            <w:pPr>
              <w:spacing w:line="360" w:lineRule="auto"/>
              <w:jc w:val="center"/>
              <w:rPr>
                <w:rFonts w:cs="宋体" w:asciiTheme="minorEastAsia" w:hAnsiTheme="minorEastAsia"/>
                <w:b/>
                <w:color w:val="auto"/>
                <w:sz w:val="24"/>
                <w:highlight w:val="none"/>
              </w:rPr>
            </w:pPr>
          </w:p>
        </w:tc>
        <w:tc>
          <w:tcPr>
            <w:tcW w:w="1091" w:type="dxa"/>
            <w:vAlign w:val="center"/>
          </w:tcPr>
          <w:p w14:paraId="2E9AAF00">
            <w:pPr>
              <w:spacing w:line="360" w:lineRule="auto"/>
              <w:jc w:val="center"/>
              <w:rPr>
                <w:rFonts w:cs="宋体" w:asciiTheme="minorEastAsia" w:hAnsiTheme="minorEastAsia"/>
                <w:b/>
                <w:color w:val="auto"/>
                <w:sz w:val="24"/>
                <w:highlight w:val="none"/>
              </w:rPr>
            </w:pPr>
          </w:p>
        </w:tc>
      </w:tr>
      <w:tr w14:paraId="74850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08" w:type="dxa"/>
            <w:vAlign w:val="center"/>
          </w:tcPr>
          <w:p w14:paraId="71898D7D">
            <w:pPr>
              <w:spacing w:line="360" w:lineRule="auto"/>
              <w:jc w:val="center"/>
              <w:rPr>
                <w:rFonts w:cs="宋体" w:asciiTheme="minorEastAsia" w:hAnsiTheme="minorEastAsia"/>
                <w:b/>
                <w:color w:val="auto"/>
                <w:sz w:val="24"/>
                <w:highlight w:val="none"/>
              </w:rPr>
            </w:pPr>
          </w:p>
        </w:tc>
        <w:tc>
          <w:tcPr>
            <w:tcW w:w="1620" w:type="dxa"/>
            <w:vAlign w:val="center"/>
          </w:tcPr>
          <w:p w14:paraId="33537912">
            <w:pPr>
              <w:spacing w:line="360" w:lineRule="auto"/>
              <w:jc w:val="center"/>
              <w:rPr>
                <w:rFonts w:cs="宋体" w:asciiTheme="minorEastAsia" w:hAnsiTheme="minorEastAsia"/>
                <w:b/>
                <w:color w:val="auto"/>
                <w:sz w:val="24"/>
                <w:highlight w:val="none"/>
              </w:rPr>
            </w:pPr>
          </w:p>
        </w:tc>
        <w:tc>
          <w:tcPr>
            <w:tcW w:w="1260" w:type="dxa"/>
            <w:vAlign w:val="center"/>
          </w:tcPr>
          <w:p w14:paraId="30B9E089">
            <w:pPr>
              <w:spacing w:line="360" w:lineRule="auto"/>
              <w:jc w:val="center"/>
              <w:rPr>
                <w:rFonts w:cs="宋体" w:asciiTheme="minorEastAsia" w:hAnsiTheme="minorEastAsia"/>
                <w:b/>
                <w:color w:val="auto"/>
                <w:sz w:val="24"/>
                <w:highlight w:val="none"/>
              </w:rPr>
            </w:pPr>
          </w:p>
        </w:tc>
        <w:tc>
          <w:tcPr>
            <w:tcW w:w="1440" w:type="dxa"/>
            <w:vAlign w:val="center"/>
          </w:tcPr>
          <w:p w14:paraId="368B4475">
            <w:pPr>
              <w:spacing w:line="360" w:lineRule="auto"/>
              <w:jc w:val="center"/>
              <w:rPr>
                <w:rFonts w:cs="宋体" w:asciiTheme="minorEastAsia" w:hAnsiTheme="minorEastAsia"/>
                <w:b/>
                <w:color w:val="auto"/>
                <w:sz w:val="24"/>
                <w:highlight w:val="none"/>
              </w:rPr>
            </w:pPr>
          </w:p>
        </w:tc>
        <w:tc>
          <w:tcPr>
            <w:tcW w:w="1080" w:type="dxa"/>
            <w:vAlign w:val="center"/>
          </w:tcPr>
          <w:p w14:paraId="35810BB3">
            <w:pPr>
              <w:spacing w:line="360" w:lineRule="auto"/>
              <w:jc w:val="center"/>
              <w:rPr>
                <w:rFonts w:cs="宋体" w:asciiTheme="minorEastAsia" w:hAnsiTheme="minorEastAsia"/>
                <w:b/>
                <w:color w:val="auto"/>
                <w:sz w:val="24"/>
                <w:highlight w:val="none"/>
              </w:rPr>
            </w:pPr>
          </w:p>
        </w:tc>
        <w:tc>
          <w:tcPr>
            <w:tcW w:w="1800" w:type="dxa"/>
            <w:vAlign w:val="center"/>
          </w:tcPr>
          <w:p w14:paraId="63A36B3C">
            <w:pPr>
              <w:spacing w:line="360" w:lineRule="auto"/>
              <w:jc w:val="center"/>
              <w:rPr>
                <w:rFonts w:cs="宋体" w:asciiTheme="minorEastAsia" w:hAnsiTheme="minorEastAsia"/>
                <w:b/>
                <w:color w:val="auto"/>
                <w:sz w:val="24"/>
                <w:highlight w:val="none"/>
              </w:rPr>
            </w:pPr>
          </w:p>
        </w:tc>
        <w:tc>
          <w:tcPr>
            <w:tcW w:w="1091" w:type="dxa"/>
            <w:vAlign w:val="center"/>
          </w:tcPr>
          <w:p w14:paraId="0CEFA917">
            <w:pPr>
              <w:spacing w:line="360" w:lineRule="auto"/>
              <w:jc w:val="center"/>
              <w:rPr>
                <w:rFonts w:cs="宋体" w:asciiTheme="minorEastAsia" w:hAnsiTheme="minorEastAsia"/>
                <w:b/>
                <w:color w:val="auto"/>
                <w:sz w:val="24"/>
                <w:highlight w:val="none"/>
              </w:rPr>
            </w:pPr>
          </w:p>
        </w:tc>
      </w:tr>
      <w:tr w14:paraId="2A63C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08" w:type="dxa"/>
            <w:vAlign w:val="center"/>
          </w:tcPr>
          <w:p w14:paraId="6063AB2E">
            <w:pPr>
              <w:spacing w:line="360" w:lineRule="auto"/>
              <w:jc w:val="center"/>
              <w:rPr>
                <w:rFonts w:cs="宋体" w:asciiTheme="minorEastAsia" w:hAnsiTheme="minorEastAsia"/>
                <w:b/>
                <w:color w:val="auto"/>
                <w:sz w:val="24"/>
                <w:highlight w:val="none"/>
              </w:rPr>
            </w:pPr>
          </w:p>
        </w:tc>
        <w:tc>
          <w:tcPr>
            <w:tcW w:w="1620" w:type="dxa"/>
            <w:vAlign w:val="center"/>
          </w:tcPr>
          <w:p w14:paraId="5727F861">
            <w:pPr>
              <w:spacing w:line="360" w:lineRule="auto"/>
              <w:jc w:val="center"/>
              <w:rPr>
                <w:rFonts w:cs="宋体" w:asciiTheme="minorEastAsia" w:hAnsiTheme="minorEastAsia"/>
                <w:b/>
                <w:color w:val="auto"/>
                <w:sz w:val="24"/>
                <w:highlight w:val="none"/>
              </w:rPr>
            </w:pPr>
          </w:p>
        </w:tc>
        <w:tc>
          <w:tcPr>
            <w:tcW w:w="1260" w:type="dxa"/>
            <w:vAlign w:val="center"/>
          </w:tcPr>
          <w:p w14:paraId="2643A69C">
            <w:pPr>
              <w:spacing w:line="360" w:lineRule="auto"/>
              <w:jc w:val="center"/>
              <w:rPr>
                <w:rFonts w:cs="宋体" w:asciiTheme="minorEastAsia" w:hAnsiTheme="minorEastAsia"/>
                <w:b/>
                <w:color w:val="auto"/>
                <w:sz w:val="24"/>
                <w:highlight w:val="none"/>
              </w:rPr>
            </w:pPr>
          </w:p>
        </w:tc>
        <w:tc>
          <w:tcPr>
            <w:tcW w:w="1440" w:type="dxa"/>
            <w:vAlign w:val="center"/>
          </w:tcPr>
          <w:p w14:paraId="31ACBA69">
            <w:pPr>
              <w:spacing w:line="360" w:lineRule="auto"/>
              <w:jc w:val="center"/>
              <w:rPr>
                <w:rFonts w:cs="宋体" w:asciiTheme="minorEastAsia" w:hAnsiTheme="minorEastAsia"/>
                <w:b/>
                <w:color w:val="auto"/>
                <w:sz w:val="24"/>
                <w:highlight w:val="none"/>
              </w:rPr>
            </w:pPr>
          </w:p>
        </w:tc>
        <w:tc>
          <w:tcPr>
            <w:tcW w:w="1080" w:type="dxa"/>
            <w:vAlign w:val="center"/>
          </w:tcPr>
          <w:p w14:paraId="63BC9F19">
            <w:pPr>
              <w:spacing w:line="360" w:lineRule="auto"/>
              <w:jc w:val="center"/>
              <w:rPr>
                <w:rFonts w:cs="宋体" w:asciiTheme="minorEastAsia" w:hAnsiTheme="minorEastAsia"/>
                <w:b/>
                <w:color w:val="auto"/>
                <w:sz w:val="24"/>
                <w:highlight w:val="none"/>
              </w:rPr>
            </w:pPr>
          </w:p>
        </w:tc>
        <w:tc>
          <w:tcPr>
            <w:tcW w:w="1800" w:type="dxa"/>
            <w:vAlign w:val="center"/>
          </w:tcPr>
          <w:p w14:paraId="157712AB">
            <w:pPr>
              <w:spacing w:line="360" w:lineRule="auto"/>
              <w:jc w:val="center"/>
              <w:rPr>
                <w:rFonts w:cs="宋体" w:asciiTheme="minorEastAsia" w:hAnsiTheme="minorEastAsia"/>
                <w:b/>
                <w:color w:val="auto"/>
                <w:sz w:val="24"/>
                <w:highlight w:val="none"/>
              </w:rPr>
            </w:pPr>
          </w:p>
        </w:tc>
        <w:tc>
          <w:tcPr>
            <w:tcW w:w="1091" w:type="dxa"/>
            <w:vAlign w:val="center"/>
          </w:tcPr>
          <w:p w14:paraId="3C504E0C">
            <w:pPr>
              <w:spacing w:line="360" w:lineRule="auto"/>
              <w:jc w:val="center"/>
              <w:rPr>
                <w:rFonts w:cs="宋体" w:asciiTheme="minorEastAsia" w:hAnsiTheme="minorEastAsia"/>
                <w:b/>
                <w:color w:val="auto"/>
                <w:sz w:val="24"/>
                <w:highlight w:val="none"/>
              </w:rPr>
            </w:pPr>
          </w:p>
        </w:tc>
      </w:tr>
      <w:tr w14:paraId="71DAF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08" w:type="dxa"/>
            <w:vAlign w:val="center"/>
          </w:tcPr>
          <w:p w14:paraId="15F37995">
            <w:pPr>
              <w:spacing w:line="360" w:lineRule="auto"/>
              <w:jc w:val="center"/>
              <w:rPr>
                <w:rFonts w:cs="宋体" w:asciiTheme="minorEastAsia" w:hAnsiTheme="minorEastAsia"/>
                <w:b/>
                <w:color w:val="auto"/>
                <w:sz w:val="24"/>
                <w:highlight w:val="none"/>
              </w:rPr>
            </w:pPr>
          </w:p>
        </w:tc>
        <w:tc>
          <w:tcPr>
            <w:tcW w:w="1620" w:type="dxa"/>
            <w:vAlign w:val="center"/>
          </w:tcPr>
          <w:p w14:paraId="4323477B">
            <w:pPr>
              <w:spacing w:line="360" w:lineRule="auto"/>
              <w:jc w:val="center"/>
              <w:rPr>
                <w:rFonts w:cs="宋体" w:asciiTheme="minorEastAsia" w:hAnsiTheme="minorEastAsia"/>
                <w:b/>
                <w:color w:val="auto"/>
                <w:sz w:val="24"/>
                <w:highlight w:val="none"/>
              </w:rPr>
            </w:pPr>
          </w:p>
        </w:tc>
        <w:tc>
          <w:tcPr>
            <w:tcW w:w="1260" w:type="dxa"/>
            <w:vAlign w:val="center"/>
          </w:tcPr>
          <w:p w14:paraId="3AD6663C">
            <w:pPr>
              <w:spacing w:line="360" w:lineRule="auto"/>
              <w:jc w:val="center"/>
              <w:rPr>
                <w:rFonts w:cs="宋体" w:asciiTheme="minorEastAsia" w:hAnsiTheme="minorEastAsia"/>
                <w:b/>
                <w:color w:val="auto"/>
                <w:sz w:val="24"/>
                <w:highlight w:val="none"/>
              </w:rPr>
            </w:pPr>
          </w:p>
        </w:tc>
        <w:tc>
          <w:tcPr>
            <w:tcW w:w="1440" w:type="dxa"/>
            <w:vAlign w:val="center"/>
          </w:tcPr>
          <w:p w14:paraId="4248C0F3">
            <w:pPr>
              <w:spacing w:line="360" w:lineRule="auto"/>
              <w:jc w:val="center"/>
              <w:rPr>
                <w:rFonts w:cs="宋体" w:asciiTheme="minorEastAsia" w:hAnsiTheme="minorEastAsia"/>
                <w:b/>
                <w:color w:val="auto"/>
                <w:sz w:val="24"/>
                <w:highlight w:val="none"/>
              </w:rPr>
            </w:pPr>
          </w:p>
        </w:tc>
        <w:tc>
          <w:tcPr>
            <w:tcW w:w="1080" w:type="dxa"/>
            <w:vAlign w:val="center"/>
          </w:tcPr>
          <w:p w14:paraId="5BDAA11F">
            <w:pPr>
              <w:spacing w:line="360" w:lineRule="auto"/>
              <w:jc w:val="center"/>
              <w:rPr>
                <w:rFonts w:cs="宋体" w:asciiTheme="minorEastAsia" w:hAnsiTheme="minorEastAsia"/>
                <w:b/>
                <w:color w:val="auto"/>
                <w:sz w:val="24"/>
                <w:highlight w:val="none"/>
              </w:rPr>
            </w:pPr>
          </w:p>
        </w:tc>
        <w:tc>
          <w:tcPr>
            <w:tcW w:w="1800" w:type="dxa"/>
            <w:vAlign w:val="center"/>
          </w:tcPr>
          <w:p w14:paraId="3F3E01C0">
            <w:pPr>
              <w:spacing w:line="360" w:lineRule="auto"/>
              <w:jc w:val="center"/>
              <w:rPr>
                <w:rFonts w:cs="宋体" w:asciiTheme="minorEastAsia" w:hAnsiTheme="minorEastAsia"/>
                <w:b/>
                <w:color w:val="auto"/>
                <w:sz w:val="24"/>
                <w:highlight w:val="none"/>
              </w:rPr>
            </w:pPr>
          </w:p>
        </w:tc>
        <w:tc>
          <w:tcPr>
            <w:tcW w:w="1091" w:type="dxa"/>
            <w:vAlign w:val="center"/>
          </w:tcPr>
          <w:p w14:paraId="0416F815">
            <w:pPr>
              <w:spacing w:line="360" w:lineRule="auto"/>
              <w:jc w:val="center"/>
              <w:rPr>
                <w:rFonts w:cs="宋体" w:asciiTheme="minorEastAsia" w:hAnsiTheme="minorEastAsia"/>
                <w:b/>
                <w:color w:val="auto"/>
                <w:sz w:val="24"/>
                <w:highlight w:val="none"/>
              </w:rPr>
            </w:pPr>
          </w:p>
        </w:tc>
      </w:tr>
      <w:tr w14:paraId="41522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08" w:type="dxa"/>
            <w:vAlign w:val="center"/>
          </w:tcPr>
          <w:p w14:paraId="2D57AFB1">
            <w:pPr>
              <w:spacing w:line="360" w:lineRule="auto"/>
              <w:jc w:val="center"/>
              <w:rPr>
                <w:rFonts w:cs="宋体" w:asciiTheme="minorEastAsia" w:hAnsiTheme="minorEastAsia"/>
                <w:b/>
                <w:color w:val="auto"/>
                <w:sz w:val="24"/>
                <w:highlight w:val="none"/>
              </w:rPr>
            </w:pPr>
          </w:p>
        </w:tc>
        <w:tc>
          <w:tcPr>
            <w:tcW w:w="1620" w:type="dxa"/>
            <w:vAlign w:val="center"/>
          </w:tcPr>
          <w:p w14:paraId="29225232">
            <w:pPr>
              <w:spacing w:line="360" w:lineRule="auto"/>
              <w:jc w:val="center"/>
              <w:rPr>
                <w:rFonts w:cs="宋体" w:asciiTheme="minorEastAsia" w:hAnsiTheme="minorEastAsia"/>
                <w:b/>
                <w:color w:val="auto"/>
                <w:sz w:val="24"/>
                <w:highlight w:val="none"/>
              </w:rPr>
            </w:pPr>
          </w:p>
        </w:tc>
        <w:tc>
          <w:tcPr>
            <w:tcW w:w="1260" w:type="dxa"/>
            <w:vAlign w:val="center"/>
          </w:tcPr>
          <w:p w14:paraId="2D7AB376">
            <w:pPr>
              <w:spacing w:line="360" w:lineRule="auto"/>
              <w:jc w:val="center"/>
              <w:rPr>
                <w:rFonts w:cs="宋体" w:asciiTheme="minorEastAsia" w:hAnsiTheme="minorEastAsia"/>
                <w:b/>
                <w:color w:val="auto"/>
                <w:sz w:val="24"/>
                <w:highlight w:val="none"/>
              </w:rPr>
            </w:pPr>
          </w:p>
        </w:tc>
        <w:tc>
          <w:tcPr>
            <w:tcW w:w="1440" w:type="dxa"/>
            <w:vAlign w:val="center"/>
          </w:tcPr>
          <w:p w14:paraId="590AE790">
            <w:pPr>
              <w:spacing w:line="360" w:lineRule="auto"/>
              <w:jc w:val="center"/>
              <w:rPr>
                <w:rFonts w:cs="宋体" w:asciiTheme="minorEastAsia" w:hAnsiTheme="minorEastAsia"/>
                <w:b/>
                <w:color w:val="auto"/>
                <w:sz w:val="24"/>
                <w:highlight w:val="none"/>
              </w:rPr>
            </w:pPr>
          </w:p>
        </w:tc>
        <w:tc>
          <w:tcPr>
            <w:tcW w:w="1080" w:type="dxa"/>
            <w:vAlign w:val="center"/>
          </w:tcPr>
          <w:p w14:paraId="56691912">
            <w:pPr>
              <w:spacing w:line="360" w:lineRule="auto"/>
              <w:jc w:val="center"/>
              <w:rPr>
                <w:rFonts w:cs="宋体" w:asciiTheme="minorEastAsia" w:hAnsiTheme="minorEastAsia"/>
                <w:b/>
                <w:color w:val="auto"/>
                <w:sz w:val="24"/>
                <w:highlight w:val="none"/>
              </w:rPr>
            </w:pPr>
          </w:p>
        </w:tc>
        <w:tc>
          <w:tcPr>
            <w:tcW w:w="1800" w:type="dxa"/>
            <w:vAlign w:val="center"/>
          </w:tcPr>
          <w:p w14:paraId="57347E7D">
            <w:pPr>
              <w:spacing w:line="360" w:lineRule="auto"/>
              <w:jc w:val="center"/>
              <w:rPr>
                <w:rFonts w:cs="宋体" w:asciiTheme="minorEastAsia" w:hAnsiTheme="minorEastAsia"/>
                <w:b/>
                <w:color w:val="auto"/>
                <w:sz w:val="24"/>
                <w:highlight w:val="none"/>
              </w:rPr>
            </w:pPr>
          </w:p>
        </w:tc>
        <w:tc>
          <w:tcPr>
            <w:tcW w:w="1091" w:type="dxa"/>
            <w:vAlign w:val="center"/>
          </w:tcPr>
          <w:p w14:paraId="56CAC56C">
            <w:pPr>
              <w:spacing w:line="360" w:lineRule="auto"/>
              <w:jc w:val="center"/>
              <w:rPr>
                <w:rFonts w:cs="宋体" w:asciiTheme="minorEastAsia" w:hAnsiTheme="minorEastAsia"/>
                <w:b/>
                <w:color w:val="auto"/>
                <w:sz w:val="24"/>
                <w:highlight w:val="none"/>
              </w:rPr>
            </w:pPr>
          </w:p>
        </w:tc>
      </w:tr>
      <w:tr w14:paraId="59CDE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08" w:type="dxa"/>
            <w:vAlign w:val="center"/>
          </w:tcPr>
          <w:p w14:paraId="7708F058">
            <w:pPr>
              <w:spacing w:line="360" w:lineRule="auto"/>
              <w:jc w:val="center"/>
              <w:rPr>
                <w:rFonts w:cs="宋体" w:asciiTheme="minorEastAsia" w:hAnsiTheme="minorEastAsia"/>
                <w:b/>
                <w:color w:val="auto"/>
                <w:sz w:val="24"/>
                <w:highlight w:val="none"/>
              </w:rPr>
            </w:pPr>
          </w:p>
        </w:tc>
        <w:tc>
          <w:tcPr>
            <w:tcW w:w="1620" w:type="dxa"/>
            <w:vAlign w:val="center"/>
          </w:tcPr>
          <w:p w14:paraId="4D3B7259">
            <w:pPr>
              <w:spacing w:line="360" w:lineRule="auto"/>
              <w:jc w:val="center"/>
              <w:rPr>
                <w:rFonts w:cs="宋体" w:asciiTheme="minorEastAsia" w:hAnsiTheme="minorEastAsia"/>
                <w:b/>
                <w:color w:val="auto"/>
                <w:sz w:val="24"/>
                <w:highlight w:val="none"/>
              </w:rPr>
            </w:pPr>
          </w:p>
        </w:tc>
        <w:tc>
          <w:tcPr>
            <w:tcW w:w="1260" w:type="dxa"/>
            <w:vAlign w:val="center"/>
          </w:tcPr>
          <w:p w14:paraId="193F8A6A">
            <w:pPr>
              <w:spacing w:line="360" w:lineRule="auto"/>
              <w:jc w:val="center"/>
              <w:rPr>
                <w:rFonts w:cs="宋体" w:asciiTheme="minorEastAsia" w:hAnsiTheme="minorEastAsia"/>
                <w:b/>
                <w:color w:val="auto"/>
                <w:sz w:val="24"/>
                <w:highlight w:val="none"/>
              </w:rPr>
            </w:pPr>
          </w:p>
        </w:tc>
        <w:tc>
          <w:tcPr>
            <w:tcW w:w="1440" w:type="dxa"/>
            <w:vAlign w:val="center"/>
          </w:tcPr>
          <w:p w14:paraId="5AF226A6">
            <w:pPr>
              <w:spacing w:line="360" w:lineRule="auto"/>
              <w:jc w:val="center"/>
              <w:rPr>
                <w:rFonts w:cs="宋体" w:asciiTheme="minorEastAsia" w:hAnsiTheme="minorEastAsia"/>
                <w:b/>
                <w:color w:val="auto"/>
                <w:sz w:val="24"/>
                <w:highlight w:val="none"/>
              </w:rPr>
            </w:pPr>
          </w:p>
        </w:tc>
        <w:tc>
          <w:tcPr>
            <w:tcW w:w="1080" w:type="dxa"/>
            <w:vAlign w:val="center"/>
          </w:tcPr>
          <w:p w14:paraId="0B64F0EC">
            <w:pPr>
              <w:spacing w:line="360" w:lineRule="auto"/>
              <w:jc w:val="center"/>
              <w:rPr>
                <w:rFonts w:cs="宋体" w:asciiTheme="minorEastAsia" w:hAnsiTheme="minorEastAsia"/>
                <w:b/>
                <w:color w:val="auto"/>
                <w:sz w:val="24"/>
                <w:highlight w:val="none"/>
              </w:rPr>
            </w:pPr>
          </w:p>
        </w:tc>
        <w:tc>
          <w:tcPr>
            <w:tcW w:w="1800" w:type="dxa"/>
            <w:vAlign w:val="center"/>
          </w:tcPr>
          <w:p w14:paraId="67C69AC7">
            <w:pPr>
              <w:spacing w:line="360" w:lineRule="auto"/>
              <w:jc w:val="center"/>
              <w:rPr>
                <w:rFonts w:cs="宋体" w:asciiTheme="minorEastAsia" w:hAnsiTheme="minorEastAsia"/>
                <w:b/>
                <w:color w:val="auto"/>
                <w:sz w:val="24"/>
                <w:highlight w:val="none"/>
              </w:rPr>
            </w:pPr>
          </w:p>
        </w:tc>
        <w:tc>
          <w:tcPr>
            <w:tcW w:w="1091" w:type="dxa"/>
            <w:vAlign w:val="center"/>
          </w:tcPr>
          <w:p w14:paraId="0F6BCCBF">
            <w:pPr>
              <w:spacing w:line="360" w:lineRule="auto"/>
              <w:jc w:val="center"/>
              <w:rPr>
                <w:rFonts w:cs="宋体" w:asciiTheme="minorEastAsia" w:hAnsiTheme="minorEastAsia"/>
                <w:b/>
                <w:color w:val="auto"/>
                <w:sz w:val="24"/>
                <w:highlight w:val="none"/>
              </w:rPr>
            </w:pPr>
          </w:p>
        </w:tc>
      </w:tr>
      <w:tr w14:paraId="3841A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08" w:type="dxa"/>
            <w:vAlign w:val="center"/>
          </w:tcPr>
          <w:p w14:paraId="56ED72F7">
            <w:pPr>
              <w:spacing w:line="360" w:lineRule="auto"/>
              <w:jc w:val="center"/>
              <w:rPr>
                <w:rFonts w:cs="宋体" w:asciiTheme="minorEastAsia" w:hAnsiTheme="minorEastAsia"/>
                <w:b/>
                <w:color w:val="auto"/>
                <w:sz w:val="24"/>
                <w:highlight w:val="none"/>
              </w:rPr>
            </w:pPr>
          </w:p>
        </w:tc>
        <w:tc>
          <w:tcPr>
            <w:tcW w:w="1620" w:type="dxa"/>
            <w:vAlign w:val="center"/>
          </w:tcPr>
          <w:p w14:paraId="770CE068">
            <w:pPr>
              <w:spacing w:line="360" w:lineRule="auto"/>
              <w:jc w:val="center"/>
              <w:rPr>
                <w:rFonts w:cs="宋体" w:asciiTheme="minorEastAsia" w:hAnsiTheme="minorEastAsia"/>
                <w:b/>
                <w:color w:val="auto"/>
                <w:sz w:val="24"/>
                <w:highlight w:val="none"/>
              </w:rPr>
            </w:pPr>
          </w:p>
        </w:tc>
        <w:tc>
          <w:tcPr>
            <w:tcW w:w="1260" w:type="dxa"/>
            <w:vAlign w:val="center"/>
          </w:tcPr>
          <w:p w14:paraId="103F876C">
            <w:pPr>
              <w:spacing w:line="360" w:lineRule="auto"/>
              <w:jc w:val="center"/>
              <w:rPr>
                <w:rFonts w:cs="宋体" w:asciiTheme="minorEastAsia" w:hAnsiTheme="minorEastAsia"/>
                <w:b/>
                <w:color w:val="auto"/>
                <w:sz w:val="24"/>
                <w:highlight w:val="none"/>
              </w:rPr>
            </w:pPr>
          </w:p>
        </w:tc>
        <w:tc>
          <w:tcPr>
            <w:tcW w:w="1440" w:type="dxa"/>
            <w:vAlign w:val="center"/>
          </w:tcPr>
          <w:p w14:paraId="2ABAA915">
            <w:pPr>
              <w:spacing w:line="360" w:lineRule="auto"/>
              <w:jc w:val="center"/>
              <w:rPr>
                <w:rFonts w:cs="宋体" w:asciiTheme="minorEastAsia" w:hAnsiTheme="minorEastAsia"/>
                <w:b/>
                <w:color w:val="auto"/>
                <w:sz w:val="24"/>
                <w:highlight w:val="none"/>
              </w:rPr>
            </w:pPr>
          </w:p>
        </w:tc>
        <w:tc>
          <w:tcPr>
            <w:tcW w:w="1080" w:type="dxa"/>
            <w:vAlign w:val="center"/>
          </w:tcPr>
          <w:p w14:paraId="720D55F3">
            <w:pPr>
              <w:spacing w:line="360" w:lineRule="auto"/>
              <w:jc w:val="center"/>
              <w:rPr>
                <w:rFonts w:cs="宋体" w:asciiTheme="minorEastAsia" w:hAnsiTheme="minorEastAsia"/>
                <w:b/>
                <w:color w:val="auto"/>
                <w:sz w:val="24"/>
                <w:highlight w:val="none"/>
              </w:rPr>
            </w:pPr>
          </w:p>
        </w:tc>
        <w:tc>
          <w:tcPr>
            <w:tcW w:w="1800" w:type="dxa"/>
            <w:vAlign w:val="center"/>
          </w:tcPr>
          <w:p w14:paraId="5C3C2177">
            <w:pPr>
              <w:spacing w:line="360" w:lineRule="auto"/>
              <w:jc w:val="center"/>
              <w:rPr>
                <w:rFonts w:cs="宋体" w:asciiTheme="minorEastAsia" w:hAnsiTheme="minorEastAsia"/>
                <w:b/>
                <w:color w:val="auto"/>
                <w:sz w:val="24"/>
                <w:highlight w:val="none"/>
              </w:rPr>
            </w:pPr>
          </w:p>
        </w:tc>
        <w:tc>
          <w:tcPr>
            <w:tcW w:w="1091" w:type="dxa"/>
            <w:vAlign w:val="center"/>
          </w:tcPr>
          <w:p w14:paraId="26CF6480">
            <w:pPr>
              <w:spacing w:line="360" w:lineRule="auto"/>
              <w:jc w:val="center"/>
              <w:rPr>
                <w:rFonts w:cs="宋体" w:asciiTheme="minorEastAsia" w:hAnsiTheme="minorEastAsia"/>
                <w:b/>
                <w:color w:val="auto"/>
                <w:sz w:val="24"/>
                <w:highlight w:val="none"/>
              </w:rPr>
            </w:pPr>
          </w:p>
        </w:tc>
      </w:tr>
      <w:tr w14:paraId="37BC8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57" w:hRule="atLeast"/>
        </w:trPr>
        <w:tc>
          <w:tcPr>
            <w:tcW w:w="9299" w:type="dxa"/>
            <w:gridSpan w:val="7"/>
            <w:vAlign w:val="center"/>
          </w:tcPr>
          <w:p w14:paraId="27E03E2A">
            <w:pPr>
              <w:spacing w:line="360" w:lineRule="auto"/>
              <w:rPr>
                <w:rFonts w:cs="宋体" w:asciiTheme="minorEastAsia" w:hAnsiTheme="minorEastAsia"/>
                <w:b/>
                <w:color w:val="auto"/>
                <w:sz w:val="24"/>
                <w:highlight w:val="none"/>
              </w:rPr>
            </w:pPr>
            <w:r>
              <w:rPr>
                <w:rFonts w:hint="eastAsia" w:cs="宋体" w:asciiTheme="minorEastAsia" w:hAnsiTheme="minorEastAsia"/>
                <w:b/>
                <w:color w:val="auto"/>
                <w:sz w:val="24"/>
                <w:highlight w:val="none"/>
              </w:rPr>
              <w:t xml:space="preserve">    一旦我方成交，将实行项目经理负责制，并配备上述项目管理机构。我方保证上述填报内容真实，若不真实，愿按有关规定接受处理。项目管理班子机构设置、职责分工等情况另附资料说明。</w:t>
            </w:r>
          </w:p>
        </w:tc>
      </w:tr>
    </w:tbl>
    <w:p w14:paraId="3773DD65">
      <w:pPr>
        <w:spacing w:line="360" w:lineRule="auto"/>
        <w:ind w:firstLine="241" w:firstLineChars="100"/>
        <w:jc w:val="center"/>
        <w:rPr>
          <w:rFonts w:asciiTheme="minorEastAsia" w:hAnsiTheme="minorEastAsia" w:cstheme="minorEastAsia"/>
          <w:b/>
          <w:color w:val="auto"/>
          <w:kern w:val="0"/>
          <w:sz w:val="24"/>
          <w:szCs w:val="24"/>
          <w:highlight w:val="none"/>
        </w:rPr>
      </w:pPr>
    </w:p>
    <w:p w14:paraId="14B140C5">
      <w:pPr>
        <w:pStyle w:val="37"/>
        <w:spacing w:before="0" w:after="0"/>
        <w:rPr>
          <w:rFonts w:asciiTheme="minorEastAsia" w:hAnsiTheme="minorEastAsia" w:cstheme="minorEastAsia"/>
          <w:b/>
          <w:color w:val="auto"/>
          <w:spacing w:val="0"/>
          <w:szCs w:val="24"/>
          <w:highlight w:val="none"/>
        </w:rPr>
      </w:pPr>
    </w:p>
    <w:p w14:paraId="2E3EA380">
      <w:pPr>
        <w:pStyle w:val="37"/>
        <w:spacing w:before="0" w:after="0"/>
        <w:rPr>
          <w:rFonts w:asciiTheme="minorEastAsia" w:hAnsiTheme="minorEastAsia" w:cstheme="minorEastAsia"/>
          <w:b/>
          <w:color w:val="auto"/>
          <w:spacing w:val="0"/>
          <w:szCs w:val="24"/>
          <w:highlight w:val="none"/>
        </w:rPr>
      </w:pPr>
    </w:p>
    <w:p w14:paraId="5804C7CB">
      <w:pPr>
        <w:pStyle w:val="37"/>
        <w:spacing w:before="0" w:after="0"/>
        <w:rPr>
          <w:rFonts w:asciiTheme="minorEastAsia" w:hAnsiTheme="minorEastAsia" w:cstheme="minorEastAsia"/>
          <w:b/>
          <w:color w:val="auto"/>
          <w:spacing w:val="0"/>
          <w:szCs w:val="24"/>
          <w:highlight w:val="none"/>
        </w:rPr>
      </w:pPr>
    </w:p>
    <w:p w14:paraId="7DFFCC40">
      <w:pPr>
        <w:spacing w:line="360" w:lineRule="auto"/>
        <w:ind w:firstLine="281" w:firstLineChars="100"/>
        <w:jc w:val="center"/>
        <w:rPr>
          <w:rFonts w:cs="宋体" w:asciiTheme="minorEastAsia" w:hAnsiTheme="minorEastAsia"/>
          <w:b/>
          <w:color w:val="auto"/>
          <w:kern w:val="0"/>
          <w:sz w:val="28"/>
          <w:highlight w:val="none"/>
        </w:rPr>
      </w:pPr>
      <w:r>
        <w:rPr>
          <w:rFonts w:hint="eastAsia" w:cs="宋体" w:asciiTheme="minorEastAsia" w:hAnsiTheme="minorEastAsia"/>
          <w:b/>
          <w:color w:val="auto"/>
          <w:kern w:val="0"/>
          <w:sz w:val="28"/>
          <w:highlight w:val="none"/>
        </w:rPr>
        <w:t>2. 项目经理简历表</w:t>
      </w:r>
    </w:p>
    <w:p w14:paraId="4AC3B7DA">
      <w:pPr>
        <w:spacing w:line="360" w:lineRule="auto"/>
        <w:rPr>
          <w:rFonts w:cs="宋体" w:asciiTheme="minorEastAsia" w:hAnsiTheme="minorEastAsia"/>
          <w:color w:val="auto"/>
          <w:sz w:val="24"/>
          <w:highlight w:val="none"/>
          <w:u w:val="single"/>
        </w:rPr>
      </w:pPr>
    </w:p>
    <w:p w14:paraId="073E90D7">
      <w:pPr>
        <w:spacing w:line="360" w:lineRule="auto"/>
        <w:rPr>
          <w:rFonts w:cs="宋体" w:asciiTheme="minorEastAsia" w:hAnsiTheme="minorEastAsia"/>
          <w:b/>
          <w:color w:val="auto"/>
          <w:kern w:val="0"/>
          <w:sz w:val="24"/>
          <w:highlight w:val="none"/>
        </w:rPr>
      </w:pPr>
      <w:r>
        <w:rPr>
          <w:rFonts w:hint="eastAsia" w:cs="宋体" w:asciiTheme="minorEastAsia" w:hAnsiTheme="minorEastAsia"/>
          <w:color w:val="auto"/>
          <w:sz w:val="24"/>
          <w:highlight w:val="none"/>
          <w:u w:val="single"/>
        </w:rPr>
        <w:t xml:space="preserve">          （工程项目名称）          </w:t>
      </w:r>
      <w:r>
        <w:rPr>
          <w:rFonts w:hint="eastAsia" w:cs="宋体" w:asciiTheme="minorEastAsia" w:hAnsiTheme="minorEastAsia"/>
          <w:color w:val="auto"/>
          <w:sz w:val="24"/>
          <w:highlight w:val="none"/>
        </w:rPr>
        <w:t xml:space="preserve">工程                        </w:t>
      </w:r>
      <w:r>
        <w:rPr>
          <w:rFonts w:hint="eastAsia" w:cs="宋体" w:asciiTheme="minorEastAsia" w:hAnsiTheme="minorEastAsia"/>
          <w:b/>
          <w:color w:val="auto"/>
          <w:kern w:val="0"/>
          <w:sz w:val="24"/>
          <w:highlight w:val="none"/>
        </w:rPr>
        <w:t xml:space="preserve"> 表7.7 </w:t>
      </w:r>
    </w:p>
    <w:tbl>
      <w:tblPr>
        <w:tblStyle w:val="28"/>
        <w:tblW w:w="9180" w:type="dxa"/>
        <w:tblInd w:w="108" w:type="dxa"/>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Layout w:type="fixed"/>
        <w:tblCellMar>
          <w:top w:w="0" w:type="dxa"/>
          <w:left w:w="108" w:type="dxa"/>
          <w:bottom w:w="0" w:type="dxa"/>
          <w:right w:w="108" w:type="dxa"/>
        </w:tblCellMar>
      </w:tblPr>
      <w:tblGrid>
        <w:gridCol w:w="1080"/>
        <w:gridCol w:w="180"/>
        <w:gridCol w:w="1440"/>
        <w:gridCol w:w="360"/>
        <w:gridCol w:w="1080"/>
        <w:gridCol w:w="900"/>
        <w:gridCol w:w="180"/>
        <w:gridCol w:w="900"/>
        <w:gridCol w:w="1080"/>
        <w:gridCol w:w="360"/>
        <w:gridCol w:w="1620"/>
      </w:tblGrid>
      <w:tr w14:paraId="5F37A2A4">
        <w:tblPrEx>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080" w:type="dxa"/>
            <w:tcBorders>
              <w:bottom w:val="single" w:color="000000" w:sz="4" w:space="0"/>
              <w:right w:val="single" w:color="000000" w:sz="4" w:space="0"/>
            </w:tcBorders>
            <w:vAlign w:val="center"/>
          </w:tcPr>
          <w:p w14:paraId="45C054BB">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姓名</w:t>
            </w:r>
          </w:p>
        </w:tc>
        <w:tc>
          <w:tcPr>
            <w:tcW w:w="1980" w:type="dxa"/>
            <w:gridSpan w:val="3"/>
            <w:tcBorders>
              <w:bottom w:val="single" w:color="000000" w:sz="4" w:space="0"/>
              <w:right w:val="single" w:color="000000" w:sz="4" w:space="0"/>
            </w:tcBorders>
          </w:tcPr>
          <w:p w14:paraId="5BA1C509">
            <w:pPr>
              <w:spacing w:line="360" w:lineRule="auto"/>
              <w:rPr>
                <w:rFonts w:cs="宋体" w:asciiTheme="minorEastAsia" w:hAnsiTheme="minorEastAsia"/>
                <w:color w:val="auto"/>
                <w:kern w:val="0"/>
                <w:sz w:val="24"/>
                <w:highlight w:val="none"/>
              </w:rPr>
            </w:pPr>
          </w:p>
        </w:tc>
        <w:tc>
          <w:tcPr>
            <w:tcW w:w="1080" w:type="dxa"/>
            <w:tcBorders>
              <w:bottom w:val="single" w:color="000000" w:sz="4" w:space="0"/>
              <w:right w:val="single" w:color="000000" w:sz="4" w:space="0"/>
            </w:tcBorders>
            <w:vAlign w:val="center"/>
          </w:tcPr>
          <w:p w14:paraId="671ECA76">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性别</w:t>
            </w:r>
          </w:p>
        </w:tc>
        <w:tc>
          <w:tcPr>
            <w:tcW w:w="1980" w:type="dxa"/>
            <w:gridSpan w:val="3"/>
            <w:tcBorders>
              <w:bottom w:val="single" w:color="000000" w:sz="4" w:space="0"/>
              <w:right w:val="single" w:color="000000" w:sz="4" w:space="0"/>
            </w:tcBorders>
          </w:tcPr>
          <w:p w14:paraId="51036BB2">
            <w:pPr>
              <w:spacing w:line="360" w:lineRule="auto"/>
              <w:rPr>
                <w:rFonts w:cs="宋体" w:asciiTheme="minorEastAsia" w:hAnsiTheme="minorEastAsia"/>
                <w:color w:val="auto"/>
                <w:kern w:val="0"/>
                <w:sz w:val="24"/>
                <w:highlight w:val="none"/>
              </w:rPr>
            </w:pPr>
          </w:p>
        </w:tc>
        <w:tc>
          <w:tcPr>
            <w:tcW w:w="1080" w:type="dxa"/>
            <w:tcBorders>
              <w:bottom w:val="single" w:color="000000" w:sz="4" w:space="0"/>
              <w:right w:val="single" w:color="auto" w:sz="4" w:space="0"/>
            </w:tcBorders>
            <w:vAlign w:val="center"/>
          </w:tcPr>
          <w:p w14:paraId="2D2A3F84">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年龄</w:t>
            </w:r>
          </w:p>
        </w:tc>
        <w:tc>
          <w:tcPr>
            <w:tcW w:w="1980" w:type="dxa"/>
            <w:gridSpan w:val="2"/>
            <w:tcBorders>
              <w:left w:val="single" w:color="auto" w:sz="4" w:space="0"/>
              <w:bottom w:val="single" w:color="000000" w:sz="4" w:space="0"/>
              <w:right w:val="single" w:color="000000" w:sz="4" w:space="0"/>
            </w:tcBorders>
          </w:tcPr>
          <w:p w14:paraId="2F02D766">
            <w:pPr>
              <w:spacing w:line="360" w:lineRule="auto"/>
              <w:rPr>
                <w:rFonts w:cs="宋体" w:asciiTheme="minorEastAsia" w:hAnsiTheme="minorEastAsia"/>
                <w:color w:val="auto"/>
                <w:kern w:val="0"/>
                <w:sz w:val="24"/>
                <w:highlight w:val="none"/>
              </w:rPr>
            </w:pPr>
          </w:p>
        </w:tc>
      </w:tr>
      <w:tr w14:paraId="6FEE7E8C">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080" w:type="dxa"/>
            <w:tcBorders>
              <w:bottom w:val="single" w:color="000000" w:sz="4" w:space="0"/>
              <w:right w:val="single" w:color="000000" w:sz="4" w:space="0"/>
            </w:tcBorders>
            <w:vAlign w:val="center"/>
          </w:tcPr>
          <w:p w14:paraId="33ABA702">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职务</w:t>
            </w:r>
          </w:p>
        </w:tc>
        <w:tc>
          <w:tcPr>
            <w:tcW w:w="1980" w:type="dxa"/>
            <w:gridSpan w:val="3"/>
            <w:tcBorders>
              <w:bottom w:val="single" w:color="000000" w:sz="4" w:space="0"/>
              <w:right w:val="single" w:color="000000" w:sz="4" w:space="0"/>
            </w:tcBorders>
          </w:tcPr>
          <w:p w14:paraId="05FBA827">
            <w:pPr>
              <w:spacing w:line="360" w:lineRule="auto"/>
              <w:rPr>
                <w:rFonts w:cs="宋体" w:asciiTheme="minorEastAsia" w:hAnsiTheme="minorEastAsia"/>
                <w:color w:val="auto"/>
                <w:kern w:val="0"/>
                <w:sz w:val="24"/>
                <w:highlight w:val="none"/>
              </w:rPr>
            </w:pPr>
          </w:p>
        </w:tc>
        <w:tc>
          <w:tcPr>
            <w:tcW w:w="1080" w:type="dxa"/>
            <w:tcBorders>
              <w:bottom w:val="single" w:color="000000" w:sz="4" w:space="0"/>
              <w:right w:val="single" w:color="000000" w:sz="4" w:space="0"/>
            </w:tcBorders>
            <w:vAlign w:val="center"/>
          </w:tcPr>
          <w:p w14:paraId="727EE062">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职称</w:t>
            </w:r>
          </w:p>
        </w:tc>
        <w:tc>
          <w:tcPr>
            <w:tcW w:w="1980" w:type="dxa"/>
            <w:gridSpan w:val="3"/>
            <w:tcBorders>
              <w:bottom w:val="single" w:color="000000" w:sz="4" w:space="0"/>
              <w:right w:val="single" w:color="000000" w:sz="4" w:space="0"/>
            </w:tcBorders>
          </w:tcPr>
          <w:p w14:paraId="0344A80B">
            <w:pPr>
              <w:spacing w:line="360" w:lineRule="auto"/>
              <w:rPr>
                <w:rFonts w:cs="宋体" w:asciiTheme="minorEastAsia" w:hAnsiTheme="minorEastAsia"/>
                <w:color w:val="auto"/>
                <w:kern w:val="0"/>
                <w:sz w:val="24"/>
                <w:highlight w:val="none"/>
              </w:rPr>
            </w:pPr>
          </w:p>
        </w:tc>
        <w:tc>
          <w:tcPr>
            <w:tcW w:w="1080" w:type="dxa"/>
            <w:tcBorders>
              <w:bottom w:val="single" w:color="000000" w:sz="4" w:space="0"/>
              <w:right w:val="single" w:color="auto" w:sz="4" w:space="0"/>
            </w:tcBorders>
            <w:vAlign w:val="center"/>
          </w:tcPr>
          <w:p w14:paraId="0FA34AC5">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学历</w:t>
            </w:r>
          </w:p>
        </w:tc>
        <w:tc>
          <w:tcPr>
            <w:tcW w:w="1980" w:type="dxa"/>
            <w:gridSpan w:val="2"/>
            <w:tcBorders>
              <w:left w:val="single" w:color="auto" w:sz="4" w:space="0"/>
              <w:bottom w:val="single" w:color="000000" w:sz="4" w:space="0"/>
              <w:right w:val="single" w:color="000000" w:sz="4" w:space="0"/>
            </w:tcBorders>
          </w:tcPr>
          <w:p w14:paraId="369A1629">
            <w:pPr>
              <w:spacing w:line="360" w:lineRule="auto"/>
              <w:rPr>
                <w:rFonts w:cs="宋体" w:asciiTheme="minorEastAsia" w:hAnsiTheme="minorEastAsia"/>
                <w:color w:val="auto"/>
                <w:kern w:val="0"/>
                <w:sz w:val="24"/>
                <w:highlight w:val="none"/>
              </w:rPr>
            </w:pPr>
          </w:p>
        </w:tc>
      </w:tr>
      <w:tr w14:paraId="026B01AC">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2700" w:type="dxa"/>
            <w:gridSpan w:val="3"/>
            <w:tcBorders>
              <w:bottom w:val="single" w:color="000000" w:sz="4" w:space="0"/>
              <w:right w:val="single" w:color="auto" w:sz="4" w:space="0"/>
            </w:tcBorders>
            <w:vAlign w:val="center"/>
          </w:tcPr>
          <w:p w14:paraId="5CEE6F7C">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参加工作时间</w:t>
            </w:r>
          </w:p>
        </w:tc>
        <w:tc>
          <w:tcPr>
            <w:tcW w:w="2520" w:type="dxa"/>
            <w:gridSpan w:val="4"/>
            <w:tcBorders>
              <w:left w:val="single" w:color="auto" w:sz="4" w:space="0"/>
              <w:bottom w:val="single" w:color="000000" w:sz="4" w:space="0"/>
              <w:right w:val="single" w:color="000000" w:sz="4" w:space="0"/>
            </w:tcBorders>
          </w:tcPr>
          <w:p w14:paraId="5BB6E491">
            <w:pPr>
              <w:spacing w:line="360" w:lineRule="auto"/>
              <w:rPr>
                <w:rFonts w:cs="宋体" w:asciiTheme="minorEastAsia" w:hAnsiTheme="minorEastAsia"/>
                <w:color w:val="auto"/>
                <w:kern w:val="0"/>
                <w:sz w:val="24"/>
                <w:highlight w:val="none"/>
              </w:rPr>
            </w:pPr>
          </w:p>
        </w:tc>
        <w:tc>
          <w:tcPr>
            <w:tcW w:w="2340" w:type="dxa"/>
            <w:gridSpan w:val="3"/>
            <w:tcBorders>
              <w:left w:val="single" w:color="auto" w:sz="4" w:space="0"/>
              <w:bottom w:val="single" w:color="000000" w:sz="4" w:space="0"/>
              <w:right w:val="single" w:color="000000" w:sz="4" w:space="0"/>
            </w:tcBorders>
            <w:vAlign w:val="center"/>
          </w:tcPr>
          <w:p w14:paraId="5583A3CF">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担任项目经理年限</w:t>
            </w:r>
          </w:p>
        </w:tc>
        <w:tc>
          <w:tcPr>
            <w:tcW w:w="1620" w:type="dxa"/>
            <w:tcBorders>
              <w:left w:val="single" w:color="auto" w:sz="4" w:space="0"/>
              <w:bottom w:val="single" w:color="auto" w:sz="4" w:space="0"/>
              <w:right w:val="single" w:color="000000" w:sz="4" w:space="0"/>
            </w:tcBorders>
          </w:tcPr>
          <w:p w14:paraId="10C51935">
            <w:pPr>
              <w:spacing w:line="360" w:lineRule="auto"/>
              <w:rPr>
                <w:rFonts w:cs="宋体" w:asciiTheme="minorEastAsia" w:hAnsiTheme="minorEastAsia"/>
                <w:color w:val="auto"/>
                <w:kern w:val="0"/>
                <w:sz w:val="24"/>
                <w:highlight w:val="none"/>
              </w:rPr>
            </w:pPr>
          </w:p>
        </w:tc>
      </w:tr>
      <w:tr w14:paraId="7C708AD1">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2700" w:type="dxa"/>
            <w:gridSpan w:val="3"/>
            <w:tcBorders>
              <w:bottom w:val="single" w:color="000000" w:sz="4" w:space="0"/>
              <w:right w:val="single" w:color="auto" w:sz="4" w:space="0"/>
            </w:tcBorders>
            <w:vAlign w:val="center"/>
          </w:tcPr>
          <w:p w14:paraId="61B5431D">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项目经理资格证书编号</w:t>
            </w:r>
          </w:p>
        </w:tc>
        <w:tc>
          <w:tcPr>
            <w:tcW w:w="6480" w:type="dxa"/>
            <w:gridSpan w:val="8"/>
            <w:tcBorders>
              <w:left w:val="single" w:color="auto" w:sz="4" w:space="0"/>
              <w:bottom w:val="single" w:color="000000" w:sz="4" w:space="0"/>
              <w:right w:val="single" w:color="000000" w:sz="4" w:space="0"/>
            </w:tcBorders>
          </w:tcPr>
          <w:p w14:paraId="63FB2AB2">
            <w:pPr>
              <w:spacing w:line="360" w:lineRule="auto"/>
              <w:rPr>
                <w:rFonts w:cs="宋体" w:asciiTheme="minorEastAsia" w:hAnsiTheme="minorEastAsia"/>
                <w:color w:val="auto"/>
                <w:kern w:val="0"/>
                <w:sz w:val="24"/>
                <w:highlight w:val="none"/>
              </w:rPr>
            </w:pPr>
          </w:p>
        </w:tc>
      </w:tr>
      <w:tr w14:paraId="700CDEEC">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180" w:type="dxa"/>
            <w:gridSpan w:val="11"/>
            <w:tcBorders>
              <w:bottom w:val="single" w:color="000000" w:sz="4" w:space="0"/>
              <w:right w:val="single" w:color="000000" w:sz="4" w:space="0"/>
            </w:tcBorders>
            <w:vAlign w:val="center"/>
          </w:tcPr>
          <w:p w14:paraId="0E6D128A">
            <w:pPr>
              <w:spacing w:line="360" w:lineRule="auto"/>
              <w:jc w:val="center"/>
              <w:rPr>
                <w:rFonts w:cs="宋体" w:asciiTheme="minorEastAsia" w:hAnsiTheme="minorEastAsia"/>
                <w:b/>
                <w:color w:val="auto"/>
                <w:kern w:val="0"/>
                <w:sz w:val="24"/>
                <w:highlight w:val="none"/>
              </w:rPr>
            </w:pPr>
            <w:r>
              <w:rPr>
                <w:rFonts w:hint="eastAsia" w:cs="宋体" w:asciiTheme="minorEastAsia" w:hAnsiTheme="minorEastAsia"/>
                <w:b/>
                <w:color w:val="auto"/>
                <w:kern w:val="0"/>
                <w:sz w:val="24"/>
                <w:highlight w:val="none"/>
              </w:rPr>
              <w:t>已完成工程项目情况</w:t>
            </w:r>
          </w:p>
        </w:tc>
      </w:tr>
      <w:tr w14:paraId="765F6E0B">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vAlign w:val="center"/>
          </w:tcPr>
          <w:p w14:paraId="0B90D64B">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建设单位</w:t>
            </w:r>
          </w:p>
        </w:tc>
        <w:tc>
          <w:tcPr>
            <w:tcW w:w="1800" w:type="dxa"/>
            <w:gridSpan w:val="2"/>
            <w:tcBorders>
              <w:bottom w:val="single" w:color="000000" w:sz="4" w:space="0"/>
              <w:right w:val="single" w:color="000000" w:sz="4" w:space="0"/>
            </w:tcBorders>
            <w:vAlign w:val="center"/>
          </w:tcPr>
          <w:p w14:paraId="35764033">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项目名称</w:t>
            </w:r>
          </w:p>
        </w:tc>
        <w:tc>
          <w:tcPr>
            <w:tcW w:w="1980" w:type="dxa"/>
            <w:gridSpan w:val="2"/>
            <w:tcBorders>
              <w:bottom w:val="single" w:color="000000" w:sz="4" w:space="0"/>
              <w:right w:val="single" w:color="000000" w:sz="4" w:space="0"/>
            </w:tcBorders>
            <w:vAlign w:val="center"/>
          </w:tcPr>
          <w:p w14:paraId="04E2873D">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建设规模</w:t>
            </w:r>
          </w:p>
        </w:tc>
        <w:tc>
          <w:tcPr>
            <w:tcW w:w="2160" w:type="dxa"/>
            <w:gridSpan w:val="3"/>
            <w:tcBorders>
              <w:bottom w:val="single" w:color="000000" w:sz="4" w:space="0"/>
              <w:right w:val="single" w:color="auto" w:sz="4" w:space="0"/>
            </w:tcBorders>
            <w:vAlign w:val="center"/>
          </w:tcPr>
          <w:p w14:paraId="2DC5B0B8">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开、竣工日期</w:t>
            </w:r>
          </w:p>
        </w:tc>
        <w:tc>
          <w:tcPr>
            <w:tcW w:w="1980" w:type="dxa"/>
            <w:gridSpan w:val="2"/>
            <w:tcBorders>
              <w:left w:val="single" w:color="auto" w:sz="4" w:space="0"/>
              <w:bottom w:val="single" w:color="000000" w:sz="4" w:space="0"/>
              <w:right w:val="single" w:color="000000" w:sz="4" w:space="0"/>
            </w:tcBorders>
            <w:vAlign w:val="center"/>
          </w:tcPr>
          <w:p w14:paraId="57F89B04">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工程质量</w:t>
            </w:r>
          </w:p>
        </w:tc>
      </w:tr>
      <w:tr w14:paraId="7B7D422E">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5931629F">
            <w:pPr>
              <w:spacing w:line="360" w:lineRule="auto"/>
              <w:rPr>
                <w:rFonts w:cs="宋体" w:asciiTheme="minorEastAsia" w:hAnsiTheme="minorEastAsia"/>
                <w:color w:val="auto"/>
                <w:kern w:val="0"/>
                <w:sz w:val="24"/>
                <w:highlight w:val="none"/>
              </w:rPr>
            </w:pPr>
          </w:p>
        </w:tc>
        <w:tc>
          <w:tcPr>
            <w:tcW w:w="1800" w:type="dxa"/>
            <w:gridSpan w:val="2"/>
            <w:tcBorders>
              <w:bottom w:val="single" w:color="000000" w:sz="4" w:space="0"/>
              <w:right w:val="single" w:color="000000" w:sz="4" w:space="0"/>
            </w:tcBorders>
          </w:tcPr>
          <w:p w14:paraId="58F5D5ED">
            <w:pPr>
              <w:spacing w:line="360" w:lineRule="auto"/>
              <w:rPr>
                <w:rFonts w:cs="宋体" w:asciiTheme="minorEastAsia" w:hAnsiTheme="minorEastAsia"/>
                <w:color w:val="auto"/>
                <w:kern w:val="0"/>
                <w:sz w:val="24"/>
                <w:highlight w:val="none"/>
              </w:rPr>
            </w:pPr>
          </w:p>
        </w:tc>
        <w:tc>
          <w:tcPr>
            <w:tcW w:w="1980" w:type="dxa"/>
            <w:gridSpan w:val="2"/>
            <w:tcBorders>
              <w:bottom w:val="single" w:color="000000" w:sz="4" w:space="0"/>
              <w:right w:val="single" w:color="000000" w:sz="4" w:space="0"/>
            </w:tcBorders>
          </w:tcPr>
          <w:p w14:paraId="6B1FD457">
            <w:pPr>
              <w:spacing w:line="360" w:lineRule="auto"/>
              <w:rPr>
                <w:rFonts w:cs="宋体" w:asciiTheme="minorEastAsia" w:hAnsiTheme="minorEastAsia"/>
                <w:color w:val="auto"/>
                <w:kern w:val="0"/>
                <w:sz w:val="24"/>
                <w:highlight w:val="none"/>
              </w:rPr>
            </w:pPr>
          </w:p>
        </w:tc>
        <w:tc>
          <w:tcPr>
            <w:tcW w:w="2160" w:type="dxa"/>
            <w:gridSpan w:val="3"/>
            <w:tcBorders>
              <w:bottom w:val="single" w:color="000000" w:sz="4" w:space="0"/>
              <w:right w:val="single" w:color="auto" w:sz="4" w:space="0"/>
            </w:tcBorders>
          </w:tcPr>
          <w:p w14:paraId="246E06B6">
            <w:pPr>
              <w:spacing w:line="360" w:lineRule="auto"/>
              <w:rPr>
                <w:rFonts w:cs="宋体" w:asciiTheme="minorEastAsia" w:hAnsiTheme="minorEastAsia"/>
                <w:color w:val="auto"/>
                <w:kern w:val="0"/>
                <w:sz w:val="24"/>
                <w:highlight w:val="none"/>
              </w:rPr>
            </w:pPr>
          </w:p>
        </w:tc>
        <w:tc>
          <w:tcPr>
            <w:tcW w:w="1980" w:type="dxa"/>
            <w:gridSpan w:val="2"/>
            <w:tcBorders>
              <w:left w:val="single" w:color="auto" w:sz="4" w:space="0"/>
              <w:bottom w:val="single" w:color="000000" w:sz="4" w:space="0"/>
              <w:right w:val="single" w:color="000000" w:sz="4" w:space="0"/>
            </w:tcBorders>
          </w:tcPr>
          <w:p w14:paraId="3C60CB76">
            <w:pPr>
              <w:spacing w:line="360" w:lineRule="auto"/>
              <w:rPr>
                <w:rFonts w:cs="宋体" w:asciiTheme="minorEastAsia" w:hAnsiTheme="minorEastAsia"/>
                <w:color w:val="auto"/>
                <w:kern w:val="0"/>
                <w:sz w:val="24"/>
                <w:highlight w:val="none"/>
              </w:rPr>
            </w:pPr>
          </w:p>
        </w:tc>
      </w:tr>
      <w:tr w14:paraId="06248ECE">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1A340DF6">
            <w:pPr>
              <w:spacing w:line="360" w:lineRule="auto"/>
              <w:rPr>
                <w:rFonts w:cs="宋体" w:asciiTheme="minorEastAsia" w:hAnsiTheme="minorEastAsia"/>
                <w:color w:val="auto"/>
                <w:kern w:val="0"/>
                <w:sz w:val="24"/>
                <w:highlight w:val="none"/>
              </w:rPr>
            </w:pPr>
          </w:p>
        </w:tc>
        <w:tc>
          <w:tcPr>
            <w:tcW w:w="1800" w:type="dxa"/>
            <w:gridSpan w:val="2"/>
            <w:tcBorders>
              <w:bottom w:val="single" w:color="000000" w:sz="4" w:space="0"/>
              <w:right w:val="single" w:color="000000" w:sz="4" w:space="0"/>
            </w:tcBorders>
          </w:tcPr>
          <w:p w14:paraId="41C5F43B">
            <w:pPr>
              <w:spacing w:line="360" w:lineRule="auto"/>
              <w:rPr>
                <w:rFonts w:cs="宋体" w:asciiTheme="minorEastAsia" w:hAnsiTheme="minorEastAsia"/>
                <w:color w:val="auto"/>
                <w:kern w:val="0"/>
                <w:sz w:val="24"/>
                <w:highlight w:val="none"/>
              </w:rPr>
            </w:pPr>
          </w:p>
        </w:tc>
        <w:tc>
          <w:tcPr>
            <w:tcW w:w="1980" w:type="dxa"/>
            <w:gridSpan w:val="2"/>
            <w:tcBorders>
              <w:bottom w:val="single" w:color="000000" w:sz="4" w:space="0"/>
              <w:right w:val="single" w:color="000000" w:sz="4" w:space="0"/>
            </w:tcBorders>
          </w:tcPr>
          <w:p w14:paraId="1730F118">
            <w:pPr>
              <w:spacing w:line="360" w:lineRule="auto"/>
              <w:rPr>
                <w:rFonts w:cs="宋体" w:asciiTheme="minorEastAsia" w:hAnsiTheme="minorEastAsia"/>
                <w:color w:val="auto"/>
                <w:kern w:val="0"/>
                <w:sz w:val="24"/>
                <w:highlight w:val="none"/>
              </w:rPr>
            </w:pPr>
          </w:p>
        </w:tc>
        <w:tc>
          <w:tcPr>
            <w:tcW w:w="2160" w:type="dxa"/>
            <w:gridSpan w:val="3"/>
            <w:tcBorders>
              <w:bottom w:val="single" w:color="000000" w:sz="4" w:space="0"/>
              <w:right w:val="single" w:color="auto" w:sz="4" w:space="0"/>
            </w:tcBorders>
          </w:tcPr>
          <w:p w14:paraId="279E5FEF">
            <w:pPr>
              <w:spacing w:line="360" w:lineRule="auto"/>
              <w:rPr>
                <w:rFonts w:cs="宋体" w:asciiTheme="minorEastAsia" w:hAnsiTheme="minorEastAsia"/>
                <w:color w:val="auto"/>
                <w:kern w:val="0"/>
                <w:sz w:val="24"/>
                <w:highlight w:val="none"/>
              </w:rPr>
            </w:pPr>
          </w:p>
        </w:tc>
        <w:tc>
          <w:tcPr>
            <w:tcW w:w="1980" w:type="dxa"/>
            <w:gridSpan w:val="2"/>
            <w:tcBorders>
              <w:left w:val="single" w:color="auto" w:sz="4" w:space="0"/>
              <w:bottom w:val="single" w:color="000000" w:sz="4" w:space="0"/>
              <w:right w:val="single" w:color="000000" w:sz="4" w:space="0"/>
            </w:tcBorders>
          </w:tcPr>
          <w:p w14:paraId="26E488EF">
            <w:pPr>
              <w:spacing w:line="360" w:lineRule="auto"/>
              <w:rPr>
                <w:rFonts w:cs="宋体" w:asciiTheme="minorEastAsia" w:hAnsiTheme="minorEastAsia"/>
                <w:color w:val="auto"/>
                <w:kern w:val="0"/>
                <w:sz w:val="24"/>
                <w:highlight w:val="none"/>
              </w:rPr>
            </w:pPr>
          </w:p>
        </w:tc>
      </w:tr>
      <w:tr w14:paraId="5955D9A8">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0F6688C1">
            <w:pPr>
              <w:spacing w:line="360" w:lineRule="auto"/>
              <w:rPr>
                <w:rFonts w:cs="宋体" w:asciiTheme="minorEastAsia" w:hAnsiTheme="minorEastAsia"/>
                <w:color w:val="auto"/>
                <w:kern w:val="0"/>
                <w:sz w:val="24"/>
                <w:highlight w:val="none"/>
              </w:rPr>
            </w:pPr>
          </w:p>
        </w:tc>
        <w:tc>
          <w:tcPr>
            <w:tcW w:w="1800" w:type="dxa"/>
            <w:gridSpan w:val="2"/>
            <w:tcBorders>
              <w:bottom w:val="single" w:color="000000" w:sz="4" w:space="0"/>
              <w:right w:val="single" w:color="000000" w:sz="4" w:space="0"/>
            </w:tcBorders>
          </w:tcPr>
          <w:p w14:paraId="263B140F">
            <w:pPr>
              <w:spacing w:line="360" w:lineRule="auto"/>
              <w:rPr>
                <w:rFonts w:cs="宋体" w:asciiTheme="minorEastAsia" w:hAnsiTheme="minorEastAsia"/>
                <w:color w:val="auto"/>
                <w:kern w:val="0"/>
                <w:sz w:val="24"/>
                <w:highlight w:val="none"/>
              </w:rPr>
            </w:pPr>
          </w:p>
        </w:tc>
        <w:tc>
          <w:tcPr>
            <w:tcW w:w="1980" w:type="dxa"/>
            <w:gridSpan w:val="2"/>
            <w:tcBorders>
              <w:bottom w:val="single" w:color="000000" w:sz="4" w:space="0"/>
              <w:right w:val="single" w:color="000000" w:sz="4" w:space="0"/>
            </w:tcBorders>
          </w:tcPr>
          <w:p w14:paraId="4892E680">
            <w:pPr>
              <w:spacing w:line="360" w:lineRule="auto"/>
              <w:rPr>
                <w:rFonts w:cs="宋体" w:asciiTheme="minorEastAsia" w:hAnsiTheme="minorEastAsia"/>
                <w:color w:val="auto"/>
                <w:kern w:val="0"/>
                <w:sz w:val="24"/>
                <w:highlight w:val="none"/>
              </w:rPr>
            </w:pPr>
          </w:p>
        </w:tc>
        <w:tc>
          <w:tcPr>
            <w:tcW w:w="2160" w:type="dxa"/>
            <w:gridSpan w:val="3"/>
            <w:tcBorders>
              <w:bottom w:val="single" w:color="000000" w:sz="4" w:space="0"/>
              <w:right w:val="single" w:color="auto" w:sz="4" w:space="0"/>
            </w:tcBorders>
          </w:tcPr>
          <w:p w14:paraId="675E4096">
            <w:pPr>
              <w:spacing w:line="360" w:lineRule="auto"/>
              <w:rPr>
                <w:rFonts w:cs="宋体" w:asciiTheme="minorEastAsia" w:hAnsiTheme="minorEastAsia"/>
                <w:color w:val="auto"/>
                <w:kern w:val="0"/>
                <w:sz w:val="24"/>
                <w:highlight w:val="none"/>
              </w:rPr>
            </w:pPr>
          </w:p>
        </w:tc>
        <w:tc>
          <w:tcPr>
            <w:tcW w:w="1980" w:type="dxa"/>
            <w:gridSpan w:val="2"/>
            <w:tcBorders>
              <w:left w:val="single" w:color="auto" w:sz="4" w:space="0"/>
              <w:bottom w:val="single" w:color="000000" w:sz="4" w:space="0"/>
              <w:right w:val="single" w:color="000000" w:sz="4" w:space="0"/>
            </w:tcBorders>
          </w:tcPr>
          <w:p w14:paraId="42405E69">
            <w:pPr>
              <w:spacing w:line="360" w:lineRule="auto"/>
              <w:rPr>
                <w:rFonts w:cs="宋体" w:asciiTheme="minorEastAsia" w:hAnsiTheme="minorEastAsia"/>
                <w:color w:val="auto"/>
                <w:kern w:val="0"/>
                <w:sz w:val="24"/>
                <w:highlight w:val="none"/>
              </w:rPr>
            </w:pPr>
          </w:p>
        </w:tc>
      </w:tr>
      <w:tr w14:paraId="4BF90459">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0CE9FC82">
            <w:pPr>
              <w:spacing w:line="360" w:lineRule="auto"/>
              <w:rPr>
                <w:rFonts w:cs="宋体" w:asciiTheme="minorEastAsia" w:hAnsiTheme="minorEastAsia"/>
                <w:color w:val="auto"/>
                <w:kern w:val="0"/>
                <w:sz w:val="24"/>
                <w:highlight w:val="none"/>
              </w:rPr>
            </w:pPr>
          </w:p>
        </w:tc>
        <w:tc>
          <w:tcPr>
            <w:tcW w:w="1800" w:type="dxa"/>
            <w:gridSpan w:val="2"/>
            <w:tcBorders>
              <w:bottom w:val="single" w:color="000000" w:sz="4" w:space="0"/>
              <w:right w:val="single" w:color="000000" w:sz="4" w:space="0"/>
            </w:tcBorders>
          </w:tcPr>
          <w:p w14:paraId="6004AAF6">
            <w:pPr>
              <w:spacing w:line="360" w:lineRule="auto"/>
              <w:rPr>
                <w:rFonts w:cs="宋体" w:asciiTheme="minorEastAsia" w:hAnsiTheme="minorEastAsia"/>
                <w:color w:val="auto"/>
                <w:kern w:val="0"/>
                <w:sz w:val="24"/>
                <w:highlight w:val="none"/>
              </w:rPr>
            </w:pPr>
          </w:p>
        </w:tc>
        <w:tc>
          <w:tcPr>
            <w:tcW w:w="1980" w:type="dxa"/>
            <w:gridSpan w:val="2"/>
            <w:tcBorders>
              <w:bottom w:val="single" w:color="000000" w:sz="4" w:space="0"/>
              <w:right w:val="single" w:color="000000" w:sz="4" w:space="0"/>
            </w:tcBorders>
          </w:tcPr>
          <w:p w14:paraId="386C1DBD">
            <w:pPr>
              <w:spacing w:line="360" w:lineRule="auto"/>
              <w:rPr>
                <w:rFonts w:cs="宋体" w:asciiTheme="minorEastAsia" w:hAnsiTheme="minorEastAsia"/>
                <w:color w:val="auto"/>
                <w:kern w:val="0"/>
                <w:sz w:val="24"/>
                <w:highlight w:val="none"/>
              </w:rPr>
            </w:pPr>
          </w:p>
        </w:tc>
        <w:tc>
          <w:tcPr>
            <w:tcW w:w="2160" w:type="dxa"/>
            <w:gridSpan w:val="3"/>
            <w:tcBorders>
              <w:bottom w:val="single" w:color="000000" w:sz="4" w:space="0"/>
              <w:right w:val="single" w:color="auto" w:sz="4" w:space="0"/>
            </w:tcBorders>
          </w:tcPr>
          <w:p w14:paraId="2E79F99A">
            <w:pPr>
              <w:spacing w:line="360" w:lineRule="auto"/>
              <w:rPr>
                <w:rFonts w:cs="宋体" w:asciiTheme="minorEastAsia" w:hAnsiTheme="minorEastAsia"/>
                <w:color w:val="auto"/>
                <w:kern w:val="0"/>
                <w:sz w:val="24"/>
                <w:highlight w:val="none"/>
              </w:rPr>
            </w:pPr>
          </w:p>
        </w:tc>
        <w:tc>
          <w:tcPr>
            <w:tcW w:w="1980" w:type="dxa"/>
            <w:gridSpan w:val="2"/>
            <w:tcBorders>
              <w:left w:val="single" w:color="auto" w:sz="4" w:space="0"/>
              <w:bottom w:val="single" w:color="000000" w:sz="4" w:space="0"/>
              <w:right w:val="single" w:color="000000" w:sz="4" w:space="0"/>
            </w:tcBorders>
          </w:tcPr>
          <w:p w14:paraId="436B93E9">
            <w:pPr>
              <w:spacing w:line="360" w:lineRule="auto"/>
              <w:rPr>
                <w:rFonts w:cs="宋体" w:asciiTheme="minorEastAsia" w:hAnsiTheme="minorEastAsia"/>
                <w:color w:val="auto"/>
                <w:kern w:val="0"/>
                <w:sz w:val="24"/>
                <w:highlight w:val="none"/>
              </w:rPr>
            </w:pPr>
          </w:p>
        </w:tc>
      </w:tr>
      <w:tr w14:paraId="649EA845">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73D71CC1">
            <w:pPr>
              <w:spacing w:line="360" w:lineRule="auto"/>
              <w:rPr>
                <w:rFonts w:cs="宋体" w:asciiTheme="minorEastAsia" w:hAnsiTheme="minorEastAsia"/>
                <w:color w:val="auto"/>
                <w:kern w:val="0"/>
                <w:sz w:val="24"/>
                <w:highlight w:val="none"/>
              </w:rPr>
            </w:pPr>
          </w:p>
        </w:tc>
        <w:tc>
          <w:tcPr>
            <w:tcW w:w="1800" w:type="dxa"/>
            <w:gridSpan w:val="2"/>
            <w:tcBorders>
              <w:bottom w:val="single" w:color="000000" w:sz="4" w:space="0"/>
              <w:right w:val="single" w:color="000000" w:sz="4" w:space="0"/>
            </w:tcBorders>
          </w:tcPr>
          <w:p w14:paraId="0910F2B0">
            <w:pPr>
              <w:spacing w:line="360" w:lineRule="auto"/>
              <w:rPr>
                <w:rFonts w:cs="宋体" w:asciiTheme="minorEastAsia" w:hAnsiTheme="minorEastAsia"/>
                <w:color w:val="auto"/>
                <w:kern w:val="0"/>
                <w:sz w:val="24"/>
                <w:highlight w:val="none"/>
              </w:rPr>
            </w:pPr>
          </w:p>
        </w:tc>
        <w:tc>
          <w:tcPr>
            <w:tcW w:w="1980" w:type="dxa"/>
            <w:gridSpan w:val="2"/>
            <w:tcBorders>
              <w:bottom w:val="single" w:color="000000" w:sz="4" w:space="0"/>
              <w:right w:val="single" w:color="000000" w:sz="4" w:space="0"/>
            </w:tcBorders>
          </w:tcPr>
          <w:p w14:paraId="383BE51B">
            <w:pPr>
              <w:spacing w:line="360" w:lineRule="auto"/>
              <w:rPr>
                <w:rFonts w:cs="宋体" w:asciiTheme="minorEastAsia" w:hAnsiTheme="minorEastAsia"/>
                <w:color w:val="auto"/>
                <w:kern w:val="0"/>
                <w:sz w:val="24"/>
                <w:highlight w:val="none"/>
              </w:rPr>
            </w:pPr>
          </w:p>
        </w:tc>
        <w:tc>
          <w:tcPr>
            <w:tcW w:w="2160" w:type="dxa"/>
            <w:gridSpan w:val="3"/>
            <w:tcBorders>
              <w:bottom w:val="single" w:color="000000" w:sz="4" w:space="0"/>
              <w:right w:val="single" w:color="auto" w:sz="4" w:space="0"/>
            </w:tcBorders>
          </w:tcPr>
          <w:p w14:paraId="7E68A63F">
            <w:pPr>
              <w:spacing w:line="360" w:lineRule="auto"/>
              <w:rPr>
                <w:rFonts w:cs="宋体" w:asciiTheme="minorEastAsia" w:hAnsiTheme="minorEastAsia"/>
                <w:color w:val="auto"/>
                <w:kern w:val="0"/>
                <w:sz w:val="24"/>
                <w:highlight w:val="none"/>
              </w:rPr>
            </w:pPr>
          </w:p>
        </w:tc>
        <w:tc>
          <w:tcPr>
            <w:tcW w:w="1980" w:type="dxa"/>
            <w:gridSpan w:val="2"/>
            <w:tcBorders>
              <w:left w:val="single" w:color="auto" w:sz="4" w:space="0"/>
              <w:bottom w:val="single" w:color="000000" w:sz="4" w:space="0"/>
              <w:right w:val="single" w:color="000000" w:sz="4" w:space="0"/>
            </w:tcBorders>
          </w:tcPr>
          <w:p w14:paraId="0370C2B7">
            <w:pPr>
              <w:spacing w:line="360" w:lineRule="auto"/>
              <w:rPr>
                <w:rFonts w:cs="宋体" w:asciiTheme="minorEastAsia" w:hAnsiTheme="minorEastAsia"/>
                <w:color w:val="auto"/>
                <w:kern w:val="0"/>
                <w:sz w:val="24"/>
                <w:highlight w:val="none"/>
              </w:rPr>
            </w:pPr>
          </w:p>
        </w:tc>
      </w:tr>
      <w:tr w14:paraId="3EDBC962">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305A8C1C">
            <w:pPr>
              <w:spacing w:line="360" w:lineRule="auto"/>
              <w:rPr>
                <w:rFonts w:cs="宋体" w:asciiTheme="minorEastAsia" w:hAnsiTheme="minorEastAsia"/>
                <w:color w:val="auto"/>
                <w:kern w:val="0"/>
                <w:sz w:val="24"/>
                <w:highlight w:val="none"/>
              </w:rPr>
            </w:pPr>
          </w:p>
        </w:tc>
        <w:tc>
          <w:tcPr>
            <w:tcW w:w="1800" w:type="dxa"/>
            <w:gridSpan w:val="2"/>
            <w:tcBorders>
              <w:bottom w:val="single" w:color="000000" w:sz="4" w:space="0"/>
              <w:right w:val="single" w:color="000000" w:sz="4" w:space="0"/>
            </w:tcBorders>
          </w:tcPr>
          <w:p w14:paraId="38ECF017">
            <w:pPr>
              <w:spacing w:line="360" w:lineRule="auto"/>
              <w:rPr>
                <w:rFonts w:cs="宋体" w:asciiTheme="minorEastAsia" w:hAnsiTheme="minorEastAsia"/>
                <w:color w:val="auto"/>
                <w:kern w:val="0"/>
                <w:sz w:val="24"/>
                <w:highlight w:val="none"/>
              </w:rPr>
            </w:pPr>
          </w:p>
        </w:tc>
        <w:tc>
          <w:tcPr>
            <w:tcW w:w="1980" w:type="dxa"/>
            <w:gridSpan w:val="2"/>
            <w:tcBorders>
              <w:bottom w:val="single" w:color="000000" w:sz="4" w:space="0"/>
              <w:right w:val="single" w:color="000000" w:sz="4" w:space="0"/>
            </w:tcBorders>
          </w:tcPr>
          <w:p w14:paraId="694A2174">
            <w:pPr>
              <w:spacing w:line="360" w:lineRule="auto"/>
              <w:rPr>
                <w:rFonts w:cs="宋体" w:asciiTheme="minorEastAsia" w:hAnsiTheme="minorEastAsia"/>
                <w:color w:val="auto"/>
                <w:kern w:val="0"/>
                <w:sz w:val="24"/>
                <w:highlight w:val="none"/>
              </w:rPr>
            </w:pPr>
          </w:p>
        </w:tc>
        <w:tc>
          <w:tcPr>
            <w:tcW w:w="2160" w:type="dxa"/>
            <w:gridSpan w:val="3"/>
            <w:tcBorders>
              <w:bottom w:val="single" w:color="000000" w:sz="4" w:space="0"/>
              <w:right w:val="single" w:color="auto" w:sz="4" w:space="0"/>
            </w:tcBorders>
          </w:tcPr>
          <w:p w14:paraId="66F82AC3">
            <w:pPr>
              <w:spacing w:line="360" w:lineRule="auto"/>
              <w:rPr>
                <w:rFonts w:cs="宋体" w:asciiTheme="minorEastAsia" w:hAnsiTheme="minorEastAsia"/>
                <w:color w:val="auto"/>
                <w:kern w:val="0"/>
                <w:sz w:val="24"/>
                <w:highlight w:val="none"/>
              </w:rPr>
            </w:pPr>
          </w:p>
        </w:tc>
        <w:tc>
          <w:tcPr>
            <w:tcW w:w="1980" w:type="dxa"/>
            <w:gridSpan w:val="2"/>
            <w:tcBorders>
              <w:left w:val="single" w:color="auto" w:sz="4" w:space="0"/>
              <w:bottom w:val="single" w:color="000000" w:sz="4" w:space="0"/>
              <w:right w:val="single" w:color="000000" w:sz="4" w:space="0"/>
            </w:tcBorders>
          </w:tcPr>
          <w:p w14:paraId="17A43C22">
            <w:pPr>
              <w:spacing w:line="360" w:lineRule="auto"/>
              <w:rPr>
                <w:rFonts w:cs="宋体" w:asciiTheme="minorEastAsia" w:hAnsiTheme="minorEastAsia"/>
                <w:color w:val="auto"/>
                <w:kern w:val="0"/>
                <w:sz w:val="24"/>
                <w:highlight w:val="none"/>
              </w:rPr>
            </w:pPr>
          </w:p>
        </w:tc>
      </w:tr>
      <w:tr w14:paraId="6DF9EC56">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397B8D95">
            <w:pPr>
              <w:spacing w:line="360" w:lineRule="auto"/>
              <w:rPr>
                <w:rFonts w:cs="宋体" w:asciiTheme="minorEastAsia" w:hAnsiTheme="minorEastAsia"/>
                <w:color w:val="auto"/>
                <w:kern w:val="0"/>
                <w:sz w:val="24"/>
                <w:highlight w:val="none"/>
              </w:rPr>
            </w:pPr>
          </w:p>
        </w:tc>
        <w:tc>
          <w:tcPr>
            <w:tcW w:w="1800" w:type="dxa"/>
            <w:gridSpan w:val="2"/>
            <w:tcBorders>
              <w:bottom w:val="single" w:color="000000" w:sz="4" w:space="0"/>
              <w:right w:val="single" w:color="000000" w:sz="4" w:space="0"/>
            </w:tcBorders>
          </w:tcPr>
          <w:p w14:paraId="015925F4">
            <w:pPr>
              <w:spacing w:line="360" w:lineRule="auto"/>
              <w:rPr>
                <w:rFonts w:cs="宋体" w:asciiTheme="minorEastAsia" w:hAnsiTheme="minorEastAsia"/>
                <w:color w:val="auto"/>
                <w:kern w:val="0"/>
                <w:sz w:val="24"/>
                <w:highlight w:val="none"/>
              </w:rPr>
            </w:pPr>
          </w:p>
        </w:tc>
        <w:tc>
          <w:tcPr>
            <w:tcW w:w="1980" w:type="dxa"/>
            <w:gridSpan w:val="2"/>
            <w:tcBorders>
              <w:bottom w:val="single" w:color="000000" w:sz="4" w:space="0"/>
              <w:right w:val="single" w:color="000000" w:sz="4" w:space="0"/>
            </w:tcBorders>
          </w:tcPr>
          <w:p w14:paraId="01ED7B49">
            <w:pPr>
              <w:spacing w:line="360" w:lineRule="auto"/>
              <w:rPr>
                <w:rFonts w:cs="宋体" w:asciiTheme="minorEastAsia" w:hAnsiTheme="minorEastAsia"/>
                <w:color w:val="auto"/>
                <w:kern w:val="0"/>
                <w:sz w:val="24"/>
                <w:highlight w:val="none"/>
              </w:rPr>
            </w:pPr>
          </w:p>
        </w:tc>
        <w:tc>
          <w:tcPr>
            <w:tcW w:w="2160" w:type="dxa"/>
            <w:gridSpan w:val="3"/>
            <w:tcBorders>
              <w:bottom w:val="single" w:color="000000" w:sz="4" w:space="0"/>
              <w:right w:val="single" w:color="auto" w:sz="4" w:space="0"/>
            </w:tcBorders>
          </w:tcPr>
          <w:p w14:paraId="21A1B54B">
            <w:pPr>
              <w:spacing w:line="360" w:lineRule="auto"/>
              <w:rPr>
                <w:rFonts w:cs="宋体" w:asciiTheme="minorEastAsia" w:hAnsiTheme="minorEastAsia"/>
                <w:color w:val="auto"/>
                <w:kern w:val="0"/>
                <w:sz w:val="24"/>
                <w:highlight w:val="none"/>
              </w:rPr>
            </w:pPr>
          </w:p>
        </w:tc>
        <w:tc>
          <w:tcPr>
            <w:tcW w:w="1980" w:type="dxa"/>
            <w:gridSpan w:val="2"/>
            <w:tcBorders>
              <w:left w:val="single" w:color="auto" w:sz="4" w:space="0"/>
              <w:bottom w:val="single" w:color="000000" w:sz="4" w:space="0"/>
              <w:right w:val="single" w:color="000000" w:sz="4" w:space="0"/>
            </w:tcBorders>
          </w:tcPr>
          <w:p w14:paraId="6A9B2B96">
            <w:pPr>
              <w:spacing w:line="360" w:lineRule="auto"/>
              <w:rPr>
                <w:rFonts w:cs="宋体" w:asciiTheme="minorEastAsia" w:hAnsiTheme="minorEastAsia"/>
                <w:color w:val="auto"/>
                <w:kern w:val="0"/>
                <w:sz w:val="24"/>
                <w:highlight w:val="none"/>
              </w:rPr>
            </w:pPr>
          </w:p>
        </w:tc>
      </w:tr>
      <w:tr w14:paraId="3FF39A65">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2A4D85C8">
            <w:pPr>
              <w:spacing w:line="360" w:lineRule="auto"/>
              <w:rPr>
                <w:rFonts w:cs="宋体" w:asciiTheme="minorEastAsia" w:hAnsiTheme="minorEastAsia"/>
                <w:color w:val="auto"/>
                <w:kern w:val="0"/>
                <w:sz w:val="24"/>
                <w:highlight w:val="none"/>
              </w:rPr>
            </w:pPr>
          </w:p>
        </w:tc>
        <w:tc>
          <w:tcPr>
            <w:tcW w:w="1800" w:type="dxa"/>
            <w:gridSpan w:val="2"/>
            <w:tcBorders>
              <w:bottom w:val="single" w:color="000000" w:sz="4" w:space="0"/>
              <w:right w:val="single" w:color="000000" w:sz="4" w:space="0"/>
            </w:tcBorders>
          </w:tcPr>
          <w:p w14:paraId="1DE6541F">
            <w:pPr>
              <w:spacing w:line="360" w:lineRule="auto"/>
              <w:rPr>
                <w:rFonts w:cs="宋体" w:asciiTheme="minorEastAsia" w:hAnsiTheme="minorEastAsia"/>
                <w:color w:val="auto"/>
                <w:kern w:val="0"/>
                <w:sz w:val="24"/>
                <w:highlight w:val="none"/>
              </w:rPr>
            </w:pPr>
          </w:p>
        </w:tc>
        <w:tc>
          <w:tcPr>
            <w:tcW w:w="1980" w:type="dxa"/>
            <w:gridSpan w:val="2"/>
            <w:tcBorders>
              <w:bottom w:val="single" w:color="000000" w:sz="4" w:space="0"/>
              <w:right w:val="single" w:color="000000" w:sz="4" w:space="0"/>
            </w:tcBorders>
          </w:tcPr>
          <w:p w14:paraId="01618B9F">
            <w:pPr>
              <w:spacing w:line="360" w:lineRule="auto"/>
              <w:rPr>
                <w:rFonts w:cs="宋体" w:asciiTheme="minorEastAsia" w:hAnsiTheme="minorEastAsia"/>
                <w:color w:val="auto"/>
                <w:kern w:val="0"/>
                <w:sz w:val="24"/>
                <w:highlight w:val="none"/>
              </w:rPr>
            </w:pPr>
          </w:p>
        </w:tc>
        <w:tc>
          <w:tcPr>
            <w:tcW w:w="2160" w:type="dxa"/>
            <w:gridSpan w:val="3"/>
            <w:tcBorders>
              <w:bottom w:val="single" w:color="000000" w:sz="4" w:space="0"/>
              <w:right w:val="single" w:color="auto" w:sz="4" w:space="0"/>
            </w:tcBorders>
          </w:tcPr>
          <w:p w14:paraId="77BE927F">
            <w:pPr>
              <w:spacing w:line="360" w:lineRule="auto"/>
              <w:rPr>
                <w:rFonts w:cs="宋体" w:asciiTheme="minorEastAsia" w:hAnsiTheme="minorEastAsia"/>
                <w:color w:val="auto"/>
                <w:kern w:val="0"/>
                <w:sz w:val="24"/>
                <w:highlight w:val="none"/>
              </w:rPr>
            </w:pPr>
          </w:p>
        </w:tc>
        <w:tc>
          <w:tcPr>
            <w:tcW w:w="1980" w:type="dxa"/>
            <w:gridSpan w:val="2"/>
            <w:tcBorders>
              <w:left w:val="single" w:color="auto" w:sz="4" w:space="0"/>
              <w:bottom w:val="single" w:color="000000" w:sz="4" w:space="0"/>
              <w:right w:val="single" w:color="000000" w:sz="4" w:space="0"/>
            </w:tcBorders>
          </w:tcPr>
          <w:p w14:paraId="5B9CE5CB">
            <w:pPr>
              <w:spacing w:line="360" w:lineRule="auto"/>
              <w:rPr>
                <w:rFonts w:cs="宋体" w:asciiTheme="minorEastAsia" w:hAnsiTheme="minorEastAsia"/>
                <w:color w:val="auto"/>
                <w:kern w:val="0"/>
                <w:sz w:val="24"/>
                <w:highlight w:val="none"/>
              </w:rPr>
            </w:pPr>
          </w:p>
        </w:tc>
      </w:tr>
    </w:tbl>
    <w:p w14:paraId="3BD8C760">
      <w:pPr>
        <w:adjustRightInd w:val="0"/>
        <w:spacing w:line="360" w:lineRule="auto"/>
        <w:rPr>
          <w:rFonts w:cs="宋体" w:asciiTheme="minorEastAsia" w:hAnsiTheme="minorEastAsia"/>
          <w:color w:val="auto"/>
          <w:kern w:val="0"/>
          <w:sz w:val="24"/>
          <w:highlight w:val="none"/>
        </w:rPr>
      </w:pPr>
    </w:p>
    <w:p w14:paraId="6BC87E68">
      <w:pPr>
        <w:spacing w:line="360" w:lineRule="auto"/>
        <w:ind w:left="540" w:hanging="540" w:hangingChars="225"/>
        <w:rPr>
          <w:rFonts w:asciiTheme="minorEastAsia" w:hAnsiTheme="minorEastAsia"/>
          <w:color w:val="auto"/>
          <w:highlight w:val="none"/>
        </w:rPr>
        <w:sectPr>
          <w:pgSz w:w="11906" w:h="16838"/>
          <w:pgMar w:top="1134" w:right="1418" w:bottom="1134" w:left="1418" w:header="567" w:footer="680" w:gutter="0"/>
          <w:cols w:space="720" w:num="1"/>
          <w:docGrid w:type="lines" w:linePitch="312" w:charSpace="0"/>
        </w:sectPr>
      </w:pPr>
      <w:r>
        <w:rPr>
          <w:rFonts w:hint="eastAsia" w:cs="宋体" w:asciiTheme="minorEastAsia" w:hAnsiTheme="minorEastAsia"/>
          <w:color w:val="auto"/>
          <w:sz w:val="24"/>
          <w:highlight w:val="none"/>
        </w:rPr>
        <w:t>注:项目经理应提供其清晰可辨的身份证复印件、注册建造师资格证书、职称证书（如有）等资料复印件，必须是供应商公司在册在岗人员。</w:t>
      </w:r>
    </w:p>
    <w:p w14:paraId="02D72ED3">
      <w:pPr>
        <w:spacing w:line="360" w:lineRule="auto"/>
        <w:jc w:val="center"/>
        <w:rPr>
          <w:rFonts w:cs="宋体" w:asciiTheme="minorEastAsia" w:hAnsiTheme="minorEastAsia"/>
          <w:b/>
          <w:color w:val="auto"/>
          <w:kern w:val="0"/>
          <w:sz w:val="28"/>
          <w:highlight w:val="none"/>
        </w:rPr>
      </w:pPr>
      <w:r>
        <w:rPr>
          <w:rFonts w:hint="eastAsia" w:cs="宋体" w:asciiTheme="minorEastAsia" w:hAnsiTheme="minorEastAsia"/>
          <w:b/>
          <w:color w:val="auto"/>
          <w:kern w:val="0"/>
          <w:sz w:val="28"/>
          <w:highlight w:val="none"/>
        </w:rPr>
        <w:t>3. 项目技术负责人简历表</w:t>
      </w:r>
    </w:p>
    <w:p w14:paraId="1B422844">
      <w:pPr>
        <w:spacing w:line="360" w:lineRule="auto"/>
        <w:rPr>
          <w:rFonts w:cs="宋体" w:asciiTheme="minorEastAsia" w:hAnsiTheme="minorEastAsia"/>
          <w:b/>
          <w:color w:val="auto"/>
          <w:kern w:val="0"/>
          <w:sz w:val="24"/>
          <w:highlight w:val="none"/>
        </w:rPr>
      </w:pPr>
      <w:r>
        <w:rPr>
          <w:rFonts w:hint="eastAsia" w:cs="宋体" w:asciiTheme="minorEastAsia" w:hAnsiTheme="minorEastAsia"/>
          <w:b/>
          <w:color w:val="auto"/>
          <w:kern w:val="0"/>
          <w:sz w:val="24"/>
          <w:highlight w:val="none"/>
        </w:rPr>
        <w:t xml:space="preserve"> </w:t>
      </w:r>
    </w:p>
    <w:p w14:paraId="0F9A5B24">
      <w:pPr>
        <w:spacing w:line="360" w:lineRule="auto"/>
        <w:rPr>
          <w:rFonts w:cs="宋体" w:asciiTheme="minorEastAsia" w:hAnsiTheme="minorEastAsia"/>
          <w:b/>
          <w:color w:val="auto"/>
          <w:kern w:val="0"/>
          <w:sz w:val="24"/>
          <w:highlight w:val="none"/>
        </w:rPr>
      </w:pPr>
      <w:r>
        <w:rPr>
          <w:rFonts w:hint="eastAsia" w:cs="宋体" w:asciiTheme="minorEastAsia" w:hAnsiTheme="minorEastAsia"/>
          <w:color w:val="auto"/>
          <w:sz w:val="24"/>
          <w:highlight w:val="none"/>
          <w:u w:val="single"/>
        </w:rPr>
        <w:t xml:space="preserve">           （工程项目名称）            </w:t>
      </w:r>
      <w:r>
        <w:rPr>
          <w:rFonts w:hint="eastAsia" w:cs="宋体" w:asciiTheme="minorEastAsia" w:hAnsiTheme="minorEastAsia"/>
          <w:color w:val="auto"/>
          <w:sz w:val="24"/>
          <w:highlight w:val="none"/>
        </w:rPr>
        <w:t xml:space="preserve">工程                       </w:t>
      </w:r>
      <w:r>
        <w:rPr>
          <w:rFonts w:hint="eastAsia" w:cs="宋体" w:asciiTheme="minorEastAsia" w:hAnsiTheme="minorEastAsia"/>
          <w:b/>
          <w:color w:val="auto"/>
          <w:kern w:val="0"/>
          <w:sz w:val="24"/>
          <w:highlight w:val="none"/>
        </w:rPr>
        <w:t xml:space="preserve">表7.8  </w:t>
      </w:r>
    </w:p>
    <w:tbl>
      <w:tblPr>
        <w:tblStyle w:val="28"/>
        <w:tblW w:w="9180" w:type="dxa"/>
        <w:tblInd w:w="108" w:type="dxa"/>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Layout w:type="fixed"/>
        <w:tblCellMar>
          <w:top w:w="0" w:type="dxa"/>
          <w:left w:w="108" w:type="dxa"/>
          <w:bottom w:w="0" w:type="dxa"/>
          <w:right w:w="108" w:type="dxa"/>
        </w:tblCellMar>
      </w:tblPr>
      <w:tblGrid>
        <w:gridCol w:w="1080"/>
        <w:gridCol w:w="180"/>
        <w:gridCol w:w="720"/>
        <w:gridCol w:w="1080"/>
        <w:gridCol w:w="1080"/>
        <w:gridCol w:w="360"/>
        <w:gridCol w:w="90"/>
        <w:gridCol w:w="1530"/>
        <w:gridCol w:w="1080"/>
        <w:gridCol w:w="450"/>
        <w:gridCol w:w="1530"/>
      </w:tblGrid>
      <w:tr w14:paraId="025CFAF5">
        <w:tblPrEx>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080" w:type="dxa"/>
            <w:tcBorders>
              <w:bottom w:val="single" w:color="000000" w:sz="4" w:space="0"/>
              <w:right w:val="single" w:color="000000" w:sz="4" w:space="0"/>
            </w:tcBorders>
            <w:vAlign w:val="center"/>
          </w:tcPr>
          <w:p w14:paraId="5F031007">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姓名</w:t>
            </w:r>
          </w:p>
        </w:tc>
        <w:tc>
          <w:tcPr>
            <w:tcW w:w="1980" w:type="dxa"/>
            <w:gridSpan w:val="3"/>
            <w:tcBorders>
              <w:bottom w:val="single" w:color="000000" w:sz="4" w:space="0"/>
              <w:right w:val="single" w:color="000000" w:sz="4" w:space="0"/>
            </w:tcBorders>
          </w:tcPr>
          <w:p w14:paraId="293839B3">
            <w:pPr>
              <w:spacing w:line="360" w:lineRule="auto"/>
              <w:rPr>
                <w:rFonts w:cs="宋体" w:asciiTheme="minorEastAsia" w:hAnsiTheme="minorEastAsia"/>
                <w:color w:val="auto"/>
                <w:kern w:val="0"/>
                <w:sz w:val="24"/>
                <w:highlight w:val="none"/>
              </w:rPr>
            </w:pPr>
          </w:p>
        </w:tc>
        <w:tc>
          <w:tcPr>
            <w:tcW w:w="1080" w:type="dxa"/>
            <w:tcBorders>
              <w:bottom w:val="single" w:color="000000" w:sz="4" w:space="0"/>
              <w:right w:val="single" w:color="000000" w:sz="4" w:space="0"/>
            </w:tcBorders>
            <w:vAlign w:val="center"/>
          </w:tcPr>
          <w:p w14:paraId="6F19DC39">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性别</w:t>
            </w:r>
          </w:p>
        </w:tc>
        <w:tc>
          <w:tcPr>
            <w:tcW w:w="1980" w:type="dxa"/>
            <w:gridSpan w:val="3"/>
            <w:tcBorders>
              <w:bottom w:val="single" w:color="000000" w:sz="4" w:space="0"/>
              <w:right w:val="single" w:color="000000" w:sz="4" w:space="0"/>
            </w:tcBorders>
          </w:tcPr>
          <w:p w14:paraId="78AC5D38">
            <w:pPr>
              <w:spacing w:line="360" w:lineRule="auto"/>
              <w:rPr>
                <w:rFonts w:cs="宋体" w:asciiTheme="minorEastAsia" w:hAnsiTheme="minorEastAsia"/>
                <w:color w:val="auto"/>
                <w:kern w:val="0"/>
                <w:sz w:val="24"/>
                <w:highlight w:val="none"/>
              </w:rPr>
            </w:pPr>
          </w:p>
        </w:tc>
        <w:tc>
          <w:tcPr>
            <w:tcW w:w="1080" w:type="dxa"/>
            <w:tcBorders>
              <w:bottom w:val="single" w:color="000000" w:sz="4" w:space="0"/>
              <w:right w:val="single" w:color="auto" w:sz="4" w:space="0"/>
            </w:tcBorders>
            <w:vAlign w:val="center"/>
          </w:tcPr>
          <w:p w14:paraId="7ED84C1F">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年龄</w:t>
            </w:r>
          </w:p>
        </w:tc>
        <w:tc>
          <w:tcPr>
            <w:tcW w:w="1980" w:type="dxa"/>
            <w:gridSpan w:val="2"/>
            <w:tcBorders>
              <w:left w:val="single" w:color="auto" w:sz="4" w:space="0"/>
              <w:bottom w:val="single" w:color="000000" w:sz="4" w:space="0"/>
              <w:right w:val="single" w:color="000000" w:sz="4" w:space="0"/>
            </w:tcBorders>
          </w:tcPr>
          <w:p w14:paraId="6DB6E144">
            <w:pPr>
              <w:spacing w:line="360" w:lineRule="auto"/>
              <w:rPr>
                <w:rFonts w:cs="宋体" w:asciiTheme="minorEastAsia" w:hAnsiTheme="minorEastAsia"/>
                <w:color w:val="auto"/>
                <w:kern w:val="0"/>
                <w:sz w:val="24"/>
                <w:highlight w:val="none"/>
              </w:rPr>
            </w:pPr>
          </w:p>
        </w:tc>
      </w:tr>
      <w:tr w14:paraId="5B5A9B60">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080" w:type="dxa"/>
            <w:tcBorders>
              <w:bottom w:val="single" w:color="000000" w:sz="4" w:space="0"/>
              <w:right w:val="single" w:color="000000" w:sz="4" w:space="0"/>
            </w:tcBorders>
            <w:vAlign w:val="center"/>
          </w:tcPr>
          <w:p w14:paraId="66003C10">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职务</w:t>
            </w:r>
          </w:p>
        </w:tc>
        <w:tc>
          <w:tcPr>
            <w:tcW w:w="1980" w:type="dxa"/>
            <w:gridSpan w:val="3"/>
            <w:tcBorders>
              <w:bottom w:val="single" w:color="000000" w:sz="4" w:space="0"/>
              <w:right w:val="single" w:color="000000" w:sz="4" w:space="0"/>
            </w:tcBorders>
          </w:tcPr>
          <w:p w14:paraId="36C211B6">
            <w:pPr>
              <w:spacing w:line="360" w:lineRule="auto"/>
              <w:rPr>
                <w:rFonts w:cs="宋体" w:asciiTheme="minorEastAsia" w:hAnsiTheme="minorEastAsia"/>
                <w:color w:val="auto"/>
                <w:kern w:val="0"/>
                <w:sz w:val="24"/>
                <w:highlight w:val="none"/>
              </w:rPr>
            </w:pPr>
          </w:p>
        </w:tc>
        <w:tc>
          <w:tcPr>
            <w:tcW w:w="1080" w:type="dxa"/>
            <w:tcBorders>
              <w:bottom w:val="single" w:color="000000" w:sz="4" w:space="0"/>
              <w:right w:val="single" w:color="000000" w:sz="4" w:space="0"/>
            </w:tcBorders>
            <w:vAlign w:val="center"/>
          </w:tcPr>
          <w:p w14:paraId="0CA9DB0E">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职称</w:t>
            </w:r>
          </w:p>
        </w:tc>
        <w:tc>
          <w:tcPr>
            <w:tcW w:w="1980" w:type="dxa"/>
            <w:gridSpan w:val="3"/>
            <w:tcBorders>
              <w:bottom w:val="single" w:color="000000" w:sz="4" w:space="0"/>
              <w:right w:val="single" w:color="000000" w:sz="4" w:space="0"/>
            </w:tcBorders>
          </w:tcPr>
          <w:p w14:paraId="5DA29105">
            <w:pPr>
              <w:spacing w:line="360" w:lineRule="auto"/>
              <w:rPr>
                <w:rFonts w:cs="宋体" w:asciiTheme="minorEastAsia" w:hAnsiTheme="minorEastAsia"/>
                <w:color w:val="auto"/>
                <w:kern w:val="0"/>
                <w:sz w:val="24"/>
                <w:highlight w:val="none"/>
              </w:rPr>
            </w:pPr>
          </w:p>
        </w:tc>
        <w:tc>
          <w:tcPr>
            <w:tcW w:w="1080" w:type="dxa"/>
            <w:tcBorders>
              <w:bottom w:val="single" w:color="000000" w:sz="4" w:space="0"/>
              <w:right w:val="single" w:color="auto" w:sz="4" w:space="0"/>
            </w:tcBorders>
            <w:vAlign w:val="center"/>
          </w:tcPr>
          <w:p w14:paraId="44CDB0DF">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学历</w:t>
            </w:r>
          </w:p>
        </w:tc>
        <w:tc>
          <w:tcPr>
            <w:tcW w:w="1980" w:type="dxa"/>
            <w:gridSpan w:val="2"/>
            <w:tcBorders>
              <w:left w:val="single" w:color="auto" w:sz="4" w:space="0"/>
              <w:bottom w:val="single" w:color="000000" w:sz="4" w:space="0"/>
              <w:right w:val="single" w:color="000000" w:sz="4" w:space="0"/>
            </w:tcBorders>
          </w:tcPr>
          <w:p w14:paraId="532BFAEA">
            <w:pPr>
              <w:spacing w:line="360" w:lineRule="auto"/>
              <w:rPr>
                <w:rFonts w:cs="宋体" w:asciiTheme="minorEastAsia" w:hAnsiTheme="minorEastAsia"/>
                <w:color w:val="auto"/>
                <w:kern w:val="0"/>
                <w:sz w:val="24"/>
                <w:highlight w:val="none"/>
              </w:rPr>
            </w:pPr>
          </w:p>
        </w:tc>
      </w:tr>
      <w:tr w14:paraId="30D52E52">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980" w:type="dxa"/>
            <w:gridSpan w:val="3"/>
            <w:tcBorders>
              <w:bottom w:val="single" w:color="000000" w:sz="4" w:space="0"/>
              <w:right w:val="single" w:color="auto" w:sz="4" w:space="0"/>
            </w:tcBorders>
            <w:vAlign w:val="center"/>
          </w:tcPr>
          <w:p w14:paraId="735BE25B">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参加工作时间</w:t>
            </w:r>
          </w:p>
        </w:tc>
        <w:tc>
          <w:tcPr>
            <w:tcW w:w="2520" w:type="dxa"/>
            <w:gridSpan w:val="3"/>
            <w:tcBorders>
              <w:left w:val="single" w:color="auto" w:sz="4" w:space="0"/>
              <w:bottom w:val="single" w:color="000000" w:sz="4" w:space="0"/>
              <w:right w:val="single" w:color="000000" w:sz="4" w:space="0"/>
            </w:tcBorders>
          </w:tcPr>
          <w:p w14:paraId="0BE9D135">
            <w:pPr>
              <w:spacing w:line="360" w:lineRule="auto"/>
              <w:rPr>
                <w:rFonts w:cs="宋体" w:asciiTheme="minorEastAsia" w:hAnsiTheme="minorEastAsia"/>
                <w:color w:val="auto"/>
                <w:kern w:val="0"/>
                <w:sz w:val="24"/>
                <w:highlight w:val="none"/>
              </w:rPr>
            </w:pPr>
          </w:p>
        </w:tc>
        <w:tc>
          <w:tcPr>
            <w:tcW w:w="2700" w:type="dxa"/>
            <w:gridSpan w:val="3"/>
            <w:tcBorders>
              <w:left w:val="single" w:color="auto" w:sz="4" w:space="0"/>
              <w:bottom w:val="single" w:color="000000" w:sz="4" w:space="0"/>
              <w:right w:val="single" w:color="000000" w:sz="4" w:space="0"/>
            </w:tcBorders>
            <w:vAlign w:val="center"/>
          </w:tcPr>
          <w:p w14:paraId="51614F07">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担任技术负责人年限</w:t>
            </w:r>
          </w:p>
        </w:tc>
        <w:tc>
          <w:tcPr>
            <w:tcW w:w="1980" w:type="dxa"/>
            <w:gridSpan w:val="2"/>
            <w:tcBorders>
              <w:left w:val="single" w:color="auto" w:sz="4" w:space="0"/>
              <w:bottom w:val="single" w:color="auto" w:sz="4" w:space="0"/>
              <w:right w:val="single" w:color="000000" w:sz="4" w:space="0"/>
            </w:tcBorders>
          </w:tcPr>
          <w:p w14:paraId="4380C016">
            <w:pPr>
              <w:spacing w:line="360" w:lineRule="auto"/>
              <w:rPr>
                <w:rFonts w:cs="宋体" w:asciiTheme="minorEastAsia" w:hAnsiTheme="minorEastAsia"/>
                <w:color w:val="auto"/>
                <w:kern w:val="0"/>
                <w:sz w:val="24"/>
                <w:highlight w:val="none"/>
              </w:rPr>
            </w:pPr>
          </w:p>
        </w:tc>
      </w:tr>
      <w:tr w14:paraId="26261525">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180" w:type="dxa"/>
            <w:gridSpan w:val="11"/>
            <w:tcBorders>
              <w:bottom w:val="single" w:color="000000" w:sz="4" w:space="0"/>
              <w:right w:val="single" w:color="000000" w:sz="4" w:space="0"/>
            </w:tcBorders>
            <w:vAlign w:val="center"/>
          </w:tcPr>
          <w:p w14:paraId="50ABA966">
            <w:pPr>
              <w:spacing w:line="360" w:lineRule="auto"/>
              <w:jc w:val="center"/>
              <w:rPr>
                <w:rFonts w:cs="宋体" w:asciiTheme="minorEastAsia" w:hAnsiTheme="minorEastAsia"/>
                <w:b/>
                <w:color w:val="auto"/>
                <w:kern w:val="0"/>
                <w:sz w:val="24"/>
                <w:highlight w:val="none"/>
              </w:rPr>
            </w:pPr>
            <w:r>
              <w:rPr>
                <w:rFonts w:hint="eastAsia" w:cs="宋体" w:asciiTheme="minorEastAsia" w:hAnsiTheme="minorEastAsia"/>
                <w:b/>
                <w:color w:val="auto"/>
                <w:kern w:val="0"/>
                <w:sz w:val="24"/>
                <w:highlight w:val="none"/>
              </w:rPr>
              <w:t>已完成工程项目情况</w:t>
            </w:r>
          </w:p>
        </w:tc>
      </w:tr>
      <w:tr w14:paraId="54010A80">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vAlign w:val="center"/>
          </w:tcPr>
          <w:p w14:paraId="770E9915">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建设单位</w:t>
            </w:r>
          </w:p>
        </w:tc>
        <w:tc>
          <w:tcPr>
            <w:tcW w:w="1800" w:type="dxa"/>
            <w:gridSpan w:val="2"/>
            <w:tcBorders>
              <w:bottom w:val="single" w:color="000000" w:sz="4" w:space="0"/>
              <w:right w:val="single" w:color="000000" w:sz="4" w:space="0"/>
            </w:tcBorders>
            <w:vAlign w:val="center"/>
          </w:tcPr>
          <w:p w14:paraId="351E6712">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项目名称</w:t>
            </w:r>
          </w:p>
        </w:tc>
        <w:tc>
          <w:tcPr>
            <w:tcW w:w="1530" w:type="dxa"/>
            <w:gridSpan w:val="3"/>
            <w:tcBorders>
              <w:bottom w:val="single" w:color="000000" w:sz="4" w:space="0"/>
              <w:right w:val="single" w:color="000000" w:sz="4" w:space="0"/>
            </w:tcBorders>
            <w:vAlign w:val="center"/>
          </w:tcPr>
          <w:p w14:paraId="0765CF9F">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建设规模</w:t>
            </w:r>
          </w:p>
        </w:tc>
        <w:tc>
          <w:tcPr>
            <w:tcW w:w="1530" w:type="dxa"/>
            <w:tcBorders>
              <w:bottom w:val="single" w:color="000000" w:sz="4" w:space="0"/>
              <w:right w:val="single" w:color="auto" w:sz="4" w:space="0"/>
            </w:tcBorders>
            <w:vAlign w:val="center"/>
          </w:tcPr>
          <w:p w14:paraId="6AAABD2B">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开、竣工</w:t>
            </w:r>
          </w:p>
          <w:p w14:paraId="736B9A1C">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日期</w:t>
            </w:r>
          </w:p>
        </w:tc>
        <w:tc>
          <w:tcPr>
            <w:tcW w:w="1530" w:type="dxa"/>
            <w:gridSpan w:val="2"/>
            <w:tcBorders>
              <w:left w:val="single" w:color="auto" w:sz="4" w:space="0"/>
              <w:bottom w:val="single" w:color="000000" w:sz="4" w:space="0"/>
              <w:right w:val="single" w:color="000000" w:sz="4" w:space="0"/>
            </w:tcBorders>
            <w:vAlign w:val="center"/>
          </w:tcPr>
          <w:p w14:paraId="6668FCF7">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在建或</w:t>
            </w:r>
          </w:p>
          <w:p w14:paraId="31A68622">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已完成</w:t>
            </w:r>
          </w:p>
        </w:tc>
        <w:tc>
          <w:tcPr>
            <w:tcW w:w="1530" w:type="dxa"/>
            <w:tcBorders>
              <w:bottom w:val="single" w:color="000000" w:sz="4" w:space="0"/>
              <w:right w:val="single" w:color="000000" w:sz="4" w:space="0"/>
            </w:tcBorders>
            <w:vAlign w:val="center"/>
          </w:tcPr>
          <w:p w14:paraId="522E6F63">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工程质量</w:t>
            </w:r>
          </w:p>
        </w:tc>
      </w:tr>
      <w:tr w14:paraId="16EF6F9A">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25B8EDC7">
            <w:pPr>
              <w:spacing w:line="360" w:lineRule="auto"/>
              <w:rPr>
                <w:rFonts w:cs="宋体" w:asciiTheme="minorEastAsia" w:hAnsiTheme="minorEastAsia"/>
                <w:color w:val="auto"/>
                <w:kern w:val="0"/>
                <w:sz w:val="24"/>
                <w:highlight w:val="none"/>
              </w:rPr>
            </w:pPr>
          </w:p>
        </w:tc>
        <w:tc>
          <w:tcPr>
            <w:tcW w:w="1800" w:type="dxa"/>
            <w:gridSpan w:val="2"/>
            <w:tcBorders>
              <w:bottom w:val="single" w:color="000000" w:sz="4" w:space="0"/>
              <w:right w:val="single" w:color="000000" w:sz="4" w:space="0"/>
            </w:tcBorders>
          </w:tcPr>
          <w:p w14:paraId="51A76B8D">
            <w:pPr>
              <w:spacing w:line="360" w:lineRule="auto"/>
              <w:rPr>
                <w:rFonts w:cs="宋体" w:asciiTheme="minorEastAsia" w:hAnsiTheme="minorEastAsia"/>
                <w:color w:val="auto"/>
                <w:kern w:val="0"/>
                <w:sz w:val="24"/>
                <w:highlight w:val="none"/>
              </w:rPr>
            </w:pPr>
          </w:p>
        </w:tc>
        <w:tc>
          <w:tcPr>
            <w:tcW w:w="1530" w:type="dxa"/>
            <w:gridSpan w:val="3"/>
            <w:tcBorders>
              <w:bottom w:val="single" w:color="000000" w:sz="4" w:space="0"/>
              <w:right w:val="single" w:color="000000" w:sz="4" w:space="0"/>
            </w:tcBorders>
          </w:tcPr>
          <w:p w14:paraId="263A9134">
            <w:pPr>
              <w:spacing w:line="360" w:lineRule="auto"/>
              <w:rPr>
                <w:rFonts w:cs="宋体" w:asciiTheme="minorEastAsia" w:hAnsiTheme="minorEastAsia"/>
                <w:color w:val="auto"/>
                <w:kern w:val="0"/>
                <w:sz w:val="24"/>
                <w:highlight w:val="none"/>
              </w:rPr>
            </w:pPr>
          </w:p>
        </w:tc>
        <w:tc>
          <w:tcPr>
            <w:tcW w:w="1530" w:type="dxa"/>
            <w:tcBorders>
              <w:bottom w:val="single" w:color="000000" w:sz="4" w:space="0"/>
              <w:right w:val="single" w:color="auto" w:sz="4" w:space="0"/>
            </w:tcBorders>
          </w:tcPr>
          <w:p w14:paraId="273F91E7">
            <w:pPr>
              <w:spacing w:line="360" w:lineRule="auto"/>
              <w:rPr>
                <w:rFonts w:cs="宋体" w:asciiTheme="minorEastAsia" w:hAnsiTheme="minorEastAsia"/>
                <w:color w:val="auto"/>
                <w:kern w:val="0"/>
                <w:sz w:val="24"/>
                <w:highlight w:val="none"/>
              </w:rPr>
            </w:pPr>
          </w:p>
        </w:tc>
        <w:tc>
          <w:tcPr>
            <w:tcW w:w="1530" w:type="dxa"/>
            <w:gridSpan w:val="2"/>
            <w:tcBorders>
              <w:left w:val="single" w:color="auto" w:sz="4" w:space="0"/>
              <w:bottom w:val="single" w:color="000000" w:sz="4" w:space="0"/>
              <w:right w:val="single" w:color="000000" w:sz="4" w:space="0"/>
            </w:tcBorders>
          </w:tcPr>
          <w:p w14:paraId="4512DB9F">
            <w:pPr>
              <w:spacing w:line="360" w:lineRule="auto"/>
              <w:rPr>
                <w:rFonts w:cs="宋体" w:asciiTheme="minorEastAsia" w:hAnsiTheme="minorEastAsia"/>
                <w:color w:val="auto"/>
                <w:kern w:val="0"/>
                <w:sz w:val="24"/>
                <w:highlight w:val="none"/>
              </w:rPr>
            </w:pPr>
          </w:p>
        </w:tc>
        <w:tc>
          <w:tcPr>
            <w:tcW w:w="1530" w:type="dxa"/>
            <w:tcBorders>
              <w:bottom w:val="single" w:color="000000" w:sz="4" w:space="0"/>
              <w:right w:val="single" w:color="000000" w:sz="4" w:space="0"/>
            </w:tcBorders>
          </w:tcPr>
          <w:p w14:paraId="2D912A60">
            <w:pPr>
              <w:spacing w:line="360" w:lineRule="auto"/>
              <w:rPr>
                <w:rFonts w:cs="宋体" w:asciiTheme="minorEastAsia" w:hAnsiTheme="minorEastAsia"/>
                <w:color w:val="auto"/>
                <w:kern w:val="0"/>
                <w:sz w:val="24"/>
                <w:highlight w:val="none"/>
              </w:rPr>
            </w:pPr>
          </w:p>
        </w:tc>
      </w:tr>
      <w:tr w14:paraId="4BDBD072">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10EC420D">
            <w:pPr>
              <w:spacing w:line="360" w:lineRule="auto"/>
              <w:rPr>
                <w:rFonts w:cs="宋体" w:asciiTheme="minorEastAsia" w:hAnsiTheme="minorEastAsia"/>
                <w:color w:val="auto"/>
                <w:kern w:val="0"/>
                <w:sz w:val="24"/>
                <w:highlight w:val="none"/>
              </w:rPr>
            </w:pPr>
          </w:p>
        </w:tc>
        <w:tc>
          <w:tcPr>
            <w:tcW w:w="1800" w:type="dxa"/>
            <w:gridSpan w:val="2"/>
            <w:tcBorders>
              <w:bottom w:val="single" w:color="000000" w:sz="4" w:space="0"/>
              <w:right w:val="single" w:color="000000" w:sz="4" w:space="0"/>
            </w:tcBorders>
          </w:tcPr>
          <w:p w14:paraId="38575A32">
            <w:pPr>
              <w:spacing w:line="360" w:lineRule="auto"/>
              <w:rPr>
                <w:rFonts w:cs="宋体" w:asciiTheme="minorEastAsia" w:hAnsiTheme="minorEastAsia"/>
                <w:color w:val="auto"/>
                <w:kern w:val="0"/>
                <w:sz w:val="24"/>
                <w:highlight w:val="none"/>
              </w:rPr>
            </w:pPr>
          </w:p>
        </w:tc>
        <w:tc>
          <w:tcPr>
            <w:tcW w:w="1530" w:type="dxa"/>
            <w:gridSpan w:val="3"/>
            <w:tcBorders>
              <w:bottom w:val="single" w:color="000000" w:sz="4" w:space="0"/>
              <w:right w:val="single" w:color="000000" w:sz="4" w:space="0"/>
            </w:tcBorders>
          </w:tcPr>
          <w:p w14:paraId="14DF839A">
            <w:pPr>
              <w:spacing w:line="360" w:lineRule="auto"/>
              <w:rPr>
                <w:rFonts w:cs="宋体" w:asciiTheme="minorEastAsia" w:hAnsiTheme="minorEastAsia"/>
                <w:color w:val="auto"/>
                <w:kern w:val="0"/>
                <w:sz w:val="24"/>
                <w:highlight w:val="none"/>
              </w:rPr>
            </w:pPr>
          </w:p>
        </w:tc>
        <w:tc>
          <w:tcPr>
            <w:tcW w:w="1530" w:type="dxa"/>
            <w:tcBorders>
              <w:bottom w:val="single" w:color="000000" w:sz="4" w:space="0"/>
              <w:right w:val="single" w:color="auto" w:sz="4" w:space="0"/>
            </w:tcBorders>
          </w:tcPr>
          <w:p w14:paraId="7829F312">
            <w:pPr>
              <w:spacing w:line="360" w:lineRule="auto"/>
              <w:rPr>
                <w:rFonts w:cs="宋体" w:asciiTheme="minorEastAsia" w:hAnsiTheme="minorEastAsia"/>
                <w:color w:val="auto"/>
                <w:kern w:val="0"/>
                <w:sz w:val="24"/>
                <w:highlight w:val="none"/>
              </w:rPr>
            </w:pPr>
          </w:p>
        </w:tc>
        <w:tc>
          <w:tcPr>
            <w:tcW w:w="1530" w:type="dxa"/>
            <w:gridSpan w:val="2"/>
            <w:tcBorders>
              <w:left w:val="single" w:color="auto" w:sz="4" w:space="0"/>
              <w:bottom w:val="single" w:color="000000" w:sz="4" w:space="0"/>
              <w:right w:val="single" w:color="000000" w:sz="4" w:space="0"/>
            </w:tcBorders>
          </w:tcPr>
          <w:p w14:paraId="55D0FC4E">
            <w:pPr>
              <w:spacing w:line="360" w:lineRule="auto"/>
              <w:rPr>
                <w:rFonts w:cs="宋体" w:asciiTheme="minorEastAsia" w:hAnsiTheme="minorEastAsia"/>
                <w:color w:val="auto"/>
                <w:kern w:val="0"/>
                <w:sz w:val="24"/>
                <w:highlight w:val="none"/>
              </w:rPr>
            </w:pPr>
          </w:p>
        </w:tc>
        <w:tc>
          <w:tcPr>
            <w:tcW w:w="1530" w:type="dxa"/>
            <w:tcBorders>
              <w:bottom w:val="single" w:color="000000" w:sz="4" w:space="0"/>
              <w:right w:val="single" w:color="000000" w:sz="4" w:space="0"/>
            </w:tcBorders>
          </w:tcPr>
          <w:p w14:paraId="2DF33171">
            <w:pPr>
              <w:spacing w:line="360" w:lineRule="auto"/>
              <w:rPr>
                <w:rFonts w:cs="宋体" w:asciiTheme="minorEastAsia" w:hAnsiTheme="minorEastAsia"/>
                <w:color w:val="auto"/>
                <w:kern w:val="0"/>
                <w:sz w:val="24"/>
                <w:highlight w:val="none"/>
              </w:rPr>
            </w:pPr>
          </w:p>
        </w:tc>
      </w:tr>
      <w:tr w14:paraId="22642A15">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76E09F32">
            <w:pPr>
              <w:spacing w:line="360" w:lineRule="auto"/>
              <w:rPr>
                <w:rFonts w:cs="宋体" w:asciiTheme="minorEastAsia" w:hAnsiTheme="minorEastAsia"/>
                <w:color w:val="auto"/>
                <w:kern w:val="0"/>
                <w:sz w:val="24"/>
                <w:highlight w:val="none"/>
              </w:rPr>
            </w:pPr>
          </w:p>
        </w:tc>
        <w:tc>
          <w:tcPr>
            <w:tcW w:w="1800" w:type="dxa"/>
            <w:gridSpan w:val="2"/>
            <w:tcBorders>
              <w:bottom w:val="single" w:color="000000" w:sz="4" w:space="0"/>
              <w:right w:val="single" w:color="000000" w:sz="4" w:space="0"/>
            </w:tcBorders>
          </w:tcPr>
          <w:p w14:paraId="60C8ABDC">
            <w:pPr>
              <w:spacing w:line="360" w:lineRule="auto"/>
              <w:rPr>
                <w:rFonts w:cs="宋体" w:asciiTheme="minorEastAsia" w:hAnsiTheme="minorEastAsia"/>
                <w:color w:val="auto"/>
                <w:kern w:val="0"/>
                <w:sz w:val="24"/>
                <w:highlight w:val="none"/>
              </w:rPr>
            </w:pPr>
          </w:p>
        </w:tc>
        <w:tc>
          <w:tcPr>
            <w:tcW w:w="1530" w:type="dxa"/>
            <w:gridSpan w:val="3"/>
            <w:tcBorders>
              <w:bottom w:val="single" w:color="000000" w:sz="4" w:space="0"/>
              <w:right w:val="single" w:color="000000" w:sz="4" w:space="0"/>
            </w:tcBorders>
          </w:tcPr>
          <w:p w14:paraId="70563E75">
            <w:pPr>
              <w:spacing w:line="360" w:lineRule="auto"/>
              <w:rPr>
                <w:rFonts w:cs="宋体" w:asciiTheme="minorEastAsia" w:hAnsiTheme="minorEastAsia"/>
                <w:color w:val="auto"/>
                <w:kern w:val="0"/>
                <w:sz w:val="24"/>
                <w:highlight w:val="none"/>
              </w:rPr>
            </w:pPr>
          </w:p>
        </w:tc>
        <w:tc>
          <w:tcPr>
            <w:tcW w:w="1530" w:type="dxa"/>
            <w:tcBorders>
              <w:bottom w:val="single" w:color="000000" w:sz="4" w:space="0"/>
              <w:right w:val="single" w:color="auto" w:sz="4" w:space="0"/>
            </w:tcBorders>
          </w:tcPr>
          <w:p w14:paraId="2EF983DE">
            <w:pPr>
              <w:spacing w:line="360" w:lineRule="auto"/>
              <w:rPr>
                <w:rFonts w:cs="宋体" w:asciiTheme="minorEastAsia" w:hAnsiTheme="minorEastAsia"/>
                <w:color w:val="auto"/>
                <w:kern w:val="0"/>
                <w:sz w:val="24"/>
                <w:highlight w:val="none"/>
              </w:rPr>
            </w:pPr>
          </w:p>
        </w:tc>
        <w:tc>
          <w:tcPr>
            <w:tcW w:w="1530" w:type="dxa"/>
            <w:gridSpan w:val="2"/>
            <w:tcBorders>
              <w:left w:val="single" w:color="auto" w:sz="4" w:space="0"/>
              <w:bottom w:val="single" w:color="000000" w:sz="4" w:space="0"/>
              <w:right w:val="single" w:color="000000" w:sz="4" w:space="0"/>
            </w:tcBorders>
          </w:tcPr>
          <w:p w14:paraId="6B767267">
            <w:pPr>
              <w:spacing w:line="360" w:lineRule="auto"/>
              <w:rPr>
                <w:rFonts w:cs="宋体" w:asciiTheme="minorEastAsia" w:hAnsiTheme="minorEastAsia"/>
                <w:color w:val="auto"/>
                <w:kern w:val="0"/>
                <w:sz w:val="24"/>
                <w:highlight w:val="none"/>
              </w:rPr>
            </w:pPr>
          </w:p>
        </w:tc>
        <w:tc>
          <w:tcPr>
            <w:tcW w:w="1530" w:type="dxa"/>
            <w:tcBorders>
              <w:bottom w:val="single" w:color="000000" w:sz="4" w:space="0"/>
              <w:right w:val="single" w:color="000000" w:sz="4" w:space="0"/>
            </w:tcBorders>
          </w:tcPr>
          <w:p w14:paraId="4FF91CAE">
            <w:pPr>
              <w:spacing w:line="360" w:lineRule="auto"/>
              <w:rPr>
                <w:rFonts w:cs="宋体" w:asciiTheme="minorEastAsia" w:hAnsiTheme="minorEastAsia"/>
                <w:color w:val="auto"/>
                <w:kern w:val="0"/>
                <w:sz w:val="24"/>
                <w:highlight w:val="none"/>
              </w:rPr>
            </w:pPr>
          </w:p>
        </w:tc>
      </w:tr>
      <w:tr w14:paraId="49E40CB4">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4017C14A">
            <w:pPr>
              <w:spacing w:line="360" w:lineRule="auto"/>
              <w:rPr>
                <w:rFonts w:cs="宋体" w:asciiTheme="minorEastAsia" w:hAnsiTheme="minorEastAsia"/>
                <w:color w:val="auto"/>
                <w:kern w:val="0"/>
                <w:sz w:val="24"/>
                <w:highlight w:val="none"/>
              </w:rPr>
            </w:pPr>
          </w:p>
        </w:tc>
        <w:tc>
          <w:tcPr>
            <w:tcW w:w="1800" w:type="dxa"/>
            <w:gridSpan w:val="2"/>
            <w:tcBorders>
              <w:bottom w:val="single" w:color="000000" w:sz="4" w:space="0"/>
              <w:right w:val="single" w:color="000000" w:sz="4" w:space="0"/>
            </w:tcBorders>
          </w:tcPr>
          <w:p w14:paraId="12FFAC23">
            <w:pPr>
              <w:spacing w:line="360" w:lineRule="auto"/>
              <w:rPr>
                <w:rFonts w:cs="宋体" w:asciiTheme="minorEastAsia" w:hAnsiTheme="minorEastAsia"/>
                <w:color w:val="auto"/>
                <w:kern w:val="0"/>
                <w:sz w:val="24"/>
                <w:highlight w:val="none"/>
              </w:rPr>
            </w:pPr>
          </w:p>
        </w:tc>
        <w:tc>
          <w:tcPr>
            <w:tcW w:w="1530" w:type="dxa"/>
            <w:gridSpan w:val="3"/>
            <w:tcBorders>
              <w:bottom w:val="single" w:color="000000" w:sz="4" w:space="0"/>
              <w:right w:val="single" w:color="000000" w:sz="4" w:space="0"/>
            </w:tcBorders>
          </w:tcPr>
          <w:p w14:paraId="3F1E16D2">
            <w:pPr>
              <w:spacing w:line="360" w:lineRule="auto"/>
              <w:rPr>
                <w:rFonts w:cs="宋体" w:asciiTheme="minorEastAsia" w:hAnsiTheme="minorEastAsia"/>
                <w:color w:val="auto"/>
                <w:kern w:val="0"/>
                <w:sz w:val="24"/>
                <w:highlight w:val="none"/>
              </w:rPr>
            </w:pPr>
          </w:p>
        </w:tc>
        <w:tc>
          <w:tcPr>
            <w:tcW w:w="1530" w:type="dxa"/>
            <w:tcBorders>
              <w:bottom w:val="single" w:color="000000" w:sz="4" w:space="0"/>
              <w:right w:val="single" w:color="auto" w:sz="4" w:space="0"/>
            </w:tcBorders>
          </w:tcPr>
          <w:p w14:paraId="32F6E74F">
            <w:pPr>
              <w:spacing w:line="360" w:lineRule="auto"/>
              <w:rPr>
                <w:rFonts w:cs="宋体" w:asciiTheme="minorEastAsia" w:hAnsiTheme="minorEastAsia"/>
                <w:color w:val="auto"/>
                <w:kern w:val="0"/>
                <w:sz w:val="24"/>
                <w:highlight w:val="none"/>
              </w:rPr>
            </w:pPr>
          </w:p>
        </w:tc>
        <w:tc>
          <w:tcPr>
            <w:tcW w:w="1530" w:type="dxa"/>
            <w:gridSpan w:val="2"/>
            <w:tcBorders>
              <w:left w:val="single" w:color="auto" w:sz="4" w:space="0"/>
              <w:bottom w:val="single" w:color="000000" w:sz="4" w:space="0"/>
              <w:right w:val="single" w:color="000000" w:sz="4" w:space="0"/>
            </w:tcBorders>
          </w:tcPr>
          <w:p w14:paraId="5BA36D03">
            <w:pPr>
              <w:spacing w:line="360" w:lineRule="auto"/>
              <w:rPr>
                <w:rFonts w:cs="宋体" w:asciiTheme="minorEastAsia" w:hAnsiTheme="minorEastAsia"/>
                <w:color w:val="auto"/>
                <w:kern w:val="0"/>
                <w:sz w:val="24"/>
                <w:highlight w:val="none"/>
              </w:rPr>
            </w:pPr>
          </w:p>
        </w:tc>
        <w:tc>
          <w:tcPr>
            <w:tcW w:w="1530" w:type="dxa"/>
            <w:tcBorders>
              <w:bottom w:val="single" w:color="000000" w:sz="4" w:space="0"/>
              <w:right w:val="single" w:color="000000" w:sz="4" w:space="0"/>
            </w:tcBorders>
          </w:tcPr>
          <w:p w14:paraId="3119164C">
            <w:pPr>
              <w:spacing w:line="360" w:lineRule="auto"/>
              <w:rPr>
                <w:rFonts w:cs="宋体" w:asciiTheme="minorEastAsia" w:hAnsiTheme="minorEastAsia"/>
                <w:color w:val="auto"/>
                <w:kern w:val="0"/>
                <w:sz w:val="24"/>
                <w:highlight w:val="none"/>
              </w:rPr>
            </w:pPr>
          </w:p>
        </w:tc>
      </w:tr>
      <w:tr w14:paraId="29772569">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05E3955D">
            <w:pPr>
              <w:spacing w:line="360" w:lineRule="auto"/>
              <w:rPr>
                <w:rFonts w:cs="宋体" w:asciiTheme="minorEastAsia" w:hAnsiTheme="minorEastAsia"/>
                <w:color w:val="auto"/>
                <w:kern w:val="0"/>
                <w:sz w:val="24"/>
                <w:highlight w:val="none"/>
              </w:rPr>
            </w:pPr>
          </w:p>
        </w:tc>
        <w:tc>
          <w:tcPr>
            <w:tcW w:w="1800" w:type="dxa"/>
            <w:gridSpan w:val="2"/>
            <w:tcBorders>
              <w:bottom w:val="single" w:color="000000" w:sz="4" w:space="0"/>
              <w:right w:val="single" w:color="000000" w:sz="4" w:space="0"/>
            </w:tcBorders>
          </w:tcPr>
          <w:p w14:paraId="434886FA">
            <w:pPr>
              <w:spacing w:line="360" w:lineRule="auto"/>
              <w:rPr>
                <w:rFonts w:cs="宋体" w:asciiTheme="minorEastAsia" w:hAnsiTheme="minorEastAsia"/>
                <w:color w:val="auto"/>
                <w:kern w:val="0"/>
                <w:sz w:val="24"/>
                <w:highlight w:val="none"/>
              </w:rPr>
            </w:pPr>
          </w:p>
        </w:tc>
        <w:tc>
          <w:tcPr>
            <w:tcW w:w="1530" w:type="dxa"/>
            <w:gridSpan w:val="3"/>
            <w:tcBorders>
              <w:bottom w:val="single" w:color="000000" w:sz="4" w:space="0"/>
              <w:right w:val="single" w:color="000000" w:sz="4" w:space="0"/>
            </w:tcBorders>
          </w:tcPr>
          <w:p w14:paraId="6D949D7C">
            <w:pPr>
              <w:spacing w:line="360" w:lineRule="auto"/>
              <w:rPr>
                <w:rFonts w:cs="宋体" w:asciiTheme="minorEastAsia" w:hAnsiTheme="minorEastAsia"/>
                <w:color w:val="auto"/>
                <w:kern w:val="0"/>
                <w:sz w:val="24"/>
                <w:highlight w:val="none"/>
              </w:rPr>
            </w:pPr>
          </w:p>
        </w:tc>
        <w:tc>
          <w:tcPr>
            <w:tcW w:w="1530" w:type="dxa"/>
            <w:tcBorders>
              <w:bottom w:val="single" w:color="000000" w:sz="4" w:space="0"/>
              <w:right w:val="single" w:color="auto" w:sz="4" w:space="0"/>
            </w:tcBorders>
          </w:tcPr>
          <w:p w14:paraId="03CDAD8F">
            <w:pPr>
              <w:spacing w:line="360" w:lineRule="auto"/>
              <w:rPr>
                <w:rFonts w:cs="宋体" w:asciiTheme="minorEastAsia" w:hAnsiTheme="minorEastAsia"/>
                <w:color w:val="auto"/>
                <w:kern w:val="0"/>
                <w:sz w:val="24"/>
                <w:highlight w:val="none"/>
              </w:rPr>
            </w:pPr>
          </w:p>
        </w:tc>
        <w:tc>
          <w:tcPr>
            <w:tcW w:w="1530" w:type="dxa"/>
            <w:gridSpan w:val="2"/>
            <w:tcBorders>
              <w:left w:val="single" w:color="auto" w:sz="4" w:space="0"/>
              <w:bottom w:val="single" w:color="000000" w:sz="4" w:space="0"/>
              <w:right w:val="single" w:color="000000" w:sz="4" w:space="0"/>
            </w:tcBorders>
          </w:tcPr>
          <w:p w14:paraId="6407DF91">
            <w:pPr>
              <w:spacing w:line="360" w:lineRule="auto"/>
              <w:rPr>
                <w:rFonts w:cs="宋体" w:asciiTheme="minorEastAsia" w:hAnsiTheme="minorEastAsia"/>
                <w:color w:val="auto"/>
                <w:kern w:val="0"/>
                <w:sz w:val="24"/>
                <w:highlight w:val="none"/>
              </w:rPr>
            </w:pPr>
          </w:p>
        </w:tc>
        <w:tc>
          <w:tcPr>
            <w:tcW w:w="1530" w:type="dxa"/>
            <w:tcBorders>
              <w:bottom w:val="single" w:color="000000" w:sz="4" w:space="0"/>
              <w:right w:val="single" w:color="000000" w:sz="4" w:space="0"/>
            </w:tcBorders>
          </w:tcPr>
          <w:p w14:paraId="2572CE0F">
            <w:pPr>
              <w:spacing w:line="360" w:lineRule="auto"/>
              <w:rPr>
                <w:rFonts w:cs="宋体" w:asciiTheme="minorEastAsia" w:hAnsiTheme="minorEastAsia"/>
                <w:color w:val="auto"/>
                <w:kern w:val="0"/>
                <w:sz w:val="24"/>
                <w:highlight w:val="none"/>
              </w:rPr>
            </w:pPr>
          </w:p>
        </w:tc>
      </w:tr>
      <w:tr w14:paraId="5C6093B3">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4777ED9A">
            <w:pPr>
              <w:spacing w:line="360" w:lineRule="auto"/>
              <w:rPr>
                <w:rFonts w:cs="宋体" w:asciiTheme="minorEastAsia" w:hAnsiTheme="minorEastAsia"/>
                <w:color w:val="auto"/>
                <w:kern w:val="0"/>
                <w:sz w:val="24"/>
                <w:highlight w:val="none"/>
              </w:rPr>
            </w:pPr>
          </w:p>
        </w:tc>
        <w:tc>
          <w:tcPr>
            <w:tcW w:w="1800" w:type="dxa"/>
            <w:gridSpan w:val="2"/>
            <w:tcBorders>
              <w:bottom w:val="single" w:color="000000" w:sz="4" w:space="0"/>
              <w:right w:val="single" w:color="000000" w:sz="4" w:space="0"/>
            </w:tcBorders>
          </w:tcPr>
          <w:p w14:paraId="715630A5">
            <w:pPr>
              <w:spacing w:line="360" w:lineRule="auto"/>
              <w:rPr>
                <w:rFonts w:cs="宋体" w:asciiTheme="minorEastAsia" w:hAnsiTheme="minorEastAsia"/>
                <w:color w:val="auto"/>
                <w:kern w:val="0"/>
                <w:sz w:val="24"/>
                <w:highlight w:val="none"/>
              </w:rPr>
            </w:pPr>
          </w:p>
        </w:tc>
        <w:tc>
          <w:tcPr>
            <w:tcW w:w="1530" w:type="dxa"/>
            <w:gridSpan w:val="3"/>
            <w:tcBorders>
              <w:bottom w:val="single" w:color="000000" w:sz="4" w:space="0"/>
              <w:right w:val="single" w:color="000000" w:sz="4" w:space="0"/>
            </w:tcBorders>
          </w:tcPr>
          <w:p w14:paraId="204C1BCC">
            <w:pPr>
              <w:spacing w:line="360" w:lineRule="auto"/>
              <w:rPr>
                <w:rFonts w:cs="宋体" w:asciiTheme="minorEastAsia" w:hAnsiTheme="minorEastAsia"/>
                <w:color w:val="auto"/>
                <w:kern w:val="0"/>
                <w:sz w:val="24"/>
                <w:highlight w:val="none"/>
              </w:rPr>
            </w:pPr>
          </w:p>
        </w:tc>
        <w:tc>
          <w:tcPr>
            <w:tcW w:w="1530" w:type="dxa"/>
            <w:tcBorders>
              <w:bottom w:val="single" w:color="000000" w:sz="4" w:space="0"/>
              <w:right w:val="single" w:color="auto" w:sz="4" w:space="0"/>
            </w:tcBorders>
          </w:tcPr>
          <w:p w14:paraId="616048C6">
            <w:pPr>
              <w:spacing w:line="360" w:lineRule="auto"/>
              <w:rPr>
                <w:rFonts w:cs="宋体" w:asciiTheme="minorEastAsia" w:hAnsiTheme="minorEastAsia"/>
                <w:color w:val="auto"/>
                <w:kern w:val="0"/>
                <w:sz w:val="24"/>
                <w:highlight w:val="none"/>
              </w:rPr>
            </w:pPr>
          </w:p>
        </w:tc>
        <w:tc>
          <w:tcPr>
            <w:tcW w:w="1530" w:type="dxa"/>
            <w:gridSpan w:val="2"/>
            <w:tcBorders>
              <w:left w:val="single" w:color="auto" w:sz="4" w:space="0"/>
              <w:bottom w:val="single" w:color="000000" w:sz="4" w:space="0"/>
              <w:right w:val="single" w:color="000000" w:sz="4" w:space="0"/>
            </w:tcBorders>
          </w:tcPr>
          <w:p w14:paraId="5A619F39">
            <w:pPr>
              <w:spacing w:line="360" w:lineRule="auto"/>
              <w:rPr>
                <w:rFonts w:cs="宋体" w:asciiTheme="minorEastAsia" w:hAnsiTheme="minorEastAsia"/>
                <w:color w:val="auto"/>
                <w:kern w:val="0"/>
                <w:sz w:val="24"/>
                <w:highlight w:val="none"/>
              </w:rPr>
            </w:pPr>
          </w:p>
        </w:tc>
        <w:tc>
          <w:tcPr>
            <w:tcW w:w="1530" w:type="dxa"/>
            <w:tcBorders>
              <w:bottom w:val="single" w:color="000000" w:sz="4" w:space="0"/>
              <w:right w:val="single" w:color="000000" w:sz="4" w:space="0"/>
            </w:tcBorders>
          </w:tcPr>
          <w:p w14:paraId="21EB1477">
            <w:pPr>
              <w:spacing w:line="360" w:lineRule="auto"/>
              <w:rPr>
                <w:rFonts w:cs="宋体" w:asciiTheme="minorEastAsia" w:hAnsiTheme="minorEastAsia"/>
                <w:color w:val="auto"/>
                <w:kern w:val="0"/>
                <w:sz w:val="24"/>
                <w:highlight w:val="none"/>
              </w:rPr>
            </w:pPr>
          </w:p>
        </w:tc>
      </w:tr>
      <w:tr w14:paraId="1378671A">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45B14478">
            <w:pPr>
              <w:spacing w:line="360" w:lineRule="auto"/>
              <w:rPr>
                <w:rFonts w:cs="宋体" w:asciiTheme="minorEastAsia" w:hAnsiTheme="minorEastAsia"/>
                <w:color w:val="auto"/>
                <w:kern w:val="0"/>
                <w:sz w:val="24"/>
                <w:highlight w:val="none"/>
              </w:rPr>
            </w:pPr>
          </w:p>
        </w:tc>
        <w:tc>
          <w:tcPr>
            <w:tcW w:w="1800" w:type="dxa"/>
            <w:gridSpan w:val="2"/>
            <w:tcBorders>
              <w:bottom w:val="single" w:color="000000" w:sz="4" w:space="0"/>
              <w:right w:val="single" w:color="000000" w:sz="4" w:space="0"/>
            </w:tcBorders>
          </w:tcPr>
          <w:p w14:paraId="120D4EEB">
            <w:pPr>
              <w:spacing w:line="360" w:lineRule="auto"/>
              <w:rPr>
                <w:rFonts w:cs="宋体" w:asciiTheme="minorEastAsia" w:hAnsiTheme="minorEastAsia"/>
                <w:color w:val="auto"/>
                <w:kern w:val="0"/>
                <w:sz w:val="24"/>
                <w:highlight w:val="none"/>
              </w:rPr>
            </w:pPr>
          </w:p>
        </w:tc>
        <w:tc>
          <w:tcPr>
            <w:tcW w:w="1530" w:type="dxa"/>
            <w:gridSpan w:val="3"/>
            <w:tcBorders>
              <w:bottom w:val="single" w:color="000000" w:sz="4" w:space="0"/>
              <w:right w:val="single" w:color="000000" w:sz="4" w:space="0"/>
            </w:tcBorders>
          </w:tcPr>
          <w:p w14:paraId="33576001">
            <w:pPr>
              <w:spacing w:line="360" w:lineRule="auto"/>
              <w:rPr>
                <w:rFonts w:cs="宋体" w:asciiTheme="minorEastAsia" w:hAnsiTheme="minorEastAsia"/>
                <w:color w:val="auto"/>
                <w:kern w:val="0"/>
                <w:sz w:val="24"/>
                <w:highlight w:val="none"/>
              </w:rPr>
            </w:pPr>
          </w:p>
        </w:tc>
        <w:tc>
          <w:tcPr>
            <w:tcW w:w="1530" w:type="dxa"/>
            <w:tcBorders>
              <w:bottom w:val="single" w:color="000000" w:sz="4" w:space="0"/>
              <w:right w:val="single" w:color="auto" w:sz="4" w:space="0"/>
            </w:tcBorders>
          </w:tcPr>
          <w:p w14:paraId="5CE162E1">
            <w:pPr>
              <w:spacing w:line="360" w:lineRule="auto"/>
              <w:rPr>
                <w:rFonts w:cs="宋体" w:asciiTheme="minorEastAsia" w:hAnsiTheme="minorEastAsia"/>
                <w:color w:val="auto"/>
                <w:kern w:val="0"/>
                <w:sz w:val="24"/>
                <w:highlight w:val="none"/>
              </w:rPr>
            </w:pPr>
          </w:p>
        </w:tc>
        <w:tc>
          <w:tcPr>
            <w:tcW w:w="1530" w:type="dxa"/>
            <w:gridSpan w:val="2"/>
            <w:tcBorders>
              <w:left w:val="single" w:color="auto" w:sz="4" w:space="0"/>
              <w:bottom w:val="single" w:color="000000" w:sz="4" w:space="0"/>
              <w:right w:val="single" w:color="000000" w:sz="4" w:space="0"/>
            </w:tcBorders>
          </w:tcPr>
          <w:p w14:paraId="364B8D4A">
            <w:pPr>
              <w:spacing w:line="360" w:lineRule="auto"/>
              <w:rPr>
                <w:rFonts w:cs="宋体" w:asciiTheme="minorEastAsia" w:hAnsiTheme="minorEastAsia"/>
                <w:color w:val="auto"/>
                <w:kern w:val="0"/>
                <w:sz w:val="24"/>
                <w:highlight w:val="none"/>
              </w:rPr>
            </w:pPr>
          </w:p>
        </w:tc>
        <w:tc>
          <w:tcPr>
            <w:tcW w:w="1530" w:type="dxa"/>
            <w:tcBorders>
              <w:bottom w:val="single" w:color="000000" w:sz="4" w:space="0"/>
              <w:right w:val="single" w:color="000000" w:sz="4" w:space="0"/>
            </w:tcBorders>
          </w:tcPr>
          <w:p w14:paraId="329CCEA1">
            <w:pPr>
              <w:spacing w:line="360" w:lineRule="auto"/>
              <w:rPr>
                <w:rFonts w:cs="宋体" w:asciiTheme="minorEastAsia" w:hAnsiTheme="minorEastAsia"/>
                <w:color w:val="auto"/>
                <w:kern w:val="0"/>
                <w:sz w:val="24"/>
                <w:highlight w:val="none"/>
              </w:rPr>
            </w:pPr>
          </w:p>
        </w:tc>
      </w:tr>
      <w:tr w14:paraId="71A20BB5">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2C2086F0">
            <w:pPr>
              <w:spacing w:line="360" w:lineRule="auto"/>
              <w:rPr>
                <w:rFonts w:cs="宋体" w:asciiTheme="minorEastAsia" w:hAnsiTheme="minorEastAsia"/>
                <w:color w:val="auto"/>
                <w:kern w:val="0"/>
                <w:sz w:val="24"/>
                <w:highlight w:val="none"/>
              </w:rPr>
            </w:pPr>
          </w:p>
        </w:tc>
        <w:tc>
          <w:tcPr>
            <w:tcW w:w="1800" w:type="dxa"/>
            <w:gridSpan w:val="2"/>
            <w:tcBorders>
              <w:bottom w:val="single" w:color="000000" w:sz="4" w:space="0"/>
              <w:right w:val="single" w:color="000000" w:sz="4" w:space="0"/>
            </w:tcBorders>
          </w:tcPr>
          <w:p w14:paraId="3BEBEF97">
            <w:pPr>
              <w:spacing w:line="360" w:lineRule="auto"/>
              <w:rPr>
                <w:rFonts w:cs="宋体" w:asciiTheme="minorEastAsia" w:hAnsiTheme="minorEastAsia"/>
                <w:color w:val="auto"/>
                <w:kern w:val="0"/>
                <w:sz w:val="24"/>
                <w:highlight w:val="none"/>
              </w:rPr>
            </w:pPr>
          </w:p>
        </w:tc>
        <w:tc>
          <w:tcPr>
            <w:tcW w:w="1530" w:type="dxa"/>
            <w:gridSpan w:val="3"/>
            <w:tcBorders>
              <w:bottom w:val="single" w:color="000000" w:sz="4" w:space="0"/>
              <w:right w:val="single" w:color="000000" w:sz="4" w:space="0"/>
            </w:tcBorders>
          </w:tcPr>
          <w:p w14:paraId="37216CDB">
            <w:pPr>
              <w:spacing w:line="360" w:lineRule="auto"/>
              <w:rPr>
                <w:rFonts w:cs="宋体" w:asciiTheme="minorEastAsia" w:hAnsiTheme="minorEastAsia"/>
                <w:color w:val="auto"/>
                <w:kern w:val="0"/>
                <w:sz w:val="24"/>
                <w:highlight w:val="none"/>
              </w:rPr>
            </w:pPr>
          </w:p>
        </w:tc>
        <w:tc>
          <w:tcPr>
            <w:tcW w:w="1530" w:type="dxa"/>
            <w:tcBorders>
              <w:bottom w:val="single" w:color="000000" w:sz="4" w:space="0"/>
              <w:right w:val="single" w:color="auto" w:sz="4" w:space="0"/>
            </w:tcBorders>
          </w:tcPr>
          <w:p w14:paraId="23D67AC4">
            <w:pPr>
              <w:spacing w:line="360" w:lineRule="auto"/>
              <w:rPr>
                <w:rFonts w:cs="宋体" w:asciiTheme="minorEastAsia" w:hAnsiTheme="minorEastAsia"/>
                <w:color w:val="auto"/>
                <w:kern w:val="0"/>
                <w:sz w:val="24"/>
                <w:highlight w:val="none"/>
              </w:rPr>
            </w:pPr>
          </w:p>
        </w:tc>
        <w:tc>
          <w:tcPr>
            <w:tcW w:w="1530" w:type="dxa"/>
            <w:gridSpan w:val="2"/>
            <w:tcBorders>
              <w:left w:val="single" w:color="auto" w:sz="4" w:space="0"/>
              <w:bottom w:val="single" w:color="000000" w:sz="4" w:space="0"/>
              <w:right w:val="single" w:color="000000" w:sz="4" w:space="0"/>
            </w:tcBorders>
          </w:tcPr>
          <w:p w14:paraId="6AE5B5FC">
            <w:pPr>
              <w:spacing w:line="360" w:lineRule="auto"/>
              <w:rPr>
                <w:rFonts w:cs="宋体" w:asciiTheme="minorEastAsia" w:hAnsiTheme="minorEastAsia"/>
                <w:color w:val="auto"/>
                <w:kern w:val="0"/>
                <w:sz w:val="24"/>
                <w:highlight w:val="none"/>
              </w:rPr>
            </w:pPr>
          </w:p>
        </w:tc>
        <w:tc>
          <w:tcPr>
            <w:tcW w:w="1530" w:type="dxa"/>
            <w:tcBorders>
              <w:bottom w:val="single" w:color="000000" w:sz="4" w:space="0"/>
              <w:right w:val="single" w:color="000000" w:sz="4" w:space="0"/>
            </w:tcBorders>
          </w:tcPr>
          <w:p w14:paraId="5A88A9F2">
            <w:pPr>
              <w:spacing w:line="360" w:lineRule="auto"/>
              <w:rPr>
                <w:rFonts w:cs="宋体" w:asciiTheme="minorEastAsia" w:hAnsiTheme="minorEastAsia"/>
                <w:color w:val="auto"/>
                <w:kern w:val="0"/>
                <w:sz w:val="24"/>
                <w:highlight w:val="none"/>
              </w:rPr>
            </w:pPr>
          </w:p>
        </w:tc>
      </w:tr>
    </w:tbl>
    <w:p w14:paraId="40CE898A">
      <w:pPr>
        <w:spacing w:line="360" w:lineRule="auto"/>
        <w:ind w:firstLine="240" w:firstLineChars="100"/>
        <w:rPr>
          <w:rFonts w:asciiTheme="minorEastAsia" w:hAnsiTheme="minorEastAsia" w:cstheme="minorEastAsia"/>
          <w:b/>
          <w:color w:val="auto"/>
          <w:kern w:val="0"/>
          <w:sz w:val="28"/>
          <w:highlight w:val="none"/>
        </w:rPr>
      </w:pPr>
      <w:r>
        <w:rPr>
          <w:rFonts w:hint="eastAsia" w:cs="宋体" w:asciiTheme="minorEastAsia" w:hAnsiTheme="minorEastAsia"/>
          <w:color w:val="auto"/>
          <w:sz w:val="24"/>
          <w:highlight w:val="none"/>
        </w:rPr>
        <w:t>注：附上清晰可辨的身份证复印件、职称证书复印件。</w:t>
      </w:r>
      <w:r>
        <w:rPr>
          <w:rFonts w:hint="eastAsia" w:cs="宋体" w:asciiTheme="minorEastAsia" w:hAnsiTheme="minorEastAsia"/>
          <w:color w:val="auto"/>
          <w:sz w:val="22"/>
          <w:szCs w:val="36"/>
          <w:highlight w:val="none"/>
        </w:rPr>
        <w:br w:type="page"/>
      </w:r>
    </w:p>
    <w:p w14:paraId="33011D36">
      <w:pPr>
        <w:spacing w:line="360" w:lineRule="auto"/>
        <w:jc w:val="center"/>
        <w:rPr>
          <w:rFonts w:cs="宋体" w:asciiTheme="minorEastAsia" w:hAnsiTheme="minorEastAsia"/>
          <w:b/>
          <w:color w:val="auto"/>
          <w:kern w:val="0"/>
          <w:sz w:val="28"/>
          <w:highlight w:val="none"/>
        </w:rPr>
      </w:pPr>
      <w:r>
        <w:rPr>
          <w:rFonts w:hint="eastAsia" w:cs="宋体" w:asciiTheme="minorEastAsia" w:hAnsiTheme="minorEastAsia"/>
          <w:b/>
          <w:color w:val="auto"/>
          <w:kern w:val="0"/>
          <w:sz w:val="28"/>
          <w:highlight w:val="none"/>
        </w:rPr>
        <w:t>4. 项目管理机构配备情况辅助说明资料</w:t>
      </w:r>
    </w:p>
    <w:p w14:paraId="5C6578A9">
      <w:pPr>
        <w:spacing w:line="360" w:lineRule="auto"/>
        <w:ind w:left="7920" w:hanging="7920" w:hangingChars="3300"/>
        <w:rPr>
          <w:rFonts w:cs="宋体" w:asciiTheme="minorEastAsia" w:hAnsiTheme="minorEastAsia"/>
          <w:color w:val="auto"/>
          <w:sz w:val="24"/>
          <w:highlight w:val="none"/>
        </w:rPr>
      </w:pPr>
      <w:r>
        <w:rPr>
          <w:rFonts w:hint="eastAsia" w:cs="宋体" w:asciiTheme="minorEastAsia" w:hAnsiTheme="minorEastAsia"/>
          <w:color w:val="auto"/>
          <w:sz w:val="24"/>
          <w:highlight w:val="none"/>
        </w:rPr>
        <w:t xml:space="preserve"> </w:t>
      </w:r>
    </w:p>
    <w:p w14:paraId="030A5850">
      <w:pPr>
        <w:spacing w:line="360" w:lineRule="auto"/>
        <w:ind w:left="7920" w:hanging="7920" w:hangingChars="3300"/>
        <w:rPr>
          <w:rFonts w:cs="宋体" w:asciiTheme="minorEastAsia" w:hAnsiTheme="minorEastAsia"/>
          <w:b/>
          <w:color w:val="auto"/>
          <w:sz w:val="24"/>
          <w:highlight w:val="none"/>
        </w:rPr>
      </w:pPr>
      <w:r>
        <w:rPr>
          <w:rFonts w:hint="eastAsia" w:cs="宋体" w:asciiTheme="minorEastAsia" w:hAnsiTheme="minorEastAsia"/>
          <w:color w:val="auto"/>
          <w:sz w:val="24"/>
          <w:highlight w:val="none"/>
          <w:u w:val="single"/>
        </w:rPr>
        <w:t xml:space="preserve">           （工程项目名称）            </w:t>
      </w:r>
      <w:r>
        <w:rPr>
          <w:rFonts w:hint="eastAsia" w:cs="宋体" w:asciiTheme="minorEastAsia" w:hAnsiTheme="minorEastAsia"/>
          <w:color w:val="auto"/>
          <w:sz w:val="24"/>
          <w:highlight w:val="none"/>
        </w:rPr>
        <w:t xml:space="preserve">工程                    </w:t>
      </w:r>
      <w:r>
        <w:rPr>
          <w:rFonts w:hint="eastAsia" w:cs="宋体" w:asciiTheme="minorEastAsia" w:hAnsiTheme="minorEastAsia"/>
          <w:b/>
          <w:color w:val="auto"/>
          <w:sz w:val="24"/>
          <w:highlight w:val="none"/>
        </w:rPr>
        <w:t>表7.9</w:t>
      </w:r>
    </w:p>
    <w:tbl>
      <w:tblPr>
        <w:tblStyle w:val="28"/>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14:paraId="673D4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6" w:hRule="atLeast"/>
        </w:trPr>
        <w:tc>
          <w:tcPr>
            <w:tcW w:w="9286" w:type="dxa"/>
          </w:tcPr>
          <w:p w14:paraId="20A988C3">
            <w:pPr>
              <w:spacing w:line="360" w:lineRule="auto"/>
              <w:rPr>
                <w:rFonts w:cs="宋体" w:asciiTheme="minorEastAsia" w:hAnsiTheme="minorEastAsia"/>
                <w:color w:val="auto"/>
                <w:kern w:val="0"/>
                <w:sz w:val="24"/>
                <w:highlight w:val="none"/>
              </w:rPr>
            </w:pPr>
          </w:p>
        </w:tc>
      </w:tr>
    </w:tbl>
    <w:p w14:paraId="3364057C">
      <w:pPr>
        <w:spacing w:line="360" w:lineRule="auto"/>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注：⑴  辅助说明资料主要包括管理机构设置、责任分工、有关复印证明资料以及供应商认为有必要提供的资料。辅助说明资料格式不做统一规定，由供应商自行设计。</w:t>
      </w:r>
    </w:p>
    <w:p w14:paraId="0870DCAD">
      <w:pPr>
        <w:pStyle w:val="3"/>
        <w:spacing w:line="360" w:lineRule="auto"/>
        <w:rPr>
          <w:rFonts w:cs="宋体" w:asciiTheme="minorEastAsia" w:hAnsiTheme="minorEastAsia"/>
          <w:b w:val="0"/>
          <w:bCs/>
          <w:color w:val="auto"/>
          <w:sz w:val="24"/>
          <w:highlight w:val="none"/>
        </w:rPr>
      </w:pPr>
      <w:r>
        <w:rPr>
          <w:rFonts w:hint="eastAsia" w:cs="宋体" w:asciiTheme="minorEastAsia" w:hAnsiTheme="minorEastAsia"/>
          <w:b w:val="0"/>
          <w:bCs/>
          <w:color w:val="auto"/>
          <w:sz w:val="24"/>
          <w:highlight w:val="none"/>
        </w:rPr>
        <w:t xml:space="preserve">   </w:t>
      </w:r>
      <w:bookmarkStart w:id="1457" w:name="_Toc7659"/>
      <w:bookmarkStart w:id="1458" w:name="_Toc97108135"/>
      <w:bookmarkStart w:id="1459" w:name="_Toc27383"/>
      <w:bookmarkStart w:id="1460" w:name="_Toc15886"/>
      <w:r>
        <w:rPr>
          <w:rFonts w:hint="eastAsia" w:cs="宋体" w:asciiTheme="minorEastAsia" w:hAnsiTheme="minorEastAsia"/>
          <w:b w:val="0"/>
          <w:bCs/>
          <w:color w:val="auto"/>
          <w:sz w:val="24"/>
          <w:highlight w:val="none"/>
        </w:rPr>
        <w:t xml:space="preserve">⑵  </w:t>
      </w:r>
      <w:bookmarkEnd w:id="1457"/>
      <w:bookmarkEnd w:id="1458"/>
      <w:r>
        <w:rPr>
          <w:rFonts w:hint="eastAsia" w:cs="宋体" w:asciiTheme="minorEastAsia" w:hAnsiTheme="minorEastAsia"/>
          <w:b w:val="0"/>
          <w:bCs/>
          <w:color w:val="auto"/>
          <w:sz w:val="24"/>
          <w:highlight w:val="none"/>
        </w:rPr>
        <w:t>另附施工员、质检员、安全员上岗证书复印件及附上清晰可辨的身份证复印件，必须是供应商公司在册在岗人员。</w:t>
      </w:r>
      <w:bookmarkEnd w:id="1459"/>
      <w:bookmarkEnd w:id="1460"/>
    </w:p>
    <w:p w14:paraId="35B2BC8C">
      <w:pPr>
        <w:rPr>
          <w:rFonts w:asciiTheme="minorEastAsia" w:hAnsiTheme="minorEastAsia"/>
          <w:color w:val="auto"/>
          <w:highlight w:val="none"/>
        </w:rPr>
      </w:pPr>
    </w:p>
    <w:p w14:paraId="5D43AFF0">
      <w:pPr>
        <w:pStyle w:val="5"/>
        <w:spacing w:line="360" w:lineRule="auto"/>
        <w:jc w:val="center"/>
        <w:rPr>
          <w:rFonts w:asciiTheme="minorEastAsia" w:hAnsiTheme="minorEastAsia" w:eastAsiaTheme="minorEastAsia" w:cstheme="minorEastAsia"/>
          <w:b w:val="0"/>
          <w:bCs/>
          <w:color w:val="auto"/>
          <w:sz w:val="24"/>
          <w:szCs w:val="24"/>
          <w:highlight w:val="none"/>
        </w:rPr>
      </w:pPr>
      <w:bookmarkStart w:id="1461" w:name="_Toc24326"/>
      <w:bookmarkStart w:id="1462" w:name="_Toc18265"/>
      <w:r>
        <w:rPr>
          <w:rFonts w:hint="eastAsia" w:asciiTheme="minorEastAsia" w:hAnsiTheme="minorEastAsia" w:eastAsiaTheme="minorEastAsia" w:cstheme="minorEastAsia"/>
          <w:color w:val="auto"/>
          <w:highlight w:val="none"/>
        </w:rPr>
        <w:t>六、施工组织设计</w:t>
      </w:r>
      <w:bookmarkEnd w:id="1461"/>
    </w:p>
    <w:p w14:paraId="0DAB3768">
      <w:pPr>
        <w:pStyle w:val="5"/>
        <w:spacing w:line="360" w:lineRule="auto"/>
        <w:ind w:firstLine="480" w:firstLineChars="200"/>
        <w:rPr>
          <w:rFonts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1、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5D83429C">
      <w:pPr>
        <w:pStyle w:val="5"/>
        <w:spacing w:line="360" w:lineRule="auto"/>
        <w:ind w:firstLine="480" w:firstLineChars="200"/>
        <w:rPr>
          <w:rFonts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2、施工组织设计除采用文字表述外可附下列图表，图表及格式要求附后。</w:t>
      </w:r>
    </w:p>
    <w:p w14:paraId="00CD77C9">
      <w:pPr>
        <w:pStyle w:val="5"/>
        <w:spacing w:line="360" w:lineRule="auto"/>
        <w:ind w:firstLine="480" w:firstLineChars="200"/>
        <w:rPr>
          <w:rFonts w:asciiTheme="minorEastAsia" w:hAnsiTheme="minorEastAsia" w:eastAsiaTheme="minorEastAsia" w:cstheme="minorEastAsia"/>
          <w:b w:val="0"/>
          <w:bCs/>
          <w:color w:val="auto"/>
          <w:sz w:val="24"/>
          <w:szCs w:val="24"/>
          <w:highlight w:val="none"/>
        </w:rPr>
      </w:pPr>
      <w:bookmarkStart w:id="1463" w:name="_Toc27852"/>
      <w:r>
        <w:rPr>
          <w:rFonts w:hint="eastAsia" w:asciiTheme="minorEastAsia" w:hAnsiTheme="minorEastAsia" w:eastAsiaTheme="minorEastAsia" w:cstheme="minorEastAsia"/>
          <w:b w:val="0"/>
          <w:bCs/>
          <w:color w:val="auto"/>
          <w:sz w:val="24"/>
          <w:szCs w:val="24"/>
          <w:highlight w:val="none"/>
        </w:rPr>
        <w:t>附表一  拟投入本工程的主要施工设备表</w:t>
      </w:r>
      <w:bookmarkEnd w:id="1463"/>
    </w:p>
    <w:p w14:paraId="112EC038">
      <w:pPr>
        <w:pStyle w:val="5"/>
        <w:spacing w:line="360" w:lineRule="auto"/>
        <w:ind w:firstLine="480" w:firstLineChars="200"/>
        <w:rPr>
          <w:rFonts w:asciiTheme="minorEastAsia" w:hAnsiTheme="minorEastAsia" w:eastAsiaTheme="minorEastAsia" w:cstheme="minorEastAsia"/>
          <w:b w:val="0"/>
          <w:bCs/>
          <w:color w:val="auto"/>
          <w:sz w:val="24"/>
          <w:szCs w:val="24"/>
          <w:highlight w:val="none"/>
        </w:rPr>
      </w:pPr>
      <w:bookmarkStart w:id="1464" w:name="_Toc9637"/>
      <w:r>
        <w:rPr>
          <w:rFonts w:hint="eastAsia" w:asciiTheme="minorEastAsia" w:hAnsiTheme="minorEastAsia" w:eastAsiaTheme="minorEastAsia" w:cstheme="minorEastAsia"/>
          <w:b w:val="0"/>
          <w:bCs/>
          <w:color w:val="auto"/>
          <w:sz w:val="24"/>
          <w:szCs w:val="24"/>
          <w:highlight w:val="none"/>
        </w:rPr>
        <w:t>附表二  拟配备本工程的试验和检测仪器设备表</w:t>
      </w:r>
      <w:bookmarkEnd w:id="1464"/>
    </w:p>
    <w:p w14:paraId="0612207E">
      <w:pPr>
        <w:pStyle w:val="5"/>
        <w:spacing w:line="360" w:lineRule="auto"/>
        <w:ind w:firstLine="480" w:firstLineChars="200"/>
        <w:rPr>
          <w:rFonts w:asciiTheme="minorEastAsia" w:hAnsiTheme="minorEastAsia" w:eastAsiaTheme="minorEastAsia" w:cstheme="minorEastAsia"/>
          <w:b w:val="0"/>
          <w:bCs/>
          <w:color w:val="auto"/>
          <w:sz w:val="24"/>
          <w:szCs w:val="24"/>
          <w:highlight w:val="none"/>
        </w:rPr>
      </w:pPr>
      <w:bookmarkStart w:id="1465" w:name="_Toc5190"/>
      <w:r>
        <w:rPr>
          <w:rFonts w:hint="eastAsia" w:asciiTheme="minorEastAsia" w:hAnsiTheme="minorEastAsia" w:eastAsiaTheme="minorEastAsia" w:cstheme="minorEastAsia"/>
          <w:b w:val="0"/>
          <w:bCs/>
          <w:color w:val="auto"/>
          <w:sz w:val="24"/>
          <w:szCs w:val="24"/>
          <w:highlight w:val="none"/>
        </w:rPr>
        <w:t>附表三  劳动力计划表</w:t>
      </w:r>
      <w:bookmarkEnd w:id="1465"/>
    </w:p>
    <w:p w14:paraId="349ACB68">
      <w:pPr>
        <w:pStyle w:val="5"/>
        <w:spacing w:line="360" w:lineRule="auto"/>
        <w:ind w:firstLine="480" w:firstLineChars="200"/>
        <w:rPr>
          <w:rFonts w:asciiTheme="minorEastAsia" w:hAnsiTheme="minorEastAsia" w:eastAsiaTheme="minorEastAsia" w:cstheme="minorEastAsia"/>
          <w:b w:val="0"/>
          <w:bCs/>
          <w:color w:val="auto"/>
          <w:sz w:val="24"/>
          <w:szCs w:val="24"/>
          <w:highlight w:val="none"/>
        </w:rPr>
      </w:pPr>
      <w:bookmarkStart w:id="1466" w:name="_Toc32210"/>
      <w:r>
        <w:rPr>
          <w:rFonts w:hint="eastAsia" w:asciiTheme="minorEastAsia" w:hAnsiTheme="minorEastAsia" w:eastAsiaTheme="minorEastAsia" w:cstheme="minorEastAsia"/>
          <w:b w:val="0"/>
          <w:bCs/>
          <w:color w:val="auto"/>
          <w:sz w:val="24"/>
          <w:szCs w:val="24"/>
          <w:highlight w:val="none"/>
        </w:rPr>
        <w:t>附表四  计划开、竣工日期和施工进度网络图</w:t>
      </w:r>
      <w:bookmarkEnd w:id="1466"/>
    </w:p>
    <w:p w14:paraId="23B80DA3">
      <w:pPr>
        <w:pStyle w:val="5"/>
        <w:spacing w:line="360" w:lineRule="auto"/>
        <w:ind w:firstLine="480" w:firstLineChars="200"/>
        <w:rPr>
          <w:rFonts w:asciiTheme="minorEastAsia" w:hAnsiTheme="minorEastAsia" w:eastAsiaTheme="minorEastAsia" w:cstheme="minorEastAsia"/>
          <w:b w:val="0"/>
          <w:bCs/>
          <w:color w:val="auto"/>
          <w:sz w:val="24"/>
          <w:szCs w:val="24"/>
          <w:highlight w:val="none"/>
        </w:rPr>
      </w:pPr>
      <w:bookmarkStart w:id="1467" w:name="_Toc24085"/>
      <w:r>
        <w:rPr>
          <w:rFonts w:hint="eastAsia" w:asciiTheme="minorEastAsia" w:hAnsiTheme="minorEastAsia" w:eastAsiaTheme="minorEastAsia" w:cstheme="minorEastAsia"/>
          <w:b w:val="0"/>
          <w:bCs/>
          <w:color w:val="auto"/>
          <w:sz w:val="24"/>
          <w:szCs w:val="24"/>
          <w:highlight w:val="none"/>
        </w:rPr>
        <w:t>附表五  施工总平面图</w:t>
      </w:r>
      <w:bookmarkEnd w:id="1467"/>
    </w:p>
    <w:p w14:paraId="13DCC84E">
      <w:pPr>
        <w:pStyle w:val="5"/>
        <w:spacing w:line="360" w:lineRule="auto"/>
        <w:ind w:firstLine="480" w:firstLineChars="200"/>
        <w:rPr>
          <w:rFonts w:asciiTheme="minorEastAsia" w:hAnsiTheme="minorEastAsia" w:eastAsiaTheme="minorEastAsia" w:cstheme="minorEastAsia"/>
          <w:b w:val="0"/>
          <w:bCs/>
          <w:color w:val="auto"/>
          <w:sz w:val="24"/>
          <w:szCs w:val="24"/>
          <w:highlight w:val="none"/>
        </w:rPr>
      </w:pPr>
      <w:bookmarkStart w:id="1468" w:name="_Toc28421"/>
      <w:r>
        <w:rPr>
          <w:rFonts w:hint="eastAsia" w:asciiTheme="minorEastAsia" w:hAnsiTheme="minorEastAsia" w:eastAsiaTheme="minorEastAsia" w:cstheme="minorEastAsia"/>
          <w:b w:val="0"/>
          <w:bCs/>
          <w:color w:val="auto"/>
          <w:sz w:val="24"/>
          <w:szCs w:val="24"/>
          <w:highlight w:val="none"/>
        </w:rPr>
        <w:t>附表六  临时用地表</w:t>
      </w:r>
      <w:bookmarkEnd w:id="1468"/>
    </w:p>
    <w:p w14:paraId="61EA96EE">
      <w:pPr>
        <w:rPr>
          <w:rFonts w:cs="宋体" w:asciiTheme="minorEastAsia" w:hAnsiTheme="minorEastAsia"/>
          <w:color w:val="auto"/>
          <w:highlight w:val="none"/>
        </w:rPr>
      </w:pPr>
    </w:p>
    <w:p w14:paraId="19054F00">
      <w:pPr>
        <w:outlineLvl w:val="0"/>
        <w:rPr>
          <w:rFonts w:asciiTheme="minorEastAsia" w:hAnsiTheme="minorEastAsia"/>
          <w:color w:val="auto"/>
          <w:sz w:val="24"/>
          <w:szCs w:val="24"/>
          <w:highlight w:val="none"/>
        </w:rPr>
      </w:pPr>
      <w:bookmarkStart w:id="1469" w:name="_Toc97108136"/>
      <w:bookmarkStart w:id="1470" w:name="_Toc19896"/>
      <w:bookmarkStart w:id="1471" w:name="_Toc6806"/>
      <w:bookmarkStart w:id="1472" w:name="_Toc24184"/>
      <w:r>
        <w:rPr>
          <w:rFonts w:hint="eastAsia" w:cs="宋体" w:asciiTheme="minorEastAsia" w:hAnsiTheme="minorEastAsia"/>
          <w:color w:val="auto"/>
          <w:sz w:val="24"/>
          <w:szCs w:val="24"/>
          <w:highlight w:val="none"/>
        </w:rPr>
        <w:t>附表一：拟投入本工程的主要施工设备表</w:t>
      </w:r>
      <w:bookmarkEnd w:id="1469"/>
      <w:bookmarkEnd w:id="1470"/>
      <w:bookmarkEnd w:id="1471"/>
      <w:bookmarkEnd w:id="1472"/>
    </w:p>
    <w:tbl>
      <w:tblPr>
        <w:tblStyle w:val="28"/>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0B140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vAlign w:val="center"/>
          </w:tcPr>
          <w:p w14:paraId="5F372BC0">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序号</w:t>
            </w:r>
          </w:p>
        </w:tc>
        <w:tc>
          <w:tcPr>
            <w:tcW w:w="1226" w:type="dxa"/>
            <w:vAlign w:val="center"/>
          </w:tcPr>
          <w:p w14:paraId="5A24A906">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设备名称</w:t>
            </w:r>
          </w:p>
        </w:tc>
        <w:tc>
          <w:tcPr>
            <w:tcW w:w="851" w:type="dxa"/>
            <w:vAlign w:val="center"/>
          </w:tcPr>
          <w:p w14:paraId="397FEB73">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型号</w:t>
            </w:r>
          </w:p>
          <w:p w14:paraId="68255142">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规格</w:t>
            </w:r>
          </w:p>
        </w:tc>
        <w:tc>
          <w:tcPr>
            <w:tcW w:w="708" w:type="dxa"/>
            <w:vAlign w:val="center"/>
          </w:tcPr>
          <w:p w14:paraId="7151A4FC">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数量</w:t>
            </w:r>
          </w:p>
        </w:tc>
        <w:tc>
          <w:tcPr>
            <w:tcW w:w="709" w:type="dxa"/>
            <w:vAlign w:val="center"/>
          </w:tcPr>
          <w:p w14:paraId="59F9C809">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国别</w:t>
            </w:r>
          </w:p>
          <w:p w14:paraId="1BB2D142">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产地</w:t>
            </w:r>
          </w:p>
        </w:tc>
        <w:tc>
          <w:tcPr>
            <w:tcW w:w="851" w:type="dxa"/>
            <w:vAlign w:val="center"/>
          </w:tcPr>
          <w:p w14:paraId="4109402C">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制造</w:t>
            </w:r>
          </w:p>
          <w:p w14:paraId="1F63249C">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年份</w:t>
            </w:r>
          </w:p>
        </w:tc>
        <w:tc>
          <w:tcPr>
            <w:tcW w:w="1134" w:type="dxa"/>
            <w:vAlign w:val="center"/>
          </w:tcPr>
          <w:p w14:paraId="334874CA">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额定功率</w:t>
            </w:r>
          </w:p>
          <w:p w14:paraId="2CCB25B5">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w:t>
            </w:r>
            <w:r>
              <w:rPr>
                <w:rFonts w:asciiTheme="minorEastAsia" w:hAnsiTheme="minorEastAsia"/>
                <w:color w:val="auto"/>
                <w:sz w:val="24"/>
                <w:szCs w:val="24"/>
                <w:highlight w:val="none"/>
              </w:rPr>
              <w:t>KW</w:t>
            </w:r>
            <w:r>
              <w:rPr>
                <w:rFonts w:hint="eastAsia" w:cs="宋体" w:asciiTheme="minorEastAsia" w:hAnsiTheme="minorEastAsia"/>
                <w:color w:val="auto"/>
                <w:sz w:val="24"/>
                <w:szCs w:val="24"/>
                <w:highlight w:val="none"/>
              </w:rPr>
              <w:t>）</w:t>
            </w:r>
          </w:p>
        </w:tc>
        <w:tc>
          <w:tcPr>
            <w:tcW w:w="992" w:type="dxa"/>
            <w:vAlign w:val="center"/>
          </w:tcPr>
          <w:p w14:paraId="649E0EF3">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生产</w:t>
            </w:r>
          </w:p>
          <w:p w14:paraId="1F3867F4">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能力</w:t>
            </w:r>
          </w:p>
        </w:tc>
        <w:tc>
          <w:tcPr>
            <w:tcW w:w="1134" w:type="dxa"/>
            <w:vAlign w:val="center"/>
          </w:tcPr>
          <w:p w14:paraId="5A3FFEEA">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用于施</w:t>
            </w:r>
          </w:p>
          <w:p w14:paraId="44F39460">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工部位</w:t>
            </w:r>
          </w:p>
        </w:tc>
        <w:tc>
          <w:tcPr>
            <w:tcW w:w="992" w:type="dxa"/>
            <w:vAlign w:val="center"/>
          </w:tcPr>
          <w:p w14:paraId="6E56F0EE">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备注</w:t>
            </w:r>
          </w:p>
        </w:tc>
      </w:tr>
      <w:tr w14:paraId="36A5A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2B958772">
            <w:pPr>
              <w:spacing w:line="360" w:lineRule="auto"/>
              <w:rPr>
                <w:rFonts w:asciiTheme="minorEastAsia" w:hAnsiTheme="minorEastAsia"/>
                <w:color w:val="auto"/>
                <w:highlight w:val="none"/>
              </w:rPr>
            </w:pPr>
          </w:p>
        </w:tc>
        <w:tc>
          <w:tcPr>
            <w:tcW w:w="1226" w:type="dxa"/>
          </w:tcPr>
          <w:p w14:paraId="77D12893">
            <w:pPr>
              <w:spacing w:line="360" w:lineRule="auto"/>
              <w:ind w:firstLine="420" w:firstLineChars="200"/>
              <w:rPr>
                <w:rFonts w:asciiTheme="minorEastAsia" w:hAnsiTheme="minorEastAsia"/>
                <w:color w:val="auto"/>
                <w:highlight w:val="none"/>
              </w:rPr>
            </w:pPr>
          </w:p>
        </w:tc>
        <w:tc>
          <w:tcPr>
            <w:tcW w:w="851" w:type="dxa"/>
          </w:tcPr>
          <w:p w14:paraId="407BD8DE">
            <w:pPr>
              <w:spacing w:line="360" w:lineRule="auto"/>
              <w:rPr>
                <w:rFonts w:asciiTheme="minorEastAsia" w:hAnsiTheme="minorEastAsia"/>
                <w:color w:val="auto"/>
                <w:highlight w:val="none"/>
              </w:rPr>
            </w:pPr>
          </w:p>
        </w:tc>
        <w:tc>
          <w:tcPr>
            <w:tcW w:w="708" w:type="dxa"/>
          </w:tcPr>
          <w:p w14:paraId="7BECB17B">
            <w:pPr>
              <w:spacing w:line="360" w:lineRule="auto"/>
              <w:rPr>
                <w:rFonts w:asciiTheme="minorEastAsia" w:hAnsiTheme="minorEastAsia"/>
                <w:color w:val="auto"/>
                <w:highlight w:val="none"/>
              </w:rPr>
            </w:pPr>
          </w:p>
        </w:tc>
        <w:tc>
          <w:tcPr>
            <w:tcW w:w="709" w:type="dxa"/>
          </w:tcPr>
          <w:p w14:paraId="76E31EED">
            <w:pPr>
              <w:spacing w:line="360" w:lineRule="auto"/>
              <w:rPr>
                <w:rFonts w:asciiTheme="minorEastAsia" w:hAnsiTheme="minorEastAsia"/>
                <w:color w:val="auto"/>
                <w:highlight w:val="none"/>
              </w:rPr>
            </w:pPr>
          </w:p>
        </w:tc>
        <w:tc>
          <w:tcPr>
            <w:tcW w:w="851" w:type="dxa"/>
          </w:tcPr>
          <w:p w14:paraId="73ED3DFF">
            <w:pPr>
              <w:spacing w:line="360" w:lineRule="auto"/>
              <w:rPr>
                <w:rFonts w:asciiTheme="minorEastAsia" w:hAnsiTheme="minorEastAsia"/>
                <w:color w:val="auto"/>
                <w:highlight w:val="none"/>
              </w:rPr>
            </w:pPr>
          </w:p>
        </w:tc>
        <w:tc>
          <w:tcPr>
            <w:tcW w:w="1134" w:type="dxa"/>
          </w:tcPr>
          <w:p w14:paraId="5004DC25">
            <w:pPr>
              <w:spacing w:line="360" w:lineRule="auto"/>
              <w:rPr>
                <w:rFonts w:asciiTheme="minorEastAsia" w:hAnsiTheme="minorEastAsia"/>
                <w:color w:val="auto"/>
                <w:highlight w:val="none"/>
              </w:rPr>
            </w:pPr>
          </w:p>
        </w:tc>
        <w:tc>
          <w:tcPr>
            <w:tcW w:w="992" w:type="dxa"/>
          </w:tcPr>
          <w:p w14:paraId="42C2739D">
            <w:pPr>
              <w:spacing w:line="360" w:lineRule="auto"/>
              <w:rPr>
                <w:rFonts w:asciiTheme="minorEastAsia" w:hAnsiTheme="minorEastAsia"/>
                <w:color w:val="auto"/>
                <w:highlight w:val="none"/>
              </w:rPr>
            </w:pPr>
          </w:p>
        </w:tc>
        <w:tc>
          <w:tcPr>
            <w:tcW w:w="1134" w:type="dxa"/>
          </w:tcPr>
          <w:p w14:paraId="10F19DB2">
            <w:pPr>
              <w:spacing w:line="360" w:lineRule="auto"/>
              <w:rPr>
                <w:rFonts w:asciiTheme="minorEastAsia" w:hAnsiTheme="minorEastAsia"/>
                <w:color w:val="auto"/>
                <w:highlight w:val="none"/>
              </w:rPr>
            </w:pPr>
          </w:p>
        </w:tc>
        <w:tc>
          <w:tcPr>
            <w:tcW w:w="992" w:type="dxa"/>
          </w:tcPr>
          <w:p w14:paraId="2B7C971D">
            <w:pPr>
              <w:spacing w:line="360" w:lineRule="auto"/>
              <w:rPr>
                <w:rFonts w:asciiTheme="minorEastAsia" w:hAnsiTheme="minorEastAsia"/>
                <w:color w:val="auto"/>
                <w:highlight w:val="none"/>
              </w:rPr>
            </w:pPr>
          </w:p>
        </w:tc>
      </w:tr>
      <w:tr w14:paraId="2B2E7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61C0A935">
            <w:pPr>
              <w:spacing w:line="360" w:lineRule="auto"/>
              <w:rPr>
                <w:rFonts w:asciiTheme="minorEastAsia" w:hAnsiTheme="minorEastAsia"/>
                <w:color w:val="auto"/>
                <w:highlight w:val="none"/>
              </w:rPr>
            </w:pPr>
          </w:p>
        </w:tc>
        <w:tc>
          <w:tcPr>
            <w:tcW w:w="1226" w:type="dxa"/>
          </w:tcPr>
          <w:p w14:paraId="69B5D8A9">
            <w:pPr>
              <w:spacing w:line="360" w:lineRule="auto"/>
              <w:rPr>
                <w:rFonts w:asciiTheme="minorEastAsia" w:hAnsiTheme="minorEastAsia"/>
                <w:color w:val="auto"/>
                <w:highlight w:val="none"/>
              </w:rPr>
            </w:pPr>
          </w:p>
        </w:tc>
        <w:tc>
          <w:tcPr>
            <w:tcW w:w="851" w:type="dxa"/>
          </w:tcPr>
          <w:p w14:paraId="37529270">
            <w:pPr>
              <w:spacing w:line="360" w:lineRule="auto"/>
              <w:rPr>
                <w:rFonts w:asciiTheme="minorEastAsia" w:hAnsiTheme="minorEastAsia"/>
                <w:color w:val="auto"/>
                <w:highlight w:val="none"/>
              </w:rPr>
            </w:pPr>
          </w:p>
        </w:tc>
        <w:tc>
          <w:tcPr>
            <w:tcW w:w="708" w:type="dxa"/>
          </w:tcPr>
          <w:p w14:paraId="10DA217B">
            <w:pPr>
              <w:spacing w:line="360" w:lineRule="auto"/>
              <w:rPr>
                <w:rFonts w:asciiTheme="minorEastAsia" w:hAnsiTheme="minorEastAsia"/>
                <w:color w:val="auto"/>
                <w:highlight w:val="none"/>
              </w:rPr>
            </w:pPr>
          </w:p>
        </w:tc>
        <w:tc>
          <w:tcPr>
            <w:tcW w:w="709" w:type="dxa"/>
          </w:tcPr>
          <w:p w14:paraId="6F73A239">
            <w:pPr>
              <w:spacing w:line="360" w:lineRule="auto"/>
              <w:rPr>
                <w:rFonts w:asciiTheme="minorEastAsia" w:hAnsiTheme="minorEastAsia"/>
                <w:color w:val="auto"/>
                <w:highlight w:val="none"/>
              </w:rPr>
            </w:pPr>
          </w:p>
        </w:tc>
        <w:tc>
          <w:tcPr>
            <w:tcW w:w="851" w:type="dxa"/>
          </w:tcPr>
          <w:p w14:paraId="20E2C1A8">
            <w:pPr>
              <w:spacing w:line="360" w:lineRule="auto"/>
              <w:rPr>
                <w:rFonts w:asciiTheme="minorEastAsia" w:hAnsiTheme="minorEastAsia"/>
                <w:color w:val="auto"/>
                <w:highlight w:val="none"/>
              </w:rPr>
            </w:pPr>
          </w:p>
        </w:tc>
        <w:tc>
          <w:tcPr>
            <w:tcW w:w="1134" w:type="dxa"/>
          </w:tcPr>
          <w:p w14:paraId="6E283202">
            <w:pPr>
              <w:spacing w:line="360" w:lineRule="auto"/>
              <w:rPr>
                <w:rFonts w:asciiTheme="minorEastAsia" w:hAnsiTheme="minorEastAsia"/>
                <w:color w:val="auto"/>
                <w:highlight w:val="none"/>
              </w:rPr>
            </w:pPr>
          </w:p>
        </w:tc>
        <w:tc>
          <w:tcPr>
            <w:tcW w:w="992" w:type="dxa"/>
          </w:tcPr>
          <w:p w14:paraId="1EA654B3">
            <w:pPr>
              <w:spacing w:line="360" w:lineRule="auto"/>
              <w:rPr>
                <w:rFonts w:asciiTheme="minorEastAsia" w:hAnsiTheme="minorEastAsia"/>
                <w:color w:val="auto"/>
                <w:highlight w:val="none"/>
              </w:rPr>
            </w:pPr>
          </w:p>
        </w:tc>
        <w:tc>
          <w:tcPr>
            <w:tcW w:w="1134" w:type="dxa"/>
          </w:tcPr>
          <w:p w14:paraId="4D140068">
            <w:pPr>
              <w:spacing w:line="360" w:lineRule="auto"/>
              <w:rPr>
                <w:rFonts w:asciiTheme="minorEastAsia" w:hAnsiTheme="minorEastAsia"/>
                <w:color w:val="auto"/>
                <w:highlight w:val="none"/>
              </w:rPr>
            </w:pPr>
          </w:p>
        </w:tc>
        <w:tc>
          <w:tcPr>
            <w:tcW w:w="992" w:type="dxa"/>
          </w:tcPr>
          <w:p w14:paraId="6515C9FC">
            <w:pPr>
              <w:spacing w:line="360" w:lineRule="auto"/>
              <w:rPr>
                <w:rFonts w:asciiTheme="minorEastAsia" w:hAnsiTheme="minorEastAsia"/>
                <w:color w:val="auto"/>
                <w:highlight w:val="none"/>
              </w:rPr>
            </w:pPr>
          </w:p>
        </w:tc>
      </w:tr>
      <w:tr w14:paraId="4DB36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6BFD74AD">
            <w:pPr>
              <w:spacing w:line="360" w:lineRule="auto"/>
              <w:rPr>
                <w:rFonts w:asciiTheme="minorEastAsia" w:hAnsiTheme="minorEastAsia"/>
                <w:color w:val="auto"/>
                <w:highlight w:val="none"/>
              </w:rPr>
            </w:pPr>
          </w:p>
        </w:tc>
        <w:tc>
          <w:tcPr>
            <w:tcW w:w="1226" w:type="dxa"/>
          </w:tcPr>
          <w:p w14:paraId="5F120D0B">
            <w:pPr>
              <w:spacing w:line="360" w:lineRule="auto"/>
              <w:rPr>
                <w:rFonts w:asciiTheme="minorEastAsia" w:hAnsiTheme="minorEastAsia"/>
                <w:color w:val="auto"/>
                <w:highlight w:val="none"/>
              </w:rPr>
            </w:pPr>
          </w:p>
        </w:tc>
        <w:tc>
          <w:tcPr>
            <w:tcW w:w="851" w:type="dxa"/>
          </w:tcPr>
          <w:p w14:paraId="60C80EDA">
            <w:pPr>
              <w:spacing w:line="360" w:lineRule="auto"/>
              <w:rPr>
                <w:rFonts w:asciiTheme="minorEastAsia" w:hAnsiTheme="minorEastAsia"/>
                <w:color w:val="auto"/>
                <w:highlight w:val="none"/>
              </w:rPr>
            </w:pPr>
          </w:p>
        </w:tc>
        <w:tc>
          <w:tcPr>
            <w:tcW w:w="708" w:type="dxa"/>
          </w:tcPr>
          <w:p w14:paraId="0FBFA5D2">
            <w:pPr>
              <w:spacing w:line="360" w:lineRule="auto"/>
              <w:rPr>
                <w:rFonts w:asciiTheme="minorEastAsia" w:hAnsiTheme="minorEastAsia"/>
                <w:color w:val="auto"/>
                <w:highlight w:val="none"/>
              </w:rPr>
            </w:pPr>
          </w:p>
        </w:tc>
        <w:tc>
          <w:tcPr>
            <w:tcW w:w="709" w:type="dxa"/>
          </w:tcPr>
          <w:p w14:paraId="3B29FFBC">
            <w:pPr>
              <w:spacing w:line="360" w:lineRule="auto"/>
              <w:rPr>
                <w:rFonts w:asciiTheme="minorEastAsia" w:hAnsiTheme="minorEastAsia"/>
                <w:color w:val="auto"/>
                <w:highlight w:val="none"/>
              </w:rPr>
            </w:pPr>
          </w:p>
        </w:tc>
        <w:tc>
          <w:tcPr>
            <w:tcW w:w="851" w:type="dxa"/>
          </w:tcPr>
          <w:p w14:paraId="76D28EFE">
            <w:pPr>
              <w:spacing w:line="360" w:lineRule="auto"/>
              <w:rPr>
                <w:rFonts w:asciiTheme="minorEastAsia" w:hAnsiTheme="minorEastAsia"/>
                <w:color w:val="auto"/>
                <w:highlight w:val="none"/>
              </w:rPr>
            </w:pPr>
          </w:p>
        </w:tc>
        <w:tc>
          <w:tcPr>
            <w:tcW w:w="1134" w:type="dxa"/>
          </w:tcPr>
          <w:p w14:paraId="513FC532">
            <w:pPr>
              <w:spacing w:line="360" w:lineRule="auto"/>
              <w:rPr>
                <w:rFonts w:asciiTheme="minorEastAsia" w:hAnsiTheme="minorEastAsia"/>
                <w:color w:val="auto"/>
                <w:highlight w:val="none"/>
              </w:rPr>
            </w:pPr>
          </w:p>
        </w:tc>
        <w:tc>
          <w:tcPr>
            <w:tcW w:w="992" w:type="dxa"/>
          </w:tcPr>
          <w:p w14:paraId="36F9F1DF">
            <w:pPr>
              <w:spacing w:line="360" w:lineRule="auto"/>
              <w:rPr>
                <w:rFonts w:asciiTheme="minorEastAsia" w:hAnsiTheme="minorEastAsia"/>
                <w:color w:val="auto"/>
                <w:highlight w:val="none"/>
              </w:rPr>
            </w:pPr>
          </w:p>
        </w:tc>
        <w:tc>
          <w:tcPr>
            <w:tcW w:w="1134" w:type="dxa"/>
          </w:tcPr>
          <w:p w14:paraId="5E68B681">
            <w:pPr>
              <w:spacing w:line="360" w:lineRule="auto"/>
              <w:rPr>
                <w:rFonts w:asciiTheme="minorEastAsia" w:hAnsiTheme="minorEastAsia"/>
                <w:color w:val="auto"/>
                <w:highlight w:val="none"/>
              </w:rPr>
            </w:pPr>
          </w:p>
        </w:tc>
        <w:tc>
          <w:tcPr>
            <w:tcW w:w="992" w:type="dxa"/>
          </w:tcPr>
          <w:p w14:paraId="1463AEDF">
            <w:pPr>
              <w:spacing w:line="360" w:lineRule="auto"/>
              <w:rPr>
                <w:rFonts w:asciiTheme="minorEastAsia" w:hAnsiTheme="minorEastAsia"/>
                <w:color w:val="auto"/>
                <w:highlight w:val="none"/>
              </w:rPr>
            </w:pPr>
          </w:p>
        </w:tc>
      </w:tr>
      <w:tr w14:paraId="36D3B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267A5572">
            <w:pPr>
              <w:spacing w:line="360" w:lineRule="auto"/>
              <w:rPr>
                <w:rFonts w:asciiTheme="minorEastAsia" w:hAnsiTheme="minorEastAsia"/>
                <w:color w:val="auto"/>
                <w:highlight w:val="none"/>
              </w:rPr>
            </w:pPr>
          </w:p>
        </w:tc>
        <w:tc>
          <w:tcPr>
            <w:tcW w:w="1226" w:type="dxa"/>
          </w:tcPr>
          <w:p w14:paraId="6153283E">
            <w:pPr>
              <w:spacing w:line="360" w:lineRule="auto"/>
              <w:rPr>
                <w:rFonts w:asciiTheme="minorEastAsia" w:hAnsiTheme="minorEastAsia"/>
                <w:color w:val="auto"/>
                <w:highlight w:val="none"/>
              </w:rPr>
            </w:pPr>
          </w:p>
        </w:tc>
        <w:tc>
          <w:tcPr>
            <w:tcW w:w="851" w:type="dxa"/>
          </w:tcPr>
          <w:p w14:paraId="4E621E95">
            <w:pPr>
              <w:spacing w:line="360" w:lineRule="auto"/>
              <w:rPr>
                <w:rFonts w:asciiTheme="minorEastAsia" w:hAnsiTheme="minorEastAsia"/>
                <w:color w:val="auto"/>
                <w:highlight w:val="none"/>
              </w:rPr>
            </w:pPr>
          </w:p>
        </w:tc>
        <w:tc>
          <w:tcPr>
            <w:tcW w:w="708" w:type="dxa"/>
          </w:tcPr>
          <w:p w14:paraId="7C0F918C">
            <w:pPr>
              <w:spacing w:line="360" w:lineRule="auto"/>
              <w:rPr>
                <w:rFonts w:asciiTheme="minorEastAsia" w:hAnsiTheme="minorEastAsia"/>
                <w:color w:val="auto"/>
                <w:highlight w:val="none"/>
              </w:rPr>
            </w:pPr>
          </w:p>
        </w:tc>
        <w:tc>
          <w:tcPr>
            <w:tcW w:w="709" w:type="dxa"/>
          </w:tcPr>
          <w:p w14:paraId="39DA57B7">
            <w:pPr>
              <w:spacing w:line="360" w:lineRule="auto"/>
              <w:rPr>
                <w:rFonts w:asciiTheme="minorEastAsia" w:hAnsiTheme="minorEastAsia"/>
                <w:color w:val="auto"/>
                <w:highlight w:val="none"/>
              </w:rPr>
            </w:pPr>
          </w:p>
        </w:tc>
        <w:tc>
          <w:tcPr>
            <w:tcW w:w="851" w:type="dxa"/>
          </w:tcPr>
          <w:p w14:paraId="1B52A3C5">
            <w:pPr>
              <w:spacing w:line="360" w:lineRule="auto"/>
              <w:rPr>
                <w:rFonts w:asciiTheme="minorEastAsia" w:hAnsiTheme="minorEastAsia"/>
                <w:color w:val="auto"/>
                <w:highlight w:val="none"/>
              </w:rPr>
            </w:pPr>
          </w:p>
        </w:tc>
        <w:tc>
          <w:tcPr>
            <w:tcW w:w="1134" w:type="dxa"/>
          </w:tcPr>
          <w:p w14:paraId="70A34D60">
            <w:pPr>
              <w:spacing w:line="360" w:lineRule="auto"/>
              <w:rPr>
                <w:rFonts w:asciiTheme="minorEastAsia" w:hAnsiTheme="minorEastAsia"/>
                <w:color w:val="auto"/>
                <w:highlight w:val="none"/>
              </w:rPr>
            </w:pPr>
          </w:p>
        </w:tc>
        <w:tc>
          <w:tcPr>
            <w:tcW w:w="992" w:type="dxa"/>
          </w:tcPr>
          <w:p w14:paraId="42A5267C">
            <w:pPr>
              <w:spacing w:line="360" w:lineRule="auto"/>
              <w:rPr>
                <w:rFonts w:asciiTheme="minorEastAsia" w:hAnsiTheme="minorEastAsia"/>
                <w:color w:val="auto"/>
                <w:highlight w:val="none"/>
              </w:rPr>
            </w:pPr>
          </w:p>
        </w:tc>
        <w:tc>
          <w:tcPr>
            <w:tcW w:w="1134" w:type="dxa"/>
          </w:tcPr>
          <w:p w14:paraId="0256D561">
            <w:pPr>
              <w:spacing w:line="360" w:lineRule="auto"/>
              <w:rPr>
                <w:rFonts w:asciiTheme="minorEastAsia" w:hAnsiTheme="minorEastAsia"/>
                <w:color w:val="auto"/>
                <w:highlight w:val="none"/>
              </w:rPr>
            </w:pPr>
          </w:p>
        </w:tc>
        <w:tc>
          <w:tcPr>
            <w:tcW w:w="992" w:type="dxa"/>
          </w:tcPr>
          <w:p w14:paraId="0F15E4F7">
            <w:pPr>
              <w:spacing w:line="360" w:lineRule="auto"/>
              <w:rPr>
                <w:rFonts w:asciiTheme="minorEastAsia" w:hAnsiTheme="minorEastAsia"/>
                <w:color w:val="auto"/>
                <w:highlight w:val="none"/>
              </w:rPr>
            </w:pPr>
          </w:p>
        </w:tc>
      </w:tr>
      <w:tr w14:paraId="599E0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6A47BEC8">
            <w:pPr>
              <w:spacing w:line="360" w:lineRule="auto"/>
              <w:rPr>
                <w:rFonts w:asciiTheme="minorEastAsia" w:hAnsiTheme="minorEastAsia"/>
                <w:color w:val="auto"/>
                <w:highlight w:val="none"/>
              </w:rPr>
            </w:pPr>
          </w:p>
        </w:tc>
        <w:tc>
          <w:tcPr>
            <w:tcW w:w="1226" w:type="dxa"/>
          </w:tcPr>
          <w:p w14:paraId="5A9779D9">
            <w:pPr>
              <w:spacing w:line="360" w:lineRule="auto"/>
              <w:rPr>
                <w:rFonts w:asciiTheme="minorEastAsia" w:hAnsiTheme="minorEastAsia"/>
                <w:color w:val="auto"/>
                <w:highlight w:val="none"/>
              </w:rPr>
            </w:pPr>
          </w:p>
        </w:tc>
        <w:tc>
          <w:tcPr>
            <w:tcW w:w="851" w:type="dxa"/>
          </w:tcPr>
          <w:p w14:paraId="2FD14AD3">
            <w:pPr>
              <w:spacing w:line="360" w:lineRule="auto"/>
              <w:rPr>
                <w:rFonts w:asciiTheme="minorEastAsia" w:hAnsiTheme="minorEastAsia"/>
                <w:color w:val="auto"/>
                <w:highlight w:val="none"/>
              </w:rPr>
            </w:pPr>
          </w:p>
        </w:tc>
        <w:tc>
          <w:tcPr>
            <w:tcW w:w="708" w:type="dxa"/>
          </w:tcPr>
          <w:p w14:paraId="002938A8">
            <w:pPr>
              <w:spacing w:line="360" w:lineRule="auto"/>
              <w:rPr>
                <w:rFonts w:asciiTheme="minorEastAsia" w:hAnsiTheme="minorEastAsia"/>
                <w:color w:val="auto"/>
                <w:highlight w:val="none"/>
              </w:rPr>
            </w:pPr>
          </w:p>
        </w:tc>
        <w:tc>
          <w:tcPr>
            <w:tcW w:w="709" w:type="dxa"/>
          </w:tcPr>
          <w:p w14:paraId="4FF938B3">
            <w:pPr>
              <w:spacing w:line="360" w:lineRule="auto"/>
              <w:rPr>
                <w:rFonts w:asciiTheme="minorEastAsia" w:hAnsiTheme="minorEastAsia"/>
                <w:color w:val="auto"/>
                <w:highlight w:val="none"/>
              </w:rPr>
            </w:pPr>
          </w:p>
        </w:tc>
        <w:tc>
          <w:tcPr>
            <w:tcW w:w="851" w:type="dxa"/>
          </w:tcPr>
          <w:p w14:paraId="5D0EA1E6">
            <w:pPr>
              <w:spacing w:line="360" w:lineRule="auto"/>
              <w:rPr>
                <w:rFonts w:asciiTheme="minorEastAsia" w:hAnsiTheme="minorEastAsia"/>
                <w:color w:val="auto"/>
                <w:highlight w:val="none"/>
              </w:rPr>
            </w:pPr>
          </w:p>
        </w:tc>
        <w:tc>
          <w:tcPr>
            <w:tcW w:w="1134" w:type="dxa"/>
          </w:tcPr>
          <w:p w14:paraId="028A52B7">
            <w:pPr>
              <w:spacing w:line="360" w:lineRule="auto"/>
              <w:rPr>
                <w:rFonts w:asciiTheme="minorEastAsia" w:hAnsiTheme="minorEastAsia"/>
                <w:color w:val="auto"/>
                <w:highlight w:val="none"/>
              </w:rPr>
            </w:pPr>
          </w:p>
        </w:tc>
        <w:tc>
          <w:tcPr>
            <w:tcW w:w="992" w:type="dxa"/>
          </w:tcPr>
          <w:p w14:paraId="6CEC2723">
            <w:pPr>
              <w:spacing w:line="360" w:lineRule="auto"/>
              <w:rPr>
                <w:rFonts w:asciiTheme="minorEastAsia" w:hAnsiTheme="minorEastAsia"/>
                <w:color w:val="auto"/>
                <w:highlight w:val="none"/>
              </w:rPr>
            </w:pPr>
          </w:p>
        </w:tc>
        <w:tc>
          <w:tcPr>
            <w:tcW w:w="1134" w:type="dxa"/>
          </w:tcPr>
          <w:p w14:paraId="6ADAFDB3">
            <w:pPr>
              <w:spacing w:line="360" w:lineRule="auto"/>
              <w:rPr>
                <w:rFonts w:asciiTheme="minorEastAsia" w:hAnsiTheme="minorEastAsia"/>
                <w:color w:val="auto"/>
                <w:highlight w:val="none"/>
              </w:rPr>
            </w:pPr>
          </w:p>
        </w:tc>
        <w:tc>
          <w:tcPr>
            <w:tcW w:w="992" w:type="dxa"/>
          </w:tcPr>
          <w:p w14:paraId="61FAB82E">
            <w:pPr>
              <w:spacing w:line="360" w:lineRule="auto"/>
              <w:rPr>
                <w:rFonts w:asciiTheme="minorEastAsia" w:hAnsiTheme="minorEastAsia"/>
                <w:color w:val="auto"/>
                <w:highlight w:val="none"/>
              </w:rPr>
            </w:pPr>
          </w:p>
        </w:tc>
      </w:tr>
    </w:tbl>
    <w:p w14:paraId="6EBE23FD">
      <w:pPr>
        <w:rPr>
          <w:rFonts w:asciiTheme="minorEastAsia" w:hAnsiTheme="minorEastAsia"/>
          <w:color w:val="auto"/>
          <w:highlight w:val="none"/>
        </w:rPr>
      </w:pPr>
    </w:p>
    <w:p w14:paraId="616CAAD7">
      <w:pPr>
        <w:rPr>
          <w:rFonts w:asciiTheme="minorEastAsia" w:hAnsiTheme="minorEastAsia"/>
          <w:color w:val="auto"/>
          <w:highlight w:val="none"/>
        </w:rPr>
      </w:pPr>
    </w:p>
    <w:p w14:paraId="14CBF415">
      <w:pPr>
        <w:outlineLvl w:val="0"/>
        <w:rPr>
          <w:rFonts w:asciiTheme="minorEastAsia" w:hAnsiTheme="minorEastAsia"/>
          <w:color w:val="auto"/>
          <w:sz w:val="24"/>
          <w:szCs w:val="24"/>
          <w:highlight w:val="none"/>
        </w:rPr>
      </w:pPr>
      <w:bookmarkStart w:id="1473" w:name="_Toc11337"/>
      <w:bookmarkStart w:id="1474" w:name="_Toc97108137"/>
      <w:bookmarkStart w:id="1475" w:name="_Toc20746"/>
      <w:bookmarkStart w:id="1476" w:name="_Toc18696"/>
      <w:r>
        <w:rPr>
          <w:rFonts w:hint="eastAsia" w:cs="宋体" w:asciiTheme="minorEastAsia" w:hAnsiTheme="minorEastAsia"/>
          <w:color w:val="auto"/>
          <w:sz w:val="24"/>
          <w:szCs w:val="24"/>
          <w:highlight w:val="none"/>
        </w:rPr>
        <w:t>附表二：拟配备本工程的试验和检测仪器设备表</w:t>
      </w:r>
      <w:bookmarkEnd w:id="1473"/>
      <w:bookmarkEnd w:id="1474"/>
      <w:bookmarkEnd w:id="1475"/>
      <w:bookmarkEnd w:id="1476"/>
    </w:p>
    <w:tbl>
      <w:tblPr>
        <w:tblStyle w:val="28"/>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45EBB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7EC731B7">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序号</w:t>
            </w:r>
          </w:p>
        </w:tc>
        <w:tc>
          <w:tcPr>
            <w:tcW w:w="1226" w:type="dxa"/>
            <w:vAlign w:val="center"/>
          </w:tcPr>
          <w:p w14:paraId="74264984">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仪器设备名称</w:t>
            </w:r>
          </w:p>
        </w:tc>
        <w:tc>
          <w:tcPr>
            <w:tcW w:w="851" w:type="dxa"/>
            <w:vAlign w:val="center"/>
          </w:tcPr>
          <w:p w14:paraId="3AF3EDB4">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型号</w:t>
            </w:r>
          </w:p>
          <w:p w14:paraId="69177EFC">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规格</w:t>
            </w:r>
          </w:p>
        </w:tc>
        <w:tc>
          <w:tcPr>
            <w:tcW w:w="708" w:type="dxa"/>
            <w:vAlign w:val="center"/>
          </w:tcPr>
          <w:p w14:paraId="3BCA0A2D">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数量</w:t>
            </w:r>
          </w:p>
        </w:tc>
        <w:tc>
          <w:tcPr>
            <w:tcW w:w="709" w:type="dxa"/>
            <w:vAlign w:val="center"/>
          </w:tcPr>
          <w:p w14:paraId="541DB759">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国别</w:t>
            </w:r>
          </w:p>
          <w:p w14:paraId="16C78C50">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产地</w:t>
            </w:r>
          </w:p>
        </w:tc>
        <w:tc>
          <w:tcPr>
            <w:tcW w:w="1134" w:type="dxa"/>
            <w:vAlign w:val="center"/>
          </w:tcPr>
          <w:p w14:paraId="03058754">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制造年份</w:t>
            </w:r>
          </w:p>
        </w:tc>
        <w:tc>
          <w:tcPr>
            <w:tcW w:w="1276" w:type="dxa"/>
            <w:vAlign w:val="center"/>
          </w:tcPr>
          <w:p w14:paraId="3F7E787C">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已使用</w:t>
            </w:r>
          </w:p>
          <w:p w14:paraId="279F8CFF">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台时数</w:t>
            </w:r>
          </w:p>
        </w:tc>
        <w:tc>
          <w:tcPr>
            <w:tcW w:w="1134" w:type="dxa"/>
            <w:vAlign w:val="center"/>
          </w:tcPr>
          <w:p w14:paraId="6611E574">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用途</w:t>
            </w:r>
          </w:p>
        </w:tc>
        <w:tc>
          <w:tcPr>
            <w:tcW w:w="1559" w:type="dxa"/>
            <w:vAlign w:val="center"/>
          </w:tcPr>
          <w:p w14:paraId="5F81A408">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备注</w:t>
            </w:r>
          </w:p>
        </w:tc>
      </w:tr>
      <w:tr w14:paraId="4ED11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2552963C">
            <w:pPr>
              <w:spacing w:line="360" w:lineRule="auto"/>
              <w:ind w:firstLine="420" w:firstLineChars="200"/>
              <w:rPr>
                <w:rFonts w:asciiTheme="minorEastAsia" w:hAnsiTheme="minorEastAsia"/>
                <w:color w:val="auto"/>
                <w:highlight w:val="none"/>
              </w:rPr>
            </w:pPr>
          </w:p>
        </w:tc>
        <w:tc>
          <w:tcPr>
            <w:tcW w:w="1226" w:type="dxa"/>
            <w:vAlign w:val="center"/>
          </w:tcPr>
          <w:p w14:paraId="2F462E7F">
            <w:pPr>
              <w:spacing w:line="360" w:lineRule="auto"/>
              <w:ind w:firstLine="420" w:firstLineChars="200"/>
              <w:rPr>
                <w:rFonts w:asciiTheme="minorEastAsia" w:hAnsiTheme="minorEastAsia"/>
                <w:color w:val="auto"/>
                <w:highlight w:val="none"/>
              </w:rPr>
            </w:pPr>
          </w:p>
        </w:tc>
        <w:tc>
          <w:tcPr>
            <w:tcW w:w="851" w:type="dxa"/>
            <w:vAlign w:val="center"/>
          </w:tcPr>
          <w:p w14:paraId="168CC66C">
            <w:pPr>
              <w:spacing w:line="360" w:lineRule="auto"/>
              <w:ind w:firstLine="420" w:firstLineChars="200"/>
              <w:rPr>
                <w:rFonts w:asciiTheme="minorEastAsia" w:hAnsiTheme="minorEastAsia"/>
                <w:color w:val="auto"/>
                <w:highlight w:val="none"/>
              </w:rPr>
            </w:pPr>
          </w:p>
        </w:tc>
        <w:tc>
          <w:tcPr>
            <w:tcW w:w="708" w:type="dxa"/>
            <w:vAlign w:val="center"/>
          </w:tcPr>
          <w:p w14:paraId="7D9BD873">
            <w:pPr>
              <w:spacing w:line="360" w:lineRule="auto"/>
              <w:ind w:firstLine="420" w:firstLineChars="200"/>
              <w:rPr>
                <w:rFonts w:asciiTheme="minorEastAsia" w:hAnsiTheme="minorEastAsia"/>
                <w:color w:val="auto"/>
                <w:highlight w:val="none"/>
              </w:rPr>
            </w:pPr>
          </w:p>
        </w:tc>
        <w:tc>
          <w:tcPr>
            <w:tcW w:w="709" w:type="dxa"/>
            <w:vAlign w:val="center"/>
          </w:tcPr>
          <w:p w14:paraId="01B4A4BE">
            <w:pPr>
              <w:spacing w:line="360" w:lineRule="auto"/>
              <w:ind w:firstLine="420" w:firstLineChars="200"/>
              <w:rPr>
                <w:rFonts w:asciiTheme="minorEastAsia" w:hAnsiTheme="minorEastAsia"/>
                <w:color w:val="auto"/>
                <w:highlight w:val="none"/>
              </w:rPr>
            </w:pPr>
          </w:p>
        </w:tc>
        <w:tc>
          <w:tcPr>
            <w:tcW w:w="1134" w:type="dxa"/>
            <w:vAlign w:val="center"/>
          </w:tcPr>
          <w:p w14:paraId="31E58FCF">
            <w:pPr>
              <w:spacing w:line="360" w:lineRule="auto"/>
              <w:ind w:firstLine="420" w:firstLineChars="200"/>
              <w:rPr>
                <w:rFonts w:asciiTheme="minorEastAsia" w:hAnsiTheme="minorEastAsia"/>
                <w:color w:val="auto"/>
                <w:highlight w:val="none"/>
              </w:rPr>
            </w:pPr>
          </w:p>
        </w:tc>
        <w:tc>
          <w:tcPr>
            <w:tcW w:w="1276" w:type="dxa"/>
            <w:vAlign w:val="center"/>
          </w:tcPr>
          <w:p w14:paraId="3006F9D3">
            <w:pPr>
              <w:spacing w:line="360" w:lineRule="auto"/>
              <w:ind w:firstLine="420" w:firstLineChars="200"/>
              <w:rPr>
                <w:rFonts w:asciiTheme="minorEastAsia" w:hAnsiTheme="minorEastAsia"/>
                <w:color w:val="auto"/>
                <w:highlight w:val="none"/>
              </w:rPr>
            </w:pPr>
          </w:p>
        </w:tc>
        <w:tc>
          <w:tcPr>
            <w:tcW w:w="1134" w:type="dxa"/>
            <w:vAlign w:val="center"/>
          </w:tcPr>
          <w:p w14:paraId="08673CF8">
            <w:pPr>
              <w:spacing w:line="360" w:lineRule="auto"/>
              <w:ind w:firstLine="420" w:firstLineChars="200"/>
              <w:rPr>
                <w:rFonts w:asciiTheme="minorEastAsia" w:hAnsiTheme="minorEastAsia"/>
                <w:color w:val="auto"/>
                <w:highlight w:val="none"/>
              </w:rPr>
            </w:pPr>
          </w:p>
        </w:tc>
        <w:tc>
          <w:tcPr>
            <w:tcW w:w="1559" w:type="dxa"/>
            <w:vAlign w:val="center"/>
          </w:tcPr>
          <w:p w14:paraId="263AF319">
            <w:pPr>
              <w:spacing w:line="360" w:lineRule="auto"/>
              <w:ind w:firstLine="420" w:firstLineChars="200"/>
              <w:rPr>
                <w:rFonts w:asciiTheme="minorEastAsia" w:hAnsiTheme="minorEastAsia"/>
                <w:color w:val="auto"/>
                <w:highlight w:val="none"/>
              </w:rPr>
            </w:pPr>
          </w:p>
        </w:tc>
      </w:tr>
      <w:tr w14:paraId="3E29B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52452262">
            <w:pPr>
              <w:spacing w:line="360" w:lineRule="auto"/>
              <w:ind w:firstLine="420" w:firstLineChars="200"/>
              <w:rPr>
                <w:rFonts w:asciiTheme="minorEastAsia" w:hAnsiTheme="minorEastAsia"/>
                <w:color w:val="auto"/>
                <w:highlight w:val="none"/>
              </w:rPr>
            </w:pPr>
          </w:p>
        </w:tc>
        <w:tc>
          <w:tcPr>
            <w:tcW w:w="1226" w:type="dxa"/>
            <w:vAlign w:val="center"/>
          </w:tcPr>
          <w:p w14:paraId="234E2214">
            <w:pPr>
              <w:spacing w:line="360" w:lineRule="auto"/>
              <w:ind w:firstLine="420" w:firstLineChars="200"/>
              <w:rPr>
                <w:rFonts w:asciiTheme="minorEastAsia" w:hAnsiTheme="minorEastAsia"/>
                <w:color w:val="auto"/>
                <w:highlight w:val="none"/>
              </w:rPr>
            </w:pPr>
          </w:p>
        </w:tc>
        <w:tc>
          <w:tcPr>
            <w:tcW w:w="851" w:type="dxa"/>
            <w:vAlign w:val="center"/>
          </w:tcPr>
          <w:p w14:paraId="67A1F807">
            <w:pPr>
              <w:spacing w:line="360" w:lineRule="auto"/>
              <w:ind w:firstLine="420" w:firstLineChars="200"/>
              <w:rPr>
                <w:rFonts w:asciiTheme="minorEastAsia" w:hAnsiTheme="minorEastAsia"/>
                <w:color w:val="auto"/>
                <w:highlight w:val="none"/>
              </w:rPr>
            </w:pPr>
          </w:p>
        </w:tc>
        <w:tc>
          <w:tcPr>
            <w:tcW w:w="708" w:type="dxa"/>
            <w:vAlign w:val="center"/>
          </w:tcPr>
          <w:p w14:paraId="1D7B26D7">
            <w:pPr>
              <w:spacing w:line="360" w:lineRule="auto"/>
              <w:ind w:firstLine="420" w:firstLineChars="200"/>
              <w:rPr>
                <w:rFonts w:asciiTheme="minorEastAsia" w:hAnsiTheme="minorEastAsia"/>
                <w:color w:val="auto"/>
                <w:highlight w:val="none"/>
              </w:rPr>
            </w:pPr>
          </w:p>
        </w:tc>
        <w:tc>
          <w:tcPr>
            <w:tcW w:w="709" w:type="dxa"/>
            <w:vAlign w:val="center"/>
          </w:tcPr>
          <w:p w14:paraId="3B0F4355">
            <w:pPr>
              <w:spacing w:line="360" w:lineRule="auto"/>
              <w:ind w:firstLine="420" w:firstLineChars="200"/>
              <w:rPr>
                <w:rFonts w:asciiTheme="minorEastAsia" w:hAnsiTheme="minorEastAsia"/>
                <w:color w:val="auto"/>
                <w:highlight w:val="none"/>
              </w:rPr>
            </w:pPr>
          </w:p>
        </w:tc>
        <w:tc>
          <w:tcPr>
            <w:tcW w:w="1134" w:type="dxa"/>
            <w:vAlign w:val="center"/>
          </w:tcPr>
          <w:p w14:paraId="2DCC81E5">
            <w:pPr>
              <w:spacing w:line="360" w:lineRule="auto"/>
              <w:ind w:firstLine="420" w:firstLineChars="200"/>
              <w:rPr>
                <w:rFonts w:asciiTheme="minorEastAsia" w:hAnsiTheme="minorEastAsia"/>
                <w:color w:val="auto"/>
                <w:highlight w:val="none"/>
              </w:rPr>
            </w:pPr>
          </w:p>
        </w:tc>
        <w:tc>
          <w:tcPr>
            <w:tcW w:w="1276" w:type="dxa"/>
            <w:vAlign w:val="center"/>
          </w:tcPr>
          <w:p w14:paraId="041CA999">
            <w:pPr>
              <w:spacing w:line="360" w:lineRule="auto"/>
              <w:ind w:firstLine="420" w:firstLineChars="200"/>
              <w:rPr>
                <w:rFonts w:asciiTheme="minorEastAsia" w:hAnsiTheme="minorEastAsia"/>
                <w:color w:val="auto"/>
                <w:highlight w:val="none"/>
              </w:rPr>
            </w:pPr>
          </w:p>
        </w:tc>
        <w:tc>
          <w:tcPr>
            <w:tcW w:w="1134" w:type="dxa"/>
            <w:vAlign w:val="center"/>
          </w:tcPr>
          <w:p w14:paraId="2F3327D4">
            <w:pPr>
              <w:spacing w:line="360" w:lineRule="auto"/>
              <w:ind w:firstLine="420" w:firstLineChars="200"/>
              <w:rPr>
                <w:rFonts w:asciiTheme="minorEastAsia" w:hAnsiTheme="minorEastAsia"/>
                <w:color w:val="auto"/>
                <w:highlight w:val="none"/>
              </w:rPr>
            </w:pPr>
          </w:p>
        </w:tc>
        <w:tc>
          <w:tcPr>
            <w:tcW w:w="1559" w:type="dxa"/>
            <w:vAlign w:val="center"/>
          </w:tcPr>
          <w:p w14:paraId="248ADADB">
            <w:pPr>
              <w:spacing w:line="360" w:lineRule="auto"/>
              <w:ind w:firstLine="420" w:firstLineChars="200"/>
              <w:rPr>
                <w:rFonts w:asciiTheme="minorEastAsia" w:hAnsiTheme="minorEastAsia"/>
                <w:color w:val="auto"/>
                <w:highlight w:val="none"/>
              </w:rPr>
            </w:pPr>
          </w:p>
        </w:tc>
      </w:tr>
      <w:tr w14:paraId="79F5D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70CCBC8E">
            <w:pPr>
              <w:spacing w:line="360" w:lineRule="auto"/>
              <w:ind w:firstLine="420" w:firstLineChars="200"/>
              <w:rPr>
                <w:rFonts w:asciiTheme="minorEastAsia" w:hAnsiTheme="minorEastAsia"/>
                <w:color w:val="auto"/>
                <w:highlight w:val="none"/>
              </w:rPr>
            </w:pPr>
          </w:p>
        </w:tc>
        <w:tc>
          <w:tcPr>
            <w:tcW w:w="1226" w:type="dxa"/>
            <w:vAlign w:val="center"/>
          </w:tcPr>
          <w:p w14:paraId="2AC893F7">
            <w:pPr>
              <w:spacing w:line="360" w:lineRule="auto"/>
              <w:ind w:firstLine="420" w:firstLineChars="200"/>
              <w:rPr>
                <w:rFonts w:asciiTheme="minorEastAsia" w:hAnsiTheme="minorEastAsia"/>
                <w:color w:val="auto"/>
                <w:highlight w:val="none"/>
              </w:rPr>
            </w:pPr>
          </w:p>
        </w:tc>
        <w:tc>
          <w:tcPr>
            <w:tcW w:w="851" w:type="dxa"/>
            <w:vAlign w:val="center"/>
          </w:tcPr>
          <w:p w14:paraId="714A0D38">
            <w:pPr>
              <w:spacing w:line="360" w:lineRule="auto"/>
              <w:ind w:firstLine="420" w:firstLineChars="200"/>
              <w:rPr>
                <w:rFonts w:asciiTheme="minorEastAsia" w:hAnsiTheme="minorEastAsia"/>
                <w:color w:val="auto"/>
                <w:highlight w:val="none"/>
              </w:rPr>
            </w:pPr>
          </w:p>
        </w:tc>
        <w:tc>
          <w:tcPr>
            <w:tcW w:w="708" w:type="dxa"/>
            <w:vAlign w:val="center"/>
          </w:tcPr>
          <w:p w14:paraId="4AB0223C">
            <w:pPr>
              <w:spacing w:line="360" w:lineRule="auto"/>
              <w:ind w:firstLine="420" w:firstLineChars="200"/>
              <w:rPr>
                <w:rFonts w:asciiTheme="minorEastAsia" w:hAnsiTheme="minorEastAsia"/>
                <w:color w:val="auto"/>
                <w:highlight w:val="none"/>
              </w:rPr>
            </w:pPr>
          </w:p>
        </w:tc>
        <w:tc>
          <w:tcPr>
            <w:tcW w:w="709" w:type="dxa"/>
            <w:vAlign w:val="center"/>
          </w:tcPr>
          <w:p w14:paraId="08746A08">
            <w:pPr>
              <w:spacing w:line="360" w:lineRule="auto"/>
              <w:ind w:firstLine="420" w:firstLineChars="200"/>
              <w:rPr>
                <w:rFonts w:asciiTheme="minorEastAsia" w:hAnsiTheme="minorEastAsia"/>
                <w:color w:val="auto"/>
                <w:highlight w:val="none"/>
              </w:rPr>
            </w:pPr>
          </w:p>
        </w:tc>
        <w:tc>
          <w:tcPr>
            <w:tcW w:w="1134" w:type="dxa"/>
            <w:vAlign w:val="center"/>
          </w:tcPr>
          <w:p w14:paraId="7C2D0DC8">
            <w:pPr>
              <w:spacing w:line="360" w:lineRule="auto"/>
              <w:ind w:firstLine="420" w:firstLineChars="200"/>
              <w:rPr>
                <w:rFonts w:asciiTheme="minorEastAsia" w:hAnsiTheme="minorEastAsia"/>
                <w:color w:val="auto"/>
                <w:highlight w:val="none"/>
              </w:rPr>
            </w:pPr>
          </w:p>
        </w:tc>
        <w:tc>
          <w:tcPr>
            <w:tcW w:w="1276" w:type="dxa"/>
            <w:vAlign w:val="center"/>
          </w:tcPr>
          <w:p w14:paraId="37271795">
            <w:pPr>
              <w:spacing w:line="360" w:lineRule="auto"/>
              <w:ind w:firstLine="420" w:firstLineChars="200"/>
              <w:rPr>
                <w:rFonts w:asciiTheme="minorEastAsia" w:hAnsiTheme="minorEastAsia"/>
                <w:color w:val="auto"/>
                <w:highlight w:val="none"/>
              </w:rPr>
            </w:pPr>
          </w:p>
        </w:tc>
        <w:tc>
          <w:tcPr>
            <w:tcW w:w="1134" w:type="dxa"/>
            <w:vAlign w:val="center"/>
          </w:tcPr>
          <w:p w14:paraId="582EFB8D">
            <w:pPr>
              <w:spacing w:line="360" w:lineRule="auto"/>
              <w:ind w:firstLine="420" w:firstLineChars="200"/>
              <w:rPr>
                <w:rFonts w:asciiTheme="minorEastAsia" w:hAnsiTheme="minorEastAsia"/>
                <w:color w:val="auto"/>
                <w:highlight w:val="none"/>
              </w:rPr>
            </w:pPr>
          </w:p>
        </w:tc>
        <w:tc>
          <w:tcPr>
            <w:tcW w:w="1559" w:type="dxa"/>
            <w:vAlign w:val="center"/>
          </w:tcPr>
          <w:p w14:paraId="278F079B">
            <w:pPr>
              <w:spacing w:line="360" w:lineRule="auto"/>
              <w:ind w:firstLine="420" w:firstLineChars="200"/>
              <w:rPr>
                <w:rFonts w:asciiTheme="minorEastAsia" w:hAnsiTheme="minorEastAsia"/>
                <w:color w:val="auto"/>
                <w:highlight w:val="none"/>
              </w:rPr>
            </w:pPr>
          </w:p>
        </w:tc>
      </w:tr>
      <w:tr w14:paraId="4D3DA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25DFBBA4">
            <w:pPr>
              <w:spacing w:line="360" w:lineRule="auto"/>
              <w:ind w:firstLine="420" w:firstLineChars="200"/>
              <w:rPr>
                <w:rFonts w:asciiTheme="minorEastAsia" w:hAnsiTheme="minorEastAsia"/>
                <w:color w:val="auto"/>
                <w:highlight w:val="none"/>
              </w:rPr>
            </w:pPr>
          </w:p>
        </w:tc>
        <w:tc>
          <w:tcPr>
            <w:tcW w:w="1226" w:type="dxa"/>
            <w:vAlign w:val="center"/>
          </w:tcPr>
          <w:p w14:paraId="6728F7AD">
            <w:pPr>
              <w:spacing w:line="360" w:lineRule="auto"/>
              <w:ind w:firstLine="420" w:firstLineChars="200"/>
              <w:rPr>
                <w:rFonts w:asciiTheme="minorEastAsia" w:hAnsiTheme="minorEastAsia"/>
                <w:color w:val="auto"/>
                <w:highlight w:val="none"/>
              </w:rPr>
            </w:pPr>
          </w:p>
        </w:tc>
        <w:tc>
          <w:tcPr>
            <w:tcW w:w="851" w:type="dxa"/>
            <w:vAlign w:val="center"/>
          </w:tcPr>
          <w:p w14:paraId="0D36AD69">
            <w:pPr>
              <w:spacing w:line="360" w:lineRule="auto"/>
              <w:ind w:firstLine="420" w:firstLineChars="200"/>
              <w:rPr>
                <w:rFonts w:asciiTheme="minorEastAsia" w:hAnsiTheme="minorEastAsia"/>
                <w:color w:val="auto"/>
                <w:highlight w:val="none"/>
              </w:rPr>
            </w:pPr>
          </w:p>
        </w:tc>
        <w:tc>
          <w:tcPr>
            <w:tcW w:w="708" w:type="dxa"/>
            <w:vAlign w:val="center"/>
          </w:tcPr>
          <w:p w14:paraId="065B533E">
            <w:pPr>
              <w:spacing w:line="360" w:lineRule="auto"/>
              <w:ind w:firstLine="420" w:firstLineChars="200"/>
              <w:rPr>
                <w:rFonts w:asciiTheme="minorEastAsia" w:hAnsiTheme="minorEastAsia"/>
                <w:color w:val="auto"/>
                <w:highlight w:val="none"/>
              </w:rPr>
            </w:pPr>
          </w:p>
        </w:tc>
        <w:tc>
          <w:tcPr>
            <w:tcW w:w="709" w:type="dxa"/>
            <w:vAlign w:val="center"/>
          </w:tcPr>
          <w:p w14:paraId="4959344A">
            <w:pPr>
              <w:spacing w:line="360" w:lineRule="auto"/>
              <w:ind w:firstLine="420" w:firstLineChars="200"/>
              <w:rPr>
                <w:rFonts w:asciiTheme="minorEastAsia" w:hAnsiTheme="minorEastAsia"/>
                <w:color w:val="auto"/>
                <w:highlight w:val="none"/>
              </w:rPr>
            </w:pPr>
          </w:p>
        </w:tc>
        <w:tc>
          <w:tcPr>
            <w:tcW w:w="1134" w:type="dxa"/>
            <w:vAlign w:val="center"/>
          </w:tcPr>
          <w:p w14:paraId="54E06DB0">
            <w:pPr>
              <w:spacing w:line="360" w:lineRule="auto"/>
              <w:ind w:firstLine="420" w:firstLineChars="200"/>
              <w:rPr>
                <w:rFonts w:asciiTheme="minorEastAsia" w:hAnsiTheme="minorEastAsia"/>
                <w:color w:val="auto"/>
                <w:highlight w:val="none"/>
              </w:rPr>
            </w:pPr>
          </w:p>
        </w:tc>
        <w:tc>
          <w:tcPr>
            <w:tcW w:w="1276" w:type="dxa"/>
            <w:vAlign w:val="center"/>
          </w:tcPr>
          <w:p w14:paraId="7482733E">
            <w:pPr>
              <w:spacing w:line="360" w:lineRule="auto"/>
              <w:ind w:firstLine="420" w:firstLineChars="200"/>
              <w:rPr>
                <w:rFonts w:asciiTheme="minorEastAsia" w:hAnsiTheme="minorEastAsia"/>
                <w:color w:val="auto"/>
                <w:highlight w:val="none"/>
              </w:rPr>
            </w:pPr>
          </w:p>
        </w:tc>
        <w:tc>
          <w:tcPr>
            <w:tcW w:w="1134" w:type="dxa"/>
            <w:vAlign w:val="center"/>
          </w:tcPr>
          <w:p w14:paraId="08B6756F">
            <w:pPr>
              <w:spacing w:line="360" w:lineRule="auto"/>
              <w:ind w:firstLine="420" w:firstLineChars="200"/>
              <w:rPr>
                <w:rFonts w:asciiTheme="minorEastAsia" w:hAnsiTheme="minorEastAsia"/>
                <w:color w:val="auto"/>
                <w:highlight w:val="none"/>
              </w:rPr>
            </w:pPr>
          </w:p>
        </w:tc>
        <w:tc>
          <w:tcPr>
            <w:tcW w:w="1559" w:type="dxa"/>
            <w:vAlign w:val="center"/>
          </w:tcPr>
          <w:p w14:paraId="3AEAD58D">
            <w:pPr>
              <w:spacing w:line="360" w:lineRule="auto"/>
              <w:ind w:firstLine="420" w:firstLineChars="200"/>
              <w:rPr>
                <w:rFonts w:asciiTheme="minorEastAsia" w:hAnsiTheme="minorEastAsia"/>
                <w:color w:val="auto"/>
                <w:highlight w:val="none"/>
              </w:rPr>
            </w:pPr>
          </w:p>
        </w:tc>
      </w:tr>
      <w:tr w14:paraId="28EF6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05096D5D">
            <w:pPr>
              <w:spacing w:line="360" w:lineRule="auto"/>
              <w:ind w:firstLine="420" w:firstLineChars="200"/>
              <w:rPr>
                <w:rFonts w:asciiTheme="minorEastAsia" w:hAnsiTheme="minorEastAsia"/>
                <w:color w:val="auto"/>
                <w:highlight w:val="none"/>
              </w:rPr>
            </w:pPr>
          </w:p>
        </w:tc>
        <w:tc>
          <w:tcPr>
            <w:tcW w:w="1226" w:type="dxa"/>
            <w:vAlign w:val="center"/>
          </w:tcPr>
          <w:p w14:paraId="446A78E9">
            <w:pPr>
              <w:spacing w:line="360" w:lineRule="auto"/>
              <w:ind w:firstLine="420" w:firstLineChars="200"/>
              <w:rPr>
                <w:rFonts w:asciiTheme="minorEastAsia" w:hAnsiTheme="minorEastAsia"/>
                <w:color w:val="auto"/>
                <w:highlight w:val="none"/>
              </w:rPr>
            </w:pPr>
          </w:p>
        </w:tc>
        <w:tc>
          <w:tcPr>
            <w:tcW w:w="851" w:type="dxa"/>
            <w:vAlign w:val="center"/>
          </w:tcPr>
          <w:p w14:paraId="504DFAC5">
            <w:pPr>
              <w:spacing w:line="360" w:lineRule="auto"/>
              <w:ind w:firstLine="420" w:firstLineChars="200"/>
              <w:rPr>
                <w:rFonts w:asciiTheme="minorEastAsia" w:hAnsiTheme="minorEastAsia"/>
                <w:color w:val="auto"/>
                <w:highlight w:val="none"/>
              </w:rPr>
            </w:pPr>
          </w:p>
        </w:tc>
        <w:tc>
          <w:tcPr>
            <w:tcW w:w="708" w:type="dxa"/>
            <w:vAlign w:val="center"/>
          </w:tcPr>
          <w:p w14:paraId="26BB619C">
            <w:pPr>
              <w:spacing w:line="360" w:lineRule="auto"/>
              <w:ind w:firstLine="420" w:firstLineChars="200"/>
              <w:rPr>
                <w:rFonts w:asciiTheme="minorEastAsia" w:hAnsiTheme="minorEastAsia"/>
                <w:color w:val="auto"/>
                <w:highlight w:val="none"/>
              </w:rPr>
            </w:pPr>
          </w:p>
        </w:tc>
        <w:tc>
          <w:tcPr>
            <w:tcW w:w="709" w:type="dxa"/>
            <w:vAlign w:val="center"/>
          </w:tcPr>
          <w:p w14:paraId="0169AF9D">
            <w:pPr>
              <w:spacing w:line="360" w:lineRule="auto"/>
              <w:ind w:firstLine="420" w:firstLineChars="200"/>
              <w:rPr>
                <w:rFonts w:asciiTheme="minorEastAsia" w:hAnsiTheme="minorEastAsia"/>
                <w:color w:val="auto"/>
                <w:highlight w:val="none"/>
              </w:rPr>
            </w:pPr>
          </w:p>
        </w:tc>
        <w:tc>
          <w:tcPr>
            <w:tcW w:w="1134" w:type="dxa"/>
            <w:vAlign w:val="center"/>
          </w:tcPr>
          <w:p w14:paraId="272ABD01">
            <w:pPr>
              <w:spacing w:line="360" w:lineRule="auto"/>
              <w:ind w:firstLine="420" w:firstLineChars="200"/>
              <w:rPr>
                <w:rFonts w:asciiTheme="minorEastAsia" w:hAnsiTheme="minorEastAsia"/>
                <w:color w:val="auto"/>
                <w:highlight w:val="none"/>
              </w:rPr>
            </w:pPr>
          </w:p>
        </w:tc>
        <w:tc>
          <w:tcPr>
            <w:tcW w:w="1276" w:type="dxa"/>
            <w:vAlign w:val="center"/>
          </w:tcPr>
          <w:p w14:paraId="4CDA1C62">
            <w:pPr>
              <w:spacing w:line="360" w:lineRule="auto"/>
              <w:ind w:firstLine="420" w:firstLineChars="200"/>
              <w:rPr>
                <w:rFonts w:asciiTheme="minorEastAsia" w:hAnsiTheme="minorEastAsia"/>
                <w:color w:val="auto"/>
                <w:highlight w:val="none"/>
              </w:rPr>
            </w:pPr>
          </w:p>
        </w:tc>
        <w:tc>
          <w:tcPr>
            <w:tcW w:w="1134" w:type="dxa"/>
            <w:vAlign w:val="center"/>
          </w:tcPr>
          <w:p w14:paraId="20DD4B9B">
            <w:pPr>
              <w:spacing w:line="360" w:lineRule="auto"/>
              <w:ind w:firstLine="420" w:firstLineChars="200"/>
              <w:rPr>
                <w:rFonts w:asciiTheme="minorEastAsia" w:hAnsiTheme="minorEastAsia"/>
                <w:color w:val="auto"/>
                <w:highlight w:val="none"/>
              </w:rPr>
            </w:pPr>
          </w:p>
        </w:tc>
        <w:tc>
          <w:tcPr>
            <w:tcW w:w="1559" w:type="dxa"/>
            <w:vAlign w:val="center"/>
          </w:tcPr>
          <w:p w14:paraId="70DE3871">
            <w:pPr>
              <w:spacing w:line="360" w:lineRule="auto"/>
              <w:ind w:firstLine="420" w:firstLineChars="200"/>
              <w:rPr>
                <w:rFonts w:asciiTheme="minorEastAsia" w:hAnsiTheme="minorEastAsia"/>
                <w:color w:val="auto"/>
                <w:highlight w:val="none"/>
              </w:rPr>
            </w:pPr>
          </w:p>
        </w:tc>
      </w:tr>
    </w:tbl>
    <w:p w14:paraId="197A8FD2">
      <w:pPr>
        <w:outlineLvl w:val="0"/>
        <w:rPr>
          <w:rFonts w:asciiTheme="minorEastAsia" w:hAnsiTheme="minorEastAsia"/>
          <w:color w:val="auto"/>
          <w:sz w:val="24"/>
          <w:szCs w:val="24"/>
          <w:highlight w:val="none"/>
        </w:rPr>
      </w:pPr>
      <w:bookmarkStart w:id="1477" w:name="_Toc97108138"/>
      <w:bookmarkStart w:id="1478" w:name="_Toc19159"/>
      <w:bookmarkStart w:id="1479" w:name="_Toc27918"/>
      <w:bookmarkStart w:id="1480" w:name="_Toc493"/>
      <w:r>
        <w:rPr>
          <w:rFonts w:hint="eastAsia" w:cs="宋体" w:asciiTheme="minorEastAsia" w:hAnsiTheme="minorEastAsia"/>
          <w:color w:val="auto"/>
          <w:sz w:val="24"/>
          <w:szCs w:val="24"/>
          <w:highlight w:val="none"/>
        </w:rPr>
        <w:t>附表三：劳动力计划表</w:t>
      </w:r>
      <w:bookmarkEnd w:id="1477"/>
      <w:bookmarkEnd w:id="1478"/>
      <w:bookmarkEnd w:id="1479"/>
      <w:bookmarkEnd w:id="1480"/>
    </w:p>
    <w:p w14:paraId="4C91E84B">
      <w:pPr>
        <w:ind w:firstLine="7680" w:firstLineChars="3200"/>
        <w:rPr>
          <w:rFonts w:asciiTheme="minorEastAsia" w:hAnsiTheme="minorEastAsia"/>
          <w:color w:val="auto"/>
          <w:sz w:val="24"/>
          <w:szCs w:val="24"/>
          <w:highlight w:val="none"/>
        </w:rPr>
      </w:pPr>
      <w:r>
        <w:rPr>
          <w:rFonts w:asciiTheme="minorEastAsia" w:hAnsiTheme="minorEastAsia"/>
          <w:color w:val="auto"/>
          <w:sz w:val="24"/>
          <w:szCs w:val="24"/>
          <w:highlight w:val="none"/>
        </w:rPr>
        <w:t xml:space="preserve">  </w:t>
      </w:r>
      <w:r>
        <w:rPr>
          <w:rFonts w:hint="eastAsia" w:cs="宋体" w:asciiTheme="minorEastAsia" w:hAnsiTheme="minorEastAsia"/>
          <w:color w:val="auto"/>
          <w:sz w:val="24"/>
          <w:szCs w:val="24"/>
          <w:highlight w:val="none"/>
        </w:rPr>
        <w:t>单位：人</w:t>
      </w:r>
    </w:p>
    <w:tbl>
      <w:tblPr>
        <w:tblStyle w:val="28"/>
        <w:tblW w:w="9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5D228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2F42B4B6">
            <w:pPr>
              <w:spacing w:line="360" w:lineRule="auto"/>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工种</w:t>
            </w:r>
          </w:p>
        </w:tc>
        <w:tc>
          <w:tcPr>
            <w:tcW w:w="8506" w:type="dxa"/>
            <w:gridSpan w:val="7"/>
            <w:vAlign w:val="center"/>
          </w:tcPr>
          <w:p w14:paraId="662F39C6">
            <w:pPr>
              <w:spacing w:line="360" w:lineRule="auto"/>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按工程施工阶段投入劳动力情况</w:t>
            </w:r>
          </w:p>
        </w:tc>
      </w:tr>
      <w:tr w14:paraId="3CFE2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1384CD95">
            <w:pPr>
              <w:spacing w:line="360" w:lineRule="auto"/>
              <w:jc w:val="center"/>
              <w:rPr>
                <w:rFonts w:asciiTheme="minorEastAsia" w:hAnsiTheme="minorEastAsia"/>
                <w:color w:val="auto"/>
                <w:highlight w:val="none"/>
              </w:rPr>
            </w:pPr>
          </w:p>
        </w:tc>
        <w:tc>
          <w:tcPr>
            <w:tcW w:w="961" w:type="dxa"/>
            <w:vAlign w:val="center"/>
          </w:tcPr>
          <w:p w14:paraId="575B9060">
            <w:pPr>
              <w:spacing w:line="360" w:lineRule="auto"/>
              <w:jc w:val="center"/>
              <w:rPr>
                <w:rFonts w:asciiTheme="minorEastAsia" w:hAnsiTheme="minorEastAsia"/>
                <w:color w:val="auto"/>
                <w:highlight w:val="none"/>
              </w:rPr>
            </w:pPr>
          </w:p>
        </w:tc>
        <w:tc>
          <w:tcPr>
            <w:tcW w:w="1257" w:type="dxa"/>
            <w:vAlign w:val="center"/>
          </w:tcPr>
          <w:p w14:paraId="51D7C2D4">
            <w:pPr>
              <w:spacing w:line="360" w:lineRule="auto"/>
              <w:jc w:val="center"/>
              <w:rPr>
                <w:rFonts w:asciiTheme="minorEastAsia" w:hAnsiTheme="minorEastAsia"/>
                <w:color w:val="auto"/>
                <w:highlight w:val="none"/>
              </w:rPr>
            </w:pPr>
          </w:p>
        </w:tc>
        <w:tc>
          <w:tcPr>
            <w:tcW w:w="1258" w:type="dxa"/>
            <w:vAlign w:val="center"/>
          </w:tcPr>
          <w:p w14:paraId="3440901B">
            <w:pPr>
              <w:spacing w:line="360" w:lineRule="auto"/>
              <w:jc w:val="center"/>
              <w:rPr>
                <w:rFonts w:asciiTheme="minorEastAsia" w:hAnsiTheme="minorEastAsia"/>
                <w:color w:val="auto"/>
                <w:highlight w:val="none"/>
              </w:rPr>
            </w:pPr>
          </w:p>
        </w:tc>
        <w:tc>
          <w:tcPr>
            <w:tcW w:w="1257" w:type="dxa"/>
            <w:vAlign w:val="center"/>
          </w:tcPr>
          <w:p w14:paraId="35C2655B">
            <w:pPr>
              <w:spacing w:line="360" w:lineRule="auto"/>
              <w:jc w:val="center"/>
              <w:rPr>
                <w:rFonts w:asciiTheme="minorEastAsia" w:hAnsiTheme="minorEastAsia"/>
                <w:color w:val="auto"/>
                <w:highlight w:val="none"/>
              </w:rPr>
            </w:pPr>
          </w:p>
        </w:tc>
        <w:tc>
          <w:tcPr>
            <w:tcW w:w="1258" w:type="dxa"/>
            <w:vAlign w:val="center"/>
          </w:tcPr>
          <w:p w14:paraId="09BBFD76">
            <w:pPr>
              <w:spacing w:line="360" w:lineRule="auto"/>
              <w:jc w:val="center"/>
              <w:rPr>
                <w:rFonts w:asciiTheme="minorEastAsia" w:hAnsiTheme="minorEastAsia"/>
                <w:color w:val="auto"/>
                <w:highlight w:val="none"/>
              </w:rPr>
            </w:pPr>
          </w:p>
        </w:tc>
        <w:tc>
          <w:tcPr>
            <w:tcW w:w="1257" w:type="dxa"/>
            <w:vAlign w:val="center"/>
          </w:tcPr>
          <w:p w14:paraId="557B611B">
            <w:pPr>
              <w:spacing w:line="360" w:lineRule="auto"/>
              <w:jc w:val="center"/>
              <w:rPr>
                <w:rFonts w:asciiTheme="minorEastAsia" w:hAnsiTheme="minorEastAsia"/>
                <w:color w:val="auto"/>
                <w:highlight w:val="none"/>
              </w:rPr>
            </w:pPr>
          </w:p>
        </w:tc>
        <w:tc>
          <w:tcPr>
            <w:tcW w:w="1258" w:type="dxa"/>
            <w:vAlign w:val="center"/>
          </w:tcPr>
          <w:p w14:paraId="6E44C14C">
            <w:pPr>
              <w:spacing w:line="360" w:lineRule="auto"/>
              <w:jc w:val="center"/>
              <w:rPr>
                <w:rFonts w:asciiTheme="minorEastAsia" w:hAnsiTheme="minorEastAsia"/>
                <w:color w:val="auto"/>
                <w:highlight w:val="none"/>
              </w:rPr>
            </w:pPr>
          </w:p>
        </w:tc>
      </w:tr>
      <w:tr w14:paraId="0C478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203B0E40">
            <w:pPr>
              <w:spacing w:line="360" w:lineRule="auto"/>
              <w:jc w:val="center"/>
              <w:rPr>
                <w:rFonts w:asciiTheme="minorEastAsia" w:hAnsiTheme="minorEastAsia"/>
                <w:color w:val="auto"/>
                <w:highlight w:val="none"/>
              </w:rPr>
            </w:pPr>
          </w:p>
        </w:tc>
        <w:tc>
          <w:tcPr>
            <w:tcW w:w="961" w:type="dxa"/>
            <w:vAlign w:val="center"/>
          </w:tcPr>
          <w:p w14:paraId="17DF1BA0">
            <w:pPr>
              <w:spacing w:line="360" w:lineRule="auto"/>
              <w:jc w:val="center"/>
              <w:rPr>
                <w:rFonts w:asciiTheme="minorEastAsia" w:hAnsiTheme="minorEastAsia"/>
                <w:color w:val="auto"/>
                <w:highlight w:val="none"/>
              </w:rPr>
            </w:pPr>
          </w:p>
        </w:tc>
        <w:tc>
          <w:tcPr>
            <w:tcW w:w="1257" w:type="dxa"/>
            <w:vAlign w:val="center"/>
          </w:tcPr>
          <w:p w14:paraId="4CF3DCB1">
            <w:pPr>
              <w:spacing w:line="360" w:lineRule="auto"/>
              <w:jc w:val="center"/>
              <w:rPr>
                <w:rFonts w:asciiTheme="minorEastAsia" w:hAnsiTheme="minorEastAsia"/>
                <w:color w:val="auto"/>
                <w:highlight w:val="none"/>
              </w:rPr>
            </w:pPr>
          </w:p>
        </w:tc>
        <w:tc>
          <w:tcPr>
            <w:tcW w:w="1258" w:type="dxa"/>
            <w:vAlign w:val="center"/>
          </w:tcPr>
          <w:p w14:paraId="4DBC5B8C">
            <w:pPr>
              <w:spacing w:line="360" w:lineRule="auto"/>
              <w:jc w:val="center"/>
              <w:rPr>
                <w:rFonts w:asciiTheme="minorEastAsia" w:hAnsiTheme="minorEastAsia"/>
                <w:color w:val="auto"/>
                <w:highlight w:val="none"/>
              </w:rPr>
            </w:pPr>
          </w:p>
        </w:tc>
        <w:tc>
          <w:tcPr>
            <w:tcW w:w="1257" w:type="dxa"/>
            <w:vAlign w:val="center"/>
          </w:tcPr>
          <w:p w14:paraId="15D51480">
            <w:pPr>
              <w:spacing w:line="360" w:lineRule="auto"/>
              <w:jc w:val="center"/>
              <w:rPr>
                <w:rFonts w:asciiTheme="minorEastAsia" w:hAnsiTheme="minorEastAsia"/>
                <w:color w:val="auto"/>
                <w:highlight w:val="none"/>
              </w:rPr>
            </w:pPr>
          </w:p>
        </w:tc>
        <w:tc>
          <w:tcPr>
            <w:tcW w:w="1258" w:type="dxa"/>
            <w:vAlign w:val="center"/>
          </w:tcPr>
          <w:p w14:paraId="71C24DF7">
            <w:pPr>
              <w:spacing w:line="360" w:lineRule="auto"/>
              <w:jc w:val="center"/>
              <w:rPr>
                <w:rFonts w:asciiTheme="minorEastAsia" w:hAnsiTheme="minorEastAsia"/>
                <w:color w:val="auto"/>
                <w:highlight w:val="none"/>
              </w:rPr>
            </w:pPr>
          </w:p>
        </w:tc>
        <w:tc>
          <w:tcPr>
            <w:tcW w:w="1257" w:type="dxa"/>
            <w:vAlign w:val="center"/>
          </w:tcPr>
          <w:p w14:paraId="4301721C">
            <w:pPr>
              <w:spacing w:line="360" w:lineRule="auto"/>
              <w:jc w:val="center"/>
              <w:rPr>
                <w:rFonts w:asciiTheme="minorEastAsia" w:hAnsiTheme="minorEastAsia"/>
                <w:color w:val="auto"/>
                <w:highlight w:val="none"/>
              </w:rPr>
            </w:pPr>
          </w:p>
        </w:tc>
        <w:tc>
          <w:tcPr>
            <w:tcW w:w="1258" w:type="dxa"/>
            <w:vAlign w:val="center"/>
          </w:tcPr>
          <w:p w14:paraId="67E74B91">
            <w:pPr>
              <w:spacing w:line="360" w:lineRule="auto"/>
              <w:jc w:val="center"/>
              <w:rPr>
                <w:rFonts w:asciiTheme="minorEastAsia" w:hAnsiTheme="minorEastAsia"/>
                <w:color w:val="auto"/>
                <w:highlight w:val="none"/>
              </w:rPr>
            </w:pPr>
          </w:p>
        </w:tc>
      </w:tr>
      <w:tr w14:paraId="062FF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6F0EB9EC">
            <w:pPr>
              <w:spacing w:line="360" w:lineRule="auto"/>
              <w:jc w:val="center"/>
              <w:rPr>
                <w:rFonts w:asciiTheme="minorEastAsia" w:hAnsiTheme="minorEastAsia"/>
                <w:color w:val="auto"/>
                <w:highlight w:val="none"/>
              </w:rPr>
            </w:pPr>
          </w:p>
        </w:tc>
        <w:tc>
          <w:tcPr>
            <w:tcW w:w="961" w:type="dxa"/>
            <w:vAlign w:val="center"/>
          </w:tcPr>
          <w:p w14:paraId="2960A569">
            <w:pPr>
              <w:spacing w:line="360" w:lineRule="auto"/>
              <w:jc w:val="center"/>
              <w:rPr>
                <w:rFonts w:asciiTheme="minorEastAsia" w:hAnsiTheme="minorEastAsia"/>
                <w:color w:val="auto"/>
                <w:highlight w:val="none"/>
              </w:rPr>
            </w:pPr>
          </w:p>
        </w:tc>
        <w:tc>
          <w:tcPr>
            <w:tcW w:w="1257" w:type="dxa"/>
            <w:vAlign w:val="center"/>
          </w:tcPr>
          <w:p w14:paraId="6633A62D">
            <w:pPr>
              <w:spacing w:line="360" w:lineRule="auto"/>
              <w:jc w:val="center"/>
              <w:rPr>
                <w:rFonts w:asciiTheme="minorEastAsia" w:hAnsiTheme="minorEastAsia"/>
                <w:color w:val="auto"/>
                <w:highlight w:val="none"/>
              </w:rPr>
            </w:pPr>
          </w:p>
        </w:tc>
        <w:tc>
          <w:tcPr>
            <w:tcW w:w="1258" w:type="dxa"/>
            <w:vAlign w:val="center"/>
          </w:tcPr>
          <w:p w14:paraId="0CA7F73C">
            <w:pPr>
              <w:spacing w:line="360" w:lineRule="auto"/>
              <w:jc w:val="center"/>
              <w:rPr>
                <w:rFonts w:asciiTheme="minorEastAsia" w:hAnsiTheme="minorEastAsia"/>
                <w:color w:val="auto"/>
                <w:highlight w:val="none"/>
              </w:rPr>
            </w:pPr>
          </w:p>
        </w:tc>
        <w:tc>
          <w:tcPr>
            <w:tcW w:w="1257" w:type="dxa"/>
            <w:vAlign w:val="center"/>
          </w:tcPr>
          <w:p w14:paraId="27C0CC1A">
            <w:pPr>
              <w:spacing w:line="360" w:lineRule="auto"/>
              <w:jc w:val="center"/>
              <w:rPr>
                <w:rFonts w:asciiTheme="minorEastAsia" w:hAnsiTheme="minorEastAsia"/>
                <w:color w:val="auto"/>
                <w:highlight w:val="none"/>
              </w:rPr>
            </w:pPr>
          </w:p>
        </w:tc>
        <w:tc>
          <w:tcPr>
            <w:tcW w:w="1258" w:type="dxa"/>
            <w:vAlign w:val="center"/>
          </w:tcPr>
          <w:p w14:paraId="66B9D811">
            <w:pPr>
              <w:spacing w:line="360" w:lineRule="auto"/>
              <w:jc w:val="center"/>
              <w:rPr>
                <w:rFonts w:asciiTheme="minorEastAsia" w:hAnsiTheme="minorEastAsia"/>
                <w:color w:val="auto"/>
                <w:highlight w:val="none"/>
              </w:rPr>
            </w:pPr>
          </w:p>
        </w:tc>
        <w:tc>
          <w:tcPr>
            <w:tcW w:w="1257" w:type="dxa"/>
            <w:vAlign w:val="center"/>
          </w:tcPr>
          <w:p w14:paraId="5A10107D">
            <w:pPr>
              <w:spacing w:line="360" w:lineRule="auto"/>
              <w:jc w:val="center"/>
              <w:rPr>
                <w:rFonts w:asciiTheme="minorEastAsia" w:hAnsiTheme="minorEastAsia"/>
                <w:color w:val="auto"/>
                <w:highlight w:val="none"/>
              </w:rPr>
            </w:pPr>
          </w:p>
        </w:tc>
        <w:tc>
          <w:tcPr>
            <w:tcW w:w="1258" w:type="dxa"/>
            <w:vAlign w:val="center"/>
          </w:tcPr>
          <w:p w14:paraId="3E15F7B1">
            <w:pPr>
              <w:spacing w:line="360" w:lineRule="auto"/>
              <w:jc w:val="center"/>
              <w:rPr>
                <w:rFonts w:asciiTheme="minorEastAsia" w:hAnsiTheme="minorEastAsia"/>
                <w:color w:val="auto"/>
                <w:highlight w:val="none"/>
              </w:rPr>
            </w:pPr>
          </w:p>
        </w:tc>
      </w:tr>
      <w:tr w14:paraId="54B17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371C4631">
            <w:pPr>
              <w:spacing w:line="360" w:lineRule="auto"/>
              <w:jc w:val="center"/>
              <w:rPr>
                <w:rFonts w:asciiTheme="minorEastAsia" w:hAnsiTheme="minorEastAsia"/>
                <w:color w:val="auto"/>
                <w:highlight w:val="none"/>
              </w:rPr>
            </w:pPr>
          </w:p>
        </w:tc>
        <w:tc>
          <w:tcPr>
            <w:tcW w:w="961" w:type="dxa"/>
            <w:vAlign w:val="center"/>
          </w:tcPr>
          <w:p w14:paraId="72268E1B">
            <w:pPr>
              <w:spacing w:line="360" w:lineRule="auto"/>
              <w:jc w:val="center"/>
              <w:rPr>
                <w:rFonts w:asciiTheme="minorEastAsia" w:hAnsiTheme="minorEastAsia"/>
                <w:color w:val="auto"/>
                <w:highlight w:val="none"/>
              </w:rPr>
            </w:pPr>
          </w:p>
        </w:tc>
        <w:tc>
          <w:tcPr>
            <w:tcW w:w="1257" w:type="dxa"/>
            <w:vAlign w:val="center"/>
          </w:tcPr>
          <w:p w14:paraId="019EE30C">
            <w:pPr>
              <w:spacing w:line="360" w:lineRule="auto"/>
              <w:jc w:val="center"/>
              <w:rPr>
                <w:rFonts w:asciiTheme="minorEastAsia" w:hAnsiTheme="minorEastAsia"/>
                <w:color w:val="auto"/>
                <w:highlight w:val="none"/>
              </w:rPr>
            </w:pPr>
          </w:p>
        </w:tc>
        <w:tc>
          <w:tcPr>
            <w:tcW w:w="1258" w:type="dxa"/>
            <w:vAlign w:val="center"/>
          </w:tcPr>
          <w:p w14:paraId="24055A5F">
            <w:pPr>
              <w:spacing w:line="360" w:lineRule="auto"/>
              <w:jc w:val="center"/>
              <w:rPr>
                <w:rFonts w:asciiTheme="minorEastAsia" w:hAnsiTheme="minorEastAsia"/>
                <w:color w:val="auto"/>
                <w:highlight w:val="none"/>
              </w:rPr>
            </w:pPr>
          </w:p>
        </w:tc>
        <w:tc>
          <w:tcPr>
            <w:tcW w:w="1257" w:type="dxa"/>
            <w:vAlign w:val="center"/>
          </w:tcPr>
          <w:p w14:paraId="3B88FEF7">
            <w:pPr>
              <w:spacing w:line="360" w:lineRule="auto"/>
              <w:jc w:val="center"/>
              <w:rPr>
                <w:rFonts w:asciiTheme="minorEastAsia" w:hAnsiTheme="minorEastAsia"/>
                <w:color w:val="auto"/>
                <w:highlight w:val="none"/>
              </w:rPr>
            </w:pPr>
          </w:p>
        </w:tc>
        <w:tc>
          <w:tcPr>
            <w:tcW w:w="1258" w:type="dxa"/>
            <w:vAlign w:val="center"/>
          </w:tcPr>
          <w:p w14:paraId="411C266A">
            <w:pPr>
              <w:spacing w:line="360" w:lineRule="auto"/>
              <w:jc w:val="center"/>
              <w:rPr>
                <w:rFonts w:asciiTheme="minorEastAsia" w:hAnsiTheme="minorEastAsia"/>
                <w:color w:val="auto"/>
                <w:highlight w:val="none"/>
              </w:rPr>
            </w:pPr>
          </w:p>
        </w:tc>
        <w:tc>
          <w:tcPr>
            <w:tcW w:w="1257" w:type="dxa"/>
            <w:vAlign w:val="center"/>
          </w:tcPr>
          <w:p w14:paraId="2507D2F1">
            <w:pPr>
              <w:spacing w:line="360" w:lineRule="auto"/>
              <w:jc w:val="center"/>
              <w:rPr>
                <w:rFonts w:asciiTheme="minorEastAsia" w:hAnsiTheme="minorEastAsia"/>
                <w:color w:val="auto"/>
                <w:highlight w:val="none"/>
              </w:rPr>
            </w:pPr>
          </w:p>
        </w:tc>
        <w:tc>
          <w:tcPr>
            <w:tcW w:w="1258" w:type="dxa"/>
            <w:vAlign w:val="center"/>
          </w:tcPr>
          <w:p w14:paraId="153CCD8E">
            <w:pPr>
              <w:spacing w:line="360" w:lineRule="auto"/>
              <w:jc w:val="center"/>
              <w:rPr>
                <w:rFonts w:asciiTheme="minorEastAsia" w:hAnsiTheme="minorEastAsia"/>
                <w:color w:val="auto"/>
                <w:highlight w:val="none"/>
              </w:rPr>
            </w:pPr>
          </w:p>
        </w:tc>
      </w:tr>
      <w:tr w14:paraId="4A492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72571607">
            <w:pPr>
              <w:spacing w:line="360" w:lineRule="auto"/>
              <w:jc w:val="center"/>
              <w:rPr>
                <w:rFonts w:asciiTheme="minorEastAsia" w:hAnsiTheme="minorEastAsia"/>
                <w:color w:val="auto"/>
                <w:highlight w:val="none"/>
              </w:rPr>
            </w:pPr>
          </w:p>
        </w:tc>
        <w:tc>
          <w:tcPr>
            <w:tcW w:w="961" w:type="dxa"/>
            <w:vAlign w:val="center"/>
          </w:tcPr>
          <w:p w14:paraId="36E197E2">
            <w:pPr>
              <w:spacing w:line="360" w:lineRule="auto"/>
              <w:jc w:val="center"/>
              <w:rPr>
                <w:rFonts w:asciiTheme="minorEastAsia" w:hAnsiTheme="minorEastAsia"/>
                <w:color w:val="auto"/>
                <w:highlight w:val="none"/>
              </w:rPr>
            </w:pPr>
          </w:p>
        </w:tc>
        <w:tc>
          <w:tcPr>
            <w:tcW w:w="1257" w:type="dxa"/>
            <w:vAlign w:val="center"/>
          </w:tcPr>
          <w:p w14:paraId="4D268CDB">
            <w:pPr>
              <w:spacing w:line="360" w:lineRule="auto"/>
              <w:jc w:val="center"/>
              <w:rPr>
                <w:rFonts w:asciiTheme="minorEastAsia" w:hAnsiTheme="minorEastAsia"/>
                <w:color w:val="auto"/>
                <w:highlight w:val="none"/>
              </w:rPr>
            </w:pPr>
          </w:p>
        </w:tc>
        <w:tc>
          <w:tcPr>
            <w:tcW w:w="1258" w:type="dxa"/>
            <w:vAlign w:val="center"/>
          </w:tcPr>
          <w:p w14:paraId="5BDB3270">
            <w:pPr>
              <w:spacing w:line="360" w:lineRule="auto"/>
              <w:jc w:val="center"/>
              <w:rPr>
                <w:rFonts w:asciiTheme="minorEastAsia" w:hAnsiTheme="minorEastAsia"/>
                <w:color w:val="auto"/>
                <w:highlight w:val="none"/>
              </w:rPr>
            </w:pPr>
          </w:p>
        </w:tc>
        <w:tc>
          <w:tcPr>
            <w:tcW w:w="1257" w:type="dxa"/>
            <w:vAlign w:val="center"/>
          </w:tcPr>
          <w:p w14:paraId="15721362">
            <w:pPr>
              <w:spacing w:line="360" w:lineRule="auto"/>
              <w:jc w:val="center"/>
              <w:rPr>
                <w:rFonts w:asciiTheme="minorEastAsia" w:hAnsiTheme="minorEastAsia"/>
                <w:color w:val="auto"/>
                <w:highlight w:val="none"/>
              </w:rPr>
            </w:pPr>
          </w:p>
        </w:tc>
        <w:tc>
          <w:tcPr>
            <w:tcW w:w="1258" w:type="dxa"/>
            <w:vAlign w:val="center"/>
          </w:tcPr>
          <w:p w14:paraId="1FADC559">
            <w:pPr>
              <w:spacing w:line="360" w:lineRule="auto"/>
              <w:jc w:val="center"/>
              <w:rPr>
                <w:rFonts w:asciiTheme="minorEastAsia" w:hAnsiTheme="minorEastAsia"/>
                <w:color w:val="auto"/>
                <w:highlight w:val="none"/>
              </w:rPr>
            </w:pPr>
          </w:p>
        </w:tc>
        <w:tc>
          <w:tcPr>
            <w:tcW w:w="1257" w:type="dxa"/>
            <w:vAlign w:val="center"/>
          </w:tcPr>
          <w:p w14:paraId="50410DDC">
            <w:pPr>
              <w:spacing w:line="360" w:lineRule="auto"/>
              <w:jc w:val="center"/>
              <w:rPr>
                <w:rFonts w:asciiTheme="minorEastAsia" w:hAnsiTheme="minorEastAsia"/>
                <w:color w:val="auto"/>
                <w:highlight w:val="none"/>
              </w:rPr>
            </w:pPr>
          </w:p>
        </w:tc>
        <w:tc>
          <w:tcPr>
            <w:tcW w:w="1258" w:type="dxa"/>
            <w:vAlign w:val="center"/>
          </w:tcPr>
          <w:p w14:paraId="763357EA">
            <w:pPr>
              <w:spacing w:line="360" w:lineRule="auto"/>
              <w:jc w:val="center"/>
              <w:rPr>
                <w:rFonts w:asciiTheme="minorEastAsia" w:hAnsiTheme="minorEastAsia"/>
                <w:color w:val="auto"/>
                <w:highlight w:val="none"/>
              </w:rPr>
            </w:pPr>
          </w:p>
        </w:tc>
      </w:tr>
      <w:tr w14:paraId="4BF4D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2F7AAFB7">
            <w:pPr>
              <w:spacing w:line="360" w:lineRule="auto"/>
              <w:jc w:val="center"/>
              <w:rPr>
                <w:rFonts w:asciiTheme="minorEastAsia" w:hAnsiTheme="minorEastAsia"/>
                <w:color w:val="auto"/>
                <w:highlight w:val="none"/>
              </w:rPr>
            </w:pPr>
          </w:p>
        </w:tc>
        <w:tc>
          <w:tcPr>
            <w:tcW w:w="961" w:type="dxa"/>
            <w:vAlign w:val="center"/>
          </w:tcPr>
          <w:p w14:paraId="51151A7E">
            <w:pPr>
              <w:spacing w:line="360" w:lineRule="auto"/>
              <w:jc w:val="center"/>
              <w:rPr>
                <w:rFonts w:asciiTheme="minorEastAsia" w:hAnsiTheme="minorEastAsia"/>
                <w:color w:val="auto"/>
                <w:highlight w:val="none"/>
              </w:rPr>
            </w:pPr>
          </w:p>
        </w:tc>
        <w:tc>
          <w:tcPr>
            <w:tcW w:w="1257" w:type="dxa"/>
            <w:vAlign w:val="center"/>
          </w:tcPr>
          <w:p w14:paraId="4D8A97C7">
            <w:pPr>
              <w:spacing w:line="360" w:lineRule="auto"/>
              <w:jc w:val="center"/>
              <w:rPr>
                <w:rFonts w:asciiTheme="minorEastAsia" w:hAnsiTheme="minorEastAsia"/>
                <w:color w:val="auto"/>
                <w:highlight w:val="none"/>
              </w:rPr>
            </w:pPr>
          </w:p>
        </w:tc>
        <w:tc>
          <w:tcPr>
            <w:tcW w:w="1258" w:type="dxa"/>
            <w:vAlign w:val="center"/>
          </w:tcPr>
          <w:p w14:paraId="0D8A082D">
            <w:pPr>
              <w:spacing w:line="360" w:lineRule="auto"/>
              <w:jc w:val="center"/>
              <w:rPr>
                <w:rFonts w:asciiTheme="minorEastAsia" w:hAnsiTheme="minorEastAsia"/>
                <w:color w:val="auto"/>
                <w:highlight w:val="none"/>
              </w:rPr>
            </w:pPr>
          </w:p>
        </w:tc>
        <w:tc>
          <w:tcPr>
            <w:tcW w:w="1257" w:type="dxa"/>
            <w:vAlign w:val="center"/>
          </w:tcPr>
          <w:p w14:paraId="1D9CFE69">
            <w:pPr>
              <w:spacing w:line="360" w:lineRule="auto"/>
              <w:jc w:val="center"/>
              <w:rPr>
                <w:rFonts w:asciiTheme="minorEastAsia" w:hAnsiTheme="minorEastAsia"/>
                <w:color w:val="auto"/>
                <w:highlight w:val="none"/>
              </w:rPr>
            </w:pPr>
          </w:p>
        </w:tc>
        <w:tc>
          <w:tcPr>
            <w:tcW w:w="1258" w:type="dxa"/>
            <w:vAlign w:val="center"/>
          </w:tcPr>
          <w:p w14:paraId="3CB939B0">
            <w:pPr>
              <w:spacing w:line="360" w:lineRule="auto"/>
              <w:jc w:val="center"/>
              <w:rPr>
                <w:rFonts w:asciiTheme="minorEastAsia" w:hAnsiTheme="minorEastAsia"/>
                <w:color w:val="auto"/>
                <w:highlight w:val="none"/>
              </w:rPr>
            </w:pPr>
          </w:p>
        </w:tc>
        <w:tc>
          <w:tcPr>
            <w:tcW w:w="1257" w:type="dxa"/>
            <w:vAlign w:val="center"/>
          </w:tcPr>
          <w:p w14:paraId="52BFD0AC">
            <w:pPr>
              <w:spacing w:line="360" w:lineRule="auto"/>
              <w:jc w:val="center"/>
              <w:rPr>
                <w:rFonts w:asciiTheme="minorEastAsia" w:hAnsiTheme="minorEastAsia"/>
                <w:color w:val="auto"/>
                <w:highlight w:val="none"/>
              </w:rPr>
            </w:pPr>
          </w:p>
        </w:tc>
        <w:tc>
          <w:tcPr>
            <w:tcW w:w="1258" w:type="dxa"/>
            <w:vAlign w:val="center"/>
          </w:tcPr>
          <w:p w14:paraId="1785EC32">
            <w:pPr>
              <w:spacing w:line="360" w:lineRule="auto"/>
              <w:jc w:val="center"/>
              <w:rPr>
                <w:rFonts w:asciiTheme="minorEastAsia" w:hAnsiTheme="minorEastAsia"/>
                <w:color w:val="auto"/>
                <w:highlight w:val="none"/>
              </w:rPr>
            </w:pPr>
          </w:p>
        </w:tc>
      </w:tr>
      <w:tr w14:paraId="768AE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68214EE3">
            <w:pPr>
              <w:spacing w:line="360" w:lineRule="auto"/>
              <w:jc w:val="center"/>
              <w:rPr>
                <w:rFonts w:asciiTheme="minorEastAsia" w:hAnsiTheme="minorEastAsia"/>
                <w:color w:val="auto"/>
                <w:highlight w:val="none"/>
              </w:rPr>
            </w:pPr>
          </w:p>
        </w:tc>
        <w:tc>
          <w:tcPr>
            <w:tcW w:w="961" w:type="dxa"/>
            <w:vAlign w:val="center"/>
          </w:tcPr>
          <w:p w14:paraId="13F4D0A9">
            <w:pPr>
              <w:spacing w:line="360" w:lineRule="auto"/>
              <w:jc w:val="center"/>
              <w:rPr>
                <w:rFonts w:asciiTheme="minorEastAsia" w:hAnsiTheme="minorEastAsia"/>
                <w:color w:val="auto"/>
                <w:highlight w:val="none"/>
              </w:rPr>
            </w:pPr>
          </w:p>
        </w:tc>
        <w:tc>
          <w:tcPr>
            <w:tcW w:w="1257" w:type="dxa"/>
            <w:vAlign w:val="center"/>
          </w:tcPr>
          <w:p w14:paraId="39D36454">
            <w:pPr>
              <w:spacing w:line="360" w:lineRule="auto"/>
              <w:jc w:val="center"/>
              <w:rPr>
                <w:rFonts w:asciiTheme="minorEastAsia" w:hAnsiTheme="minorEastAsia"/>
                <w:color w:val="auto"/>
                <w:highlight w:val="none"/>
              </w:rPr>
            </w:pPr>
          </w:p>
        </w:tc>
        <w:tc>
          <w:tcPr>
            <w:tcW w:w="1258" w:type="dxa"/>
            <w:vAlign w:val="center"/>
          </w:tcPr>
          <w:p w14:paraId="07B290A4">
            <w:pPr>
              <w:spacing w:line="360" w:lineRule="auto"/>
              <w:jc w:val="center"/>
              <w:rPr>
                <w:rFonts w:asciiTheme="minorEastAsia" w:hAnsiTheme="minorEastAsia"/>
                <w:color w:val="auto"/>
                <w:highlight w:val="none"/>
              </w:rPr>
            </w:pPr>
          </w:p>
        </w:tc>
        <w:tc>
          <w:tcPr>
            <w:tcW w:w="1257" w:type="dxa"/>
            <w:vAlign w:val="center"/>
          </w:tcPr>
          <w:p w14:paraId="0F93629B">
            <w:pPr>
              <w:spacing w:line="360" w:lineRule="auto"/>
              <w:jc w:val="center"/>
              <w:rPr>
                <w:rFonts w:asciiTheme="minorEastAsia" w:hAnsiTheme="minorEastAsia"/>
                <w:color w:val="auto"/>
                <w:highlight w:val="none"/>
              </w:rPr>
            </w:pPr>
          </w:p>
        </w:tc>
        <w:tc>
          <w:tcPr>
            <w:tcW w:w="1258" w:type="dxa"/>
            <w:vAlign w:val="center"/>
          </w:tcPr>
          <w:p w14:paraId="43DAAACE">
            <w:pPr>
              <w:spacing w:line="360" w:lineRule="auto"/>
              <w:jc w:val="center"/>
              <w:rPr>
                <w:rFonts w:asciiTheme="minorEastAsia" w:hAnsiTheme="minorEastAsia"/>
                <w:color w:val="auto"/>
                <w:highlight w:val="none"/>
              </w:rPr>
            </w:pPr>
          </w:p>
        </w:tc>
        <w:tc>
          <w:tcPr>
            <w:tcW w:w="1257" w:type="dxa"/>
            <w:vAlign w:val="center"/>
          </w:tcPr>
          <w:p w14:paraId="38DFFC56">
            <w:pPr>
              <w:spacing w:line="360" w:lineRule="auto"/>
              <w:jc w:val="center"/>
              <w:rPr>
                <w:rFonts w:asciiTheme="minorEastAsia" w:hAnsiTheme="minorEastAsia"/>
                <w:color w:val="auto"/>
                <w:highlight w:val="none"/>
              </w:rPr>
            </w:pPr>
          </w:p>
        </w:tc>
        <w:tc>
          <w:tcPr>
            <w:tcW w:w="1258" w:type="dxa"/>
            <w:vAlign w:val="center"/>
          </w:tcPr>
          <w:p w14:paraId="54030E79">
            <w:pPr>
              <w:spacing w:line="360" w:lineRule="auto"/>
              <w:jc w:val="center"/>
              <w:rPr>
                <w:rFonts w:asciiTheme="minorEastAsia" w:hAnsiTheme="minorEastAsia"/>
                <w:color w:val="auto"/>
                <w:highlight w:val="none"/>
              </w:rPr>
            </w:pPr>
          </w:p>
        </w:tc>
      </w:tr>
    </w:tbl>
    <w:p w14:paraId="6C064347">
      <w:pPr>
        <w:pStyle w:val="37"/>
        <w:spacing w:before="0" w:after="0"/>
        <w:rPr>
          <w:rFonts w:asciiTheme="minorEastAsia" w:hAnsiTheme="minorEastAsia" w:cstheme="minorEastAsia"/>
          <w:color w:val="auto"/>
          <w:spacing w:val="0"/>
          <w:szCs w:val="24"/>
          <w:highlight w:val="none"/>
        </w:rPr>
      </w:pPr>
    </w:p>
    <w:p w14:paraId="569E9439">
      <w:pPr>
        <w:rPr>
          <w:rFonts w:cs="宋体" w:asciiTheme="minorEastAsia" w:hAnsiTheme="minorEastAsia"/>
          <w:color w:val="auto"/>
          <w:highlight w:val="none"/>
        </w:rPr>
      </w:pPr>
    </w:p>
    <w:p w14:paraId="1D86A6AE">
      <w:pPr>
        <w:outlineLvl w:val="0"/>
        <w:rPr>
          <w:rFonts w:asciiTheme="minorEastAsia" w:hAnsiTheme="minorEastAsia"/>
          <w:color w:val="auto"/>
          <w:sz w:val="24"/>
          <w:szCs w:val="24"/>
          <w:highlight w:val="none"/>
        </w:rPr>
      </w:pPr>
      <w:bookmarkStart w:id="1481" w:name="_Toc97108139"/>
      <w:bookmarkStart w:id="1482" w:name="_Toc16915"/>
      <w:bookmarkStart w:id="1483" w:name="_Toc23414"/>
      <w:bookmarkStart w:id="1484" w:name="_Toc27279"/>
      <w:r>
        <w:rPr>
          <w:rFonts w:hint="eastAsia" w:cs="宋体" w:asciiTheme="minorEastAsia" w:hAnsiTheme="minorEastAsia"/>
          <w:color w:val="auto"/>
          <w:sz w:val="24"/>
          <w:szCs w:val="24"/>
          <w:highlight w:val="none"/>
        </w:rPr>
        <w:t>附表四：计划开、竣工日期和施工进度计划（网络图或横道图）</w:t>
      </w:r>
      <w:bookmarkEnd w:id="1481"/>
      <w:bookmarkEnd w:id="1482"/>
      <w:bookmarkEnd w:id="1483"/>
      <w:bookmarkEnd w:id="1484"/>
    </w:p>
    <w:p w14:paraId="030AF484">
      <w:pPr>
        <w:spacing w:line="460" w:lineRule="exact"/>
        <w:ind w:left="-6" w:firstLine="420"/>
        <w:rPr>
          <w:rFonts w:cs="宋体" w:asciiTheme="minorEastAsia" w:hAnsiTheme="minorEastAsia"/>
          <w:color w:val="auto"/>
          <w:sz w:val="24"/>
          <w:szCs w:val="24"/>
          <w:highlight w:val="none"/>
        </w:rPr>
      </w:pPr>
      <w:r>
        <w:rPr>
          <w:rFonts w:asciiTheme="minorEastAsia" w:hAnsiTheme="minorEastAsia"/>
          <w:color w:val="auto"/>
          <w:sz w:val="24"/>
          <w:szCs w:val="24"/>
          <w:highlight w:val="none"/>
        </w:rPr>
        <w:t xml:space="preserve">1. </w:t>
      </w:r>
      <w:r>
        <w:rPr>
          <w:rFonts w:hint="eastAsia" w:cs="宋体" w:asciiTheme="minorEastAsia" w:hAnsiTheme="minorEastAsia"/>
          <w:color w:val="auto"/>
          <w:sz w:val="24"/>
          <w:szCs w:val="24"/>
          <w:highlight w:val="none"/>
        </w:rPr>
        <w:t>供应商应提交施工进度计划，说明按</w:t>
      </w:r>
      <w:r>
        <w:rPr>
          <w:rFonts w:hint="eastAsia" w:asciiTheme="minorEastAsia" w:hAnsiTheme="minorEastAsia" w:cstheme="minorEastAsia"/>
          <w:color w:val="auto"/>
          <w:sz w:val="24"/>
          <w:szCs w:val="24"/>
          <w:highlight w:val="none"/>
        </w:rPr>
        <w:t>竞争性磋商采购文件</w:t>
      </w:r>
      <w:r>
        <w:rPr>
          <w:rFonts w:hint="eastAsia" w:cs="宋体" w:asciiTheme="minorEastAsia" w:hAnsiTheme="minorEastAsia"/>
          <w:color w:val="auto"/>
          <w:sz w:val="24"/>
          <w:szCs w:val="24"/>
          <w:highlight w:val="none"/>
        </w:rPr>
        <w:t>要求的工期进行施工的各个关键日期。成交的供应商还应按合同条件有关条款的要求提交详细的施工进度计划。</w:t>
      </w:r>
    </w:p>
    <w:p w14:paraId="1C1D1F2D">
      <w:pPr>
        <w:spacing w:line="460" w:lineRule="exact"/>
        <w:ind w:left="-6" w:firstLine="420"/>
        <w:rPr>
          <w:rFonts w:asciiTheme="minorEastAsia" w:hAnsiTheme="minorEastAsia"/>
          <w:color w:val="auto"/>
          <w:sz w:val="24"/>
          <w:szCs w:val="24"/>
          <w:highlight w:val="none"/>
        </w:rPr>
      </w:pPr>
      <w:r>
        <w:rPr>
          <w:rFonts w:asciiTheme="minorEastAsia" w:hAnsiTheme="minorEastAsia"/>
          <w:color w:val="auto"/>
          <w:sz w:val="24"/>
          <w:szCs w:val="24"/>
          <w:highlight w:val="none"/>
        </w:rPr>
        <w:t xml:space="preserve">2. </w:t>
      </w:r>
      <w:r>
        <w:rPr>
          <w:rFonts w:hint="eastAsia" w:cs="宋体" w:asciiTheme="minorEastAsia" w:hAnsiTheme="minorEastAsia"/>
          <w:color w:val="auto"/>
          <w:sz w:val="24"/>
          <w:szCs w:val="24"/>
          <w:highlight w:val="none"/>
        </w:rPr>
        <w:t>施工进度计划可采用网络图（或横道图）表示，说明计划开工日期和各分项工程各阶段的完工日期。</w:t>
      </w:r>
    </w:p>
    <w:p w14:paraId="1704A76F">
      <w:pPr>
        <w:spacing w:line="460" w:lineRule="exact"/>
        <w:ind w:left="-6" w:firstLine="420"/>
        <w:rPr>
          <w:rFonts w:asciiTheme="minorEastAsia" w:hAnsiTheme="minorEastAsia"/>
          <w:color w:val="auto"/>
          <w:sz w:val="24"/>
          <w:szCs w:val="24"/>
          <w:highlight w:val="none"/>
        </w:rPr>
      </w:pPr>
      <w:r>
        <w:rPr>
          <w:rFonts w:asciiTheme="minorEastAsia" w:hAnsiTheme="minorEastAsia"/>
          <w:color w:val="auto"/>
          <w:sz w:val="24"/>
          <w:szCs w:val="24"/>
          <w:highlight w:val="none"/>
        </w:rPr>
        <w:t xml:space="preserve">3. </w:t>
      </w:r>
      <w:r>
        <w:rPr>
          <w:rFonts w:hint="eastAsia" w:cs="宋体" w:asciiTheme="minorEastAsia" w:hAnsiTheme="minorEastAsia"/>
          <w:color w:val="auto"/>
          <w:sz w:val="24"/>
          <w:szCs w:val="24"/>
          <w:highlight w:val="none"/>
        </w:rPr>
        <w:t>施工进度计划应与施工组织设计相适应。</w:t>
      </w:r>
    </w:p>
    <w:p w14:paraId="040459E3">
      <w:pPr>
        <w:rPr>
          <w:rFonts w:asciiTheme="minorEastAsia" w:hAnsiTheme="minorEastAsia"/>
          <w:color w:val="auto"/>
          <w:sz w:val="24"/>
          <w:szCs w:val="24"/>
          <w:highlight w:val="none"/>
        </w:rPr>
      </w:pPr>
    </w:p>
    <w:p w14:paraId="4038F3BB">
      <w:pPr>
        <w:rPr>
          <w:rFonts w:cs="宋体" w:asciiTheme="minorEastAsia" w:hAnsiTheme="minorEastAsia"/>
          <w:color w:val="auto"/>
          <w:sz w:val="24"/>
          <w:szCs w:val="24"/>
          <w:highlight w:val="none"/>
        </w:rPr>
      </w:pPr>
    </w:p>
    <w:p w14:paraId="6794457C">
      <w:pPr>
        <w:outlineLvl w:val="0"/>
        <w:rPr>
          <w:rFonts w:asciiTheme="minorEastAsia" w:hAnsiTheme="minorEastAsia"/>
          <w:color w:val="auto"/>
          <w:sz w:val="24"/>
          <w:szCs w:val="24"/>
          <w:highlight w:val="none"/>
        </w:rPr>
      </w:pPr>
      <w:bookmarkStart w:id="1485" w:name="_Toc3951"/>
      <w:bookmarkStart w:id="1486" w:name="_Toc25319"/>
      <w:bookmarkStart w:id="1487" w:name="_Toc29440"/>
      <w:bookmarkStart w:id="1488" w:name="_Toc97108140"/>
      <w:r>
        <w:rPr>
          <w:rFonts w:hint="eastAsia" w:cs="宋体" w:asciiTheme="minorEastAsia" w:hAnsiTheme="minorEastAsia"/>
          <w:color w:val="auto"/>
          <w:sz w:val="24"/>
          <w:szCs w:val="24"/>
          <w:highlight w:val="none"/>
        </w:rPr>
        <w:t>附表五：施工总平面图</w:t>
      </w:r>
      <w:bookmarkEnd w:id="1485"/>
      <w:bookmarkEnd w:id="1486"/>
      <w:bookmarkEnd w:id="1487"/>
      <w:bookmarkEnd w:id="1488"/>
    </w:p>
    <w:p w14:paraId="56353856">
      <w:pPr>
        <w:spacing w:line="460" w:lineRule="exact"/>
        <w:ind w:firstLine="480" w:firstLineChars="200"/>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供应商应递交一份施工总平面图，绘出现场临时设施布置图表并附文字说明，说明临时设施、加工车间、现场办公、设备及仓储、供电、供水、卫生、生活、道路、消防等设施的情况和布置。</w:t>
      </w:r>
    </w:p>
    <w:p w14:paraId="1DEA1867">
      <w:pPr>
        <w:rPr>
          <w:rFonts w:asciiTheme="minorEastAsia" w:hAnsiTheme="minorEastAsia"/>
          <w:color w:val="auto"/>
          <w:sz w:val="24"/>
          <w:szCs w:val="24"/>
          <w:highlight w:val="none"/>
        </w:rPr>
      </w:pPr>
    </w:p>
    <w:p w14:paraId="486CB9C3">
      <w:pPr>
        <w:pStyle w:val="37"/>
        <w:spacing w:before="0" w:after="0"/>
        <w:rPr>
          <w:rFonts w:asciiTheme="minorEastAsia" w:hAnsiTheme="minorEastAsia"/>
          <w:color w:val="auto"/>
          <w:spacing w:val="0"/>
          <w:highlight w:val="none"/>
        </w:rPr>
      </w:pPr>
    </w:p>
    <w:p w14:paraId="3B0863BD">
      <w:pPr>
        <w:outlineLvl w:val="0"/>
        <w:rPr>
          <w:rFonts w:asciiTheme="minorEastAsia" w:hAnsiTheme="minorEastAsia"/>
          <w:color w:val="auto"/>
          <w:sz w:val="24"/>
          <w:szCs w:val="24"/>
          <w:highlight w:val="none"/>
        </w:rPr>
      </w:pPr>
      <w:bookmarkStart w:id="1489" w:name="_Toc23999"/>
      <w:bookmarkStart w:id="1490" w:name="_Toc497"/>
      <w:bookmarkStart w:id="1491" w:name="_Toc3969"/>
      <w:bookmarkStart w:id="1492" w:name="_Toc97108141"/>
      <w:r>
        <w:rPr>
          <w:rFonts w:hint="eastAsia" w:cs="宋体" w:asciiTheme="minorEastAsia" w:hAnsiTheme="minorEastAsia"/>
          <w:color w:val="auto"/>
          <w:sz w:val="24"/>
          <w:szCs w:val="24"/>
          <w:highlight w:val="none"/>
        </w:rPr>
        <w:t>附表六：临时用地表</w:t>
      </w:r>
      <w:bookmarkEnd w:id="1489"/>
      <w:bookmarkEnd w:id="1490"/>
      <w:bookmarkEnd w:id="1491"/>
      <w:bookmarkEnd w:id="1492"/>
    </w:p>
    <w:tbl>
      <w:tblPr>
        <w:tblStyle w:val="28"/>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357"/>
      </w:tblGrid>
      <w:tr w14:paraId="4A533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vAlign w:val="center"/>
          </w:tcPr>
          <w:p w14:paraId="758CC3B9">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用途</w:t>
            </w:r>
          </w:p>
        </w:tc>
        <w:tc>
          <w:tcPr>
            <w:tcW w:w="2357" w:type="dxa"/>
            <w:vAlign w:val="center"/>
          </w:tcPr>
          <w:p w14:paraId="6997EB63">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面积（平方米）</w:t>
            </w:r>
          </w:p>
        </w:tc>
        <w:tc>
          <w:tcPr>
            <w:tcW w:w="2356" w:type="dxa"/>
            <w:vAlign w:val="center"/>
          </w:tcPr>
          <w:p w14:paraId="291619D0">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位置</w:t>
            </w:r>
          </w:p>
        </w:tc>
        <w:tc>
          <w:tcPr>
            <w:tcW w:w="2357" w:type="dxa"/>
            <w:vAlign w:val="center"/>
          </w:tcPr>
          <w:p w14:paraId="1A7727BE">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需用时间</w:t>
            </w:r>
          </w:p>
        </w:tc>
      </w:tr>
      <w:tr w14:paraId="4A456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11B68F34">
            <w:pPr>
              <w:rPr>
                <w:rFonts w:asciiTheme="minorEastAsia" w:hAnsiTheme="minorEastAsia"/>
                <w:color w:val="auto"/>
                <w:highlight w:val="none"/>
              </w:rPr>
            </w:pPr>
          </w:p>
        </w:tc>
        <w:tc>
          <w:tcPr>
            <w:tcW w:w="2357" w:type="dxa"/>
          </w:tcPr>
          <w:p w14:paraId="106C2FD0">
            <w:pPr>
              <w:rPr>
                <w:rFonts w:asciiTheme="minorEastAsia" w:hAnsiTheme="minorEastAsia"/>
                <w:color w:val="auto"/>
                <w:highlight w:val="none"/>
              </w:rPr>
            </w:pPr>
          </w:p>
        </w:tc>
        <w:tc>
          <w:tcPr>
            <w:tcW w:w="2356" w:type="dxa"/>
          </w:tcPr>
          <w:p w14:paraId="54A3D732">
            <w:pPr>
              <w:rPr>
                <w:rFonts w:asciiTheme="minorEastAsia" w:hAnsiTheme="minorEastAsia"/>
                <w:color w:val="auto"/>
                <w:highlight w:val="none"/>
              </w:rPr>
            </w:pPr>
          </w:p>
        </w:tc>
        <w:tc>
          <w:tcPr>
            <w:tcW w:w="2357" w:type="dxa"/>
          </w:tcPr>
          <w:p w14:paraId="184C3C13">
            <w:pPr>
              <w:rPr>
                <w:rFonts w:asciiTheme="minorEastAsia" w:hAnsiTheme="minorEastAsia"/>
                <w:color w:val="auto"/>
                <w:highlight w:val="none"/>
              </w:rPr>
            </w:pPr>
          </w:p>
        </w:tc>
      </w:tr>
      <w:tr w14:paraId="6264F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38DE0EFF">
            <w:pPr>
              <w:rPr>
                <w:rFonts w:asciiTheme="minorEastAsia" w:hAnsiTheme="minorEastAsia"/>
                <w:color w:val="auto"/>
                <w:highlight w:val="none"/>
              </w:rPr>
            </w:pPr>
          </w:p>
        </w:tc>
        <w:tc>
          <w:tcPr>
            <w:tcW w:w="2357" w:type="dxa"/>
          </w:tcPr>
          <w:p w14:paraId="649C56B6">
            <w:pPr>
              <w:rPr>
                <w:rFonts w:asciiTheme="minorEastAsia" w:hAnsiTheme="minorEastAsia"/>
                <w:color w:val="auto"/>
                <w:highlight w:val="none"/>
              </w:rPr>
            </w:pPr>
          </w:p>
        </w:tc>
        <w:tc>
          <w:tcPr>
            <w:tcW w:w="2356" w:type="dxa"/>
          </w:tcPr>
          <w:p w14:paraId="69A81F8D">
            <w:pPr>
              <w:rPr>
                <w:rFonts w:asciiTheme="minorEastAsia" w:hAnsiTheme="minorEastAsia"/>
                <w:color w:val="auto"/>
                <w:highlight w:val="none"/>
              </w:rPr>
            </w:pPr>
          </w:p>
        </w:tc>
        <w:tc>
          <w:tcPr>
            <w:tcW w:w="2357" w:type="dxa"/>
          </w:tcPr>
          <w:p w14:paraId="061FF182">
            <w:pPr>
              <w:rPr>
                <w:rFonts w:asciiTheme="minorEastAsia" w:hAnsiTheme="minorEastAsia"/>
                <w:color w:val="auto"/>
                <w:highlight w:val="none"/>
              </w:rPr>
            </w:pPr>
          </w:p>
        </w:tc>
      </w:tr>
      <w:tr w14:paraId="54A30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tcPr>
          <w:p w14:paraId="59F3F69C">
            <w:pPr>
              <w:rPr>
                <w:rFonts w:asciiTheme="minorEastAsia" w:hAnsiTheme="minorEastAsia"/>
                <w:color w:val="auto"/>
                <w:highlight w:val="none"/>
              </w:rPr>
            </w:pPr>
          </w:p>
        </w:tc>
        <w:tc>
          <w:tcPr>
            <w:tcW w:w="2357" w:type="dxa"/>
          </w:tcPr>
          <w:p w14:paraId="3541664A">
            <w:pPr>
              <w:rPr>
                <w:rFonts w:asciiTheme="minorEastAsia" w:hAnsiTheme="minorEastAsia"/>
                <w:color w:val="auto"/>
                <w:highlight w:val="none"/>
              </w:rPr>
            </w:pPr>
          </w:p>
        </w:tc>
        <w:tc>
          <w:tcPr>
            <w:tcW w:w="2356" w:type="dxa"/>
          </w:tcPr>
          <w:p w14:paraId="77BDD1B8">
            <w:pPr>
              <w:rPr>
                <w:rFonts w:asciiTheme="minorEastAsia" w:hAnsiTheme="minorEastAsia"/>
                <w:color w:val="auto"/>
                <w:highlight w:val="none"/>
              </w:rPr>
            </w:pPr>
          </w:p>
        </w:tc>
        <w:tc>
          <w:tcPr>
            <w:tcW w:w="2357" w:type="dxa"/>
          </w:tcPr>
          <w:p w14:paraId="14693BC1">
            <w:pPr>
              <w:rPr>
                <w:rFonts w:asciiTheme="minorEastAsia" w:hAnsiTheme="minorEastAsia"/>
                <w:color w:val="auto"/>
                <w:highlight w:val="none"/>
              </w:rPr>
            </w:pPr>
          </w:p>
        </w:tc>
      </w:tr>
      <w:tr w14:paraId="3CB8F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1825412E">
            <w:pPr>
              <w:rPr>
                <w:rFonts w:asciiTheme="minorEastAsia" w:hAnsiTheme="minorEastAsia"/>
                <w:color w:val="auto"/>
                <w:highlight w:val="none"/>
              </w:rPr>
            </w:pPr>
          </w:p>
        </w:tc>
        <w:tc>
          <w:tcPr>
            <w:tcW w:w="2357" w:type="dxa"/>
          </w:tcPr>
          <w:p w14:paraId="1EFACE4D">
            <w:pPr>
              <w:rPr>
                <w:rFonts w:asciiTheme="minorEastAsia" w:hAnsiTheme="minorEastAsia"/>
                <w:color w:val="auto"/>
                <w:highlight w:val="none"/>
              </w:rPr>
            </w:pPr>
          </w:p>
        </w:tc>
        <w:tc>
          <w:tcPr>
            <w:tcW w:w="2356" w:type="dxa"/>
          </w:tcPr>
          <w:p w14:paraId="336B6FBF">
            <w:pPr>
              <w:rPr>
                <w:rFonts w:asciiTheme="minorEastAsia" w:hAnsiTheme="minorEastAsia"/>
                <w:color w:val="auto"/>
                <w:highlight w:val="none"/>
              </w:rPr>
            </w:pPr>
          </w:p>
        </w:tc>
        <w:tc>
          <w:tcPr>
            <w:tcW w:w="2357" w:type="dxa"/>
          </w:tcPr>
          <w:p w14:paraId="123FFB70">
            <w:pPr>
              <w:rPr>
                <w:rFonts w:asciiTheme="minorEastAsia" w:hAnsiTheme="minorEastAsia"/>
                <w:color w:val="auto"/>
                <w:highlight w:val="none"/>
              </w:rPr>
            </w:pPr>
          </w:p>
        </w:tc>
      </w:tr>
      <w:bookmarkEnd w:id="1386"/>
      <w:bookmarkEnd w:id="1387"/>
      <w:bookmarkEnd w:id="1388"/>
      <w:bookmarkEnd w:id="1389"/>
      <w:bookmarkEnd w:id="1453"/>
      <w:bookmarkEnd w:id="1454"/>
      <w:bookmarkEnd w:id="1455"/>
      <w:bookmarkEnd w:id="1456"/>
      <w:bookmarkEnd w:id="1462"/>
    </w:tbl>
    <w:p w14:paraId="5D0F8D63">
      <w:pPr>
        <w:rPr>
          <w:rFonts w:asciiTheme="minorEastAsia" w:hAnsiTheme="minorEastAsia" w:cstheme="minorEastAsia"/>
          <w:color w:val="auto"/>
          <w:highlight w:val="none"/>
        </w:rPr>
      </w:pPr>
      <w:bookmarkStart w:id="1493" w:name="_Toc23889"/>
      <w:r>
        <w:rPr>
          <w:rFonts w:hint="eastAsia" w:cs="黑体" w:asciiTheme="minorEastAsia" w:hAnsiTheme="minorEastAsia"/>
          <w:color w:val="auto"/>
          <w:highlight w:val="none"/>
        </w:rPr>
        <w:br w:type="page"/>
      </w:r>
    </w:p>
    <w:p w14:paraId="067D3B29">
      <w:pPr>
        <w:pStyle w:val="5"/>
        <w:spacing w:line="360" w:lineRule="auto"/>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七、供应商可结合本项目的评标办法视自身情况自行提交相关证明材料（如业绩等[需列汇总表格]，如有，请提供）</w:t>
      </w:r>
      <w:r>
        <w:rPr>
          <w:rFonts w:hint="eastAsia" w:asciiTheme="minorEastAsia" w:hAnsiTheme="minorEastAsia" w:eastAsiaTheme="minorEastAsia" w:cstheme="minorEastAsia"/>
          <w:color w:val="auto"/>
          <w:highlight w:val="none"/>
        </w:rPr>
        <w:br w:type="page"/>
      </w:r>
    </w:p>
    <w:p w14:paraId="1229691D">
      <w:pPr>
        <w:pStyle w:val="13"/>
        <w:rPr>
          <w:color w:val="auto"/>
          <w:highlight w:val="none"/>
        </w:rPr>
      </w:pPr>
    </w:p>
    <w:p w14:paraId="3E5578B7">
      <w:pPr>
        <w:pStyle w:val="3"/>
        <w:spacing w:line="600" w:lineRule="auto"/>
        <w:ind w:firstLine="1325" w:firstLineChars="300"/>
        <w:rPr>
          <w:rFonts w:asciiTheme="minorEastAsia" w:hAnsiTheme="minorEastAsia"/>
          <w:color w:val="auto"/>
          <w:highlight w:val="none"/>
        </w:rPr>
      </w:pPr>
      <w:bookmarkStart w:id="1494" w:name="_Toc13412"/>
      <w:bookmarkStart w:id="1495" w:name="_Toc20117"/>
      <w:r>
        <w:rPr>
          <w:rFonts w:hint="eastAsia" w:cs="黑体" w:asciiTheme="minorEastAsia" w:hAnsiTheme="minorEastAsia"/>
          <w:color w:val="auto"/>
          <w:highlight w:val="none"/>
        </w:rPr>
        <w:t>第七章</w:t>
      </w:r>
      <w:r>
        <w:rPr>
          <w:rFonts w:hint="eastAsia" w:asciiTheme="minorEastAsia" w:hAnsiTheme="minorEastAsia" w:cstheme="minorEastAsia"/>
          <w:color w:val="auto"/>
          <w:sz w:val="36"/>
          <w:highlight w:val="none"/>
        </w:rPr>
        <w:t xml:space="preserve"> </w:t>
      </w:r>
      <w:bookmarkEnd w:id="1493"/>
      <w:r>
        <w:rPr>
          <w:rFonts w:hint="eastAsia" w:cs="黑体" w:asciiTheme="minorEastAsia" w:hAnsiTheme="minorEastAsia"/>
          <w:color w:val="auto"/>
          <w:highlight w:val="none"/>
        </w:rPr>
        <w:t>评标办法（综合评估法）</w:t>
      </w:r>
      <w:bookmarkEnd w:id="1494"/>
      <w:bookmarkEnd w:id="1495"/>
    </w:p>
    <w:p w14:paraId="6E783CF4">
      <w:pPr>
        <w:pStyle w:val="3"/>
        <w:spacing w:line="600" w:lineRule="auto"/>
        <w:jc w:val="center"/>
        <w:rPr>
          <w:rFonts w:cs="黑体" w:asciiTheme="minorEastAsia" w:hAnsiTheme="minorEastAsia"/>
          <w:color w:val="auto"/>
          <w:highlight w:val="none"/>
        </w:rPr>
      </w:pPr>
      <w:bookmarkStart w:id="1496" w:name="_Toc487632666"/>
      <w:bookmarkStart w:id="1497" w:name="_Toc407135169"/>
      <w:bookmarkStart w:id="1498" w:name="_Toc27501_WPSOffice_Level1"/>
      <w:bookmarkStart w:id="1499" w:name="_Toc19936"/>
      <w:bookmarkStart w:id="1500" w:name="_Toc97108143"/>
      <w:bookmarkStart w:id="1501" w:name="_Toc389065239"/>
      <w:bookmarkStart w:id="1502" w:name="_Toc32216"/>
      <w:bookmarkStart w:id="1503" w:name="_Toc437"/>
      <w:r>
        <w:rPr>
          <w:rFonts w:hint="eastAsia" w:cs="黑体" w:asciiTheme="minorEastAsia" w:hAnsiTheme="minorEastAsia"/>
          <w:color w:val="auto"/>
          <w:highlight w:val="none"/>
        </w:rPr>
        <w:t>评标办法前附表</w:t>
      </w:r>
      <w:bookmarkEnd w:id="1496"/>
      <w:bookmarkEnd w:id="1497"/>
      <w:bookmarkEnd w:id="1498"/>
      <w:bookmarkEnd w:id="1499"/>
      <w:bookmarkEnd w:id="1500"/>
      <w:bookmarkEnd w:id="1501"/>
      <w:bookmarkEnd w:id="1502"/>
      <w:bookmarkEnd w:id="1503"/>
    </w:p>
    <w:p w14:paraId="697CC9C4">
      <w:pPr>
        <w:rPr>
          <w:rFonts w:asciiTheme="minorEastAsia" w:hAnsiTheme="minorEastAsia"/>
          <w:color w:val="auto"/>
          <w:highlight w:val="none"/>
        </w:rPr>
      </w:pPr>
    </w:p>
    <w:tbl>
      <w:tblPr>
        <w:tblStyle w:val="28"/>
        <w:tblW w:w="9169" w:type="dxa"/>
        <w:tblInd w:w="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1152"/>
        <w:gridCol w:w="6325"/>
        <w:gridCol w:w="845"/>
      </w:tblGrid>
      <w:tr w14:paraId="64959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7" w:type="dxa"/>
          </w:tcPr>
          <w:p w14:paraId="24CE9B2E">
            <w:pPr>
              <w:spacing w:line="360" w:lineRule="auto"/>
              <w:jc w:val="center"/>
              <w:rPr>
                <w:rFonts w:asciiTheme="minorEastAsia" w:hAnsiTheme="minorEastAsia"/>
                <w:bCs/>
                <w:color w:val="auto"/>
                <w:szCs w:val="21"/>
                <w:highlight w:val="none"/>
              </w:rPr>
            </w:pPr>
            <w:r>
              <w:rPr>
                <w:rFonts w:hint="eastAsia" w:asciiTheme="minorEastAsia" w:hAnsiTheme="minorEastAsia"/>
                <w:bCs/>
                <w:color w:val="auto"/>
                <w:szCs w:val="21"/>
                <w:highlight w:val="none"/>
              </w:rPr>
              <w:t>序号</w:t>
            </w:r>
          </w:p>
        </w:tc>
        <w:tc>
          <w:tcPr>
            <w:tcW w:w="1152" w:type="dxa"/>
          </w:tcPr>
          <w:p w14:paraId="6DAC7087">
            <w:pPr>
              <w:spacing w:line="360" w:lineRule="auto"/>
              <w:jc w:val="center"/>
              <w:rPr>
                <w:rFonts w:asciiTheme="minorEastAsia" w:hAnsiTheme="minorEastAsia"/>
                <w:bCs/>
                <w:color w:val="auto"/>
                <w:szCs w:val="21"/>
                <w:highlight w:val="none"/>
              </w:rPr>
            </w:pPr>
            <w:r>
              <w:rPr>
                <w:rFonts w:hint="eastAsia" w:asciiTheme="minorEastAsia" w:hAnsiTheme="minorEastAsia"/>
                <w:bCs/>
                <w:color w:val="auto"/>
                <w:szCs w:val="21"/>
                <w:highlight w:val="none"/>
              </w:rPr>
              <w:t>评分类型</w:t>
            </w:r>
          </w:p>
        </w:tc>
        <w:tc>
          <w:tcPr>
            <w:tcW w:w="6325" w:type="dxa"/>
          </w:tcPr>
          <w:p w14:paraId="0D3C57FD">
            <w:pPr>
              <w:spacing w:line="360" w:lineRule="auto"/>
              <w:jc w:val="center"/>
              <w:rPr>
                <w:rFonts w:asciiTheme="minorEastAsia" w:hAnsiTheme="minorEastAsia"/>
                <w:bCs/>
                <w:color w:val="auto"/>
                <w:szCs w:val="21"/>
                <w:highlight w:val="none"/>
              </w:rPr>
            </w:pPr>
            <w:r>
              <w:rPr>
                <w:rFonts w:hint="eastAsia" w:asciiTheme="minorEastAsia" w:hAnsiTheme="minorEastAsia"/>
                <w:bCs/>
                <w:color w:val="auto"/>
                <w:szCs w:val="21"/>
                <w:highlight w:val="none"/>
              </w:rPr>
              <w:t>评分标准</w:t>
            </w:r>
          </w:p>
        </w:tc>
        <w:tc>
          <w:tcPr>
            <w:tcW w:w="845" w:type="dxa"/>
          </w:tcPr>
          <w:p w14:paraId="74F18572">
            <w:pPr>
              <w:spacing w:line="360" w:lineRule="auto"/>
              <w:jc w:val="center"/>
              <w:rPr>
                <w:rFonts w:asciiTheme="minorEastAsia" w:hAnsiTheme="minorEastAsia"/>
                <w:bCs/>
                <w:color w:val="auto"/>
                <w:szCs w:val="21"/>
                <w:highlight w:val="none"/>
              </w:rPr>
            </w:pPr>
            <w:r>
              <w:rPr>
                <w:rFonts w:hint="eastAsia" w:asciiTheme="minorEastAsia" w:hAnsiTheme="minorEastAsia"/>
                <w:bCs/>
                <w:color w:val="auto"/>
                <w:szCs w:val="21"/>
                <w:highlight w:val="none"/>
              </w:rPr>
              <w:t>分值</w:t>
            </w:r>
          </w:p>
        </w:tc>
      </w:tr>
      <w:tr w14:paraId="01397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dxa"/>
          </w:tcPr>
          <w:p w14:paraId="1642B696">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1</w:t>
            </w:r>
          </w:p>
        </w:tc>
        <w:tc>
          <w:tcPr>
            <w:tcW w:w="1152" w:type="dxa"/>
          </w:tcPr>
          <w:p w14:paraId="49C05591">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报价</w:t>
            </w:r>
          </w:p>
        </w:tc>
        <w:tc>
          <w:tcPr>
            <w:tcW w:w="6325" w:type="dxa"/>
          </w:tcPr>
          <w:p w14:paraId="57783F47">
            <w:pPr>
              <w:spacing w:line="400" w:lineRule="exact"/>
              <w:rPr>
                <w:rFonts w:cs="宋体" w:asciiTheme="minorEastAsia" w:hAnsiTheme="minorEastAsia"/>
                <w:color w:val="auto"/>
                <w:szCs w:val="21"/>
                <w:highlight w:val="none"/>
              </w:rPr>
            </w:pPr>
            <w:r>
              <w:rPr>
                <w:rFonts w:hint="eastAsia" w:cs="宋体" w:asciiTheme="minorEastAsia" w:hAnsiTheme="minorEastAsia"/>
                <w:bCs/>
                <w:color w:val="auto"/>
                <w:szCs w:val="21"/>
                <w:highlight w:val="none"/>
              </w:rPr>
              <w:t>1.</w:t>
            </w:r>
            <w:r>
              <w:rPr>
                <w:rFonts w:hint="eastAsia" w:cs="宋体" w:asciiTheme="minorEastAsia" w:hAnsiTheme="minorEastAsia"/>
                <w:color w:val="auto"/>
                <w:szCs w:val="21"/>
                <w:highlight w:val="none"/>
              </w:rPr>
              <w:t>评审报价为供应商的最后报价进行政策性扣除后的价格，评审报价只是作为评审时使用。最终成交供应商的成交金额等于最后报价（如有修正，以确认修正后的最后报价为准）。</w:t>
            </w:r>
          </w:p>
          <w:p w14:paraId="5B0F949C">
            <w:pPr>
              <w:pStyle w:val="16"/>
              <w:spacing w:line="400" w:lineRule="exact"/>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2.价格分计算公式：</w:t>
            </w:r>
          </w:p>
          <w:p w14:paraId="3BD0E08F">
            <w:pPr>
              <w:spacing w:line="360" w:lineRule="auto"/>
              <w:ind w:firstLine="420" w:firstLineChars="200"/>
              <w:rPr>
                <w:rFonts w:asciiTheme="minorEastAsia" w:hAnsiTheme="minorEastAsia"/>
                <w:bCs/>
                <w:color w:val="auto"/>
                <w:szCs w:val="21"/>
                <w:highlight w:val="none"/>
              </w:rPr>
            </w:pPr>
            <w:r>
              <w:rPr>
                <w:rFonts w:hint="eastAsia" w:cs="宋体" w:asciiTheme="minorEastAsia" w:hAnsiTheme="minorEastAsia"/>
                <w:bCs/>
                <w:color w:val="auto"/>
                <w:szCs w:val="21"/>
                <w:highlight w:val="none"/>
              </w:rPr>
              <w:t>报价得分=（基准价/最终报价）×</w:t>
            </w:r>
            <w:r>
              <w:rPr>
                <w:rFonts w:hint="eastAsia" w:cs="宋体" w:asciiTheme="minorEastAsia" w:hAnsiTheme="minorEastAsia"/>
                <w:bCs/>
                <w:color w:val="auto"/>
                <w:szCs w:val="21"/>
                <w:highlight w:val="none"/>
                <w:u w:val="single"/>
              </w:rPr>
              <w:t>10分</w:t>
            </w:r>
          </w:p>
        </w:tc>
        <w:tc>
          <w:tcPr>
            <w:tcW w:w="845" w:type="dxa"/>
          </w:tcPr>
          <w:p w14:paraId="21E8A552">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0-10</w:t>
            </w:r>
          </w:p>
        </w:tc>
      </w:tr>
      <w:tr w14:paraId="5EDB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847" w:type="dxa"/>
          </w:tcPr>
          <w:p w14:paraId="7444434B">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1</w:t>
            </w:r>
          </w:p>
        </w:tc>
        <w:tc>
          <w:tcPr>
            <w:tcW w:w="1152" w:type="dxa"/>
          </w:tcPr>
          <w:p w14:paraId="085AFB0E">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技术</w:t>
            </w:r>
          </w:p>
        </w:tc>
        <w:tc>
          <w:tcPr>
            <w:tcW w:w="6325" w:type="dxa"/>
          </w:tcPr>
          <w:p w14:paraId="578DCC93">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技术分：施工组织设计方案分（满分63分）</w:t>
            </w:r>
          </w:p>
        </w:tc>
        <w:tc>
          <w:tcPr>
            <w:tcW w:w="845" w:type="dxa"/>
          </w:tcPr>
          <w:p w14:paraId="21A90FD8">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0-63</w:t>
            </w:r>
          </w:p>
        </w:tc>
      </w:tr>
      <w:tr w14:paraId="58F62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847" w:type="dxa"/>
          </w:tcPr>
          <w:p w14:paraId="07FC3098">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1.1</w:t>
            </w:r>
          </w:p>
        </w:tc>
        <w:tc>
          <w:tcPr>
            <w:tcW w:w="1152" w:type="dxa"/>
          </w:tcPr>
          <w:p w14:paraId="6680FFA6">
            <w:pPr>
              <w:spacing w:line="360" w:lineRule="auto"/>
              <w:rPr>
                <w:rFonts w:asciiTheme="minorEastAsia" w:hAnsiTheme="minorEastAsia"/>
                <w:bCs/>
                <w:color w:val="auto"/>
                <w:szCs w:val="21"/>
                <w:highlight w:val="none"/>
              </w:rPr>
            </w:pPr>
            <w:r>
              <w:rPr>
                <w:rFonts w:hint="eastAsia" w:asciiTheme="minorEastAsia" w:hAnsiTheme="minorEastAsia"/>
                <w:color w:val="auto"/>
                <w:szCs w:val="21"/>
                <w:highlight w:val="none"/>
              </w:rPr>
              <w:t>实施本项目施工组织技术方案</w:t>
            </w:r>
          </w:p>
        </w:tc>
        <w:tc>
          <w:tcPr>
            <w:tcW w:w="6325" w:type="dxa"/>
          </w:tcPr>
          <w:p w14:paraId="410840A7">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1）实施本项目的技术方案（满分 53 分）</w:t>
            </w:r>
          </w:p>
          <w:p w14:paraId="4AC96E1E">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根据编制施工组织设计的要求：编制时应采用文字并结合图表 形式说明施工方法；拟投入的主要物资计划、拟投入的主要施工机 械、设备计划、劳动力计划等；结合工程特点提出切实可行的工程 质量、安全生产、文明施工、工程进度、技术组织措施，同时应对</w:t>
            </w:r>
          </w:p>
          <w:p w14:paraId="4B69CAC1">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关键工序、复杂环节重点提出相应技术措施等技术方案打分。</w:t>
            </w:r>
          </w:p>
          <w:p w14:paraId="7C1852EA">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①主要施工方法（6 分）</w:t>
            </w:r>
          </w:p>
          <w:p w14:paraId="02C6CE16">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一档（0 分）：无主要施工方法；</w:t>
            </w:r>
          </w:p>
          <w:p w14:paraId="1D8E71AA">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二档（2 分）：各主要分部施工方法符合项目实际，施工技术方案</w:t>
            </w:r>
          </w:p>
          <w:p w14:paraId="57AB3B23">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齐全，方法可行，能指导具体施工；</w:t>
            </w:r>
          </w:p>
          <w:p w14:paraId="16F0C603">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三档（4 分）：各主要分部施工方法符合项目实际，施工技术方案 齐全，工艺成熟、方法合理、可行，能指导具体施工并确保安全； 四档（6分）：各主要分部施工方法针对性强，施工技术方案详尽 周密，工艺先进、方法科学、可行，能很好的指导具体施工合理确</w:t>
            </w:r>
          </w:p>
          <w:p w14:paraId="4060E67A">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保安全，承诺机械配备结合施工进度完成施工。</w:t>
            </w:r>
          </w:p>
          <w:p w14:paraId="6CD6E20B">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②拟投入的主要物资计划（6 分）</w:t>
            </w:r>
          </w:p>
          <w:p w14:paraId="09838137">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一档（0 分）：无主要物资计划；</w:t>
            </w:r>
          </w:p>
          <w:p w14:paraId="47E695E9">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二档（2 分）：投入的施工材料有完整的组织计划，投入计划与进</w:t>
            </w:r>
          </w:p>
          <w:p w14:paraId="714E3F63">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度计划呼应，基本满足施工需要，调配投入计划基本合理；</w:t>
            </w:r>
          </w:p>
          <w:p w14:paraId="2C5A5AFF">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三档（4 分）：投入的施工材料有详细的组织计划，投入计划与进 度计划呼应，可以满足施工需要，调配投入计划基本合理、准确； 四档（6 分）：投入的施工材料有详细的组织计划且计划周密，投 入计划与进度计划呼应，完全满足施工需要，调配投入计划合理、</w:t>
            </w:r>
          </w:p>
          <w:p w14:paraId="56246ACC">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准确、完整。</w:t>
            </w:r>
          </w:p>
          <w:p w14:paraId="3E45A386">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③拟投入的主要施工机械、设备计划（6 分）</w:t>
            </w:r>
          </w:p>
          <w:p w14:paraId="2F5711C1">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一档（0 分）：无主要施工机械、设备计划</w:t>
            </w:r>
          </w:p>
          <w:p w14:paraId="6ACBCB72">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二档（2 分）：投入的施工机械、设备、机具有组织计划，基本满</w:t>
            </w:r>
          </w:p>
          <w:p w14:paraId="0AB23536">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足施工需要；</w:t>
            </w:r>
          </w:p>
          <w:p w14:paraId="5FCB5C6A">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三档（4 分）：投入的施工机械、设备、机具有详细的组织计划，</w:t>
            </w:r>
          </w:p>
          <w:p w14:paraId="22BF581E">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设备数量、选型配置、进场投入计划与进度计划呼应，满足施工需</w:t>
            </w:r>
          </w:p>
          <w:p w14:paraId="4048EF79">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要；</w:t>
            </w:r>
          </w:p>
          <w:p w14:paraId="32D13EA5">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四档（6 分）：投入的施工机械、设备、机具有详细的组织计划且 计划周密，设备数量、选型配置、进场时间安排合理，完全满足施</w:t>
            </w:r>
          </w:p>
          <w:p w14:paraId="518F37C6">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工需要。</w:t>
            </w:r>
          </w:p>
          <w:p w14:paraId="7DFDD51B">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④确保工程质量的技术组织措施（6 分）</w:t>
            </w:r>
          </w:p>
          <w:p w14:paraId="5CAA18F1">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一档（0 分）：无技术组织措施</w:t>
            </w:r>
          </w:p>
          <w:p w14:paraId="46CE3B9D">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二档（2分）：质量技术管理班子人员配备基本合理，制度基本健 全。主要工序有质量技术保证措施和手段，能有效保证技术质量，</w:t>
            </w:r>
          </w:p>
          <w:p w14:paraId="301A62D0">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满足招标文件的质量要求；</w:t>
            </w:r>
          </w:p>
          <w:p w14:paraId="7C52C85F">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三档（4分）：有专门的质量技术管理班子和制度，且人员配备合 理，制度健全。主要工序有质量技术保证措施和手段， 自控体系完</w:t>
            </w:r>
          </w:p>
          <w:p w14:paraId="1373D050">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整，能有效保证技术质量，可以达到承诺的质量标准；</w:t>
            </w:r>
          </w:p>
          <w:p w14:paraId="6EFD6637">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四档（6分）：有专门的质量技术管理班子和制度，且人员配备合 理，制度健全。主要工序有质量技术保证措施和手段，且先进、可 行、具体，高于招标文件的质量要求及施工验收规范要求，达到承</w:t>
            </w:r>
          </w:p>
          <w:p w14:paraId="7D74F609">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诺的质量标准。</w:t>
            </w:r>
          </w:p>
          <w:p w14:paraId="74A1CDF8">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⑤确保安全生产的技术组织措施（6 分）</w:t>
            </w:r>
          </w:p>
          <w:p w14:paraId="0EA30A79">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一档（0 分）：无技术组织措施</w:t>
            </w:r>
          </w:p>
          <w:p w14:paraId="0AC5F3D5">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二档（2 分）：各主要分部施工方法基本符合项目实际，施工技术 方案基本齐全，方法基本合理、基本可行，基本能指导具体施工并</w:t>
            </w:r>
          </w:p>
          <w:p w14:paraId="6D3AC97C">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确保安全；</w:t>
            </w:r>
          </w:p>
          <w:p w14:paraId="0AE86896">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三档（4 分）：有配备满足项目要求的专职安全员，人员配备合理， 有健全的安全管理制度，各道工序安全技术措施符合实际且满足有 关安全技术标准要求。现场防火、应急救援、社会治安安全措施合</w:t>
            </w:r>
          </w:p>
          <w:p w14:paraId="4D597852">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理；</w:t>
            </w:r>
          </w:p>
          <w:p w14:paraId="796A2413">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四档（6 分）：有配备满足项目要求的专职安全员，人员配备合理。 有健全的安全管理制度，各道工序安全技术措施针对性强，符合实  际且高于国家有关安全技术标准要求。现场防火、应急救援、社会</w:t>
            </w:r>
          </w:p>
          <w:p w14:paraId="3A755659">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治安安全措施得力。</w:t>
            </w:r>
          </w:p>
          <w:p w14:paraId="3D3FE27C">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⑥劳动力安排计划（6 分）</w:t>
            </w:r>
          </w:p>
          <w:p w14:paraId="057DC347">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一档（0 分）：无劳动力安排计划</w:t>
            </w:r>
          </w:p>
          <w:p w14:paraId="18AFA299">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二档（2 分）：各主要施工工序应有劳动力安排计划，有各工种劳</w:t>
            </w:r>
          </w:p>
          <w:p w14:paraId="3EB65913">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动力安排计划，劳动力投入基本合理，基本满足施工需要；</w:t>
            </w:r>
          </w:p>
          <w:p w14:paraId="3BA728AF">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三档（4分）：各主要施工工序有详细的劳动力安排计划，有各工</w:t>
            </w:r>
          </w:p>
          <w:p w14:paraId="26CE7EB4">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种劳动力安排计划，劳动力投入合理，可以满足施工需要；</w:t>
            </w:r>
          </w:p>
          <w:p w14:paraId="19097A25">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四档（6 分）：各主要施工工序有详细周密的劳动力安排计划，各 工种劳动力安排计划齐全，劳动力投入与进度计划呼应合理，完全</w:t>
            </w:r>
          </w:p>
          <w:p w14:paraId="248A8730">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满足施工需要。</w:t>
            </w:r>
          </w:p>
          <w:p w14:paraId="7EC8900D">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⑦确保工期的技术组织措施（6 分）</w:t>
            </w:r>
          </w:p>
          <w:p w14:paraId="41894BC5">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一档（0 分）：无技术组织措施</w:t>
            </w:r>
          </w:p>
          <w:p w14:paraId="73D27B9E">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二档（2 分）：有保证工期的具体措施，措施基本得当。各项计划  图表编制基本齐全，安排基本合理，基本符合本项目施工实际要求； 三档（4 分）：有保证工期的具体措施且措施得当。各项计划图表</w:t>
            </w:r>
          </w:p>
          <w:p w14:paraId="2BC847AA">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编制完善，安排较合理，符合本项目施工实际要求；</w:t>
            </w:r>
          </w:p>
          <w:p w14:paraId="0FC135C8">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四档（6 分）：有保证工期的具体措施且措施得力。各项计划图表</w:t>
            </w:r>
          </w:p>
          <w:p w14:paraId="14379B6B">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编制详尽周密，安排科学合理，符合本项目施工实际要求。</w:t>
            </w:r>
          </w:p>
          <w:p w14:paraId="5CBA5F70">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⑧确保文明施工的技术组织措施（6 分）</w:t>
            </w:r>
          </w:p>
          <w:p w14:paraId="5925C9E9">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一档（0 分）：无技术组织措施</w:t>
            </w:r>
          </w:p>
          <w:p w14:paraId="5A467476">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二档（2 分）：现场文明施工、环境保护措施和内容基本达到相关 施工安全生产标准或文明施工要求的；有具体实现现场文明施工目</w:t>
            </w:r>
          </w:p>
          <w:p w14:paraId="5DD4A1A7">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标的承诺，而且各项措施基本周全、具体、有效的；</w:t>
            </w:r>
          </w:p>
          <w:p w14:paraId="2E7ADB94">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三档（4 分）：现场文明施工、环境保护措施和内容达到相关施工 安全生产标准或文明施工要求的；承诺创建市级文明工地和标准化</w:t>
            </w:r>
          </w:p>
          <w:p w14:paraId="57B5E746">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工地，而且各项措施周全、具体、有效的；</w:t>
            </w:r>
          </w:p>
          <w:p w14:paraId="20DE2954">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四档（6 分）：现场文明施工、环境保护措施和内容达到相关施工安全生产标准或文明施工等要求；承诺创建自治区级及以上文明工</w:t>
            </w:r>
          </w:p>
          <w:p w14:paraId="5D22D12D">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地和标准化工地，而且各项措施周全、具体、有效的。</w:t>
            </w:r>
          </w:p>
          <w:p w14:paraId="3321FD86">
            <w:pPr>
              <w:spacing w:line="360" w:lineRule="auto"/>
              <w:rPr>
                <w:rFonts w:asciiTheme="minorEastAsia" w:hAnsiTheme="minorEastAsia"/>
                <w:color w:val="auto"/>
                <w:szCs w:val="21"/>
                <w:highlight w:val="none"/>
              </w:rPr>
            </w:pPr>
            <w:r>
              <w:rPr>
                <w:rFonts w:asciiTheme="minorEastAsia" w:hAnsiTheme="minorEastAsia"/>
                <w:color w:val="auto"/>
                <w:szCs w:val="21"/>
                <w:highlight w:val="none"/>
              </w:rPr>
              <w:t>⑨</w:t>
            </w:r>
            <w:r>
              <w:rPr>
                <w:rFonts w:hint="eastAsia" w:asciiTheme="minorEastAsia" w:hAnsiTheme="minorEastAsia"/>
                <w:color w:val="auto"/>
                <w:szCs w:val="21"/>
                <w:highlight w:val="none"/>
              </w:rPr>
              <w:t>工程施工的重点和难点及保证措施（5</w:t>
            </w:r>
            <w:r>
              <w:rPr>
                <w:rFonts w:asciiTheme="minorEastAsia" w:hAnsiTheme="minorEastAsia"/>
                <w:color w:val="auto"/>
                <w:szCs w:val="21"/>
                <w:highlight w:val="none"/>
              </w:rPr>
              <w:t xml:space="preserve"> </w:t>
            </w:r>
            <w:r>
              <w:rPr>
                <w:rFonts w:hint="eastAsia" w:asciiTheme="minorEastAsia" w:hAnsiTheme="minorEastAsia"/>
                <w:color w:val="auto"/>
                <w:szCs w:val="21"/>
                <w:highlight w:val="none"/>
              </w:rPr>
              <w:t>分）</w:t>
            </w:r>
          </w:p>
          <w:p w14:paraId="6C8D88DC">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一档（</w:t>
            </w:r>
            <w:r>
              <w:rPr>
                <w:rFonts w:asciiTheme="minorEastAsia" w:hAnsiTheme="minorEastAsia"/>
                <w:color w:val="auto"/>
                <w:szCs w:val="21"/>
                <w:highlight w:val="none"/>
              </w:rPr>
              <w:t xml:space="preserve">0 </w:t>
            </w:r>
            <w:r>
              <w:rPr>
                <w:rFonts w:hint="eastAsia" w:asciiTheme="minorEastAsia" w:hAnsiTheme="minorEastAsia"/>
                <w:color w:val="auto"/>
                <w:szCs w:val="21"/>
                <w:highlight w:val="none"/>
              </w:rPr>
              <w:t>分）：无工程施工的重点和难点及保证措施</w:t>
            </w:r>
          </w:p>
          <w:p w14:paraId="26A84585">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二档（</w:t>
            </w:r>
            <w:r>
              <w:rPr>
                <w:rFonts w:asciiTheme="minorEastAsia" w:hAnsiTheme="minorEastAsia"/>
                <w:color w:val="auto"/>
                <w:szCs w:val="21"/>
                <w:highlight w:val="none"/>
              </w:rPr>
              <w:t xml:space="preserve">2 </w:t>
            </w:r>
            <w:r>
              <w:rPr>
                <w:rFonts w:hint="eastAsia" w:asciiTheme="minorEastAsia" w:hAnsiTheme="minorEastAsia"/>
                <w:color w:val="auto"/>
                <w:szCs w:val="21"/>
                <w:highlight w:val="none"/>
              </w:rPr>
              <w:t>分）：针对该项目的难点、重点分析不具体，各部分施工</w:t>
            </w:r>
            <w:r>
              <w:rPr>
                <w:rFonts w:asciiTheme="minorEastAsia" w:hAnsiTheme="minorEastAsia"/>
                <w:color w:val="auto"/>
                <w:szCs w:val="21"/>
                <w:highlight w:val="none"/>
              </w:rPr>
              <w:t xml:space="preserve"> </w:t>
            </w:r>
            <w:r>
              <w:rPr>
                <w:rFonts w:hint="eastAsia" w:asciiTheme="minorEastAsia" w:hAnsiTheme="minorEastAsia"/>
                <w:color w:val="auto"/>
                <w:szCs w:val="21"/>
                <w:highlight w:val="none"/>
              </w:rPr>
              <w:t>如何相互交叉和衔接不合理，</w:t>
            </w:r>
            <w:r>
              <w:rPr>
                <w:rFonts w:asciiTheme="minorEastAsia" w:hAnsiTheme="minorEastAsia"/>
                <w:color w:val="auto"/>
                <w:szCs w:val="21"/>
                <w:highlight w:val="none"/>
              </w:rPr>
              <w:t xml:space="preserve"> </w:t>
            </w:r>
            <w:r>
              <w:rPr>
                <w:rFonts w:hint="eastAsia" w:asciiTheme="minorEastAsia" w:hAnsiTheme="minorEastAsia"/>
                <w:color w:val="auto"/>
                <w:szCs w:val="21"/>
                <w:highlight w:val="none"/>
              </w:rPr>
              <w:t>施工质量效果和设计效果有较大差</w:t>
            </w:r>
          </w:p>
          <w:p w14:paraId="60503DF6">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距；</w:t>
            </w:r>
          </w:p>
          <w:p w14:paraId="16C25661">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三档（3</w:t>
            </w:r>
            <w:r>
              <w:rPr>
                <w:rFonts w:asciiTheme="minorEastAsia" w:hAnsiTheme="minorEastAsia"/>
                <w:color w:val="auto"/>
                <w:szCs w:val="21"/>
                <w:highlight w:val="none"/>
              </w:rPr>
              <w:t xml:space="preserve"> </w:t>
            </w:r>
            <w:r>
              <w:rPr>
                <w:rFonts w:hint="eastAsia" w:asciiTheme="minorEastAsia" w:hAnsiTheme="minorEastAsia"/>
                <w:color w:val="auto"/>
                <w:szCs w:val="21"/>
                <w:highlight w:val="none"/>
              </w:rPr>
              <w:t>分）：针对该项目的难点、重点分析到位，未重点考虑各</w:t>
            </w:r>
            <w:r>
              <w:rPr>
                <w:rFonts w:asciiTheme="minorEastAsia" w:hAnsiTheme="minorEastAsia"/>
                <w:color w:val="auto"/>
                <w:szCs w:val="21"/>
                <w:highlight w:val="none"/>
              </w:rPr>
              <w:t xml:space="preserve"> </w:t>
            </w:r>
            <w:r>
              <w:rPr>
                <w:rFonts w:hint="eastAsia" w:asciiTheme="minorEastAsia" w:hAnsiTheme="minorEastAsia"/>
                <w:color w:val="auto"/>
                <w:szCs w:val="21"/>
                <w:highlight w:val="none"/>
              </w:rPr>
              <w:t>部分施工如何相互交叉和衔接，施工质量效果基本达到设计效果；</w:t>
            </w:r>
            <w:r>
              <w:rPr>
                <w:rFonts w:asciiTheme="minorEastAsia" w:hAnsiTheme="minorEastAsia"/>
                <w:color w:val="auto"/>
                <w:szCs w:val="21"/>
                <w:highlight w:val="none"/>
              </w:rPr>
              <w:t xml:space="preserve"> </w:t>
            </w:r>
            <w:r>
              <w:rPr>
                <w:rFonts w:hint="eastAsia" w:asciiTheme="minorEastAsia" w:hAnsiTheme="minorEastAsia"/>
                <w:color w:val="auto"/>
                <w:szCs w:val="21"/>
                <w:highlight w:val="none"/>
              </w:rPr>
              <w:t>四档（5</w:t>
            </w:r>
            <w:r>
              <w:rPr>
                <w:rFonts w:asciiTheme="minorEastAsia" w:hAnsiTheme="minorEastAsia"/>
                <w:color w:val="auto"/>
                <w:szCs w:val="21"/>
                <w:highlight w:val="none"/>
              </w:rPr>
              <w:t xml:space="preserve"> </w:t>
            </w:r>
            <w:r>
              <w:rPr>
                <w:rFonts w:hint="eastAsia" w:asciiTheme="minorEastAsia" w:hAnsiTheme="minorEastAsia"/>
                <w:color w:val="auto"/>
                <w:szCs w:val="21"/>
                <w:highlight w:val="none"/>
              </w:rPr>
              <w:t>分）：针对该项目的难点、重点详细分析，重点考虑各部</w:t>
            </w:r>
            <w:r>
              <w:rPr>
                <w:rFonts w:asciiTheme="minorEastAsia" w:hAnsiTheme="minorEastAsia"/>
                <w:color w:val="auto"/>
                <w:szCs w:val="21"/>
                <w:highlight w:val="none"/>
              </w:rPr>
              <w:t xml:space="preserve"> </w:t>
            </w:r>
            <w:r>
              <w:rPr>
                <w:rFonts w:hint="eastAsia" w:asciiTheme="minorEastAsia" w:hAnsiTheme="minorEastAsia"/>
                <w:color w:val="auto"/>
                <w:szCs w:val="21"/>
                <w:highlight w:val="none"/>
              </w:rPr>
              <w:t>分施工如何相互交叉和衔接，以保证施工质量效果和设计效果的完</w:t>
            </w:r>
          </w:p>
          <w:p w14:paraId="666DEC44">
            <w:pPr>
              <w:spacing w:line="360" w:lineRule="auto"/>
              <w:rPr>
                <w:rFonts w:asciiTheme="minorEastAsia" w:hAnsiTheme="minorEastAsia"/>
                <w:color w:val="auto"/>
                <w:szCs w:val="21"/>
                <w:highlight w:val="none"/>
              </w:rPr>
            </w:pPr>
            <w:r>
              <w:rPr>
                <w:rFonts w:asciiTheme="minorEastAsia" w:hAnsiTheme="minorEastAsia"/>
                <w:color w:val="auto"/>
                <w:szCs w:val="21"/>
                <w:highlight w:val="none"/>
              </w:rPr>
              <w:t>美统一。</w:t>
            </w:r>
          </w:p>
        </w:tc>
        <w:tc>
          <w:tcPr>
            <w:tcW w:w="845" w:type="dxa"/>
          </w:tcPr>
          <w:p w14:paraId="6D06770E">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0-53</w:t>
            </w:r>
          </w:p>
        </w:tc>
      </w:tr>
      <w:tr w14:paraId="22D54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dxa"/>
          </w:tcPr>
          <w:p w14:paraId="07B5376E">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1.2</w:t>
            </w:r>
          </w:p>
        </w:tc>
        <w:tc>
          <w:tcPr>
            <w:tcW w:w="1152" w:type="dxa"/>
          </w:tcPr>
          <w:p w14:paraId="77209E75">
            <w:pPr>
              <w:spacing w:line="360" w:lineRule="auto"/>
              <w:rPr>
                <w:rFonts w:asciiTheme="minorEastAsia" w:hAnsiTheme="minorEastAsia"/>
                <w:bCs/>
                <w:color w:val="auto"/>
                <w:szCs w:val="21"/>
                <w:highlight w:val="none"/>
              </w:rPr>
            </w:pPr>
            <w:r>
              <w:rPr>
                <w:rFonts w:asciiTheme="minorEastAsia" w:hAnsiTheme="minorEastAsia"/>
                <w:color w:val="auto"/>
                <w:spacing w:val="4"/>
                <w:szCs w:val="21"/>
                <w:highlight w:val="none"/>
              </w:rPr>
              <w:t>技术</w:t>
            </w:r>
          </w:p>
        </w:tc>
        <w:tc>
          <w:tcPr>
            <w:tcW w:w="6325" w:type="dxa"/>
          </w:tcPr>
          <w:p w14:paraId="6A3BE7FD">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（2）施工总平面布置图（满分 5 分）</w:t>
            </w:r>
          </w:p>
          <w:p w14:paraId="455B2154">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一档（0 分）：无施工总平面布置图</w:t>
            </w:r>
          </w:p>
          <w:p w14:paraId="12384D73">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二档（1 分）：总体布置不合理，不符合安全、文明生产要求。</w:t>
            </w:r>
          </w:p>
          <w:p w14:paraId="76700EF7">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三档（3 分）：总体布置达到施工要求，安排合理，可以符合安全、</w:t>
            </w:r>
          </w:p>
          <w:p w14:paraId="12A1DB44">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文明生产要求。</w:t>
            </w:r>
          </w:p>
          <w:p w14:paraId="6D8C482B">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四档（5 分）：总体布置有针对性、合理，完全满足施工需求，符</w:t>
            </w:r>
          </w:p>
          <w:p w14:paraId="2EA14271">
            <w:pPr>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合安全、文明生产要求。</w:t>
            </w:r>
          </w:p>
        </w:tc>
        <w:tc>
          <w:tcPr>
            <w:tcW w:w="845" w:type="dxa"/>
          </w:tcPr>
          <w:p w14:paraId="4564C16B">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0-5</w:t>
            </w:r>
          </w:p>
        </w:tc>
      </w:tr>
      <w:tr w14:paraId="200C3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dxa"/>
          </w:tcPr>
          <w:p w14:paraId="381E2531">
            <w:pPr>
              <w:spacing w:line="360" w:lineRule="auto"/>
              <w:rPr>
                <w:rFonts w:asciiTheme="minorEastAsia" w:hAnsiTheme="minorEastAsia"/>
                <w:color w:val="auto"/>
                <w:szCs w:val="21"/>
                <w:highlight w:val="none"/>
              </w:rPr>
            </w:pPr>
            <w:r>
              <w:rPr>
                <w:rFonts w:asciiTheme="minorEastAsia" w:hAnsiTheme="minorEastAsia"/>
                <w:color w:val="auto"/>
                <w:szCs w:val="21"/>
                <w:highlight w:val="none"/>
              </w:rPr>
              <w:t>1.3</w:t>
            </w:r>
          </w:p>
        </w:tc>
        <w:tc>
          <w:tcPr>
            <w:tcW w:w="1152" w:type="dxa"/>
          </w:tcPr>
          <w:p w14:paraId="353F962F">
            <w:pPr>
              <w:spacing w:line="360" w:lineRule="auto"/>
              <w:rPr>
                <w:rFonts w:asciiTheme="minorEastAsia" w:hAnsiTheme="minorEastAsia"/>
                <w:color w:val="auto"/>
                <w:szCs w:val="21"/>
                <w:highlight w:val="none"/>
              </w:rPr>
            </w:pPr>
            <w:r>
              <w:rPr>
                <w:rFonts w:asciiTheme="minorEastAsia" w:hAnsiTheme="minorEastAsia"/>
                <w:color w:val="auto"/>
                <w:szCs w:val="21"/>
                <w:highlight w:val="none"/>
              </w:rPr>
              <w:t>技术</w:t>
            </w:r>
          </w:p>
        </w:tc>
        <w:tc>
          <w:tcPr>
            <w:tcW w:w="6325" w:type="dxa"/>
          </w:tcPr>
          <w:p w14:paraId="51373873">
            <w:pPr>
              <w:spacing w:line="360" w:lineRule="auto"/>
              <w:rPr>
                <w:rFonts w:asciiTheme="minorEastAsia" w:hAnsiTheme="minorEastAsia"/>
                <w:color w:val="auto"/>
                <w:szCs w:val="21"/>
                <w:highlight w:val="none"/>
              </w:rPr>
            </w:pPr>
            <w:r>
              <w:rPr>
                <w:rFonts w:asciiTheme="minorEastAsia" w:hAnsiTheme="minorEastAsia"/>
                <w:color w:val="auto"/>
                <w:szCs w:val="21"/>
                <w:highlight w:val="none"/>
              </w:rPr>
              <w:t>（3）服务承诺分（满分 5 分）</w:t>
            </w:r>
          </w:p>
          <w:p w14:paraId="648D4CBE">
            <w:pPr>
              <w:spacing w:line="360" w:lineRule="auto"/>
              <w:rPr>
                <w:rFonts w:asciiTheme="minorEastAsia" w:hAnsiTheme="minorEastAsia"/>
                <w:color w:val="auto"/>
                <w:szCs w:val="21"/>
                <w:highlight w:val="none"/>
              </w:rPr>
            </w:pPr>
            <w:r>
              <w:rPr>
                <w:rFonts w:asciiTheme="minorEastAsia" w:hAnsiTheme="minorEastAsia"/>
                <w:color w:val="auto"/>
                <w:szCs w:val="21"/>
                <w:highlight w:val="none"/>
              </w:rPr>
              <w:t>一档（0 分）：无服务承诺分</w:t>
            </w:r>
          </w:p>
          <w:p w14:paraId="30F61C9B">
            <w:pPr>
              <w:spacing w:line="360" w:lineRule="auto"/>
              <w:rPr>
                <w:rFonts w:asciiTheme="minorEastAsia" w:hAnsiTheme="minorEastAsia"/>
                <w:color w:val="auto"/>
                <w:szCs w:val="21"/>
                <w:highlight w:val="none"/>
              </w:rPr>
            </w:pPr>
            <w:r>
              <w:rPr>
                <w:rFonts w:asciiTheme="minorEastAsia" w:hAnsiTheme="minorEastAsia"/>
                <w:color w:val="auto"/>
                <w:szCs w:val="21"/>
                <w:highlight w:val="none"/>
              </w:rPr>
              <w:t>二档（1 分）：服务承诺不完整，可行性不强，承诺在施工过程中 出现问题时作出响应并在业主要求的时间内派本项目专职代表到现</w:t>
            </w:r>
          </w:p>
          <w:p w14:paraId="4C4090DD">
            <w:pPr>
              <w:spacing w:line="360" w:lineRule="auto"/>
              <w:rPr>
                <w:rFonts w:asciiTheme="minorEastAsia" w:hAnsiTheme="minorEastAsia"/>
                <w:color w:val="auto"/>
                <w:szCs w:val="21"/>
                <w:highlight w:val="none"/>
              </w:rPr>
            </w:pPr>
            <w:r>
              <w:rPr>
                <w:rFonts w:asciiTheme="minorEastAsia" w:hAnsiTheme="minorEastAsia"/>
                <w:color w:val="auto"/>
                <w:szCs w:val="21"/>
                <w:highlight w:val="none"/>
              </w:rPr>
              <w:t>场解决问题。</w:t>
            </w:r>
          </w:p>
          <w:p w14:paraId="5514EF0A">
            <w:pPr>
              <w:spacing w:line="360" w:lineRule="auto"/>
              <w:rPr>
                <w:rFonts w:asciiTheme="minorEastAsia" w:hAnsiTheme="minorEastAsia"/>
                <w:color w:val="auto"/>
                <w:szCs w:val="21"/>
                <w:highlight w:val="none"/>
              </w:rPr>
            </w:pPr>
            <w:r>
              <w:rPr>
                <w:rFonts w:asciiTheme="minorEastAsia" w:hAnsiTheme="minorEastAsia"/>
                <w:color w:val="auto"/>
                <w:szCs w:val="21"/>
                <w:highlight w:val="none"/>
              </w:rPr>
              <w:t>三档（3 分）：服务承诺明确， 内容合理，承诺在施工过程中及时 响应并在业主要求的时间内派本项目专职代表到现场主动解决问</w:t>
            </w:r>
          </w:p>
          <w:p w14:paraId="4BA5967D">
            <w:pPr>
              <w:spacing w:line="360" w:lineRule="auto"/>
              <w:rPr>
                <w:rFonts w:asciiTheme="minorEastAsia" w:hAnsiTheme="minorEastAsia"/>
                <w:color w:val="auto"/>
                <w:szCs w:val="21"/>
                <w:highlight w:val="none"/>
              </w:rPr>
            </w:pPr>
            <w:r>
              <w:rPr>
                <w:rFonts w:asciiTheme="minorEastAsia" w:hAnsiTheme="minorEastAsia"/>
                <w:color w:val="auto"/>
                <w:szCs w:val="21"/>
                <w:highlight w:val="none"/>
              </w:rPr>
              <w:t>题。</w:t>
            </w:r>
          </w:p>
          <w:p w14:paraId="58C2CF30">
            <w:pPr>
              <w:spacing w:line="360" w:lineRule="auto"/>
              <w:rPr>
                <w:rFonts w:asciiTheme="minorEastAsia" w:hAnsiTheme="minorEastAsia"/>
                <w:color w:val="auto"/>
                <w:szCs w:val="21"/>
                <w:highlight w:val="none"/>
              </w:rPr>
            </w:pPr>
            <w:r>
              <w:rPr>
                <w:rFonts w:asciiTheme="minorEastAsia" w:hAnsiTheme="minorEastAsia"/>
                <w:color w:val="auto"/>
                <w:szCs w:val="21"/>
                <w:highlight w:val="none"/>
              </w:rPr>
              <w:t>四档（5 分）：服务承诺完整， 内容详细，可行性强，承诺在施工 过程中迅速响应并在业主要求的时间内派本项目专职代表到现场主</w:t>
            </w:r>
          </w:p>
          <w:p w14:paraId="3CE20942">
            <w:pPr>
              <w:spacing w:line="360" w:lineRule="auto"/>
              <w:rPr>
                <w:rFonts w:asciiTheme="minorEastAsia" w:hAnsiTheme="minorEastAsia"/>
                <w:color w:val="auto"/>
                <w:szCs w:val="21"/>
                <w:highlight w:val="none"/>
              </w:rPr>
            </w:pPr>
            <w:r>
              <w:rPr>
                <w:rFonts w:asciiTheme="minorEastAsia" w:hAnsiTheme="minorEastAsia"/>
                <w:color w:val="auto"/>
                <w:szCs w:val="21"/>
                <w:highlight w:val="none"/>
              </w:rPr>
              <w:t>动解决问题。</w:t>
            </w:r>
          </w:p>
        </w:tc>
        <w:tc>
          <w:tcPr>
            <w:tcW w:w="845" w:type="dxa"/>
          </w:tcPr>
          <w:p w14:paraId="08BC8901">
            <w:pPr>
              <w:pStyle w:val="67"/>
              <w:spacing w:before="165" w:line="189" w:lineRule="auto"/>
              <w:ind w:left="116"/>
              <w:rPr>
                <w:rFonts w:asciiTheme="minorEastAsia" w:hAnsiTheme="minorEastAsia" w:eastAsiaTheme="minorEastAsia"/>
                <w:color w:val="auto"/>
                <w:sz w:val="21"/>
                <w:szCs w:val="21"/>
                <w:highlight w:val="none"/>
              </w:rPr>
            </w:pPr>
            <w:r>
              <w:rPr>
                <w:rFonts w:asciiTheme="minorEastAsia" w:hAnsiTheme="minorEastAsia" w:eastAsiaTheme="minorEastAsia"/>
                <w:color w:val="auto"/>
                <w:spacing w:val="1"/>
                <w:sz w:val="21"/>
                <w:szCs w:val="21"/>
                <w:highlight w:val="none"/>
              </w:rPr>
              <w:t>0-5</w:t>
            </w:r>
          </w:p>
        </w:tc>
      </w:tr>
      <w:tr w14:paraId="23119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dxa"/>
          </w:tcPr>
          <w:p w14:paraId="648BF1B8">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2</w:t>
            </w:r>
          </w:p>
        </w:tc>
        <w:tc>
          <w:tcPr>
            <w:tcW w:w="1152" w:type="dxa"/>
          </w:tcPr>
          <w:p w14:paraId="46ECB2A9">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商务资信</w:t>
            </w:r>
          </w:p>
        </w:tc>
        <w:tc>
          <w:tcPr>
            <w:tcW w:w="6325" w:type="dxa"/>
          </w:tcPr>
          <w:p w14:paraId="6FEFA1B8">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商务分（满分27分）</w:t>
            </w:r>
          </w:p>
        </w:tc>
        <w:tc>
          <w:tcPr>
            <w:tcW w:w="845" w:type="dxa"/>
          </w:tcPr>
          <w:p w14:paraId="2746B8E1">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0-27</w:t>
            </w:r>
          </w:p>
        </w:tc>
      </w:tr>
      <w:tr w14:paraId="234D4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847" w:type="dxa"/>
          </w:tcPr>
          <w:p w14:paraId="4BAE7320">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2.1</w:t>
            </w:r>
          </w:p>
        </w:tc>
        <w:tc>
          <w:tcPr>
            <w:tcW w:w="1152" w:type="dxa"/>
          </w:tcPr>
          <w:p w14:paraId="43462721">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商务资信</w:t>
            </w:r>
          </w:p>
        </w:tc>
        <w:tc>
          <w:tcPr>
            <w:tcW w:w="6325" w:type="dxa"/>
          </w:tcPr>
          <w:p w14:paraId="33281128">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人员配置：拟投入人员必须提供资格证书或上岗证的复印件及 开标前三个月供应商为其缴纳社会养老保险金缴纳证明复印件，并</w:t>
            </w:r>
          </w:p>
          <w:p w14:paraId="3F35B119">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加盖单位公章，不按照要求提供的不得分。</w:t>
            </w:r>
          </w:p>
        </w:tc>
        <w:tc>
          <w:tcPr>
            <w:tcW w:w="845" w:type="dxa"/>
          </w:tcPr>
          <w:p w14:paraId="20C78FC8">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0-12</w:t>
            </w:r>
          </w:p>
        </w:tc>
      </w:tr>
      <w:tr w14:paraId="4548F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847" w:type="dxa"/>
          </w:tcPr>
          <w:p w14:paraId="52B45546">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2.1.1</w:t>
            </w:r>
          </w:p>
        </w:tc>
        <w:tc>
          <w:tcPr>
            <w:tcW w:w="1152" w:type="dxa"/>
          </w:tcPr>
          <w:p w14:paraId="32A1B75A">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商务资信</w:t>
            </w:r>
          </w:p>
        </w:tc>
        <w:tc>
          <w:tcPr>
            <w:tcW w:w="6325" w:type="dxa"/>
          </w:tcPr>
          <w:p w14:paraId="529FDEA5">
            <w:pPr>
              <w:pStyle w:val="46"/>
              <w:numPr>
                <w:ilvl w:val="0"/>
                <w:numId w:val="6"/>
              </w:numPr>
              <w:spacing w:line="360" w:lineRule="auto"/>
              <w:rPr>
                <w:rFonts w:cs="Calibri" w:asciiTheme="minorEastAsia" w:hAnsiTheme="minorEastAsia" w:eastAsiaTheme="minorEastAsia"/>
                <w:bCs/>
                <w:color w:val="auto"/>
                <w:szCs w:val="21"/>
                <w:highlight w:val="none"/>
              </w:rPr>
            </w:pPr>
            <w:r>
              <w:rPr>
                <w:rFonts w:hint="eastAsia" w:cs="Calibri" w:asciiTheme="minorEastAsia" w:hAnsiTheme="minorEastAsia" w:eastAsiaTheme="minorEastAsia"/>
                <w:bCs/>
                <w:color w:val="auto"/>
                <w:szCs w:val="21"/>
                <w:highlight w:val="none"/>
              </w:rPr>
              <w:t>投入本项目的项目经理具备中级职称的，得 1 分； 拟投入本项目的项目经理具备高级职称的，得 2 分；满分 2 分。</w:t>
            </w:r>
          </w:p>
        </w:tc>
        <w:tc>
          <w:tcPr>
            <w:tcW w:w="845" w:type="dxa"/>
          </w:tcPr>
          <w:p w14:paraId="3A6FA049">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0-2</w:t>
            </w:r>
          </w:p>
        </w:tc>
      </w:tr>
      <w:tr w14:paraId="03A90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847" w:type="dxa"/>
          </w:tcPr>
          <w:p w14:paraId="0CA74822">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2.1.2</w:t>
            </w:r>
          </w:p>
        </w:tc>
        <w:tc>
          <w:tcPr>
            <w:tcW w:w="1152" w:type="dxa"/>
          </w:tcPr>
          <w:p w14:paraId="6D4DC418">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商务资信</w:t>
            </w:r>
          </w:p>
        </w:tc>
        <w:tc>
          <w:tcPr>
            <w:tcW w:w="6325" w:type="dxa"/>
          </w:tcPr>
          <w:p w14:paraId="25C45550">
            <w:pPr>
              <w:spacing w:line="360" w:lineRule="auto"/>
              <w:rPr>
                <w:rFonts w:cs="Calibri" w:asciiTheme="minorEastAsia" w:hAnsiTheme="minorEastAsia"/>
                <w:bCs/>
                <w:color w:val="auto"/>
                <w:szCs w:val="21"/>
                <w:highlight w:val="none"/>
              </w:rPr>
            </w:pPr>
            <w:r>
              <w:rPr>
                <w:rFonts w:hint="eastAsia" w:cs="Calibri" w:asciiTheme="minorEastAsia" w:hAnsiTheme="minorEastAsia"/>
                <w:bCs/>
                <w:color w:val="auto"/>
                <w:szCs w:val="21"/>
                <w:highlight w:val="none"/>
              </w:rPr>
              <w:t>②拟投入本项目的</w:t>
            </w:r>
            <w:r>
              <w:rPr>
                <w:rFonts w:hint="eastAsia" w:cs="Calibri" w:asciiTheme="minorEastAsia" w:hAnsiTheme="minorEastAsia"/>
                <w:bCs/>
                <w:color w:val="auto"/>
                <w:szCs w:val="21"/>
                <w:highlight w:val="none"/>
                <w:lang w:val="en-US" w:eastAsia="zh-CN"/>
              </w:rPr>
              <w:t>技术负责人</w:t>
            </w:r>
            <w:r>
              <w:rPr>
                <w:rFonts w:hint="eastAsia" w:cs="Calibri" w:asciiTheme="minorEastAsia" w:hAnsiTheme="minorEastAsia"/>
                <w:bCs/>
                <w:color w:val="auto"/>
                <w:szCs w:val="21"/>
                <w:highlight w:val="none"/>
              </w:rPr>
              <w:t>具有</w:t>
            </w:r>
            <w:r>
              <w:rPr>
                <w:rFonts w:hint="eastAsia" w:cs="Calibri" w:asciiTheme="minorEastAsia" w:hAnsiTheme="minorEastAsia"/>
                <w:bCs/>
                <w:color w:val="auto"/>
                <w:szCs w:val="21"/>
                <w:highlight w:val="none"/>
                <w:lang w:val="en-US" w:eastAsia="zh-CN"/>
              </w:rPr>
              <w:t>建筑</w:t>
            </w:r>
            <w:r>
              <w:rPr>
                <w:rFonts w:hint="eastAsia" w:cs="Calibri" w:asciiTheme="minorEastAsia" w:hAnsiTheme="minorEastAsia"/>
                <w:bCs/>
                <w:color w:val="auto"/>
                <w:szCs w:val="21"/>
                <w:highlight w:val="none"/>
              </w:rPr>
              <w:t xml:space="preserve">工程专业中级及以上职称的，得 </w:t>
            </w:r>
            <w:r>
              <w:rPr>
                <w:rFonts w:hint="eastAsia" w:cs="Calibri" w:asciiTheme="minorEastAsia" w:hAnsiTheme="minorEastAsia"/>
                <w:bCs/>
                <w:color w:val="auto"/>
                <w:szCs w:val="21"/>
                <w:highlight w:val="none"/>
                <w:lang w:val="en-US" w:eastAsia="zh-CN"/>
              </w:rPr>
              <w:t>3</w:t>
            </w:r>
            <w:r>
              <w:rPr>
                <w:rFonts w:hint="eastAsia" w:cs="Calibri" w:asciiTheme="minorEastAsia" w:hAnsiTheme="minorEastAsia"/>
                <w:bCs/>
                <w:color w:val="auto"/>
                <w:szCs w:val="21"/>
                <w:highlight w:val="none"/>
              </w:rPr>
              <w:t xml:space="preserve"> 分，具有</w:t>
            </w:r>
            <w:r>
              <w:rPr>
                <w:rFonts w:hint="eastAsia" w:cs="Calibri" w:asciiTheme="minorEastAsia" w:hAnsiTheme="minorEastAsia"/>
                <w:bCs/>
                <w:color w:val="auto"/>
                <w:szCs w:val="21"/>
                <w:highlight w:val="none"/>
                <w:lang w:val="en-US" w:eastAsia="zh-CN"/>
              </w:rPr>
              <w:t>建筑</w:t>
            </w:r>
            <w:r>
              <w:rPr>
                <w:rFonts w:hint="eastAsia" w:cs="Calibri" w:asciiTheme="minorEastAsia" w:hAnsiTheme="minorEastAsia"/>
                <w:bCs/>
                <w:color w:val="auto"/>
                <w:szCs w:val="21"/>
                <w:highlight w:val="none"/>
              </w:rPr>
              <w:t>工程专业</w:t>
            </w:r>
            <w:r>
              <w:rPr>
                <w:rFonts w:hint="eastAsia" w:cs="Calibri" w:asciiTheme="minorEastAsia" w:hAnsiTheme="minorEastAsia"/>
                <w:bCs/>
                <w:color w:val="auto"/>
                <w:szCs w:val="21"/>
                <w:highlight w:val="none"/>
                <w:lang w:val="en-US" w:eastAsia="zh-CN"/>
              </w:rPr>
              <w:t>高</w:t>
            </w:r>
            <w:r>
              <w:rPr>
                <w:rFonts w:hint="eastAsia" w:cs="Calibri" w:asciiTheme="minorEastAsia" w:hAnsiTheme="minorEastAsia"/>
                <w:bCs/>
                <w:color w:val="auto"/>
                <w:szCs w:val="21"/>
                <w:highlight w:val="none"/>
              </w:rPr>
              <w:t>级及以上职称的</w:t>
            </w:r>
            <w:r>
              <w:rPr>
                <w:rFonts w:hint="eastAsia" w:cs="Calibri" w:asciiTheme="minorEastAsia" w:hAnsiTheme="minorEastAsia"/>
                <w:bCs/>
                <w:color w:val="auto"/>
                <w:szCs w:val="21"/>
                <w:highlight w:val="none"/>
                <w:lang w:eastAsia="zh-CN"/>
              </w:rPr>
              <w:t>，</w:t>
            </w:r>
            <w:r>
              <w:rPr>
                <w:rFonts w:hint="eastAsia" w:cs="Calibri" w:asciiTheme="minorEastAsia" w:hAnsiTheme="minorEastAsia"/>
                <w:bCs/>
                <w:color w:val="auto"/>
                <w:szCs w:val="21"/>
                <w:highlight w:val="none"/>
                <w:lang w:val="en-US" w:eastAsia="zh-CN"/>
              </w:rPr>
              <w:t>得6分，</w:t>
            </w:r>
            <w:r>
              <w:rPr>
                <w:rFonts w:hint="eastAsia" w:cs="Calibri" w:asciiTheme="minorEastAsia" w:hAnsiTheme="minorEastAsia"/>
                <w:bCs/>
                <w:color w:val="auto"/>
                <w:szCs w:val="21"/>
                <w:highlight w:val="none"/>
              </w:rPr>
              <w:t>满分6 分。</w:t>
            </w:r>
          </w:p>
        </w:tc>
        <w:tc>
          <w:tcPr>
            <w:tcW w:w="845" w:type="dxa"/>
          </w:tcPr>
          <w:p w14:paraId="35C35936">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0-6</w:t>
            </w:r>
          </w:p>
        </w:tc>
      </w:tr>
      <w:tr w14:paraId="49981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847" w:type="dxa"/>
          </w:tcPr>
          <w:p w14:paraId="4E962617">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2.1.3</w:t>
            </w:r>
          </w:p>
        </w:tc>
        <w:tc>
          <w:tcPr>
            <w:tcW w:w="1152" w:type="dxa"/>
          </w:tcPr>
          <w:p w14:paraId="7AFCADD3">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商务资信</w:t>
            </w:r>
          </w:p>
        </w:tc>
        <w:tc>
          <w:tcPr>
            <w:tcW w:w="6325" w:type="dxa"/>
          </w:tcPr>
          <w:p w14:paraId="25589291">
            <w:pPr>
              <w:spacing w:line="360" w:lineRule="auto"/>
              <w:rPr>
                <w:rFonts w:cs="Calibri" w:asciiTheme="minorEastAsia" w:hAnsiTheme="minorEastAsia"/>
                <w:bCs/>
                <w:color w:val="auto"/>
                <w:szCs w:val="21"/>
                <w:highlight w:val="none"/>
              </w:rPr>
            </w:pPr>
            <w:r>
              <w:rPr>
                <w:rFonts w:hint="eastAsia" w:cs="Calibri" w:asciiTheme="minorEastAsia" w:hAnsiTheme="minorEastAsia"/>
                <w:bCs/>
                <w:color w:val="auto"/>
                <w:szCs w:val="21"/>
                <w:highlight w:val="none"/>
              </w:rPr>
              <w:t>③配备的施工员、质量员、材料员、安全员等人员具备相应岗位证书（符合国家有关规定）并具有初级（或以上）职称的每个得1分，满分4分。</w:t>
            </w:r>
          </w:p>
        </w:tc>
        <w:tc>
          <w:tcPr>
            <w:tcW w:w="845" w:type="dxa"/>
          </w:tcPr>
          <w:p w14:paraId="40E97A72">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0-4</w:t>
            </w:r>
          </w:p>
        </w:tc>
      </w:tr>
      <w:tr w14:paraId="385A8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847" w:type="dxa"/>
          </w:tcPr>
          <w:p w14:paraId="64EAA2C3">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2.2</w:t>
            </w:r>
          </w:p>
        </w:tc>
        <w:tc>
          <w:tcPr>
            <w:tcW w:w="1152" w:type="dxa"/>
          </w:tcPr>
          <w:p w14:paraId="1201F057">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商务资信</w:t>
            </w:r>
          </w:p>
        </w:tc>
        <w:tc>
          <w:tcPr>
            <w:tcW w:w="6325" w:type="dxa"/>
          </w:tcPr>
          <w:p w14:paraId="291D8903">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 xml:space="preserve">业绩分（满分 </w:t>
            </w:r>
            <w:r>
              <w:rPr>
                <w:rFonts w:hint="eastAsia" w:asciiTheme="minorEastAsia" w:hAnsiTheme="minorEastAsia"/>
                <w:bCs/>
                <w:color w:val="auto"/>
                <w:szCs w:val="21"/>
                <w:highlight w:val="none"/>
                <w:lang w:val="en-US" w:eastAsia="zh-CN"/>
              </w:rPr>
              <w:t>15</w:t>
            </w:r>
            <w:r>
              <w:rPr>
                <w:rFonts w:hint="eastAsia" w:asciiTheme="minorEastAsia" w:hAnsiTheme="minorEastAsia"/>
                <w:bCs/>
                <w:color w:val="auto"/>
                <w:szCs w:val="21"/>
                <w:highlight w:val="none"/>
              </w:rPr>
              <w:t xml:space="preserve"> 分）</w:t>
            </w:r>
          </w:p>
          <w:p w14:paraId="32F69485">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供应商在近五年内承担过同类项目业绩，每有一个项目得</w:t>
            </w:r>
            <w:r>
              <w:rPr>
                <w:rFonts w:hint="eastAsia" w:asciiTheme="minorEastAsia" w:hAnsiTheme="minorEastAsia"/>
                <w:bCs/>
                <w:color w:val="auto"/>
                <w:szCs w:val="21"/>
                <w:highlight w:val="none"/>
                <w:lang w:val="en-US" w:eastAsia="zh-CN"/>
              </w:rPr>
              <w:t>5</w:t>
            </w:r>
            <w:r>
              <w:rPr>
                <w:rFonts w:hint="eastAsia" w:asciiTheme="minorEastAsia" w:hAnsiTheme="minorEastAsia"/>
                <w:bCs/>
                <w:color w:val="auto"/>
                <w:szCs w:val="21"/>
                <w:highlight w:val="none"/>
              </w:rPr>
              <w:t xml:space="preserve"> 分， 满分</w:t>
            </w:r>
            <w:r>
              <w:rPr>
                <w:rFonts w:hint="eastAsia" w:asciiTheme="minorEastAsia" w:hAnsiTheme="minorEastAsia"/>
                <w:bCs/>
                <w:color w:val="auto"/>
                <w:szCs w:val="21"/>
                <w:highlight w:val="none"/>
                <w:lang w:val="en-US" w:eastAsia="zh-CN"/>
              </w:rPr>
              <w:t>15</w:t>
            </w:r>
            <w:r>
              <w:rPr>
                <w:rFonts w:hint="eastAsia" w:asciiTheme="minorEastAsia" w:hAnsiTheme="minorEastAsia"/>
                <w:bCs/>
                <w:color w:val="auto"/>
                <w:szCs w:val="21"/>
                <w:highlight w:val="none"/>
              </w:rPr>
              <w:t>分（须提供合同或中标（成交）通知书复印件并加盖公章，不按照上述要求提供资料者，不作为评分依据）。</w:t>
            </w:r>
          </w:p>
        </w:tc>
        <w:tc>
          <w:tcPr>
            <w:tcW w:w="845" w:type="dxa"/>
          </w:tcPr>
          <w:p w14:paraId="6241D013">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0-15</w:t>
            </w:r>
          </w:p>
        </w:tc>
      </w:tr>
      <w:tr w14:paraId="77F0D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9" w:type="dxa"/>
            <w:gridSpan w:val="4"/>
          </w:tcPr>
          <w:p w14:paraId="7A9526E6">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总得分=报价分+技术分+商务资信分</w:t>
            </w:r>
          </w:p>
        </w:tc>
      </w:tr>
    </w:tbl>
    <w:p w14:paraId="68E42874">
      <w:pPr>
        <w:rPr>
          <w:rFonts w:cs="宋体" w:asciiTheme="minorEastAsia" w:hAnsiTheme="minorEastAsia"/>
          <w:b/>
          <w:bCs/>
          <w:color w:val="auto"/>
          <w:sz w:val="36"/>
          <w:highlight w:val="none"/>
        </w:rPr>
      </w:pPr>
      <w:r>
        <w:rPr>
          <w:rFonts w:hint="eastAsia" w:cs="宋体" w:asciiTheme="minorEastAsia" w:hAnsiTheme="minorEastAsia"/>
          <w:b/>
          <w:bCs/>
          <w:color w:val="auto"/>
          <w:sz w:val="36"/>
          <w:highlight w:val="none"/>
        </w:rPr>
        <w:br w:type="page"/>
      </w:r>
    </w:p>
    <w:p w14:paraId="399EAFB4">
      <w:pPr>
        <w:jc w:val="center"/>
        <w:rPr>
          <w:rFonts w:cs="宋体" w:asciiTheme="minorEastAsia" w:hAnsiTheme="minorEastAsia"/>
          <w:color w:val="auto"/>
          <w:sz w:val="36"/>
          <w:highlight w:val="none"/>
        </w:rPr>
      </w:pPr>
      <w:r>
        <w:rPr>
          <w:rFonts w:hint="eastAsia" w:cs="宋体" w:asciiTheme="minorEastAsia" w:hAnsiTheme="minorEastAsia"/>
          <w:b/>
          <w:bCs/>
          <w:color w:val="auto"/>
          <w:sz w:val="36"/>
          <w:highlight w:val="none"/>
        </w:rPr>
        <w:t>评标办法正文</w:t>
      </w:r>
    </w:p>
    <w:p w14:paraId="10BB0661">
      <w:pPr>
        <w:spacing w:line="360" w:lineRule="auto"/>
        <w:ind w:firstLine="600" w:firstLineChars="250"/>
        <w:rPr>
          <w:rFonts w:cs="宋体" w:asciiTheme="minorEastAsia" w:hAnsiTheme="minorEastAsia"/>
          <w:color w:val="auto"/>
          <w:sz w:val="24"/>
          <w:highlight w:val="none"/>
        </w:rPr>
      </w:pPr>
      <w:r>
        <w:rPr>
          <w:rFonts w:hint="eastAsia" w:cs="宋体" w:asciiTheme="minorEastAsia" w:hAnsiTheme="minorEastAsia"/>
          <w:color w:val="auto"/>
          <w:sz w:val="24"/>
          <w:highlight w:val="none"/>
        </w:rPr>
        <w:t>本工程施工采购采用综合评分法进行评标定标，磋商小组对满足采购文件实质性要求的响应文件，按照采购文件规定的评分标准进行打分，并按综合得分由高到低顺序推荐成交候选人，或根据采购人授权直接确定成交人，但投标报价低于其成本的除外。综合评分相等时，以投标报价低的优先；投标价也相等时，以企业用于该项工程投标的资质高的优先；企业用于该项工程投标的资质也相等的，由磋商小组采用记名投票方式确定。</w:t>
      </w:r>
    </w:p>
    <w:p w14:paraId="60F9D5C4">
      <w:pPr>
        <w:spacing w:line="360" w:lineRule="auto"/>
        <w:rPr>
          <w:rFonts w:cs="宋体" w:asciiTheme="minorEastAsia" w:hAnsiTheme="minorEastAsia"/>
          <w:color w:val="auto"/>
          <w:sz w:val="24"/>
          <w:highlight w:val="none"/>
        </w:rPr>
      </w:pPr>
      <w:r>
        <w:rPr>
          <w:rFonts w:hint="eastAsia" w:cs="宋体" w:asciiTheme="minorEastAsia" w:hAnsiTheme="minorEastAsia"/>
          <w:color w:val="auto"/>
          <w:sz w:val="24"/>
          <w:highlight w:val="none"/>
        </w:rPr>
        <w:t xml:space="preserve">   （一）磋商小组的构成：本采购项目的磋商小组成员分别由依法组成的评审专家、采购人代表等三人以上（含三人）单数组成，其中专家人数不少于成员总数的三分之二。</w:t>
      </w:r>
    </w:p>
    <w:p w14:paraId="2BB965C2">
      <w:pPr>
        <w:spacing w:line="360" w:lineRule="auto"/>
        <w:ind w:firstLine="360" w:firstLineChars="150"/>
        <w:rPr>
          <w:rFonts w:cs="宋体" w:asciiTheme="minorEastAsia" w:hAnsiTheme="minorEastAsia"/>
          <w:color w:val="auto"/>
          <w:sz w:val="24"/>
          <w:szCs w:val="24"/>
          <w:highlight w:val="none"/>
        </w:rPr>
      </w:pPr>
      <w:r>
        <w:rPr>
          <w:rFonts w:hint="eastAsia" w:cs="宋体" w:asciiTheme="minorEastAsia" w:hAnsiTheme="minorEastAsia"/>
          <w:color w:val="auto"/>
          <w:sz w:val="24"/>
          <w:highlight w:val="none"/>
        </w:rPr>
        <w:t>（二）评标依据：以采购文件和响应文件为评定依据，</w:t>
      </w:r>
      <w:r>
        <w:rPr>
          <w:rFonts w:hint="eastAsia" w:cs="宋体" w:asciiTheme="minorEastAsia" w:hAnsiTheme="minorEastAsia"/>
          <w:color w:val="auto"/>
          <w:sz w:val="24"/>
          <w:szCs w:val="24"/>
          <w:highlight w:val="none"/>
        </w:rPr>
        <w:t>对供应商的报价、项目管理机构、施工组织设计等内容按百分制打分。</w:t>
      </w:r>
    </w:p>
    <w:p w14:paraId="2385C051">
      <w:pPr>
        <w:pStyle w:val="37"/>
        <w:spacing w:before="0" w:after="0" w:line="360" w:lineRule="auto"/>
        <w:rPr>
          <w:rFonts w:cs="宋体" w:asciiTheme="minorEastAsia" w:hAnsiTheme="minorEastAsia"/>
          <w:bCs w:val="0"/>
          <w:color w:val="auto"/>
          <w:spacing w:val="0"/>
          <w:kern w:val="2"/>
          <w:highlight w:val="none"/>
        </w:rPr>
      </w:pPr>
      <w:r>
        <w:rPr>
          <w:rFonts w:hint="eastAsia" w:cs="宋体" w:asciiTheme="minorEastAsia" w:hAnsiTheme="minorEastAsia"/>
          <w:bCs w:val="0"/>
          <w:color w:val="auto"/>
          <w:spacing w:val="0"/>
          <w:kern w:val="2"/>
          <w:highlight w:val="none"/>
        </w:rPr>
        <w:t xml:space="preserve">   （三）在评标过程中出现法律法规和采购文件均没有明确规定的情形时，由磋商小组现场协商解决，协商不一致的，由全体磋商小组投票表决，以得票率二分之一以上专家的意见为准。</w:t>
      </w:r>
    </w:p>
    <w:p w14:paraId="0E3298C9">
      <w:pPr>
        <w:spacing w:line="360" w:lineRule="auto"/>
        <w:ind w:firstLine="480" w:firstLineChars="200"/>
        <w:rPr>
          <w:rFonts w:cs="宋体" w:asciiTheme="minorEastAsia" w:hAnsiTheme="minorEastAsia"/>
          <w:bCs/>
          <w:color w:val="auto"/>
          <w:kern w:val="0"/>
          <w:sz w:val="24"/>
          <w:highlight w:val="none"/>
        </w:rPr>
      </w:pPr>
      <w:r>
        <w:rPr>
          <w:rFonts w:hint="eastAsia" w:cs="宋体" w:asciiTheme="minorEastAsia" w:hAnsiTheme="minorEastAsia"/>
          <w:bCs/>
          <w:color w:val="auto"/>
          <w:kern w:val="0"/>
          <w:sz w:val="24"/>
          <w:highlight w:val="none"/>
        </w:rPr>
        <w:t>具体评审办法及标准如下：</w:t>
      </w:r>
    </w:p>
    <w:p w14:paraId="6A1217EF">
      <w:pPr>
        <w:pStyle w:val="5"/>
        <w:rPr>
          <w:rFonts w:asciiTheme="minorEastAsia" w:hAnsiTheme="minorEastAsia" w:eastAsiaTheme="minorEastAsia"/>
          <w:color w:val="auto"/>
          <w:highlight w:val="none"/>
        </w:rPr>
      </w:pPr>
      <w:bookmarkStart w:id="1504" w:name="_Toc4697"/>
      <w:bookmarkStart w:id="1505" w:name="_Toc11901"/>
      <w:r>
        <w:rPr>
          <w:rFonts w:hint="eastAsia" w:asciiTheme="minorEastAsia" w:hAnsiTheme="minorEastAsia" w:eastAsiaTheme="minorEastAsia"/>
          <w:color w:val="auto"/>
          <w:highlight w:val="none"/>
        </w:rPr>
        <w:t>一、评审程序：</w:t>
      </w:r>
      <w:bookmarkEnd w:id="1504"/>
      <w:bookmarkEnd w:id="1505"/>
    </w:p>
    <w:p w14:paraId="6A860827">
      <w:pPr>
        <w:snapToGrid w:val="0"/>
        <w:spacing w:line="360" w:lineRule="auto"/>
        <w:ind w:firstLine="480"/>
        <w:rPr>
          <w:rFonts w:cs="宋体" w:asciiTheme="minorEastAsia" w:hAnsiTheme="minorEastAsia"/>
          <w:color w:val="auto"/>
          <w:sz w:val="24"/>
          <w:highlight w:val="none"/>
        </w:rPr>
      </w:pPr>
      <w:r>
        <w:rPr>
          <w:rFonts w:hint="eastAsia" w:cs="宋体" w:asciiTheme="minorEastAsia" w:hAnsiTheme="minorEastAsia"/>
          <w:color w:val="auto"/>
          <w:sz w:val="24"/>
          <w:highlight w:val="none"/>
        </w:rPr>
        <w:t>1、对供应商进行磋商资格审查。磋商小组依据本竞争性磋商采购文件确定的磋商资格审查标准，对供应商的磋商资格进行评审。供应商资格不合格，其磋商将予以拒绝。</w:t>
      </w:r>
    </w:p>
    <w:p w14:paraId="36F38EF6">
      <w:pPr>
        <w:snapToGrid w:val="0"/>
        <w:spacing w:line="360" w:lineRule="auto"/>
        <w:ind w:firstLine="480"/>
        <w:rPr>
          <w:rFonts w:cs="宋体" w:asciiTheme="minorEastAsia" w:hAnsiTheme="minorEastAsia"/>
          <w:color w:val="auto"/>
          <w:sz w:val="24"/>
          <w:highlight w:val="none"/>
        </w:rPr>
      </w:pPr>
      <w:r>
        <w:rPr>
          <w:rFonts w:hint="eastAsia" w:cs="宋体" w:asciiTheme="minorEastAsia" w:hAnsiTheme="minorEastAsia"/>
          <w:color w:val="auto"/>
          <w:sz w:val="24"/>
          <w:highlight w:val="none"/>
        </w:rPr>
        <w:t>2、对资格审查合格的供应商的响应文件进行符合性鉴定。响应文件应实质上响应竞争性磋商采购文件的要求，应与竞争性磋商采购文件所有条款、条件和规定相符，无明显差异或保留。磋商小组对实质上不响应竞争性磋商采购文件要求的磋商予以拒绝。</w:t>
      </w:r>
    </w:p>
    <w:p w14:paraId="3307C530">
      <w:pPr>
        <w:spacing w:line="360" w:lineRule="auto"/>
        <w:ind w:firstLine="480" w:firstLineChars="200"/>
        <w:rPr>
          <w:rFonts w:cs="宋体" w:asciiTheme="minorEastAsia" w:hAnsiTheme="minorEastAsia"/>
          <w:color w:val="auto"/>
          <w:sz w:val="24"/>
          <w:highlight w:val="none"/>
        </w:rPr>
      </w:pPr>
      <w:r>
        <w:rPr>
          <w:rFonts w:hint="eastAsia" w:cs="宋体" w:asciiTheme="minorEastAsia" w:hAnsiTheme="minorEastAsia"/>
          <w:color w:val="auto"/>
          <w:sz w:val="24"/>
          <w:highlight w:val="none"/>
        </w:rPr>
        <w:t>3、磋商小组与资格审查、符合性鉴定合格的供应商进行磋商。</w:t>
      </w:r>
    </w:p>
    <w:p w14:paraId="3AC64FE1">
      <w:pPr>
        <w:pStyle w:val="37"/>
        <w:spacing w:before="0" w:after="0" w:line="360" w:lineRule="auto"/>
        <w:rPr>
          <w:rFonts w:asciiTheme="minorEastAsia" w:hAnsiTheme="minorEastAsia"/>
          <w:color w:val="auto"/>
          <w:spacing w:val="0"/>
          <w:highlight w:val="none"/>
        </w:rPr>
      </w:pPr>
      <w:r>
        <w:rPr>
          <w:rFonts w:hint="eastAsia" w:cs="宋体" w:asciiTheme="minorEastAsia" w:hAnsiTheme="minorEastAsia"/>
          <w:color w:val="auto"/>
          <w:spacing w:val="0"/>
          <w:highlight w:val="none"/>
        </w:rPr>
        <w:t xml:space="preserve">   4、磋商结束后，磋商小组对最终实质上响应采购文件的响应文件进行综合评分评审，并依据评审结果推荐成交候选人。</w:t>
      </w:r>
    </w:p>
    <w:p w14:paraId="2FCC8287">
      <w:pPr>
        <w:pStyle w:val="5"/>
        <w:rPr>
          <w:rFonts w:asciiTheme="minorEastAsia" w:hAnsiTheme="minorEastAsia" w:eastAsiaTheme="minorEastAsia"/>
          <w:color w:val="auto"/>
          <w:highlight w:val="none"/>
        </w:rPr>
      </w:pPr>
      <w:bookmarkStart w:id="1506" w:name="_Toc25159"/>
      <w:bookmarkStart w:id="1507" w:name="_Toc29075"/>
      <w:r>
        <w:rPr>
          <w:rFonts w:hint="eastAsia" w:asciiTheme="minorEastAsia" w:hAnsiTheme="minorEastAsia" w:eastAsiaTheme="minorEastAsia"/>
          <w:color w:val="auto"/>
          <w:highlight w:val="none"/>
        </w:rPr>
        <w:t>二、资格审查标准</w:t>
      </w:r>
      <w:bookmarkEnd w:id="1506"/>
      <w:bookmarkEnd w:id="1507"/>
    </w:p>
    <w:p w14:paraId="6A952CBA">
      <w:pPr>
        <w:spacing w:line="360" w:lineRule="auto"/>
        <w:ind w:firstLine="470" w:firstLineChars="196"/>
        <w:rPr>
          <w:rFonts w:cs="宋体" w:asciiTheme="minorEastAsia" w:hAnsiTheme="minorEastAsia"/>
          <w:color w:val="auto"/>
          <w:sz w:val="24"/>
          <w:highlight w:val="none"/>
        </w:rPr>
      </w:pPr>
      <w:r>
        <w:rPr>
          <w:rFonts w:hint="eastAsia" w:cs="宋体" w:asciiTheme="minorEastAsia" w:hAnsiTheme="minorEastAsia"/>
          <w:color w:val="auto"/>
          <w:sz w:val="24"/>
          <w:highlight w:val="none"/>
        </w:rPr>
        <w:t>磋商小组在对响应文件评审时，首先对其进行资格审查，资格审查内容为采购文件磋商须知11.7.2条款所列内容。</w:t>
      </w:r>
    </w:p>
    <w:p w14:paraId="235D25C9">
      <w:pPr>
        <w:spacing w:line="360" w:lineRule="auto"/>
        <w:ind w:firstLine="470" w:firstLineChars="196"/>
        <w:rPr>
          <w:rFonts w:cs="宋体" w:asciiTheme="minorEastAsia" w:hAnsiTheme="minorEastAsia"/>
          <w:color w:val="auto"/>
          <w:sz w:val="24"/>
          <w:highlight w:val="none"/>
        </w:rPr>
      </w:pPr>
      <w:r>
        <w:rPr>
          <w:rFonts w:hint="eastAsia" w:cs="宋体" w:asciiTheme="minorEastAsia" w:hAnsiTheme="minorEastAsia"/>
          <w:color w:val="auto"/>
          <w:sz w:val="24"/>
          <w:highlight w:val="none"/>
        </w:rPr>
        <w:t>对通过资格审查的响应文件进行符合性鉴定，响应文件符合性鉴定是指响应文件应实质上响应采购文件的要求，应与采购文件的所有条款和规定相符，无明显差异或保留。磋商小组对实质上不响应采购文件要求的磋商予以拒绝，按废标处理。供应商的磋商总报价超出上限控制价的作无效磋商处理。只有通过资格审查及符合性鉴定合格的磋商单位才能进入磋商环节。如本次参加磋商的供应商通过资格审查和符合性鉴定的供应商不足三家，宣布本次采购失败，重新组织采购。</w:t>
      </w:r>
    </w:p>
    <w:p w14:paraId="65F79E1B">
      <w:pPr>
        <w:pStyle w:val="5"/>
        <w:rPr>
          <w:rFonts w:asciiTheme="minorEastAsia" w:hAnsiTheme="minorEastAsia" w:eastAsiaTheme="minorEastAsia"/>
          <w:color w:val="auto"/>
          <w:highlight w:val="none"/>
        </w:rPr>
      </w:pPr>
      <w:bookmarkStart w:id="1508" w:name="_Toc17926"/>
      <w:bookmarkStart w:id="1509" w:name="_Toc19110"/>
      <w:r>
        <w:rPr>
          <w:rFonts w:hint="eastAsia" w:asciiTheme="minorEastAsia" w:hAnsiTheme="minorEastAsia" w:eastAsiaTheme="minorEastAsia"/>
          <w:color w:val="auto"/>
          <w:highlight w:val="none"/>
        </w:rPr>
        <w:t>三、综合评分评审</w:t>
      </w:r>
      <w:bookmarkEnd w:id="1508"/>
      <w:bookmarkEnd w:id="1509"/>
    </w:p>
    <w:p w14:paraId="4D124584">
      <w:pPr>
        <w:pStyle w:val="37"/>
        <w:spacing w:before="0" w:after="0"/>
        <w:rPr>
          <w:rFonts w:asciiTheme="minorEastAsia" w:hAnsiTheme="minorEastAsia"/>
          <w:color w:val="auto"/>
          <w:spacing w:val="0"/>
          <w:highlight w:val="none"/>
        </w:rPr>
      </w:pPr>
      <w:r>
        <w:rPr>
          <w:rFonts w:hint="eastAsia" w:cs="宋体" w:asciiTheme="minorEastAsia" w:hAnsiTheme="minorEastAsia"/>
          <w:b/>
          <w:color w:val="auto"/>
          <w:spacing w:val="0"/>
          <w:sz w:val="28"/>
          <w:szCs w:val="28"/>
          <w:highlight w:val="none"/>
        </w:rPr>
        <w:t xml:space="preserve">   </w:t>
      </w:r>
      <w:r>
        <w:rPr>
          <w:rFonts w:hint="eastAsia" w:cs="宋体" w:asciiTheme="minorEastAsia" w:hAnsiTheme="minorEastAsia"/>
          <w:bCs w:val="0"/>
          <w:color w:val="auto"/>
          <w:spacing w:val="0"/>
          <w:kern w:val="2"/>
          <w:highlight w:val="none"/>
        </w:rPr>
        <w:t>3.1价格分评审</w:t>
      </w:r>
    </w:p>
    <w:p w14:paraId="2D60633C">
      <w:pPr>
        <w:spacing w:line="360" w:lineRule="auto"/>
        <w:ind w:firstLine="470" w:firstLineChars="196"/>
        <w:rPr>
          <w:rFonts w:cs="宋体" w:asciiTheme="minorEastAsia" w:hAnsiTheme="minorEastAsia"/>
          <w:color w:val="auto"/>
          <w:sz w:val="24"/>
          <w:highlight w:val="none"/>
        </w:rPr>
      </w:pPr>
      <w:r>
        <w:rPr>
          <w:rFonts w:hint="eastAsia" w:cs="宋体" w:asciiTheme="minorEastAsia" w:hAnsiTheme="minorEastAsia"/>
          <w:color w:val="auto"/>
          <w:sz w:val="24"/>
          <w:highlight w:val="none"/>
        </w:rPr>
        <w:t>3.1.1、本项目的有效报价范围：低于或等于采购预算上限控制价；磋商报价超出有效报价范围，视为无效磋商。</w:t>
      </w:r>
    </w:p>
    <w:p w14:paraId="69E46C52">
      <w:pPr>
        <w:pStyle w:val="37"/>
        <w:spacing w:before="0" w:after="0" w:line="360" w:lineRule="auto"/>
        <w:rPr>
          <w:rFonts w:cs="宋体" w:asciiTheme="minorEastAsia" w:hAnsiTheme="minorEastAsia"/>
          <w:color w:val="auto"/>
          <w:spacing w:val="0"/>
          <w:kern w:val="2"/>
          <w:szCs w:val="24"/>
          <w:highlight w:val="none"/>
        </w:rPr>
      </w:pPr>
      <w:r>
        <w:rPr>
          <w:rFonts w:hint="eastAsia" w:cs="宋体" w:asciiTheme="minorEastAsia" w:hAnsiTheme="minorEastAsia"/>
          <w:color w:val="auto"/>
          <w:spacing w:val="0"/>
          <w:highlight w:val="none"/>
        </w:rPr>
        <w:t xml:space="preserve"> </w:t>
      </w:r>
      <w:r>
        <w:rPr>
          <w:rFonts w:hint="eastAsia" w:cs="宋体" w:asciiTheme="minorEastAsia" w:hAnsiTheme="minorEastAsia"/>
          <w:color w:val="auto"/>
          <w:spacing w:val="0"/>
          <w:kern w:val="2"/>
          <w:szCs w:val="24"/>
          <w:highlight w:val="none"/>
        </w:rPr>
        <w:t xml:space="preserve">  3.2 技术分（</w:t>
      </w:r>
      <w:r>
        <w:rPr>
          <w:rFonts w:hint="eastAsia" w:cs="宋体" w:asciiTheme="minorEastAsia" w:hAnsiTheme="minorEastAsia"/>
          <w:color w:val="auto"/>
          <w:spacing w:val="0"/>
          <w:szCs w:val="24"/>
          <w:highlight w:val="none"/>
        </w:rPr>
        <w:t>项目管理机构、施工组织设计</w:t>
      </w:r>
      <w:r>
        <w:rPr>
          <w:rFonts w:hint="eastAsia" w:cs="宋体" w:asciiTheme="minorEastAsia" w:hAnsiTheme="minorEastAsia"/>
          <w:color w:val="auto"/>
          <w:spacing w:val="0"/>
          <w:kern w:val="2"/>
          <w:szCs w:val="24"/>
          <w:highlight w:val="none"/>
        </w:rPr>
        <w:t>）</w:t>
      </w:r>
    </w:p>
    <w:p w14:paraId="5A4D304C">
      <w:pPr>
        <w:pStyle w:val="37"/>
        <w:spacing w:before="0" w:after="0" w:line="360" w:lineRule="auto"/>
        <w:rPr>
          <w:rFonts w:cs="宋体" w:asciiTheme="minorEastAsia" w:hAnsiTheme="minorEastAsia"/>
          <w:color w:val="auto"/>
          <w:spacing w:val="0"/>
          <w:kern w:val="2"/>
          <w:szCs w:val="24"/>
          <w:highlight w:val="none"/>
        </w:rPr>
      </w:pPr>
      <w:r>
        <w:rPr>
          <w:rFonts w:hint="eastAsia" w:cs="宋体" w:asciiTheme="minorEastAsia" w:hAnsiTheme="minorEastAsia"/>
          <w:color w:val="auto"/>
          <w:spacing w:val="0"/>
          <w:kern w:val="2"/>
          <w:szCs w:val="24"/>
          <w:highlight w:val="none"/>
        </w:rPr>
        <w:t xml:space="preserve">   评审标准见“评标办法前附表”，技术分由所有评委根据</w:t>
      </w:r>
      <w:r>
        <w:rPr>
          <w:rFonts w:hint="eastAsia" w:cs="宋体" w:asciiTheme="minorEastAsia" w:hAnsiTheme="minorEastAsia"/>
          <w:color w:val="auto"/>
          <w:spacing w:val="0"/>
          <w:szCs w:val="24"/>
          <w:highlight w:val="none"/>
        </w:rPr>
        <w:t>项目管理机构、施工组织设计</w:t>
      </w:r>
      <w:r>
        <w:rPr>
          <w:rFonts w:hint="eastAsia" w:cs="宋体" w:asciiTheme="minorEastAsia" w:hAnsiTheme="minorEastAsia"/>
          <w:color w:val="auto"/>
          <w:spacing w:val="0"/>
          <w:kern w:val="2"/>
          <w:szCs w:val="24"/>
          <w:highlight w:val="none"/>
        </w:rPr>
        <w:t>中人员、物资计划、机械设备、进度计划、技术措施等与本项目实施的符合程度独立打分。</w:t>
      </w:r>
    </w:p>
    <w:p w14:paraId="60C2DC46">
      <w:pPr>
        <w:pStyle w:val="37"/>
        <w:spacing w:before="0" w:after="0" w:line="360" w:lineRule="auto"/>
        <w:rPr>
          <w:rFonts w:cs="宋体" w:asciiTheme="minorEastAsia" w:hAnsiTheme="minorEastAsia"/>
          <w:color w:val="auto"/>
          <w:spacing w:val="0"/>
          <w:kern w:val="2"/>
          <w:szCs w:val="24"/>
          <w:highlight w:val="none"/>
        </w:rPr>
      </w:pPr>
      <w:r>
        <w:rPr>
          <w:rFonts w:hint="eastAsia" w:cs="宋体" w:asciiTheme="minorEastAsia" w:hAnsiTheme="minorEastAsia"/>
          <w:color w:val="auto"/>
          <w:spacing w:val="0"/>
          <w:kern w:val="2"/>
          <w:szCs w:val="24"/>
          <w:highlight w:val="none"/>
        </w:rPr>
        <w:t xml:space="preserve">   3.3 供应商综合得分=</w:t>
      </w:r>
      <w:r>
        <w:rPr>
          <w:rFonts w:hint="eastAsia" w:asciiTheme="minorEastAsia" w:hAnsiTheme="minorEastAsia"/>
          <w:color w:val="auto"/>
          <w:spacing w:val="0"/>
          <w:highlight w:val="none"/>
        </w:rPr>
        <w:t xml:space="preserve"> </w:t>
      </w:r>
      <w:r>
        <w:rPr>
          <w:rFonts w:hint="eastAsia" w:ascii="宋体" w:hAnsi="宋体"/>
          <w:color w:val="auto"/>
          <w:szCs w:val="21"/>
          <w:highlight w:val="none"/>
        </w:rPr>
        <w:t>报价分+技术分+商务资信分</w:t>
      </w:r>
      <w:r>
        <w:rPr>
          <w:rFonts w:hint="eastAsia" w:cs="宋体" w:asciiTheme="minorEastAsia" w:hAnsiTheme="minorEastAsia"/>
          <w:color w:val="auto"/>
          <w:spacing w:val="0"/>
          <w:szCs w:val="24"/>
          <w:highlight w:val="none"/>
        </w:rPr>
        <w:t>。</w:t>
      </w:r>
    </w:p>
    <w:p w14:paraId="69303EC9">
      <w:pPr>
        <w:pStyle w:val="5"/>
        <w:rPr>
          <w:rFonts w:asciiTheme="minorEastAsia" w:hAnsiTheme="minorEastAsia" w:eastAsiaTheme="minorEastAsia"/>
          <w:color w:val="auto"/>
          <w:highlight w:val="none"/>
        </w:rPr>
      </w:pPr>
      <w:bookmarkStart w:id="1510" w:name="_Toc27496"/>
      <w:bookmarkStart w:id="1511" w:name="_Toc7320"/>
      <w:r>
        <w:rPr>
          <w:rFonts w:hint="eastAsia" w:asciiTheme="minorEastAsia" w:hAnsiTheme="minorEastAsia" w:eastAsiaTheme="minorEastAsia"/>
          <w:color w:val="auto"/>
          <w:highlight w:val="none"/>
        </w:rPr>
        <w:t>四、评标结果</w:t>
      </w:r>
      <w:bookmarkEnd w:id="1510"/>
      <w:bookmarkEnd w:id="1511"/>
    </w:p>
    <w:p w14:paraId="612937FF">
      <w:pPr>
        <w:spacing w:line="360" w:lineRule="auto"/>
        <w:ind w:firstLine="480" w:firstLineChars="200"/>
        <w:rPr>
          <w:rFonts w:cs="宋体" w:asciiTheme="minorEastAsia" w:hAnsiTheme="minorEastAsia"/>
          <w:bCs/>
          <w:color w:val="auto"/>
          <w:sz w:val="24"/>
          <w:szCs w:val="24"/>
          <w:highlight w:val="none"/>
        </w:rPr>
      </w:pPr>
      <w:r>
        <w:rPr>
          <w:rFonts w:hint="eastAsia" w:cs="宋体" w:asciiTheme="minorEastAsia" w:hAnsiTheme="minorEastAsia"/>
          <w:bCs/>
          <w:color w:val="auto"/>
          <w:sz w:val="24"/>
          <w:szCs w:val="24"/>
          <w:highlight w:val="none"/>
        </w:rPr>
        <w:t>4.1 除第一章“磋商须知前附表”授权直接确定中标人外，磋商小组按照本章规定的顺序推荐前三名为成交候选人。采购人应当确定磋商小组推荐排名第一的成交候选供应商为成交供应商。排名第一的成交候选供应商放弃成交、未在规定时间内签订合同、因不可抗力提出不能履行合同的，采购人可以确定排名第二的成交候选供应商为成交供应商。排名第二的成交候选供应商因前款规定的同样原因不能签订合同的，采购人可以确定排名第三的成交候选供应商为成交供应商。</w:t>
      </w:r>
    </w:p>
    <w:p w14:paraId="661F3480">
      <w:pPr>
        <w:spacing w:line="360" w:lineRule="auto"/>
        <w:ind w:firstLine="480" w:firstLineChars="200"/>
        <w:rPr>
          <w:rFonts w:cs="宋体" w:asciiTheme="minorEastAsia" w:hAnsiTheme="minorEastAsia"/>
          <w:bCs/>
          <w:color w:val="auto"/>
          <w:sz w:val="24"/>
          <w:szCs w:val="24"/>
          <w:highlight w:val="none"/>
        </w:rPr>
      </w:pPr>
      <w:r>
        <w:rPr>
          <w:rFonts w:hint="eastAsia" w:cs="宋体" w:asciiTheme="minorEastAsia" w:hAnsiTheme="minorEastAsia"/>
          <w:bCs/>
          <w:color w:val="auto"/>
          <w:sz w:val="24"/>
          <w:szCs w:val="24"/>
          <w:highlight w:val="none"/>
        </w:rPr>
        <w:t>4.2 磋商小组完成评标后，应当向采购人提交书面评标报告。</w:t>
      </w:r>
    </w:p>
    <w:p w14:paraId="79A2E6EC">
      <w:pPr>
        <w:spacing w:line="360" w:lineRule="auto"/>
        <w:ind w:firstLine="480" w:firstLineChars="200"/>
        <w:rPr>
          <w:rFonts w:cs="宋体" w:asciiTheme="minorEastAsia" w:hAnsiTheme="minorEastAsia"/>
          <w:bCs/>
          <w:color w:val="auto"/>
          <w:sz w:val="24"/>
          <w:szCs w:val="24"/>
          <w:highlight w:val="none"/>
        </w:rPr>
      </w:pPr>
    </w:p>
    <w:p w14:paraId="2A92134E">
      <w:pPr>
        <w:spacing w:line="360" w:lineRule="auto"/>
        <w:jc w:val="center"/>
        <w:rPr>
          <w:rFonts w:asciiTheme="minorEastAsia" w:hAnsiTheme="minorEastAsia" w:cstheme="minorEastAsia"/>
          <w:b/>
          <w:bCs/>
          <w:color w:val="auto"/>
          <w:sz w:val="24"/>
          <w:szCs w:val="24"/>
          <w:highlight w:val="none"/>
        </w:rPr>
      </w:pPr>
    </w:p>
    <w:p w14:paraId="78415CA0">
      <w:pPr>
        <w:rPr>
          <w:rFonts w:cs="宋体" w:asciiTheme="minorEastAsia" w:hAnsiTheme="minorEastAsia"/>
          <w:b/>
          <w:bCs/>
          <w:color w:val="auto"/>
          <w:sz w:val="28"/>
          <w:szCs w:val="28"/>
          <w:highlight w:val="none"/>
        </w:rPr>
      </w:pPr>
      <w:bookmarkStart w:id="1512" w:name="_Toc19636_WPSOffice_Level1"/>
      <w:bookmarkEnd w:id="1512"/>
    </w:p>
    <w:sectPr>
      <w:endnotePr>
        <w:numFmt w:val="decimal"/>
      </w:endnotePr>
      <w:pgSz w:w="11906" w:h="16838"/>
      <w:pgMar w:top="1134" w:right="1418" w:bottom="1246" w:left="1418" w:header="630" w:footer="68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CC6A8">
    <w:pPr>
      <w:pStyle w:val="21"/>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15875">
                        <a:noFill/>
                      </a:ln>
                      <a:effectLst/>
                    </wps:spPr>
                    <wps:txbx>
                      <w:txbxContent>
                        <w:p w14:paraId="01217EB9">
                          <w:pPr>
                            <w:pStyle w:val="21"/>
                            <w:rPr>
                              <w:rStyle w:val="32"/>
                            </w:rPr>
                          </w:pPr>
                          <w:r>
                            <w:fldChar w:fldCharType="begin"/>
                          </w:r>
                          <w:r>
                            <w:rPr>
                              <w:rStyle w:val="32"/>
                            </w:rPr>
                            <w:instrText xml:space="preserve">PAGE  </w:instrText>
                          </w:r>
                          <w:r>
                            <w:fldChar w:fldCharType="separate"/>
                          </w:r>
                          <w:r>
                            <w:rPr>
                              <w:rStyle w:val="32"/>
                            </w:rPr>
                            <w:t>1</w:t>
                          </w:r>
                          <w:r>
                            <w:fldChar w:fldCharType="end"/>
                          </w:r>
                        </w:p>
                      </w:txbxContent>
                    </wps:txbx>
                    <wps:bodyPr wrap="none" lIns="0" tIns="0" rIns="0" bIns="0">
                      <a:spAutoFit/>
                    </wps:bodyPr>
                  </wps:wsp>
                </a:graphicData>
              </a:graphic>
            </wp:anchor>
          </w:drawing>
        </mc:Choice>
        <mc:Fallback>
          <w:pict>
            <v:shape id="文本框 1"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43nDC0wAAAAIBAAAPAAAAAAAAAAEAIAAAACIA&#10;AABkcnMvZG93bnJldi54bWxQSwECFAAUAAAACACHTuJAlBniQtUBAACiAwAADgAAAAAAAAABACAA&#10;AAAiAQAAZHJzL2Uyb0RvYy54bWxQSwUGAAAAAAYABgBZAQAAaQUAAAAA&#10;">
              <v:fill on="f" focussize="0,0"/>
              <v:stroke on="f" weight="1.25pt"/>
              <v:imagedata o:title=""/>
              <o:lock v:ext="edit" aspectratio="f"/>
              <v:textbox inset="0mm,0mm,0mm,0mm" style="mso-fit-shape-to-text:t;">
                <w:txbxContent>
                  <w:p w14:paraId="01217EB9">
                    <w:pPr>
                      <w:pStyle w:val="21"/>
                      <w:rPr>
                        <w:rStyle w:val="32"/>
                      </w:rPr>
                    </w:pPr>
                    <w:r>
                      <w:fldChar w:fldCharType="begin"/>
                    </w:r>
                    <w:r>
                      <w:rPr>
                        <w:rStyle w:val="32"/>
                      </w:rPr>
                      <w:instrText xml:space="preserve">PAGE  </w:instrText>
                    </w:r>
                    <w:r>
                      <w:fldChar w:fldCharType="separate"/>
                    </w:r>
                    <w:r>
                      <w:rPr>
                        <w:rStyle w:val="32"/>
                      </w:rP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E72E6">
    <w:pPr>
      <w:pStyle w:val="21"/>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6205" cy="1397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16205" cy="139700"/>
                      </a:xfrm>
                      <a:prstGeom prst="rect">
                        <a:avLst/>
                      </a:prstGeom>
                      <a:noFill/>
                      <a:ln w="15875">
                        <a:noFill/>
                      </a:ln>
                      <a:effectLst/>
                    </wps:spPr>
                    <wps:txbx>
                      <w:txbxContent>
                        <w:p w14:paraId="67FF6948">
                          <w:pPr>
                            <w:pStyle w:val="21"/>
                            <w:rPr>
                              <w:rStyle w:val="32"/>
                            </w:rPr>
                          </w:pPr>
                          <w:r>
                            <w:fldChar w:fldCharType="begin"/>
                          </w:r>
                          <w:r>
                            <w:rPr>
                              <w:rStyle w:val="32"/>
                            </w:rPr>
                            <w:instrText xml:space="preserve">PAGE  </w:instrText>
                          </w:r>
                          <w:r>
                            <w:fldChar w:fldCharType="separate"/>
                          </w:r>
                          <w:r>
                            <w:rPr>
                              <w:rStyle w:val="32"/>
                            </w:rPr>
                            <w:t>1</w:t>
                          </w:r>
                          <w:r>
                            <w:fldChar w:fldCharType="end"/>
                          </w:r>
                        </w:p>
                      </w:txbxContent>
                    </wps:txbx>
                    <wps:bodyPr wrap="none" lIns="0" tIns="0" rIns="0" bIns="0">
                      <a:spAutoFit/>
                    </wps:bodyPr>
                  </wps:wsp>
                </a:graphicData>
              </a:graphic>
            </wp:anchor>
          </w:drawing>
        </mc:Choice>
        <mc:Fallback>
          <w:pict>
            <v:shape id="文本框 1" o:spid="_x0000_s1026" o:spt="202" type="#_x0000_t202" style="position:absolute;left:0pt;margin-top:0pt;height:11pt;width:9.15pt;mso-position-horizontal:center;mso-position-horizontal-relative:margin;mso-wrap-style:none;z-index:251660288;mso-width-relative:page;mso-height-relative:page;" filled="f" stroked="f" coordsize="21600,21600" o:gfxdata="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AXHL93UAAAAAwEAAA8AAAAAAAAAAQAgAAAA&#10;IgAAAGRycy9kb3ducmV2LnhtbFBLAQIUABQAAAAIAIdO4kApex5M1gEAAKMDAAAOAAAAAAAAAAEA&#10;IAAAACMBAABkcnMvZTJvRG9jLnhtbFBLBQYAAAAABgAGAFkBAABrBQAAAAA=&#10;">
              <v:fill on="f" focussize="0,0"/>
              <v:stroke on="f" weight="1.25pt"/>
              <v:imagedata o:title=""/>
              <o:lock v:ext="edit" aspectratio="f"/>
              <v:textbox inset="0mm,0mm,0mm,0mm" style="mso-fit-shape-to-text:t;">
                <w:txbxContent>
                  <w:p w14:paraId="67FF6948">
                    <w:pPr>
                      <w:pStyle w:val="21"/>
                      <w:rPr>
                        <w:rStyle w:val="32"/>
                      </w:rPr>
                    </w:pPr>
                    <w:r>
                      <w:fldChar w:fldCharType="begin"/>
                    </w:r>
                    <w:r>
                      <w:rPr>
                        <w:rStyle w:val="32"/>
                      </w:rPr>
                      <w:instrText xml:space="preserve">PAGE  </w:instrText>
                    </w:r>
                    <w:r>
                      <w:fldChar w:fldCharType="separate"/>
                    </w:r>
                    <w:r>
                      <w:rPr>
                        <w:rStyle w:val="32"/>
                      </w:rP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4ED65">
    <w:pPr>
      <w:pStyle w:val="21"/>
      <w:jc w:val="center"/>
      <w:rPr>
        <w:rFonts w:eastAsia="仿宋_GB2312"/>
        <w:sz w:val="24"/>
      </w:rPr>
    </w:pPr>
    <w:r>
      <w:rPr>
        <w:rFonts w:eastAsia="仿宋_GB2312"/>
        <w:sz w:val="24"/>
      </w:rPr>
      <w:fldChar w:fldCharType="begin"/>
    </w:r>
    <w:r>
      <w:rPr>
        <w:rFonts w:eastAsia="仿宋_GB2312"/>
        <w:sz w:val="24"/>
      </w:rPr>
      <w:instrText xml:space="preserve"> PAGE  \* MERGEFORMAT </w:instrText>
    </w:r>
    <w:r>
      <w:rPr>
        <w:rFonts w:eastAsia="仿宋_GB2312"/>
        <w:sz w:val="24"/>
      </w:rPr>
      <w:fldChar w:fldCharType="separate"/>
    </w:r>
    <w:r>
      <w:rPr>
        <w:rFonts w:ascii="Calibri" w:hAnsi="Calibri"/>
      </w:rPr>
      <w:t>62</w:t>
    </w:r>
    <w:r>
      <w:rPr>
        <w:rFonts w:eastAsia="仿宋_GB2312"/>
        <w:sz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07A91">
    <w:pPr>
      <w:jc w:val="center"/>
    </w:pPr>
    <w:r>
      <w:fldChar w:fldCharType="begin"/>
    </w:r>
    <w:r>
      <w:instrText xml:space="preserve"> PAGE  \* MERGEFORMAT </w:instrText>
    </w:r>
    <w:r>
      <w:fldChar w:fldCharType="separate"/>
    </w:r>
    <w:r>
      <w:t>25</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7E109">
    <w:pPr>
      <w:spacing w:before="52" w:after="1" w:line="180" w:lineRule="auto"/>
      <w:rPr>
        <w:rFonts w:ascii="Calibri" w:hAnsi="Calibri" w:eastAsia="Calibri" w:cs="Calibri"/>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309D647">
                          <w:pPr>
                            <w:pStyle w:val="21"/>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69GPs5AgAAc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99ejdODiwfgUsdYkaahh4mUutKjFdpd&#10;2/PcmeIEms50k+It39QoZct8uGcOo4HysTzhDp9SGqQ0vUVJZdzXf93HeHQMXkoajFpONTaLEvlB&#10;o5MADIPhBmM3GPqgbg1md4KltDyZeOCCHMzSGfUFG7WKOeBimiNTTsNg3oZu3LGRXKxWKehgXb2v&#10;ugeYQ8vCVj9YHtNEqbxdHQKkTYpHgTpV0Kl4wCSmnvVbE0f9z3OKevqnWD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L69GPs5AgAAcQQAAA4AAAAAAAAAAQAgAAAAHwEAAGRycy9lMm9Eb2Mu&#10;eG1sUEsFBgAAAAAGAAYAWQEAAMoFAAAAAA==&#10;">
              <v:fill on="f" focussize="0,0"/>
              <v:stroke on="f" weight="0.5pt"/>
              <v:imagedata o:title=""/>
              <o:lock v:ext="edit" aspectratio="f"/>
              <v:textbox inset="0mm,0mm,0mm,0mm" style="mso-fit-shape-to-text:t;">
                <w:txbxContent>
                  <w:p w14:paraId="6309D647">
                    <w:pPr>
                      <w:pStyle w:val="21"/>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2804A">
    <w:pPr>
      <w:spacing w:before="52" w:after="1" w:line="180" w:lineRule="auto"/>
      <w:rPr>
        <w:rFonts w:ascii="Calibri" w:hAnsi="Calibri" w:eastAsia="Calibri" w:cs="Calibri"/>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4CFDE19">
                          <w:pPr>
                            <w:pStyle w:val="21"/>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1rxzQ4AgAAc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0NG6+lB1&#10;DzCHloWdfrA8polSebs+BkibFI8CdaqgU/GASUw967cmjvqf5xT1+E+x+g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3WvHNDgCAABxBAAADgAAAAAAAAABACAAAAAfAQAAZHJzL2Uyb0RvYy54&#10;bWxQSwUGAAAAAAYABgBZAQAAyQUAAAAA&#10;">
              <v:fill on="f" focussize="0,0"/>
              <v:stroke on="f" weight="0.5pt"/>
              <v:imagedata o:title=""/>
              <o:lock v:ext="edit" aspectratio="f"/>
              <v:textbox inset="0mm,0mm,0mm,0mm" style="mso-fit-shape-to-text:t;">
                <w:txbxContent>
                  <w:p w14:paraId="64CFDE19">
                    <w:pPr>
                      <w:pStyle w:val="21"/>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B47F9">
    <w:pPr>
      <w:pStyle w:val="21"/>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5022462">
                          <w:pPr>
                            <w:pStyle w:val="21"/>
                          </w:pPr>
                          <w:r>
                            <w:fldChar w:fldCharType="begin"/>
                          </w:r>
                          <w:r>
                            <w:instrText xml:space="preserve"> PAGE  \* MERGEFORMAT </w:instrText>
                          </w:r>
                          <w:r>
                            <w:fldChar w:fldCharType="separate"/>
                          </w:r>
                          <w:r>
                            <w:t>97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SbC86AgAAc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CKUmwvOgIAAHEEAAAOAAAAAAAAAAEAIAAAAB8BAABkcnMvZTJvRG9j&#10;LnhtbFBLBQYAAAAABgAGAFkBAADLBQAAAAA=&#10;">
              <v:fill on="f" focussize="0,0"/>
              <v:stroke on="f" weight="0.5pt"/>
              <v:imagedata o:title=""/>
              <o:lock v:ext="edit" aspectratio="f"/>
              <v:textbox inset="0mm,0mm,0mm,0mm" style="mso-fit-shape-to-text:t;">
                <w:txbxContent>
                  <w:p w14:paraId="55022462">
                    <w:pPr>
                      <w:pStyle w:val="21"/>
                    </w:pPr>
                    <w:r>
                      <w:fldChar w:fldCharType="begin"/>
                    </w:r>
                    <w:r>
                      <w:instrText xml:space="preserve"> PAGE  \* MERGEFORMAT </w:instrText>
                    </w:r>
                    <w:r>
                      <w:fldChar w:fldCharType="separate"/>
                    </w:r>
                    <w:r>
                      <w:t>97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01D54">
    <w:pPr>
      <w:spacing w:beforeLines="100" w:line="600" w:lineRule="exact"/>
      <w:rPr>
        <w:rFonts w:ascii="仿宋_GB2312" w:eastAsia="仿宋_GB2312"/>
        <w:sz w:val="24"/>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A4764">
    <w:pPr>
      <w:jc w:val="both"/>
      <w:rPr>
        <w:rFonts w:ascii="仿宋_GB2312" w:eastAsia="仿宋_GB2312"/>
        <w:sz w:val="18"/>
        <w:szCs w:val="15"/>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DA710">
    <w:pPr>
      <w:pStyle w:val="22"/>
      <w:jc w:val="right"/>
      <w:rPr>
        <w:szCs w:val="21"/>
      </w:rPr>
    </w:pPr>
    <w:r>
      <w:rPr>
        <w:rFonts w:hint="eastAsia"/>
        <w:szCs w:val="21"/>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2B0D9">
    <w:pPr>
      <w:pStyle w:val="22"/>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1BDDF">
    <w:pPr>
      <w:spacing w:line="14" w:lineRule="auto"/>
      <w:rPr>
        <w:rFonts w:ascii="Calibri"/>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DE65A">
    <w:pPr>
      <w:spacing w:line="14" w:lineRule="auto"/>
      <w:rPr>
        <w:rFonts w:ascii="Calibri"/>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6C59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F6E59E"/>
    <w:multiLevelType w:val="singleLevel"/>
    <w:tmpl w:val="AEF6E59E"/>
    <w:lvl w:ilvl="0" w:tentative="0">
      <w:start w:val="7"/>
      <w:numFmt w:val="chineseCounting"/>
      <w:suff w:val="space"/>
      <w:lvlText w:val="（%1）"/>
      <w:lvlJc w:val="left"/>
      <w:rPr>
        <w:rFonts w:hint="eastAsia"/>
      </w:rPr>
    </w:lvl>
  </w:abstractNum>
  <w:abstractNum w:abstractNumId="1">
    <w:nsid w:val="C658A7D3"/>
    <w:multiLevelType w:val="singleLevel"/>
    <w:tmpl w:val="C658A7D3"/>
    <w:lvl w:ilvl="0" w:tentative="0">
      <w:start w:val="3"/>
      <w:numFmt w:val="decimal"/>
      <w:suff w:val="nothing"/>
      <w:lvlText w:val="%1、"/>
      <w:lvlJc w:val="left"/>
    </w:lvl>
  </w:abstractNum>
  <w:abstractNum w:abstractNumId="2">
    <w:nsid w:val="FF8AAF3A"/>
    <w:multiLevelType w:val="singleLevel"/>
    <w:tmpl w:val="FF8AAF3A"/>
    <w:lvl w:ilvl="0" w:tentative="0">
      <w:start w:val="2"/>
      <w:numFmt w:val="decimal"/>
      <w:suff w:val="space"/>
      <w:lvlText w:val="%1."/>
      <w:lvlJc w:val="left"/>
      <w:rPr>
        <w:rFonts w:cs="Times New Roman"/>
      </w:rPr>
    </w:lvl>
  </w:abstractNum>
  <w:abstractNum w:abstractNumId="3">
    <w:nsid w:val="29375746"/>
    <w:multiLevelType w:val="multilevel"/>
    <w:tmpl w:val="29375746"/>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B1AE7FB"/>
    <w:multiLevelType w:val="singleLevel"/>
    <w:tmpl w:val="2B1AE7FB"/>
    <w:lvl w:ilvl="0" w:tentative="0">
      <w:start w:val="1"/>
      <w:numFmt w:val="decimal"/>
      <w:suff w:val="nothing"/>
      <w:lvlText w:val="（%1）"/>
      <w:lvlJc w:val="left"/>
    </w:lvl>
  </w:abstractNum>
  <w:abstractNum w:abstractNumId="5">
    <w:nsid w:val="5495F49F"/>
    <w:multiLevelType w:val="singleLevel"/>
    <w:tmpl w:val="5495F49F"/>
    <w:lvl w:ilvl="0" w:tentative="0">
      <w:start w:val="9"/>
      <w:numFmt w:val="decimal"/>
      <w:suff w:val="space"/>
      <w:lvlText w:val="%1."/>
      <w:lvlJc w:val="left"/>
    </w:lvl>
  </w:abstractNum>
  <w:num w:numId="1">
    <w:abstractNumId w:val="1"/>
  </w:num>
  <w:num w:numId="2">
    <w:abstractNumId w:val="5"/>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hideGrammaticalErrors/>
  <w:documentProtection w:enforcement="0"/>
  <w:defaultTabStop w:val="12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endnotePr>
    <w:numFmt w:val="decimal"/>
  </w:endnotePr>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ZlODgwYmIzYTRkYTgyN2NkODFkZGQxOTNmNjI4ZWEifQ=="/>
  </w:docVars>
  <w:rsids>
    <w:rsidRoot w:val="58E04BE6"/>
    <w:rsid w:val="00010FBC"/>
    <w:rsid w:val="000143C6"/>
    <w:rsid w:val="00015A04"/>
    <w:rsid w:val="0002168C"/>
    <w:rsid w:val="00022107"/>
    <w:rsid w:val="000260B1"/>
    <w:rsid w:val="00032084"/>
    <w:rsid w:val="000401C2"/>
    <w:rsid w:val="00045A2E"/>
    <w:rsid w:val="00046A94"/>
    <w:rsid w:val="000517D6"/>
    <w:rsid w:val="00054ADA"/>
    <w:rsid w:val="000563FD"/>
    <w:rsid w:val="00057DA1"/>
    <w:rsid w:val="00063D70"/>
    <w:rsid w:val="000640E9"/>
    <w:rsid w:val="000662DA"/>
    <w:rsid w:val="00067190"/>
    <w:rsid w:val="0006751B"/>
    <w:rsid w:val="0007287F"/>
    <w:rsid w:val="00074FEC"/>
    <w:rsid w:val="00077BAA"/>
    <w:rsid w:val="0008198E"/>
    <w:rsid w:val="00082D24"/>
    <w:rsid w:val="00084012"/>
    <w:rsid w:val="00085023"/>
    <w:rsid w:val="00095F47"/>
    <w:rsid w:val="000B169A"/>
    <w:rsid w:val="000B361C"/>
    <w:rsid w:val="000D1501"/>
    <w:rsid w:val="000D3D62"/>
    <w:rsid w:val="000D6BAD"/>
    <w:rsid w:val="000E1D30"/>
    <w:rsid w:val="000E451B"/>
    <w:rsid w:val="000E5C7E"/>
    <w:rsid w:val="000E7090"/>
    <w:rsid w:val="000E7533"/>
    <w:rsid w:val="000F1786"/>
    <w:rsid w:val="000F2491"/>
    <w:rsid w:val="000F566A"/>
    <w:rsid w:val="00104D6A"/>
    <w:rsid w:val="00107AFF"/>
    <w:rsid w:val="0011047F"/>
    <w:rsid w:val="00113895"/>
    <w:rsid w:val="00120FE3"/>
    <w:rsid w:val="00124722"/>
    <w:rsid w:val="0012689B"/>
    <w:rsid w:val="00126D38"/>
    <w:rsid w:val="001411A0"/>
    <w:rsid w:val="00143A96"/>
    <w:rsid w:val="00153E63"/>
    <w:rsid w:val="00157A6C"/>
    <w:rsid w:val="00162FDC"/>
    <w:rsid w:val="00163AEF"/>
    <w:rsid w:val="0017020B"/>
    <w:rsid w:val="00180174"/>
    <w:rsid w:val="00180BFC"/>
    <w:rsid w:val="00190810"/>
    <w:rsid w:val="00192CFD"/>
    <w:rsid w:val="001952F4"/>
    <w:rsid w:val="001B49B5"/>
    <w:rsid w:val="001B4AE5"/>
    <w:rsid w:val="001C3759"/>
    <w:rsid w:val="001E541F"/>
    <w:rsid w:val="001F19B3"/>
    <w:rsid w:val="001F337E"/>
    <w:rsid w:val="00202C98"/>
    <w:rsid w:val="00210B1B"/>
    <w:rsid w:val="00213B05"/>
    <w:rsid w:val="00214015"/>
    <w:rsid w:val="0021565E"/>
    <w:rsid w:val="00247C62"/>
    <w:rsid w:val="0025348A"/>
    <w:rsid w:val="00255268"/>
    <w:rsid w:val="00261EA0"/>
    <w:rsid w:val="00263EDD"/>
    <w:rsid w:val="00281567"/>
    <w:rsid w:val="00284257"/>
    <w:rsid w:val="002879E2"/>
    <w:rsid w:val="002920C0"/>
    <w:rsid w:val="0029227A"/>
    <w:rsid w:val="00294B0D"/>
    <w:rsid w:val="00295790"/>
    <w:rsid w:val="002A1722"/>
    <w:rsid w:val="002A37DF"/>
    <w:rsid w:val="002A4912"/>
    <w:rsid w:val="002C41C6"/>
    <w:rsid w:val="002D2F9C"/>
    <w:rsid w:val="002E0CDB"/>
    <w:rsid w:val="002E2ADA"/>
    <w:rsid w:val="002F6D13"/>
    <w:rsid w:val="003016E5"/>
    <w:rsid w:val="0031193B"/>
    <w:rsid w:val="003120FD"/>
    <w:rsid w:val="00313E3A"/>
    <w:rsid w:val="00314C05"/>
    <w:rsid w:val="0032200E"/>
    <w:rsid w:val="0032579A"/>
    <w:rsid w:val="003360B6"/>
    <w:rsid w:val="00336A45"/>
    <w:rsid w:val="00340CB2"/>
    <w:rsid w:val="00341C8A"/>
    <w:rsid w:val="003460DB"/>
    <w:rsid w:val="00346A57"/>
    <w:rsid w:val="003505B1"/>
    <w:rsid w:val="003551E1"/>
    <w:rsid w:val="00356A70"/>
    <w:rsid w:val="00357DBF"/>
    <w:rsid w:val="00370F53"/>
    <w:rsid w:val="00374D52"/>
    <w:rsid w:val="003814C1"/>
    <w:rsid w:val="00387F37"/>
    <w:rsid w:val="00390B3A"/>
    <w:rsid w:val="00391710"/>
    <w:rsid w:val="00393552"/>
    <w:rsid w:val="003A3742"/>
    <w:rsid w:val="003A4807"/>
    <w:rsid w:val="003A556F"/>
    <w:rsid w:val="003B21E3"/>
    <w:rsid w:val="003B6AEA"/>
    <w:rsid w:val="003D0FCA"/>
    <w:rsid w:val="003D33FB"/>
    <w:rsid w:val="003D524C"/>
    <w:rsid w:val="003E69D3"/>
    <w:rsid w:val="003E6F57"/>
    <w:rsid w:val="003F5847"/>
    <w:rsid w:val="003F6229"/>
    <w:rsid w:val="003F7AF0"/>
    <w:rsid w:val="00401191"/>
    <w:rsid w:val="00403FA2"/>
    <w:rsid w:val="00404F78"/>
    <w:rsid w:val="004101F4"/>
    <w:rsid w:val="00411381"/>
    <w:rsid w:val="004158D2"/>
    <w:rsid w:val="00417260"/>
    <w:rsid w:val="00433336"/>
    <w:rsid w:val="00437641"/>
    <w:rsid w:val="00437B6B"/>
    <w:rsid w:val="00443353"/>
    <w:rsid w:val="00446362"/>
    <w:rsid w:val="00460129"/>
    <w:rsid w:val="00470ADB"/>
    <w:rsid w:val="004725C1"/>
    <w:rsid w:val="00474591"/>
    <w:rsid w:val="00477683"/>
    <w:rsid w:val="004A4C95"/>
    <w:rsid w:val="004B0EE1"/>
    <w:rsid w:val="004B7B33"/>
    <w:rsid w:val="004C0924"/>
    <w:rsid w:val="004C722F"/>
    <w:rsid w:val="004F2241"/>
    <w:rsid w:val="005045EC"/>
    <w:rsid w:val="00507542"/>
    <w:rsid w:val="005157D4"/>
    <w:rsid w:val="005162BB"/>
    <w:rsid w:val="00525F7E"/>
    <w:rsid w:val="00526824"/>
    <w:rsid w:val="005339FE"/>
    <w:rsid w:val="005353C8"/>
    <w:rsid w:val="005367F8"/>
    <w:rsid w:val="00544DD1"/>
    <w:rsid w:val="00544EC5"/>
    <w:rsid w:val="00551C3D"/>
    <w:rsid w:val="00553369"/>
    <w:rsid w:val="00564AAB"/>
    <w:rsid w:val="00571717"/>
    <w:rsid w:val="0057335A"/>
    <w:rsid w:val="0057382B"/>
    <w:rsid w:val="00584B4D"/>
    <w:rsid w:val="0059351A"/>
    <w:rsid w:val="005A09B0"/>
    <w:rsid w:val="005A373D"/>
    <w:rsid w:val="005D3613"/>
    <w:rsid w:val="005D63F8"/>
    <w:rsid w:val="0062151D"/>
    <w:rsid w:val="006304FD"/>
    <w:rsid w:val="00634001"/>
    <w:rsid w:val="006413D5"/>
    <w:rsid w:val="00656B9F"/>
    <w:rsid w:val="00660692"/>
    <w:rsid w:val="0067127F"/>
    <w:rsid w:val="00687806"/>
    <w:rsid w:val="00692088"/>
    <w:rsid w:val="00692B18"/>
    <w:rsid w:val="006A02EE"/>
    <w:rsid w:val="006A140C"/>
    <w:rsid w:val="006D2AA9"/>
    <w:rsid w:val="006E0F80"/>
    <w:rsid w:val="006E1E04"/>
    <w:rsid w:val="006E37F0"/>
    <w:rsid w:val="006F56A3"/>
    <w:rsid w:val="00700958"/>
    <w:rsid w:val="00701CC9"/>
    <w:rsid w:val="00705D4A"/>
    <w:rsid w:val="00714D95"/>
    <w:rsid w:val="0071526F"/>
    <w:rsid w:val="00723806"/>
    <w:rsid w:val="00730FAA"/>
    <w:rsid w:val="0073131A"/>
    <w:rsid w:val="00735B95"/>
    <w:rsid w:val="00747C7B"/>
    <w:rsid w:val="00751FF9"/>
    <w:rsid w:val="00763773"/>
    <w:rsid w:val="00766C01"/>
    <w:rsid w:val="00770055"/>
    <w:rsid w:val="00770B6F"/>
    <w:rsid w:val="0077321A"/>
    <w:rsid w:val="007803D5"/>
    <w:rsid w:val="007839D6"/>
    <w:rsid w:val="00783A20"/>
    <w:rsid w:val="007A173F"/>
    <w:rsid w:val="007B0D8E"/>
    <w:rsid w:val="007B709B"/>
    <w:rsid w:val="007C09FF"/>
    <w:rsid w:val="007C4701"/>
    <w:rsid w:val="007E3176"/>
    <w:rsid w:val="007E4D0D"/>
    <w:rsid w:val="007E610C"/>
    <w:rsid w:val="007F5260"/>
    <w:rsid w:val="0081172D"/>
    <w:rsid w:val="00816506"/>
    <w:rsid w:val="00821089"/>
    <w:rsid w:val="0082207D"/>
    <w:rsid w:val="008510AC"/>
    <w:rsid w:val="00851376"/>
    <w:rsid w:val="00852761"/>
    <w:rsid w:val="00853898"/>
    <w:rsid w:val="00856475"/>
    <w:rsid w:val="008577AD"/>
    <w:rsid w:val="00864A41"/>
    <w:rsid w:val="00867390"/>
    <w:rsid w:val="00872E09"/>
    <w:rsid w:val="00876624"/>
    <w:rsid w:val="008811D3"/>
    <w:rsid w:val="00887F30"/>
    <w:rsid w:val="008A185F"/>
    <w:rsid w:val="008A559D"/>
    <w:rsid w:val="008B1789"/>
    <w:rsid w:val="008B4C42"/>
    <w:rsid w:val="008B67C4"/>
    <w:rsid w:val="008E2420"/>
    <w:rsid w:val="008F01E9"/>
    <w:rsid w:val="00921018"/>
    <w:rsid w:val="00925DC3"/>
    <w:rsid w:val="009330BB"/>
    <w:rsid w:val="00934C3F"/>
    <w:rsid w:val="00937036"/>
    <w:rsid w:val="00942D03"/>
    <w:rsid w:val="009443CB"/>
    <w:rsid w:val="0094707A"/>
    <w:rsid w:val="009512A1"/>
    <w:rsid w:val="009514FA"/>
    <w:rsid w:val="00952F49"/>
    <w:rsid w:val="00963906"/>
    <w:rsid w:val="00963D59"/>
    <w:rsid w:val="00964924"/>
    <w:rsid w:val="00984380"/>
    <w:rsid w:val="00984AE5"/>
    <w:rsid w:val="00986E27"/>
    <w:rsid w:val="00987296"/>
    <w:rsid w:val="00993C7A"/>
    <w:rsid w:val="00996294"/>
    <w:rsid w:val="009A3FBD"/>
    <w:rsid w:val="009A5BD8"/>
    <w:rsid w:val="009B0FC0"/>
    <w:rsid w:val="009C3457"/>
    <w:rsid w:val="009C4CA7"/>
    <w:rsid w:val="009D0B6C"/>
    <w:rsid w:val="009E07C0"/>
    <w:rsid w:val="009F4BB2"/>
    <w:rsid w:val="00A16468"/>
    <w:rsid w:val="00A21589"/>
    <w:rsid w:val="00A26B3C"/>
    <w:rsid w:val="00A42A69"/>
    <w:rsid w:val="00A467B0"/>
    <w:rsid w:val="00A46897"/>
    <w:rsid w:val="00A5269F"/>
    <w:rsid w:val="00A53DB2"/>
    <w:rsid w:val="00A544AC"/>
    <w:rsid w:val="00A60B8B"/>
    <w:rsid w:val="00A62AE2"/>
    <w:rsid w:val="00A62BE4"/>
    <w:rsid w:val="00A639A5"/>
    <w:rsid w:val="00A71497"/>
    <w:rsid w:val="00A869B4"/>
    <w:rsid w:val="00A94216"/>
    <w:rsid w:val="00A95906"/>
    <w:rsid w:val="00A97EA8"/>
    <w:rsid w:val="00AA3560"/>
    <w:rsid w:val="00AC5721"/>
    <w:rsid w:val="00AD1C2E"/>
    <w:rsid w:val="00AD38D0"/>
    <w:rsid w:val="00AE33D0"/>
    <w:rsid w:val="00AE5197"/>
    <w:rsid w:val="00B0221E"/>
    <w:rsid w:val="00B10EBC"/>
    <w:rsid w:val="00B138B9"/>
    <w:rsid w:val="00B14B12"/>
    <w:rsid w:val="00B1791A"/>
    <w:rsid w:val="00B2346B"/>
    <w:rsid w:val="00B23AF6"/>
    <w:rsid w:val="00B248B6"/>
    <w:rsid w:val="00B257ED"/>
    <w:rsid w:val="00B31102"/>
    <w:rsid w:val="00B37FDA"/>
    <w:rsid w:val="00B408A6"/>
    <w:rsid w:val="00B41E8C"/>
    <w:rsid w:val="00B4518A"/>
    <w:rsid w:val="00B4775E"/>
    <w:rsid w:val="00B60676"/>
    <w:rsid w:val="00B650D3"/>
    <w:rsid w:val="00B65473"/>
    <w:rsid w:val="00B742E8"/>
    <w:rsid w:val="00B8355E"/>
    <w:rsid w:val="00BA0460"/>
    <w:rsid w:val="00BA3A6C"/>
    <w:rsid w:val="00BB293C"/>
    <w:rsid w:val="00BB5A29"/>
    <w:rsid w:val="00BC0AD4"/>
    <w:rsid w:val="00BD230D"/>
    <w:rsid w:val="00BD25F5"/>
    <w:rsid w:val="00BD3A70"/>
    <w:rsid w:val="00BD4E63"/>
    <w:rsid w:val="00BE333F"/>
    <w:rsid w:val="00BE7CCA"/>
    <w:rsid w:val="00C01986"/>
    <w:rsid w:val="00C01E42"/>
    <w:rsid w:val="00C1059E"/>
    <w:rsid w:val="00C31A8E"/>
    <w:rsid w:val="00C37EE7"/>
    <w:rsid w:val="00C43F62"/>
    <w:rsid w:val="00C76257"/>
    <w:rsid w:val="00C81DE4"/>
    <w:rsid w:val="00C9332E"/>
    <w:rsid w:val="00C93AB5"/>
    <w:rsid w:val="00CA3A43"/>
    <w:rsid w:val="00CA6040"/>
    <w:rsid w:val="00CA73BB"/>
    <w:rsid w:val="00CB677A"/>
    <w:rsid w:val="00CC09B7"/>
    <w:rsid w:val="00CC3604"/>
    <w:rsid w:val="00CC6A49"/>
    <w:rsid w:val="00CF1A13"/>
    <w:rsid w:val="00CF33D1"/>
    <w:rsid w:val="00CF70B9"/>
    <w:rsid w:val="00D02E3F"/>
    <w:rsid w:val="00D0445A"/>
    <w:rsid w:val="00D06BAD"/>
    <w:rsid w:val="00D12BEB"/>
    <w:rsid w:val="00D16181"/>
    <w:rsid w:val="00D22211"/>
    <w:rsid w:val="00D22D62"/>
    <w:rsid w:val="00D27CFE"/>
    <w:rsid w:val="00D4563E"/>
    <w:rsid w:val="00D45BCB"/>
    <w:rsid w:val="00D45DEC"/>
    <w:rsid w:val="00D47EE1"/>
    <w:rsid w:val="00D62A13"/>
    <w:rsid w:val="00D64527"/>
    <w:rsid w:val="00D64E22"/>
    <w:rsid w:val="00D71C14"/>
    <w:rsid w:val="00D72119"/>
    <w:rsid w:val="00D8196C"/>
    <w:rsid w:val="00D96F8B"/>
    <w:rsid w:val="00DB7498"/>
    <w:rsid w:val="00DB7C71"/>
    <w:rsid w:val="00DD3CB4"/>
    <w:rsid w:val="00DE0943"/>
    <w:rsid w:val="00DF01ED"/>
    <w:rsid w:val="00DF2BC8"/>
    <w:rsid w:val="00DF2E96"/>
    <w:rsid w:val="00DF53FB"/>
    <w:rsid w:val="00DF5C7B"/>
    <w:rsid w:val="00E07174"/>
    <w:rsid w:val="00E079FD"/>
    <w:rsid w:val="00E1368F"/>
    <w:rsid w:val="00E13FA9"/>
    <w:rsid w:val="00E17480"/>
    <w:rsid w:val="00E175D3"/>
    <w:rsid w:val="00E34B5E"/>
    <w:rsid w:val="00E35CD5"/>
    <w:rsid w:val="00E35EF1"/>
    <w:rsid w:val="00E36A8E"/>
    <w:rsid w:val="00E37D32"/>
    <w:rsid w:val="00E425FB"/>
    <w:rsid w:val="00E461A8"/>
    <w:rsid w:val="00E46AEE"/>
    <w:rsid w:val="00E50868"/>
    <w:rsid w:val="00E5541C"/>
    <w:rsid w:val="00E56809"/>
    <w:rsid w:val="00E65EB3"/>
    <w:rsid w:val="00E707AB"/>
    <w:rsid w:val="00E7260F"/>
    <w:rsid w:val="00E72D07"/>
    <w:rsid w:val="00E75462"/>
    <w:rsid w:val="00E77113"/>
    <w:rsid w:val="00E9010B"/>
    <w:rsid w:val="00EA21E1"/>
    <w:rsid w:val="00EB1724"/>
    <w:rsid w:val="00EC5F3C"/>
    <w:rsid w:val="00EC7343"/>
    <w:rsid w:val="00ED06DA"/>
    <w:rsid w:val="00ED431D"/>
    <w:rsid w:val="00ED523E"/>
    <w:rsid w:val="00ED5941"/>
    <w:rsid w:val="00EF2A13"/>
    <w:rsid w:val="00EF60AB"/>
    <w:rsid w:val="00F057BB"/>
    <w:rsid w:val="00F06919"/>
    <w:rsid w:val="00F22B9E"/>
    <w:rsid w:val="00F26238"/>
    <w:rsid w:val="00F26AC9"/>
    <w:rsid w:val="00F53AD4"/>
    <w:rsid w:val="00F55823"/>
    <w:rsid w:val="00F55EF3"/>
    <w:rsid w:val="00F563E4"/>
    <w:rsid w:val="00F62D2E"/>
    <w:rsid w:val="00F6545B"/>
    <w:rsid w:val="00F70A67"/>
    <w:rsid w:val="00F71FA6"/>
    <w:rsid w:val="00F72995"/>
    <w:rsid w:val="00F84174"/>
    <w:rsid w:val="00F90514"/>
    <w:rsid w:val="00F93A7E"/>
    <w:rsid w:val="00F968B2"/>
    <w:rsid w:val="00FB4745"/>
    <w:rsid w:val="00FB7754"/>
    <w:rsid w:val="00FB7A54"/>
    <w:rsid w:val="00FC3F32"/>
    <w:rsid w:val="00FD26BC"/>
    <w:rsid w:val="00FD3864"/>
    <w:rsid w:val="00FD3A6D"/>
    <w:rsid w:val="00FD6873"/>
    <w:rsid w:val="00FE07AE"/>
    <w:rsid w:val="00FF1AA3"/>
    <w:rsid w:val="00FF2EF6"/>
    <w:rsid w:val="00FF3A96"/>
    <w:rsid w:val="00FF6A4E"/>
    <w:rsid w:val="01057174"/>
    <w:rsid w:val="010D5A2D"/>
    <w:rsid w:val="011C44BE"/>
    <w:rsid w:val="013825D4"/>
    <w:rsid w:val="014E3FED"/>
    <w:rsid w:val="01510DA6"/>
    <w:rsid w:val="01537AA3"/>
    <w:rsid w:val="01561FA0"/>
    <w:rsid w:val="017711C1"/>
    <w:rsid w:val="0198353C"/>
    <w:rsid w:val="019E78B4"/>
    <w:rsid w:val="01C721F9"/>
    <w:rsid w:val="01DF755F"/>
    <w:rsid w:val="01E3102A"/>
    <w:rsid w:val="01E33EEF"/>
    <w:rsid w:val="01F10431"/>
    <w:rsid w:val="01F813E1"/>
    <w:rsid w:val="02113B22"/>
    <w:rsid w:val="02283C22"/>
    <w:rsid w:val="02314DA7"/>
    <w:rsid w:val="0247259C"/>
    <w:rsid w:val="024F49A0"/>
    <w:rsid w:val="02801CB9"/>
    <w:rsid w:val="029D0BE0"/>
    <w:rsid w:val="029E162E"/>
    <w:rsid w:val="02B05A56"/>
    <w:rsid w:val="02B17AD1"/>
    <w:rsid w:val="02B6488E"/>
    <w:rsid w:val="02C32395"/>
    <w:rsid w:val="02CC77CA"/>
    <w:rsid w:val="02D574DE"/>
    <w:rsid w:val="02FD6369"/>
    <w:rsid w:val="031E0161"/>
    <w:rsid w:val="032F1F93"/>
    <w:rsid w:val="03335CE9"/>
    <w:rsid w:val="03433DE4"/>
    <w:rsid w:val="034666F5"/>
    <w:rsid w:val="035F0BD7"/>
    <w:rsid w:val="036C153D"/>
    <w:rsid w:val="036C21FE"/>
    <w:rsid w:val="036E00FC"/>
    <w:rsid w:val="036E7568"/>
    <w:rsid w:val="0371289F"/>
    <w:rsid w:val="03A03294"/>
    <w:rsid w:val="04021749"/>
    <w:rsid w:val="04103416"/>
    <w:rsid w:val="04165FAE"/>
    <w:rsid w:val="0417724B"/>
    <w:rsid w:val="046838EA"/>
    <w:rsid w:val="04792594"/>
    <w:rsid w:val="048254D8"/>
    <w:rsid w:val="048A22FF"/>
    <w:rsid w:val="04952C46"/>
    <w:rsid w:val="049B4CF7"/>
    <w:rsid w:val="04AC5DC2"/>
    <w:rsid w:val="04B25D23"/>
    <w:rsid w:val="04B70785"/>
    <w:rsid w:val="04DD69C2"/>
    <w:rsid w:val="04DF0FBA"/>
    <w:rsid w:val="04ED7D4C"/>
    <w:rsid w:val="050140F6"/>
    <w:rsid w:val="051A0FA4"/>
    <w:rsid w:val="053C68D5"/>
    <w:rsid w:val="055217BF"/>
    <w:rsid w:val="05587177"/>
    <w:rsid w:val="055A083C"/>
    <w:rsid w:val="055A0E33"/>
    <w:rsid w:val="056D178C"/>
    <w:rsid w:val="056E180A"/>
    <w:rsid w:val="059676D9"/>
    <w:rsid w:val="059A0809"/>
    <w:rsid w:val="05A007DB"/>
    <w:rsid w:val="05B16FE4"/>
    <w:rsid w:val="05C5423E"/>
    <w:rsid w:val="05EA6938"/>
    <w:rsid w:val="05F27F73"/>
    <w:rsid w:val="05FD6AF4"/>
    <w:rsid w:val="06062F29"/>
    <w:rsid w:val="060D6392"/>
    <w:rsid w:val="06416DB5"/>
    <w:rsid w:val="06564C25"/>
    <w:rsid w:val="065E0AD9"/>
    <w:rsid w:val="067D019A"/>
    <w:rsid w:val="069D2B4B"/>
    <w:rsid w:val="069F4193"/>
    <w:rsid w:val="06B3554F"/>
    <w:rsid w:val="06B37672"/>
    <w:rsid w:val="06B4000B"/>
    <w:rsid w:val="06C71B06"/>
    <w:rsid w:val="06DB636B"/>
    <w:rsid w:val="06FE2B3C"/>
    <w:rsid w:val="07092212"/>
    <w:rsid w:val="07221EB4"/>
    <w:rsid w:val="073365B6"/>
    <w:rsid w:val="0760286E"/>
    <w:rsid w:val="07683EEA"/>
    <w:rsid w:val="078A3F9D"/>
    <w:rsid w:val="07DE7EBA"/>
    <w:rsid w:val="07E35108"/>
    <w:rsid w:val="07F05E3E"/>
    <w:rsid w:val="07F17EC0"/>
    <w:rsid w:val="07FF5DAB"/>
    <w:rsid w:val="08007F58"/>
    <w:rsid w:val="08084A31"/>
    <w:rsid w:val="080D40A6"/>
    <w:rsid w:val="082158C9"/>
    <w:rsid w:val="08510D3E"/>
    <w:rsid w:val="08625907"/>
    <w:rsid w:val="086F3135"/>
    <w:rsid w:val="087E50FF"/>
    <w:rsid w:val="08885FB1"/>
    <w:rsid w:val="089E3FDB"/>
    <w:rsid w:val="08A43CD9"/>
    <w:rsid w:val="08A840F4"/>
    <w:rsid w:val="08B32D07"/>
    <w:rsid w:val="08E01288"/>
    <w:rsid w:val="08EA0A0D"/>
    <w:rsid w:val="092751B6"/>
    <w:rsid w:val="093D7147"/>
    <w:rsid w:val="09440798"/>
    <w:rsid w:val="09456259"/>
    <w:rsid w:val="09497A5A"/>
    <w:rsid w:val="094F1FDF"/>
    <w:rsid w:val="09652E6C"/>
    <w:rsid w:val="096E6313"/>
    <w:rsid w:val="09AE6FB5"/>
    <w:rsid w:val="09C02673"/>
    <w:rsid w:val="09C20816"/>
    <w:rsid w:val="09EA60B1"/>
    <w:rsid w:val="09F37EFD"/>
    <w:rsid w:val="09F87C16"/>
    <w:rsid w:val="0A04189B"/>
    <w:rsid w:val="0A0441C1"/>
    <w:rsid w:val="0A193490"/>
    <w:rsid w:val="0A25066B"/>
    <w:rsid w:val="0A2B6180"/>
    <w:rsid w:val="0A3F1FAF"/>
    <w:rsid w:val="0A532ED9"/>
    <w:rsid w:val="0A5776B2"/>
    <w:rsid w:val="0A62121D"/>
    <w:rsid w:val="0A6B5C9B"/>
    <w:rsid w:val="0A7156F0"/>
    <w:rsid w:val="0A74306D"/>
    <w:rsid w:val="0A7B080E"/>
    <w:rsid w:val="0A8E1581"/>
    <w:rsid w:val="0A984E19"/>
    <w:rsid w:val="0AA16F1E"/>
    <w:rsid w:val="0AA629CE"/>
    <w:rsid w:val="0AA62A9A"/>
    <w:rsid w:val="0AAF0DE3"/>
    <w:rsid w:val="0AB11ED2"/>
    <w:rsid w:val="0AC57A82"/>
    <w:rsid w:val="0ACE3801"/>
    <w:rsid w:val="0AE3311F"/>
    <w:rsid w:val="0AFE6AEE"/>
    <w:rsid w:val="0B02628F"/>
    <w:rsid w:val="0B113275"/>
    <w:rsid w:val="0B256A48"/>
    <w:rsid w:val="0B2C3838"/>
    <w:rsid w:val="0B316EA3"/>
    <w:rsid w:val="0B3B1DF1"/>
    <w:rsid w:val="0B447ED3"/>
    <w:rsid w:val="0B4D02F4"/>
    <w:rsid w:val="0B565735"/>
    <w:rsid w:val="0B6041AA"/>
    <w:rsid w:val="0B6436DB"/>
    <w:rsid w:val="0B801A8C"/>
    <w:rsid w:val="0B960EE4"/>
    <w:rsid w:val="0B98077B"/>
    <w:rsid w:val="0BAF672C"/>
    <w:rsid w:val="0BBA0B5B"/>
    <w:rsid w:val="0BBB77F4"/>
    <w:rsid w:val="0BD97703"/>
    <w:rsid w:val="0BDF79F4"/>
    <w:rsid w:val="0BF00BBC"/>
    <w:rsid w:val="0C0726B7"/>
    <w:rsid w:val="0C1A295E"/>
    <w:rsid w:val="0C39622A"/>
    <w:rsid w:val="0C6B6694"/>
    <w:rsid w:val="0C7454CB"/>
    <w:rsid w:val="0C7D6406"/>
    <w:rsid w:val="0C7F7288"/>
    <w:rsid w:val="0C8953BF"/>
    <w:rsid w:val="0C9358E9"/>
    <w:rsid w:val="0C943146"/>
    <w:rsid w:val="0CA01AF2"/>
    <w:rsid w:val="0CA1574D"/>
    <w:rsid w:val="0CAF4B8B"/>
    <w:rsid w:val="0CCB0F5B"/>
    <w:rsid w:val="0CD728C5"/>
    <w:rsid w:val="0CD92E83"/>
    <w:rsid w:val="0D010DF8"/>
    <w:rsid w:val="0D0C21E3"/>
    <w:rsid w:val="0D3058F6"/>
    <w:rsid w:val="0D3268A3"/>
    <w:rsid w:val="0D404AE4"/>
    <w:rsid w:val="0D677C73"/>
    <w:rsid w:val="0D6D06E3"/>
    <w:rsid w:val="0D7E3061"/>
    <w:rsid w:val="0D875FE3"/>
    <w:rsid w:val="0D947119"/>
    <w:rsid w:val="0DA7227D"/>
    <w:rsid w:val="0DA829F4"/>
    <w:rsid w:val="0DB20C7E"/>
    <w:rsid w:val="0DB76668"/>
    <w:rsid w:val="0DC47A45"/>
    <w:rsid w:val="0DCB3FEF"/>
    <w:rsid w:val="0E2D4109"/>
    <w:rsid w:val="0E487E06"/>
    <w:rsid w:val="0E5D6148"/>
    <w:rsid w:val="0E6A488B"/>
    <w:rsid w:val="0E721AA3"/>
    <w:rsid w:val="0E7227E3"/>
    <w:rsid w:val="0E7F6433"/>
    <w:rsid w:val="0E924B70"/>
    <w:rsid w:val="0E986921"/>
    <w:rsid w:val="0EAC6156"/>
    <w:rsid w:val="0EE14C9C"/>
    <w:rsid w:val="0EE23673"/>
    <w:rsid w:val="0EF549E6"/>
    <w:rsid w:val="0F227996"/>
    <w:rsid w:val="0F482A69"/>
    <w:rsid w:val="0F4A7C16"/>
    <w:rsid w:val="0F7C7E2A"/>
    <w:rsid w:val="0F8A292E"/>
    <w:rsid w:val="0FB110A9"/>
    <w:rsid w:val="0FB873C1"/>
    <w:rsid w:val="0FBB2EAA"/>
    <w:rsid w:val="0FC406E9"/>
    <w:rsid w:val="0FE178E1"/>
    <w:rsid w:val="101C4161"/>
    <w:rsid w:val="102124D2"/>
    <w:rsid w:val="102A1DAD"/>
    <w:rsid w:val="10322CD9"/>
    <w:rsid w:val="10400DAC"/>
    <w:rsid w:val="10451DF9"/>
    <w:rsid w:val="107F4121"/>
    <w:rsid w:val="108B15D9"/>
    <w:rsid w:val="108D798C"/>
    <w:rsid w:val="10933BDD"/>
    <w:rsid w:val="10962ECA"/>
    <w:rsid w:val="10A7328E"/>
    <w:rsid w:val="10BE1EF8"/>
    <w:rsid w:val="10D71901"/>
    <w:rsid w:val="10E55033"/>
    <w:rsid w:val="1106019A"/>
    <w:rsid w:val="110F2E08"/>
    <w:rsid w:val="11151CC5"/>
    <w:rsid w:val="112E3164"/>
    <w:rsid w:val="11362D75"/>
    <w:rsid w:val="11386288"/>
    <w:rsid w:val="11460A40"/>
    <w:rsid w:val="11666711"/>
    <w:rsid w:val="1177171E"/>
    <w:rsid w:val="11A36FC3"/>
    <w:rsid w:val="11A610FB"/>
    <w:rsid w:val="11B951D6"/>
    <w:rsid w:val="11BA3663"/>
    <w:rsid w:val="11D31CFB"/>
    <w:rsid w:val="11D436D4"/>
    <w:rsid w:val="11D63B4B"/>
    <w:rsid w:val="11E0135C"/>
    <w:rsid w:val="11E20EC0"/>
    <w:rsid w:val="12042966"/>
    <w:rsid w:val="120F7C3F"/>
    <w:rsid w:val="1212648D"/>
    <w:rsid w:val="121941D9"/>
    <w:rsid w:val="121A7098"/>
    <w:rsid w:val="122373D0"/>
    <w:rsid w:val="12393799"/>
    <w:rsid w:val="123B1182"/>
    <w:rsid w:val="123F5A46"/>
    <w:rsid w:val="12461E9A"/>
    <w:rsid w:val="12466E72"/>
    <w:rsid w:val="12485EA9"/>
    <w:rsid w:val="124F633D"/>
    <w:rsid w:val="12505D75"/>
    <w:rsid w:val="12545349"/>
    <w:rsid w:val="126858FE"/>
    <w:rsid w:val="12704669"/>
    <w:rsid w:val="127F0252"/>
    <w:rsid w:val="12810974"/>
    <w:rsid w:val="12931B1F"/>
    <w:rsid w:val="129A15E0"/>
    <w:rsid w:val="12A24BC9"/>
    <w:rsid w:val="12A75B20"/>
    <w:rsid w:val="12B8637F"/>
    <w:rsid w:val="12D97689"/>
    <w:rsid w:val="12DD0FC1"/>
    <w:rsid w:val="12E6200C"/>
    <w:rsid w:val="12F12AEA"/>
    <w:rsid w:val="12FB03D7"/>
    <w:rsid w:val="1301463D"/>
    <w:rsid w:val="13094DB5"/>
    <w:rsid w:val="13144EF9"/>
    <w:rsid w:val="132C3411"/>
    <w:rsid w:val="13336F96"/>
    <w:rsid w:val="13384005"/>
    <w:rsid w:val="133B4CF8"/>
    <w:rsid w:val="13584CD6"/>
    <w:rsid w:val="136372EE"/>
    <w:rsid w:val="13815283"/>
    <w:rsid w:val="13854144"/>
    <w:rsid w:val="13883A84"/>
    <w:rsid w:val="13A22600"/>
    <w:rsid w:val="13B4747D"/>
    <w:rsid w:val="13D27FF4"/>
    <w:rsid w:val="13FA306E"/>
    <w:rsid w:val="143B096C"/>
    <w:rsid w:val="14400492"/>
    <w:rsid w:val="144B749D"/>
    <w:rsid w:val="144D7226"/>
    <w:rsid w:val="144E73BA"/>
    <w:rsid w:val="14627457"/>
    <w:rsid w:val="14700BE0"/>
    <w:rsid w:val="14824BF2"/>
    <w:rsid w:val="14844C5E"/>
    <w:rsid w:val="1487371E"/>
    <w:rsid w:val="148A76BB"/>
    <w:rsid w:val="14B22D17"/>
    <w:rsid w:val="14C91E0F"/>
    <w:rsid w:val="14CD19E7"/>
    <w:rsid w:val="14CF5A25"/>
    <w:rsid w:val="14CF7CD8"/>
    <w:rsid w:val="14FB4FB4"/>
    <w:rsid w:val="1503289E"/>
    <w:rsid w:val="15033499"/>
    <w:rsid w:val="15070276"/>
    <w:rsid w:val="151114F0"/>
    <w:rsid w:val="1520366D"/>
    <w:rsid w:val="1535602D"/>
    <w:rsid w:val="1540372D"/>
    <w:rsid w:val="155B1CFE"/>
    <w:rsid w:val="155E72AB"/>
    <w:rsid w:val="155F2283"/>
    <w:rsid w:val="156D0134"/>
    <w:rsid w:val="157231AE"/>
    <w:rsid w:val="15897187"/>
    <w:rsid w:val="15B148F7"/>
    <w:rsid w:val="15D24F40"/>
    <w:rsid w:val="15E30CB8"/>
    <w:rsid w:val="15FD638C"/>
    <w:rsid w:val="160465FE"/>
    <w:rsid w:val="1616077E"/>
    <w:rsid w:val="16282B75"/>
    <w:rsid w:val="162E37F1"/>
    <w:rsid w:val="165257C3"/>
    <w:rsid w:val="165479FA"/>
    <w:rsid w:val="165D46D6"/>
    <w:rsid w:val="16644C28"/>
    <w:rsid w:val="16656FB6"/>
    <w:rsid w:val="167169DA"/>
    <w:rsid w:val="167548DD"/>
    <w:rsid w:val="1677131A"/>
    <w:rsid w:val="16942645"/>
    <w:rsid w:val="16A179E2"/>
    <w:rsid w:val="16EF6443"/>
    <w:rsid w:val="17182642"/>
    <w:rsid w:val="171B4C60"/>
    <w:rsid w:val="172E5495"/>
    <w:rsid w:val="17470AA2"/>
    <w:rsid w:val="17480DFE"/>
    <w:rsid w:val="1748684E"/>
    <w:rsid w:val="174C63B1"/>
    <w:rsid w:val="17593315"/>
    <w:rsid w:val="175E1810"/>
    <w:rsid w:val="17731C57"/>
    <w:rsid w:val="178925FE"/>
    <w:rsid w:val="17984B3C"/>
    <w:rsid w:val="17A748FB"/>
    <w:rsid w:val="17AB6490"/>
    <w:rsid w:val="17C36B6A"/>
    <w:rsid w:val="17C416E6"/>
    <w:rsid w:val="17F8750A"/>
    <w:rsid w:val="18050EC9"/>
    <w:rsid w:val="180C6A79"/>
    <w:rsid w:val="181427C4"/>
    <w:rsid w:val="181F51CA"/>
    <w:rsid w:val="182C7144"/>
    <w:rsid w:val="1833519C"/>
    <w:rsid w:val="18637E77"/>
    <w:rsid w:val="189A7E5B"/>
    <w:rsid w:val="189D75F7"/>
    <w:rsid w:val="18A04E97"/>
    <w:rsid w:val="18CF7A11"/>
    <w:rsid w:val="18DC34B0"/>
    <w:rsid w:val="18E8226A"/>
    <w:rsid w:val="18F64660"/>
    <w:rsid w:val="191769F5"/>
    <w:rsid w:val="191A2A96"/>
    <w:rsid w:val="1921046B"/>
    <w:rsid w:val="192C181B"/>
    <w:rsid w:val="193C45B6"/>
    <w:rsid w:val="194978E0"/>
    <w:rsid w:val="198D3A2C"/>
    <w:rsid w:val="198F1115"/>
    <w:rsid w:val="199E300B"/>
    <w:rsid w:val="19C92FDD"/>
    <w:rsid w:val="19E50475"/>
    <w:rsid w:val="19E601BC"/>
    <w:rsid w:val="19EA1392"/>
    <w:rsid w:val="19ED7616"/>
    <w:rsid w:val="1A1D2103"/>
    <w:rsid w:val="1A1F72B9"/>
    <w:rsid w:val="1A297085"/>
    <w:rsid w:val="1A2C71C3"/>
    <w:rsid w:val="1A463B62"/>
    <w:rsid w:val="1A5517D8"/>
    <w:rsid w:val="1A55661F"/>
    <w:rsid w:val="1A6F043B"/>
    <w:rsid w:val="1A721811"/>
    <w:rsid w:val="1A7F4978"/>
    <w:rsid w:val="1A8674D5"/>
    <w:rsid w:val="1AAD4C14"/>
    <w:rsid w:val="1AC84222"/>
    <w:rsid w:val="1AD24440"/>
    <w:rsid w:val="1AD934CA"/>
    <w:rsid w:val="1B01633E"/>
    <w:rsid w:val="1B1C44AA"/>
    <w:rsid w:val="1B2A7C7D"/>
    <w:rsid w:val="1B4D7B20"/>
    <w:rsid w:val="1B521276"/>
    <w:rsid w:val="1B663110"/>
    <w:rsid w:val="1B724025"/>
    <w:rsid w:val="1B7468BC"/>
    <w:rsid w:val="1B84296F"/>
    <w:rsid w:val="1B8A3D5E"/>
    <w:rsid w:val="1BAC0992"/>
    <w:rsid w:val="1BBC76C4"/>
    <w:rsid w:val="1BD07942"/>
    <w:rsid w:val="1C180527"/>
    <w:rsid w:val="1C1A6126"/>
    <w:rsid w:val="1C212CB5"/>
    <w:rsid w:val="1C2C15B2"/>
    <w:rsid w:val="1C37122A"/>
    <w:rsid w:val="1C485E48"/>
    <w:rsid w:val="1C4F2539"/>
    <w:rsid w:val="1C500685"/>
    <w:rsid w:val="1C573ABF"/>
    <w:rsid w:val="1C597F26"/>
    <w:rsid w:val="1C6F226A"/>
    <w:rsid w:val="1C78531B"/>
    <w:rsid w:val="1C7A4A87"/>
    <w:rsid w:val="1C7E0AB7"/>
    <w:rsid w:val="1C812C8A"/>
    <w:rsid w:val="1C862CB8"/>
    <w:rsid w:val="1CA30476"/>
    <w:rsid w:val="1CB74549"/>
    <w:rsid w:val="1CBF495E"/>
    <w:rsid w:val="1CE23446"/>
    <w:rsid w:val="1CE649D1"/>
    <w:rsid w:val="1CE80FF4"/>
    <w:rsid w:val="1CF55796"/>
    <w:rsid w:val="1D037520"/>
    <w:rsid w:val="1D3A080D"/>
    <w:rsid w:val="1D3A27C8"/>
    <w:rsid w:val="1D4E2AF1"/>
    <w:rsid w:val="1D4E3277"/>
    <w:rsid w:val="1D5414B3"/>
    <w:rsid w:val="1D596721"/>
    <w:rsid w:val="1D5D4016"/>
    <w:rsid w:val="1D5D5368"/>
    <w:rsid w:val="1D662332"/>
    <w:rsid w:val="1D9154C8"/>
    <w:rsid w:val="1DA16888"/>
    <w:rsid w:val="1DBF7B89"/>
    <w:rsid w:val="1DCB3663"/>
    <w:rsid w:val="1DCC1151"/>
    <w:rsid w:val="1DDA09AE"/>
    <w:rsid w:val="1DEB6448"/>
    <w:rsid w:val="1E083035"/>
    <w:rsid w:val="1E1A4EDF"/>
    <w:rsid w:val="1E1E2010"/>
    <w:rsid w:val="1E26159B"/>
    <w:rsid w:val="1E262C96"/>
    <w:rsid w:val="1E277F8D"/>
    <w:rsid w:val="1E453ED3"/>
    <w:rsid w:val="1E4640C0"/>
    <w:rsid w:val="1E5D3CF4"/>
    <w:rsid w:val="1E9D3F42"/>
    <w:rsid w:val="1EB47C79"/>
    <w:rsid w:val="1ED208F0"/>
    <w:rsid w:val="1ED92E5C"/>
    <w:rsid w:val="1EF05642"/>
    <w:rsid w:val="1EF37CC0"/>
    <w:rsid w:val="1F0B314E"/>
    <w:rsid w:val="1F2071CC"/>
    <w:rsid w:val="1F390055"/>
    <w:rsid w:val="1F430499"/>
    <w:rsid w:val="1F5F6159"/>
    <w:rsid w:val="1F761806"/>
    <w:rsid w:val="1F7E45BD"/>
    <w:rsid w:val="1F8C34FC"/>
    <w:rsid w:val="1FA25D22"/>
    <w:rsid w:val="1FB83D65"/>
    <w:rsid w:val="1FC715A2"/>
    <w:rsid w:val="1FD7099E"/>
    <w:rsid w:val="1FF67C01"/>
    <w:rsid w:val="200862E5"/>
    <w:rsid w:val="208A183C"/>
    <w:rsid w:val="20A26C65"/>
    <w:rsid w:val="20BD6850"/>
    <w:rsid w:val="20C148E6"/>
    <w:rsid w:val="20C1618C"/>
    <w:rsid w:val="20C92915"/>
    <w:rsid w:val="20C94BBE"/>
    <w:rsid w:val="20D351FC"/>
    <w:rsid w:val="20D70181"/>
    <w:rsid w:val="20FD2E11"/>
    <w:rsid w:val="20FF0CF7"/>
    <w:rsid w:val="21024C0B"/>
    <w:rsid w:val="21374455"/>
    <w:rsid w:val="213B5E42"/>
    <w:rsid w:val="2141200E"/>
    <w:rsid w:val="214A55B2"/>
    <w:rsid w:val="21521FB1"/>
    <w:rsid w:val="215261A0"/>
    <w:rsid w:val="215A428D"/>
    <w:rsid w:val="21725A8D"/>
    <w:rsid w:val="217C012D"/>
    <w:rsid w:val="217E6104"/>
    <w:rsid w:val="218E7857"/>
    <w:rsid w:val="21961362"/>
    <w:rsid w:val="2196518C"/>
    <w:rsid w:val="2196562F"/>
    <w:rsid w:val="219C76EE"/>
    <w:rsid w:val="21AE6B87"/>
    <w:rsid w:val="21BE27BD"/>
    <w:rsid w:val="21E25CAB"/>
    <w:rsid w:val="21EC4AC6"/>
    <w:rsid w:val="220601D7"/>
    <w:rsid w:val="221912D2"/>
    <w:rsid w:val="221C08B1"/>
    <w:rsid w:val="22203E18"/>
    <w:rsid w:val="22540308"/>
    <w:rsid w:val="225E628C"/>
    <w:rsid w:val="22680DCB"/>
    <w:rsid w:val="22784272"/>
    <w:rsid w:val="22806BAE"/>
    <w:rsid w:val="228155BD"/>
    <w:rsid w:val="22907DC4"/>
    <w:rsid w:val="229626E7"/>
    <w:rsid w:val="229D3074"/>
    <w:rsid w:val="22D2653A"/>
    <w:rsid w:val="22D64540"/>
    <w:rsid w:val="22D84291"/>
    <w:rsid w:val="22EA67CD"/>
    <w:rsid w:val="22FE2F2C"/>
    <w:rsid w:val="23031FAA"/>
    <w:rsid w:val="231707F7"/>
    <w:rsid w:val="2319344C"/>
    <w:rsid w:val="231B626D"/>
    <w:rsid w:val="231C6D22"/>
    <w:rsid w:val="23325D32"/>
    <w:rsid w:val="234A2570"/>
    <w:rsid w:val="23514114"/>
    <w:rsid w:val="2362120C"/>
    <w:rsid w:val="23666C86"/>
    <w:rsid w:val="236802B7"/>
    <w:rsid w:val="236D220C"/>
    <w:rsid w:val="2372113D"/>
    <w:rsid w:val="23973150"/>
    <w:rsid w:val="23A82AC5"/>
    <w:rsid w:val="23C43E59"/>
    <w:rsid w:val="23D415D9"/>
    <w:rsid w:val="23DC6E7B"/>
    <w:rsid w:val="23EC7318"/>
    <w:rsid w:val="23FE1F15"/>
    <w:rsid w:val="24122A09"/>
    <w:rsid w:val="24125580"/>
    <w:rsid w:val="24263FDC"/>
    <w:rsid w:val="242D066F"/>
    <w:rsid w:val="24393CB8"/>
    <w:rsid w:val="244974EB"/>
    <w:rsid w:val="24562A94"/>
    <w:rsid w:val="2462050C"/>
    <w:rsid w:val="24726D82"/>
    <w:rsid w:val="2473266A"/>
    <w:rsid w:val="247D3A70"/>
    <w:rsid w:val="248108F7"/>
    <w:rsid w:val="24965DBC"/>
    <w:rsid w:val="24A73E55"/>
    <w:rsid w:val="24AC63B6"/>
    <w:rsid w:val="24B07931"/>
    <w:rsid w:val="24B91360"/>
    <w:rsid w:val="24C95E6D"/>
    <w:rsid w:val="24CF18BE"/>
    <w:rsid w:val="24EA4E47"/>
    <w:rsid w:val="25035D51"/>
    <w:rsid w:val="250401E0"/>
    <w:rsid w:val="251946ED"/>
    <w:rsid w:val="253E1C04"/>
    <w:rsid w:val="25451D94"/>
    <w:rsid w:val="254F1A1C"/>
    <w:rsid w:val="255A075C"/>
    <w:rsid w:val="256516E0"/>
    <w:rsid w:val="2576021B"/>
    <w:rsid w:val="25772ABA"/>
    <w:rsid w:val="259909AF"/>
    <w:rsid w:val="25A03488"/>
    <w:rsid w:val="25A43962"/>
    <w:rsid w:val="25D831DD"/>
    <w:rsid w:val="26015DEE"/>
    <w:rsid w:val="260423D6"/>
    <w:rsid w:val="26132EF5"/>
    <w:rsid w:val="261E03AB"/>
    <w:rsid w:val="261F5265"/>
    <w:rsid w:val="26245336"/>
    <w:rsid w:val="263E6E16"/>
    <w:rsid w:val="265F30A7"/>
    <w:rsid w:val="26660F08"/>
    <w:rsid w:val="267D06C6"/>
    <w:rsid w:val="268600AB"/>
    <w:rsid w:val="2689291F"/>
    <w:rsid w:val="268F4F3E"/>
    <w:rsid w:val="26DD103B"/>
    <w:rsid w:val="270931AB"/>
    <w:rsid w:val="27192F99"/>
    <w:rsid w:val="272363C9"/>
    <w:rsid w:val="27296E53"/>
    <w:rsid w:val="272F0180"/>
    <w:rsid w:val="273C5A43"/>
    <w:rsid w:val="276F6890"/>
    <w:rsid w:val="277B23FE"/>
    <w:rsid w:val="279B009F"/>
    <w:rsid w:val="27A95304"/>
    <w:rsid w:val="27CB2E1E"/>
    <w:rsid w:val="27E32E89"/>
    <w:rsid w:val="27E96816"/>
    <w:rsid w:val="27F155D8"/>
    <w:rsid w:val="28131345"/>
    <w:rsid w:val="28375C08"/>
    <w:rsid w:val="28440967"/>
    <w:rsid w:val="284A30FF"/>
    <w:rsid w:val="284F0309"/>
    <w:rsid w:val="28505DFC"/>
    <w:rsid w:val="28700164"/>
    <w:rsid w:val="28786ADC"/>
    <w:rsid w:val="28805C6D"/>
    <w:rsid w:val="28836442"/>
    <w:rsid w:val="288531A2"/>
    <w:rsid w:val="28A404A3"/>
    <w:rsid w:val="28B457F2"/>
    <w:rsid w:val="28D67D32"/>
    <w:rsid w:val="28DF1261"/>
    <w:rsid w:val="28EE4662"/>
    <w:rsid w:val="28F95915"/>
    <w:rsid w:val="29010D38"/>
    <w:rsid w:val="29082CD1"/>
    <w:rsid w:val="29217CBF"/>
    <w:rsid w:val="29241DAF"/>
    <w:rsid w:val="2949009D"/>
    <w:rsid w:val="295312C2"/>
    <w:rsid w:val="295329AA"/>
    <w:rsid w:val="29661B7D"/>
    <w:rsid w:val="297568ED"/>
    <w:rsid w:val="297D2551"/>
    <w:rsid w:val="29880927"/>
    <w:rsid w:val="299750B5"/>
    <w:rsid w:val="29C81F2D"/>
    <w:rsid w:val="29D951D2"/>
    <w:rsid w:val="29E07664"/>
    <w:rsid w:val="29EB0CBB"/>
    <w:rsid w:val="29FD10B2"/>
    <w:rsid w:val="2A141915"/>
    <w:rsid w:val="2A143025"/>
    <w:rsid w:val="2A37459E"/>
    <w:rsid w:val="2A4B4074"/>
    <w:rsid w:val="2A5C5F61"/>
    <w:rsid w:val="2A684AF8"/>
    <w:rsid w:val="2A7D526C"/>
    <w:rsid w:val="2A8C4479"/>
    <w:rsid w:val="2AB802B6"/>
    <w:rsid w:val="2ACD7A4A"/>
    <w:rsid w:val="2B0133F3"/>
    <w:rsid w:val="2B3553AC"/>
    <w:rsid w:val="2B662F26"/>
    <w:rsid w:val="2B68426C"/>
    <w:rsid w:val="2B7731D5"/>
    <w:rsid w:val="2B77636C"/>
    <w:rsid w:val="2B8830A5"/>
    <w:rsid w:val="2B8C3E6A"/>
    <w:rsid w:val="2B8E0A38"/>
    <w:rsid w:val="2B9229BD"/>
    <w:rsid w:val="2B987A9B"/>
    <w:rsid w:val="2B9C4772"/>
    <w:rsid w:val="2BB1166A"/>
    <w:rsid w:val="2BB17D96"/>
    <w:rsid w:val="2BCE605B"/>
    <w:rsid w:val="2BF513C3"/>
    <w:rsid w:val="2C0263E3"/>
    <w:rsid w:val="2C2A4AA2"/>
    <w:rsid w:val="2C300C0F"/>
    <w:rsid w:val="2C404952"/>
    <w:rsid w:val="2C41686F"/>
    <w:rsid w:val="2C4A407D"/>
    <w:rsid w:val="2C5517FA"/>
    <w:rsid w:val="2C5D2BCB"/>
    <w:rsid w:val="2C673304"/>
    <w:rsid w:val="2C7F7D05"/>
    <w:rsid w:val="2CAB5E96"/>
    <w:rsid w:val="2CC971E0"/>
    <w:rsid w:val="2CEA0190"/>
    <w:rsid w:val="2CF362A7"/>
    <w:rsid w:val="2D053ED4"/>
    <w:rsid w:val="2D112E68"/>
    <w:rsid w:val="2D190A4D"/>
    <w:rsid w:val="2D1E696D"/>
    <w:rsid w:val="2D392EBD"/>
    <w:rsid w:val="2D412121"/>
    <w:rsid w:val="2D507D0F"/>
    <w:rsid w:val="2D547055"/>
    <w:rsid w:val="2D69193D"/>
    <w:rsid w:val="2D8549FE"/>
    <w:rsid w:val="2D937296"/>
    <w:rsid w:val="2D9D214F"/>
    <w:rsid w:val="2E194672"/>
    <w:rsid w:val="2E295FB1"/>
    <w:rsid w:val="2E297861"/>
    <w:rsid w:val="2E400550"/>
    <w:rsid w:val="2E4A3B25"/>
    <w:rsid w:val="2E4B1925"/>
    <w:rsid w:val="2E580FB8"/>
    <w:rsid w:val="2E595841"/>
    <w:rsid w:val="2E5A79A8"/>
    <w:rsid w:val="2E713413"/>
    <w:rsid w:val="2E876018"/>
    <w:rsid w:val="2E9E2032"/>
    <w:rsid w:val="2EA00E96"/>
    <w:rsid w:val="2EAD7387"/>
    <w:rsid w:val="2EB51313"/>
    <w:rsid w:val="2EC34CAA"/>
    <w:rsid w:val="2EC57743"/>
    <w:rsid w:val="2EE21569"/>
    <w:rsid w:val="2EF61027"/>
    <w:rsid w:val="2EF673B2"/>
    <w:rsid w:val="2EFA3D15"/>
    <w:rsid w:val="2F0F49F6"/>
    <w:rsid w:val="2F1E0617"/>
    <w:rsid w:val="2F3B5F47"/>
    <w:rsid w:val="2F630326"/>
    <w:rsid w:val="2F6528D2"/>
    <w:rsid w:val="2F80736A"/>
    <w:rsid w:val="2F8B2767"/>
    <w:rsid w:val="2FAC7B06"/>
    <w:rsid w:val="2FB661C5"/>
    <w:rsid w:val="2FB9310E"/>
    <w:rsid w:val="2FD7476A"/>
    <w:rsid w:val="2FFB511A"/>
    <w:rsid w:val="300764C7"/>
    <w:rsid w:val="300D72A0"/>
    <w:rsid w:val="300E4371"/>
    <w:rsid w:val="30162EE4"/>
    <w:rsid w:val="301867A7"/>
    <w:rsid w:val="304200F0"/>
    <w:rsid w:val="30481771"/>
    <w:rsid w:val="304B0887"/>
    <w:rsid w:val="30804A52"/>
    <w:rsid w:val="30865140"/>
    <w:rsid w:val="30892CB5"/>
    <w:rsid w:val="308D4352"/>
    <w:rsid w:val="30913CD1"/>
    <w:rsid w:val="309366B0"/>
    <w:rsid w:val="30B56F7F"/>
    <w:rsid w:val="30CD6512"/>
    <w:rsid w:val="30D32D5C"/>
    <w:rsid w:val="30D51673"/>
    <w:rsid w:val="30D8410C"/>
    <w:rsid w:val="30DF5FF5"/>
    <w:rsid w:val="31075179"/>
    <w:rsid w:val="312233F3"/>
    <w:rsid w:val="312E0E3C"/>
    <w:rsid w:val="31390B9A"/>
    <w:rsid w:val="314A6ABA"/>
    <w:rsid w:val="314C56BA"/>
    <w:rsid w:val="31593BDA"/>
    <w:rsid w:val="31713C39"/>
    <w:rsid w:val="31752C1A"/>
    <w:rsid w:val="317A684F"/>
    <w:rsid w:val="319467F8"/>
    <w:rsid w:val="31A14DD2"/>
    <w:rsid w:val="31A737AC"/>
    <w:rsid w:val="31C42CD6"/>
    <w:rsid w:val="31CA3E43"/>
    <w:rsid w:val="31D511EC"/>
    <w:rsid w:val="31E44CFB"/>
    <w:rsid w:val="31EC7EBD"/>
    <w:rsid w:val="31F86A33"/>
    <w:rsid w:val="320A5AE9"/>
    <w:rsid w:val="320C49B5"/>
    <w:rsid w:val="32492D79"/>
    <w:rsid w:val="32694BDD"/>
    <w:rsid w:val="328B2436"/>
    <w:rsid w:val="32933D30"/>
    <w:rsid w:val="32B07E3B"/>
    <w:rsid w:val="32BB1167"/>
    <w:rsid w:val="32BD235D"/>
    <w:rsid w:val="32DB633C"/>
    <w:rsid w:val="33017F65"/>
    <w:rsid w:val="330F5E26"/>
    <w:rsid w:val="33115527"/>
    <w:rsid w:val="33116E3B"/>
    <w:rsid w:val="3313262E"/>
    <w:rsid w:val="33524EFE"/>
    <w:rsid w:val="33620D99"/>
    <w:rsid w:val="336F6F45"/>
    <w:rsid w:val="33C20738"/>
    <w:rsid w:val="33C423C6"/>
    <w:rsid w:val="33F46FF9"/>
    <w:rsid w:val="33FB01F3"/>
    <w:rsid w:val="340D79D9"/>
    <w:rsid w:val="3417304E"/>
    <w:rsid w:val="34237AFF"/>
    <w:rsid w:val="343A083B"/>
    <w:rsid w:val="34474BED"/>
    <w:rsid w:val="344B0A07"/>
    <w:rsid w:val="344C08ED"/>
    <w:rsid w:val="345A3543"/>
    <w:rsid w:val="346E41FB"/>
    <w:rsid w:val="347D705B"/>
    <w:rsid w:val="3488568E"/>
    <w:rsid w:val="34AC7016"/>
    <w:rsid w:val="34B56AED"/>
    <w:rsid w:val="34C76AAE"/>
    <w:rsid w:val="34CA64F2"/>
    <w:rsid w:val="34CD029C"/>
    <w:rsid w:val="34D33899"/>
    <w:rsid w:val="34D71235"/>
    <w:rsid w:val="35071485"/>
    <w:rsid w:val="351705A2"/>
    <w:rsid w:val="351B1769"/>
    <w:rsid w:val="351B7CC3"/>
    <w:rsid w:val="353D59EC"/>
    <w:rsid w:val="355F361A"/>
    <w:rsid w:val="3569521C"/>
    <w:rsid w:val="357346C9"/>
    <w:rsid w:val="358677E3"/>
    <w:rsid w:val="35984CED"/>
    <w:rsid w:val="35A80793"/>
    <w:rsid w:val="35AE5D06"/>
    <w:rsid w:val="35B167FF"/>
    <w:rsid w:val="35BD5FF1"/>
    <w:rsid w:val="35CB4196"/>
    <w:rsid w:val="35DB3EB0"/>
    <w:rsid w:val="35EE132A"/>
    <w:rsid w:val="35F17E38"/>
    <w:rsid w:val="35F679F4"/>
    <w:rsid w:val="3616516D"/>
    <w:rsid w:val="362568D1"/>
    <w:rsid w:val="362B47AC"/>
    <w:rsid w:val="365263F8"/>
    <w:rsid w:val="365F0AF6"/>
    <w:rsid w:val="365F4382"/>
    <w:rsid w:val="36686926"/>
    <w:rsid w:val="36694DA6"/>
    <w:rsid w:val="36841376"/>
    <w:rsid w:val="36A64ADF"/>
    <w:rsid w:val="36B33A4B"/>
    <w:rsid w:val="36C9224A"/>
    <w:rsid w:val="36CA620D"/>
    <w:rsid w:val="36DD6C2D"/>
    <w:rsid w:val="36DE4808"/>
    <w:rsid w:val="36F06AE2"/>
    <w:rsid w:val="36FD2F2E"/>
    <w:rsid w:val="37215DAE"/>
    <w:rsid w:val="37301ED9"/>
    <w:rsid w:val="37372BD9"/>
    <w:rsid w:val="373A6992"/>
    <w:rsid w:val="373F44D7"/>
    <w:rsid w:val="37430807"/>
    <w:rsid w:val="376A6889"/>
    <w:rsid w:val="376C762F"/>
    <w:rsid w:val="376E1B9B"/>
    <w:rsid w:val="378D1F5C"/>
    <w:rsid w:val="37965829"/>
    <w:rsid w:val="37C541C3"/>
    <w:rsid w:val="37C546C8"/>
    <w:rsid w:val="37EE6069"/>
    <w:rsid w:val="380842F5"/>
    <w:rsid w:val="38141802"/>
    <w:rsid w:val="382F41A7"/>
    <w:rsid w:val="383A09EA"/>
    <w:rsid w:val="38401B74"/>
    <w:rsid w:val="384F747A"/>
    <w:rsid w:val="38691B10"/>
    <w:rsid w:val="386D4F7B"/>
    <w:rsid w:val="387939C8"/>
    <w:rsid w:val="389E5408"/>
    <w:rsid w:val="38A32AB0"/>
    <w:rsid w:val="38E513C3"/>
    <w:rsid w:val="38E779DA"/>
    <w:rsid w:val="38F3519A"/>
    <w:rsid w:val="38F60482"/>
    <w:rsid w:val="390538BB"/>
    <w:rsid w:val="39066DD1"/>
    <w:rsid w:val="393860F8"/>
    <w:rsid w:val="395314A7"/>
    <w:rsid w:val="39853E89"/>
    <w:rsid w:val="398A1FA4"/>
    <w:rsid w:val="398C5B97"/>
    <w:rsid w:val="399F1C41"/>
    <w:rsid w:val="39B006C6"/>
    <w:rsid w:val="39BA6B41"/>
    <w:rsid w:val="39BF7D74"/>
    <w:rsid w:val="39CC5062"/>
    <w:rsid w:val="39EC07FC"/>
    <w:rsid w:val="3A1219DE"/>
    <w:rsid w:val="3A196D11"/>
    <w:rsid w:val="3A1F6307"/>
    <w:rsid w:val="3A206B2C"/>
    <w:rsid w:val="3A42286D"/>
    <w:rsid w:val="3A4678DA"/>
    <w:rsid w:val="3A5D0115"/>
    <w:rsid w:val="3A7E6E2D"/>
    <w:rsid w:val="3A941476"/>
    <w:rsid w:val="3A9E523D"/>
    <w:rsid w:val="3AD20C40"/>
    <w:rsid w:val="3AE82222"/>
    <w:rsid w:val="3AE95405"/>
    <w:rsid w:val="3AEC72C6"/>
    <w:rsid w:val="3B0C144A"/>
    <w:rsid w:val="3B0D1AA4"/>
    <w:rsid w:val="3B1F0F3D"/>
    <w:rsid w:val="3B3013EF"/>
    <w:rsid w:val="3B3B3C00"/>
    <w:rsid w:val="3B587F97"/>
    <w:rsid w:val="3B5F0B4A"/>
    <w:rsid w:val="3B614D42"/>
    <w:rsid w:val="3B8405F0"/>
    <w:rsid w:val="3B972B10"/>
    <w:rsid w:val="3BA777E2"/>
    <w:rsid w:val="3BDA2875"/>
    <w:rsid w:val="3BE92C13"/>
    <w:rsid w:val="3BEB1BF2"/>
    <w:rsid w:val="3BEE4BD8"/>
    <w:rsid w:val="3BF1798F"/>
    <w:rsid w:val="3BF653A3"/>
    <w:rsid w:val="3C103011"/>
    <w:rsid w:val="3C470BB4"/>
    <w:rsid w:val="3C6F46D1"/>
    <w:rsid w:val="3CA109FC"/>
    <w:rsid w:val="3CAF4016"/>
    <w:rsid w:val="3CB5415C"/>
    <w:rsid w:val="3CB93E1F"/>
    <w:rsid w:val="3CC81336"/>
    <w:rsid w:val="3CE52266"/>
    <w:rsid w:val="3CF06C84"/>
    <w:rsid w:val="3CF90D85"/>
    <w:rsid w:val="3CFA3A50"/>
    <w:rsid w:val="3D3457A5"/>
    <w:rsid w:val="3D442F40"/>
    <w:rsid w:val="3D4B3228"/>
    <w:rsid w:val="3D665363"/>
    <w:rsid w:val="3D6C5259"/>
    <w:rsid w:val="3D815C6A"/>
    <w:rsid w:val="3D823FAB"/>
    <w:rsid w:val="3DA80713"/>
    <w:rsid w:val="3DB008E8"/>
    <w:rsid w:val="3DD35F53"/>
    <w:rsid w:val="3DDB21B2"/>
    <w:rsid w:val="3DE43A27"/>
    <w:rsid w:val="3DEC1B42"/>
    <w:rsid w:val="3E05149E"/>
    <w:rsid w:val="3E1306E3"/>
    <w:rsid w:val="3E281BC1"/>
    <w:rsid w:val="3E2E0E63"/>
    <w:rsid w:val="3E3F273E"/>
    <w:rsid w:val="3E53338B"/>
    <w:rsid w:val="3E565EF5"/>
    <w:rsid w:val="3E6009E7"/>
    <w:rsid w:val="3E7A55C8"/>
    <w:rsid w:val="3E926B6E"/>
    <w:rsid w:val="3E9855E3"/>
    <w:rsid w:val="3EB74AA2"/>
    <w:rsid w:val="3EF6105B"/>
    <w:rsid w:val="3EFE0C27"/>
    <w:rsid w:val="3F2A26F4"/>
    <w:rsid w:val="3F623C09"/>
    <w:rsid w:val="3F6779DD"/>
    <w:rsid w:val="3F6F78D3"/>
    <w:rsid w:val="3F7817BD"/>
    <w:rsid w:val="3F907396"/>
    <w:rsid w:val="3F911EE0"/>
    <w:rsid w:val="3FB5308A"/>
    <w:rsid w:val="3FC013B6"/>
    <w:rsid w:val="3FC2700E"/>
    <w:rsid w:val="3FD04626"/>
    <w:rsid w:val="3FDD0681"/>
    <w:rsid w:val="401570CB"/>
    <w:rsid w:val="4021297B"/>
    <w:rsid w:val="40292BBA"/>
    <w:rsid w:val="40323DC6"/>
    <w:rsid w:val="403A763C"/>
    <w:rsid w:val="40456036"/>
    <w:rsid w:val="404C3C9D"/>
    <w:rsid w:val="405733DE"/>
    <w:rsid w:val="406A486F"/>
    <w:rsid w:val="407A1987"/>
    <w:rsid w:val="40861960"/>
    <w:rsid w:val="40A43101"/>
    <w:rsid w:val="40B674EB"/>
    <w:rsid w:val="40C308FE"/>
    <w:rsid w:val="40CE3736"/>
    <w:rsid w:val="40D523DF"/>
    <w:rsid w:val="40DD7F35"/>
    <w:rsid w:val="40FF1013"/>
    <w:rsid w:val="410B73F2"/>
    <w:rsid w:val="410C0341"/>
    <w:rsid w:val="413446CD"/>
    <w:rsid w:val="41345F8F"/>
    <w:rsid w:val="4146699C"/>
    <w:rsid w:val="416D4320"/>
    <w:rsid w:val="4198176D"/>
    <w:rsid w:val="419C327A"/>
    <w:rsid w:val="419E1DAA"/>
    <w:rsid w:val="41A9791C"/>
    <w:rsid w:val="41AF045B"/>
    <w:rsid w:val="41B3181C"/>
    <w:rsid w:val="41C35A70"/>
    <w:rsid w:val="41E11B0D"/>
    <w:rsid w:val="41EA4852"/>
    <w:rsid w:val="41FA65F4"/>
    <w:rsid w:val="41FF69D0"/>
    <w:rsid w:val="42146253"/>
    <w:rsid w:val="42155091"/>
    <w:rsid w:val="421D4110"/>
    <w:rsid w:val="42317850"/>
    <w:rsid w:val="42324B9B"/>
    <w:rsid w:val="424267BC"/>
    <w:rsid w:val="424C6EDE"/>
    <w:rsid w:val="42713526"/>
    <w:rsid w:val="4274477B"/>
    <w:rsid w:val="42843B23"/>
    <w:rsid w:val="42B81D49"/>
    <w:rsid w:val="42D2577A"/>
    <w:rsid w:val="42D84844"/>
    <w:rsid w:val="42EA4FE1"/>
    <w:rsid w:val="42EA50BC"/>
    <w:rsid w:val="42EE6B5E"/>
    <w:rsid w:val="433055C8"/>
    <w:rsid w:val="43383D26"/>
    <w:rsid w:val="43421758"/>
    <w:rsid w:val="4347488C"/>
    <w:rsid w:val="43870035"/>
    <w:rsid w:val="43AB6C07"/>
    <w:rsid w:val="43BA58C0"/>
    <w:rsid w:val="43BE045E"/>
    <w:rsid w:val="43D259ED"/>
    <w:rsid w:val="43E10F3D"/>
    <w:rsid w:val="43F04AF6"/>
    <w:rsid w:val="440744D1"/>
    <w:rsid w:val="44444247"/>
    <w:rsid w:val="444C7561"/>
    <w:rsid w:val="446402C1"/>
    <w:rsid w:val="448A727C"/>
    <w:rsid w:val="448B2266"/>
    <w:rsid w:val="448C4299"/>
    <w:rsid w:val="44A33F42"/>
    <w:rsid w:val="44A410C6"/>
    <w:rsid w:val="44C9538F"/>
    <w:rsid w:val="44D35CB8"/>
    <w:rsid w:val="44FF04D3"/>
    <w:rsid w:val="450B7058"/>
    <w:rsid w:val="450C221F"/>
    <w:rsid w:val="450F3F53"/>
    <w:rsid w:val="455F19D6"/>
    <w:rsid w:val="456B55DA"/>
    <w:rsid w:val="458B4E56"/>
    <w:rsid w:val="45A22A4A"/>
    <w:rsid w:val="45E33668"/>
    <w:rsid w:val="46060ED6"/>
    <w:rsid w:val="46117B24"/>
    <w:rsid w:val="462269B5"/>
    <w:rsid w:val="463A7076"/>
    <w:rsid w:val="463F304E"/>
    <w:rsid w:val="46402F23"/>
    <w:rsid w:val="464306D8"/>
    <w:rsid w:val="465873F1"/>
    <w:rsid w:val="46685922"/>
    <w:rsid w:val="46716049"/>
    <w:rsid w:val="46917F54"/>
    <w:rsid w:val="46B93E78"/>
    <w:rsid w:val="46C50506"/>
    <w:rsid w:val="46DF3D0B"/>
    <w:rsid w:val="46F5246C"/>
    <w:rsid w:val="470E5059"/>
    <w:rsid w:val="47142594"/>
    <w:rsid w:val="471C298B"/>
    <w:rsid w:val="4728398E"/>
    <w:rsid w:val="476E653F"/>
    <w:rsid w:val="47752908"/>
    <w:rsid w:val="477577E9"/>
    <w:rsid w:val="47A5798A"/>
    <w:rsid w:val="47B30EBA"/>
    <w:rsid w:val="47B37F37"/>
    <w:rsid w:val="47C7119C"/>
    <w:rsid w:val="47CC604E"/>
    <w:rsid w:val="47FB6965"/>
    <w:rsid w:val="4808337D"/>
    <w:rsid w:val="480E1451"/>
    <w:rsid w:val="481B2835"/>
    <w:rsid w:val="484F026A"/>
    <w:rsid w:val="48651DEB"/>
    <w:rsid w:val="48652C9A"/>
    <w:rsid w:val="4880599E"/>
    <w:rsid w:val="488C4930"/>
    <w:rsid w:val="489E2B46"/>
    <w:rsid w:val="48A90FD1"/>
    <w:rsid w:val="48C7608A"/>
    <w:rsid w:val="48DC23A4"/>
    <w:rsid w:val="48E3723A"/>
    <w:rsid w:val="48EB7146"/>
    <w:rsid w:val="48EF76FD"/>
    <w:rsid w:val="48F152E5"/>
    <w:rsid w:val="48F15FA3"/>
    <w:rsid w:val="48FA781D"/>
    <w:rsid w:val="49083AAE"/>
    <w:rsid w:val="49117C08"/>
    <w:rsid w:val="491A3FEE"/>
    <w:rsid w:val="491C1FF2"/>
    <w:rsid w:val="492F5B5B"/>
    <w:rsid w:val="493974D6"/>
    <w:rsid w:val="494D6C53"/>
    <w:rsid w:val="495110F3"/>
    <w:rsid w:val="49541DC5"/>
    <w:rsid w:val="495D3D3B"/>
    <w:rsid w:val="49797DB0"/>
    <w:rsid w:val="497A68DE"/>
    <w:rsid w:val="498609B7"/>
    <w:rsid w:val="498977CD"/>
    <w:rsid w:val="499B4B31"/>
    <w:rsid w:val="499C688D"/>
    <w:rsid w:val="49A33EED"/>
    <w:rsid w:val="49A67882"/>
    <w:rsid w:val="49A67F39"/>
    <w:rsid w:val="49AD3347"/>
    <w:rsid w:val="49B77EE4"/>
    <w:rsid w:val="49C06525"/>
    <w:rsid w:val="49CA29B5"/>
    <w:rsid w:val="49EE42FC"/>
    <w:rsid w:val="49EF20A2"/>
    <w:rsid w:val="4A0B0F83"/>
    <w:rsid w:val="4A233246"/>
    <w:rsid w:val="4A2978AD"/>
    <w:rsid w:val="4A687806"/>
    <w:rsid w:val="4A770776"/>
    <w:rsid w:val="4A79283B"/>
    <w:rsid w:val="4A8C0D65"/>
    <w:rsid w:val="4A8E50A8"/>
    <w:rsid w:val="4A9E1301"/>
    <w:rsid w:val="4AA0121F"/>
    <w:rsid w:val="4AA078F4"/>
    <w:rsid w:val="4AA81F97"/>
    <w:rsid w:val="4AD57D35"/>
    <w:rsid w:val="4AD70551"/>
    <w:rsid w:val="4AF06BD7"/>
    <w:rsid w:val="4B2973D3"/>
    <w:rsid w:val="4B31503D"/>
    <w:rsid w:val="4B3C12C7"/>
    <w:rsid w:val="4B4676D8"/>
    <w:rsid w:val="4B4734B2"/>
    <w:rsid w:val="4B561DAF"/>
    <w:rsid w:val="4B57099B"/>
    <w:rsid w:val="4B59472D"/>
    <w:rsid w:val="4B6435D0"/>
    <w:rsid w:val="4B7550CF"/>
    <w:rsid w:val="4B775668"/>
    <w:rsid w:val="4B803EDC"/>
    <w:rsid w:val="4B9B4380"/>
    <w:rsid w:val="4BD81B39"/>
    <w:rsid w:val="4BF04BB6"/>
    <w:rsid w:val="4BF206D7"/>
    <w:rsid w:val="4BF81E6B"/>
    <w:rsid w:val="4C022EFB"/>
    <w:rsid w:val="4C05520B"/>
    <w:rsid w:val="4C0C5FB5"/>
    <w:rsid w:val="4C131A76"/>
    <w:rsid w:val="4C28123B"/>
    <w:rsid w:val="4C43667C"/>
    <w:rsid w:val="4C463D3E"/>
    <w:rsid w:val="4C4A7A72"/>
    <w:rsid w:val="4C8E33C0"/>
    <w:rsid w:val="4CBF1A24"/>
    <w:rsid w:val="4CCC1EC1"/>
    <w:rsid w:val="4CCF72F1"/>
    <w:rsid w:val="4CD8662E"/>
    <w:rsid w:val="4CDB78E8"/>
    <w:rsid w:val="4CF0689A"/>
    <w:rsid w:val="4CFA68AD"/>
    <w:rsid w:val="4D114E42"/>
    <w:rsid w:val="4D2C5263"/>
    <w:rsid w:val="4D467A94"/>
    <w:rsid w:val="4D5B1260"/>
    <w:rsid w:val="4D6551E0"/>
    <w:rsid w:val="4D982C2E"/>
    <w:rsid w:val="4DD211D0"/>
    <w:rsid w:val="4DD728CB"/>
    <w:rsid w:val="4DF42E73"/>
    <w:rsid w:val="4DF944DA"/>
    <w:rsid w:val="4E23773E"/>
    <w:rsid w:val="4E2C7E74"/>
    <w:rsid w:val="4E3E7552"/>
    <w:rsid w:val="4E4041E5"/>
    <w:rsid w:val="4E5322CC"/>
    <w:rsid w:val="4E631A76"/>
    <w:rsid w:val="4E6E5273"/>
    <w:rsid w:val="4E846047"/>
    <w:rsid w:val="4E847060"/>
    <w:rsid w:val="4E9D0B71"/>
    <w:rsid w:val="4EC04EF1"/>
    <w:rsid w:val="4EC147E9"/>
    <w:rsid w:val="4ECB7639"/>
    <w:rsid w:val="4EE0016A"/>
    <w:rsid w:val="4F0E3D24"/>
    <w:rsid w:val="4F360563"/>
    <w:rsid w:val="4F916639"/>
    <w:rsid w:val="4FB511F8"/>
    <w:rsid w:val="4FD317B8"/>
    <w:rsid w:val="4FD53FA0"/>
    <w:rsid w:val="4FEB1B46"/>
    <w:rsid w:val="4FEF7B48"/>
    <w:rsid w:val="4FF55D0A"/>
    <w:rsid w:val="50093859"/>
    <w:rsid w:val="50112F15"/>
    <w:rsid w:val="501E5FE1"/>
    <w:rsid w:val="50303B36"/>
    <w:rsid w:val="504A4B4A"/>
    <w:rsid w:val="5055122C"/>
    <w:rsid w:val="50615F47"/>
    <w:rsid w:val="5071288C"/>
    <w:rsid w:val="507E0F32"/>
    <w:rsid w:val="50806B6C"/>
    <w:rsid w:val="509550D0"/>
    <w:rsid w:val="509B1336"/>
    <w:rsid w:val="50A73E8E"/>
    <w:rsid w:val="50B94B1F"/>
    <w:rsid w:val="50C5423B"/>
    <w:rsid w:val="50D13D94"/>
    <w:rsid w:val="50D71089"/>
    <w:rsid w:val="50DC0C95"/>
    <w:rsid w:val="50E73E21"/>
    <w:rsid w:val="50EB2231"/>
    <w:rsid w:val="5114072D"/>
    <w:rsid w:val="514051DB"/>
    <w:rsid w:val="514B3CFC"/>
    <w:rsid w:val="51577358"/>
    <w:rsid w:val="515A7CA8"/>
    <w:rsid w:val="515E237E"/>
    <w:rsid w:val="517A54CA"/>
    <w:rsid w:val="518D3A03"/>
    <w:rsid w:val="51AB4C41"/>
    <w:rsid w:val="51F63AF3"/>
    <w:rsid w:val="520225C6"/>
    <w:rsid w:val="522D5833"/>
    <w:rsid w:val="523F22EF"/>
    <w:rsid w:val="524F0849"/>
    <w:rsid w:val="527105A3"/>
    <w:rsid w:val="52930C71"/>
    <w:rsid w:val="529A6BBA"/>
    <w:rsid w:val="52A03597"/>
    <w:rsid w:val="52AD3372"/>
    <w:rsid w:val="52BA4C49"/>
    <w:rsid w:val="52BB3C66"/>
    <w:rsid w:val="52C04C9A"/>
    <w:rsid w:val="52FC67F1"/>
    <w:rsid w:val="53001A86"/>
    <w:rsid w:val="53025042"/>
    <w:rsid w:val="53194D99"/>
    <w:rsid w:val="531A455E"/>
    <w:rsid w:val="532A6C69"/>
    <w:rsid w:val="536F10AC"/>
    <w:rsid w:val="537023B5"/>
    <w:rsid w:val="538D4305"/>
    <w:rsid w:val="53A735B5"/>
    <w:rsid w:val="53DF490F"/>
    <w:rsid w:val="53E2654D"/>
    <w:rsid w:val="53EB058A"/>
    <w:rsid w:val="53F65A75"/>
    <w:rsid w:val="540C5299"/>
    <w:rsid w:val="54113DC2"/>
    <w:rsid w:val="541819F8"/>
    <w:rsid w:val="54210CAA"/>
    <w:rsid w:val="54241CD4"/>
    <w:rsid w:val="542C7173"/>
    <w:rsid w:val="543603A1"/>
    <w:rsid w:val="54453604"/>
    <w:rsid w:val="54501DD9"/>
    <w:rsid w:val="545829F8"/>
    <w:rsid w:val="545D1BEF"/>
    <w:rsid w:val="54662659"/>
    <w:rsid w:val="54866C68"/>
    <w:rsid w:val="549875C0"/>
    <w:rsid w:val="54CB7E53"/>
    <w:rsid w:val="54FC5686"/>
    <w:rsid w:val="54FE13B1"/>
    <w:rsid w:val="54FE580E"/>
    <w:rsid w:val="55520379"/>
    <w:rsid w:val="555248F5"/>
    <w:rsid w:val="555641A8"/>
    <w:rsid w:val="55735C8E"/>
    <w:rsid w:val="557E1066"/>
    <w:rsid w:val="558123B0"/>
    <w:rsid w:val="55902AAC"/>
    <w:rsid w:val="55911D83"/>
    <w:rsid w:val="55926AF5"/>
    <w:rsid w:val="55A33019"/>
    <w:rsid w:val="55A4637A"/>
    <w:rsid w:val="55AD240E"/>
    <w:rsid w:val="55BA75A3"/>
    <w:rsid w:val="55C821BC"/>
    <w:rsid w:val="55CF05EE"/>
    <w:rsid w:val="55D0344B"/>
    <w:rsid w:val="55E85DEA"/>
    <w:rsid w:val="55F21A9E"/>
    <w:rsid w:val="55F3312A"/>
    <w:rsid w:val="55FC3B15"/>
    <w:rsid w:val="56173F98"/>
    <w:rsid w:val="56276E90"/>
    <w:rsid w:val="563320B6"/>
    <w:rsid w:val="563E20C7"/>
    <w:rsid w:val="563E430E"/>
    <w:rsid w:val="56863EB3"/>
    <w:rsid w:val="56983544"/>
    <w:rsid w:val="569C0161"/>
    <w:rsid w:val="56A84BE0"/>
    <w:rsid w:val="56C30C4D"/>
    <w:rsid w:val="56CF52CB"/>
    <w:rsid w:val="56D27534"/>
    <w:rsid w:val="56E05265"/>
    <w:rsid w:val="56E13129"/>
    <w:rsid w:val="570529AB"/>
    <w:rsid w:val="570F7553"/>
    <w:rsid w:val="57152BEC"/>
    <w:rsid w:val="57437DDB"/>
    <w:rsid w:val="574C536C"/>
    <w:rsid w:val="574E4D09"/>
    <w:rsid w:val="575A3449"/>
    <w:rsid w:val="575E7524"/>
    <w:rsid w:val="5776747B"/>
    <w:rsid w:val="579A1B93"/>
    <w:rsid w:val="57A777B2"/>
    <w:rsid w:val="57AB2B31"/>
    <w:rsid w:val="57B57662"/>
    <w:rsid w:val="57F24984"/>
    <w:rsid w:val="58081340"/>
    <w:rsid w:val="58181497"/>
    <w:rsid w:val="58226F09"/>
    <w:rsid w:val="582D76ED"/>
    <w:rsid w:val="584F27D9"/>
    <w:rsid w:val="58504058"/>
    <w:rsid w:val="58651F78"/>
    <w:rsid w:val="58715A14"/>
    <w:rsid w:val="58810AAE"/>
    <w:rsid w:val="58A33A37"/>
    <w:rsid w:val="58AA170F"/>
    <w:rsid w:val="58BF1729"/>
    <w:rsid w:val="58E04BE6"/>
    <w:rsid w:val="58EC2F3F"/>
    <w:rsid w:val="58FF32DD"/>
    <w:rsid w:val="593654A7"/>
    <w:rsid w:val="59495910"/>
    <w:rsid w:val="596D2336"/>
    <w:rsid w:val="599D2C0B"/>
    <w:rsid w:val="59A0160B"/>
    <w:rsid w:val="59A3551D"/>
    <w:rsid w:val="59A92590"/>
    <w:rsid w:val="59D558F8"/>
    <w:rsid w:val="59E85B0B"/>
    <w:rsid w:val="59F434E3"/>
    <w:rsid w:val="59F85B6A"/>
    <w:rsid w:val="5A080716"/>
    <w:rsid w:val="5A1031ED"/>
    <w:rsid w:val="5A133146"/>
    <w:rsid w:val="5A2C21F1"/>
    <w:rsid w:val="5A3040F7"/>
    <w:rsid w:val="5A320B68"/>
    <w:rsid w:val="5A4562D9"/>
    <w:rsid w:val="5A845B89"/>
    <w:rsid w:val="5AAD676C"/>
    <w:rsid w:val="5AB56578"/>
    <w:rsid w:val="5AD009DB"/>
    <w:rsid w:val="5AD806E1"/>
    <w:rsid w:val="5AF43251"/>
    <w:rsid w:val="5B0069DA"/>
    <w:rsid w:val="5B07328F"/>
    <w:rsid w:val="5B1F4994"/>
    <w:rsid w:val="5B25068E"/>
    <w:rsid w:val="5B305CAC"/>
    <w:rsid w:val="5B4F217D"/>
    <w:rsid w:val="5B6E4682"/>
    <w:rsid w:val="5BC56986"/>
    <w:rsid w:val="5BD62414"/>
    <w:rsid w:val="5BE23FA0"/>
    <w:rsid w:val="5BEC299D"/>
    <w:rsid w:val="5BF1564C"/>
    <w:rsid w:val="5BFA4278"/>
    <w:rsid w:val="5BFC28AC"/>
    <w:rsid w:val="5C471826"/>
    <w:rsid w:val="5C5D0E24"/>
    <w:rsid w:val="5CA6693F"/>
    <w:rsid w:val="5CB42DD7"/>
    <w:rsid w:val="5CC12CC9"/>
    <w:rsid w:val="5CC840AC"/>
    <w:rsid w:val="5CCA40B3"/>
    <w:rsid w:val="5CE31FA8"/>
    <w:rsid w:val="5CF2411E"/>
    <w:rsid w:val="5D02548B"/>
    <w:rsid w:val="5D154FBF"/>
    <w:rsid w:val="5D24112E"/>
    <w:rsid w:val="5D2C5370"/>
    <w:rsid w:val="5D30431F"/>
    <w:rsid w:val="5D3B0F4A"/>
    <w:rsid w:val="5D3F0784"/>
    <w:rsid w:val="5D413549"/>
    <w:rsid w:val="5D7545C7"/>
    <w:rsid w:val="5D7E63D9"/>
    <w:rsid w:val="5D925E18"/>
    <w:rsid w:val="5DC6139A"/>
    <w:rsid w:val="5DD756FA"/>
    <w:rsid w:val="5DD76471"/>
    <w:rsid w:val="5DE91B30"/>
    <w:rsid w:val="5DEC2806"/>
    <w:rsid w:val="5E016079"/>
    <w:rsid w:val="5E0828B8"/>
    <w:rsid w:val="5E0E0A32"/>
    <w:rsid w:val="5E1412B7"/>
    <w:rsid w:val="5E174610"/>
    <w:rsid w:val="5E3037CA"/>
    <w:rsid w:val="5E39503D"/>
    <w:rsid w:val="5E402556"/>
    <w:rsid w:val="5E491B61"/>
    <w:rsid w:val="5E5A1687"/>
    <w:rsid w:val="5E5C0FEB"/>
    <w:rsid w:val="5E7954BD"/>
    <w:rsid w:val="5E89727C"/>
    <w:rsid w:val="5E8C4DB7"/>
    <w:rsid w:val="5EA12BFB"/>
    <w:rsid w:val="5EAC2CE3"/>
    <w:rsid w:val="5EB32EE1"/>
    <w:rsid w:val="5EBF4FAE"/>
    <w:rsid w:val="5EC903BF"/>
    <w:rsid w:val="5ED15CC8"/>
    <w:rsid w:val="5EE87BC9"/>
    <w:rsid w:val="5EEE637D"/>
    <w:rsid w:val="5F09241D"/>
    <w:rsid w:val="5F1C3E9B"/>
    <w:rsid w:val="5F1E201A"/>
    <w:rsid w:val="5F217BA6"/>
    <w:rsid w:val="5F375EA9"/>
    <w:rsid w:val="5F4729B0"/>
    <w:rsid w:val="5F4C6F5A"/>
    <w:rsid w:val="5F4E4568"/>
    <w:rsid w:val="5F583951"/>
    <w:rsid w:val="5F5B6BAC"/>
    <w:rsid w:val="5F703B0E"/>
    <w:rsid w:val="5F72310C"/>
    <w:rsid w:val="5F89005B"/>
    <w:rsid w:val="5F974B29"/>
    <w:rsid w:val="5FBE7E0A"/>
    <w:rsid w:val="5FDC0B75"/>
    <w:rsid w:val="5FF73935"/>
    <w:rsid w:val="601A6622"/>
    <w:rsid w:val="603C4AE8"/>
    <w:rsid w:val="60411C9C"/>
    <w:rsid w:val="60463EE4"/>
    <w:rsid w:val="604672EF"/>
    <w:rsid w:val="605C4711"/>
    <w:rsid w:val="605C4EB2"/>
    <w:rsid w:val="60776B4D"/>
    <w:rsid w:val="607E12CC"/>
    <w:rsid w:val="608D4554"/>
    <w:rsid w:val="609A2CCD"/>
    <w:rsid w:val="60A80FA4"/>
    <w:rsid w:val="60AB5B6D"/>
    <w:rsid w:val="60C51778"/>
    <w:rsid w:val="60E9506D"/>
    <w:rsid w:val="60F016B5"/>
    <w:rsid w:val="61052833"/>
    <w:rsid w:val="611F1104"/>
    <w:rsid w:val="6131247D"/>
    <w:rsid w:val="61400453"/>
    <w:rsid w:val="61441FB9"/>
    <w:rsid w:val="614D2CFB"/>
    <w:rsid w:val="61565EA1"/>
    <w:rsid w:val="615E6405"/>
    <w:rsid w:val="6163155B"/>
    <w:rsid w:val="616924CE"/>
    <w:rsid w:val="61764760"/>
    <w:rsid w:val="61781C0F"/>
    <w:rsid w:val="617F0038"/>
    <w:rsid w:val="618D5336"/>
    <w:rsid w:val="619E3BE4"/>
    <w:rsid w:val="61C13EAA"/>
    <w:rsid w:val="61FB4597"/>
    <w:rsid w:val="6201166F"/>
    <w:rsid w:val="622E0186"/>
    <w:rsid w:val="624660F2"/>
    <w:rsid w:val="624D63D1"/>
    <w:rsid w:val="629A0F0A"/>
    <w:rsid w:val="62AA720C"/>
    <w:rsid w:val="62B6533F"/>
    <w:rsid w:val="62C57529"/>
    <w:rsid w:val="62CF1F5C"/>
    <w:rsid w:val="62E01743"/>
    <w:rsid w:val="62EB157F"/>
    <w:rsid w:val="62F7467A"/>
    <w:rsid w:val="63003B4D"/>
    <w:rsid w:val="63033A1F"/>
    <w:rsid w:val="630371FA"/>
    <w:rsid w:val="63122CCF"/>
    <w:rsid w:val="63324298"/>
    <w:rsid w:val="63421082"/>
    <w:rsid w:val="634F56E0"/>
    <w:rsid w:val="63510EF4"/>
    <w:rsid w:val="6381737E"/>
    <w:rsid w:val="6391716C"/>
    <w:rsid w:val="63A37F5C"/>
    <w:rsid w:val="63B6343F"/>
    <w:rsid w:val="63B77A3C"/>
    <w:rsid w:val="63BA42E0"/>
    <w:rsid w:val="63D250CB"/>
    <w:rsid w:val="6401149B"/>
    <w:rsid w:val="64051441"/>
    <w:rsid w:val="643B3469"/>
    <w:rsid w:val="643E2230"/>
    <w:rsid w:val="644D5D2C"/>
    <w:rsid w:val="6451348B"/>
    <w:rsid w:val="64665196"/>
    <w:rsid w:val="64770511"/>
    <w:rsid w:val="647D3748"/>
    <w:rsid w:val="647E19A7"/>
    <w:rsid w:val="64A2019F"/>
    <w:rsid w:val="64A555F4"/>
    <w:rsid w:val="64B32A58"/>
    <w:rsid w:val="64B532FE"/>
    <w:rsid w:val="64C310A8"/>
    <w:rsid w:val="64CC1CD0"/>
    <w:rsid w:val="650D4750"/>
    <w:rsid w:val="651F5D00"/>
    <w:rsid w:val="654C4DC9"/>
    <w:rsid w:val="654C777A"/>
    <w:rsid w:val="65621015"/>
    <w:rsid w:val="656E1C80"/>
    <w:rsid w:val="657131AE"/>
    <w:rsid w:val="658073D4"/>
    <w:rsid w:val="65881E3C"/>
    <w:rsid w:val="658B00F4"/>
    <w:rsid w:val="658E5B0E"/>
    <w:rsid w:val="65B510EB"/>
    <w:rsid w:val="65D11E9E"/>
    <w:rsid w:val="65D16D50"/>
    <w:rsid w:val="65DA1718"/>
    <w:rsid w:val="65E13088"/>
    <w:rsid w:val="65EE47FE"/>
    <w:rsid w:val="65EE77B3"/>
    <w:rsid w:val="662134B8"/>
    <w:rsid w:val="66482F2B"/>
    <w:rsid w:val="666524F6"/>
    <w:rsid w:val="66921191"/>
    <w:rsid w:val="66964387"/>
    <w:rsid w:val="66BC4C24"/>
    <w:rsid w:val="66EC4AFD"/>
    <w:rsid w:val="66FB2863"/>
    <w:rsid w:val="670A1929"/>
    <w:rsid w:val="670E3486"/>
    <w:rsid w:val="67170B11"/>
    <w:rsid w:val="671C6AFE"/>
    <w:rsid w:val="672C5DBE"/>
    <w:rsid w:val="672E2863"/>
    <w:rsid w:val="67304519"/>
    <w:rsid w:val="67340937"/>
    <w:rsid w:val="67367361"/>
    <w:rsid w:val="67426FB7"/>
    <w:rsid w:val="67621A13"/>
    <w:rsid w:val="67705C4D"/>
    <w:rsid w:val="6774532B"/>
    <w:rsid w:val="6774551F"/>
    <w:rsid w:val="67903975"/>
    <w:rsid w:val="67983B91"/>
    <w:rsid w:val="67AC0503"/>
    <w:rsid w:val="67AE2B5B"/>
    <w:rsid w:val="67DA1793"/>
    <w:rsid w:val="67DD4930"/>
    <w:rsid w:val="67F73E3E"/>
    <w:rsid w:val="67FE4BEE"/>
    <w:rsid w:val="6804014B"/>
    <w:rsid w:val="68296145"/>
    <w:rsid w:val="6846564E"/>
    <w:rsid w:val="6863353C"/>
    <w:rsid w:val="688C4318"/>
    <w:rsid w:val="689614D3"/>
    <w:rsid w:val="68D63C70"/>
    <w:rsid w:val="68E12510"/>
    <w:rsid w:val="68E70957"/>
    <w:rsid w:val="691D131C"/>
    <w:rsid w:val="69843120"/>
    <w:rsid w:val="69853E9E"/>
    <w:rsid w:val="698A0CE2"/>
    <w:rsid w:val="698B48B5"/>
    <w:rsid w:val="698B568A"/>
    <w:rsid w:val="69923A8F"/>
    <w:rsid w:val="699C036C"/>
    <w:rsid w:val="69B819EB"/>
    <w:rsid w:val="69C47AD9"/>
    <w:rsid w:val="69CE0EBC"/>
    <w:rsid w:val="69CF5E40"/>
    <w:rsid w:val="69D25E58"/>
    <w:rsid w:val="69DB4E16"/>
    <w:rsid w:val="6A2420B3"/>
    <w:rsid w:val="6A2B171E"/>
    <w:rsid w:val="6A3744B2"/>
    <w:rsid w:val="6A632C60"/>
    <w:rsid w:val="6A6B2B0A"/>
    <w:rsid w:val="6A8A3A65"/>
    <w:rsid w:val="6A9C4C6A"/>
    <w:rsid w:val="6AA5410F"/>
    <w:rsid w:val="6AA65765"/>
    <w:rsid w:val="6AB17612"/>
    <w:rsid w:val="6ABF542D"/>
    <w:rsid w:val="6AD27081"/>
    <w:rsid w:val="6AD922E2"/>
    <w:rsid w:val="6AD97B7D"/>
    <w:rsid w:val="6AF83014"/>
    <w:rsid w:val="6AFC5F4F"/>
    <w:rsid w:val="6B0237CB"/>
    <w:rsid w:val="6B1F255E"/>
    <w:rsid w:val="6B3C306E"/>
    <w:rsid w:val="6B450E98"/>
    <w:rsid w:val="6B453927"/>
    <w:rsid w:val="6B4D0978"/>
    <w:rsid w:val="6B52616A"/>
    <w:rsid w:val="6B6E6517"/>
    <w:rsid w:val="6BAC56FD"/>
    <w:rsid w:val="6BB84F70"/>
    <w:rsid w:val="6BD8043B"/>
    <w:rsid w:val="6BF568E7"/>
    <w:rsid w:val="6BF73A7E"/>
    <w:rsid w:val="6BF872BA"/>
    <w:rsid w:val="6C0F7D30"/>
    <w:rsid w:val="6C1A431D"/>
    <w:rsid w:val="6C1C4DCB"/>
    <w:rsid w:val="6C2A0230"/>
    <w:rsid w:val="6C304CD8"/>
    <w:rsid w:val="6C3D35D9"/>
    <w:rsid w:val="6C4473AD"/>
    <w:rsid w:val="6C475E79"/>
    <w:rsid w:val="6C6D3F3C"/>
    <w:rsid w:val="6C6E736A"/>
    <w:rsid w:val="6C9108E3"/>
    <w:rsid w:val="6CD53F11"/>
    <w:rsid w:val="6CDA643C"/>
    <w:rsid w:val="6CFC2981"/>
    <w:rsid w:val="6D06067F"/>
    <w:rsid w:val="6D085F70"/>
    <w:rsid w:val="6D30192D"/>
    <w:rsid w:val="6D35271D"/>
    <w:rsid w:val="6D3A432A"/>
    <w:rsid w:val="6D3A48BF"/>
    <w:rsid w:val="6D6B3BC3"/>
    <w:rsid w:val="6D6C0BFB"/>
    <w:rsid w:val="6D721C7D"/>
    <w:rsid w:val="6D7F5F00"/>
    <w:rsid w:val="6D877068"/>
    <w:rsid w:val="6D91512D"/>
    <w:rsid w:val="6DAE0063"/>
    <w:rsid w:val="6DB04D9A"/>
    <w:rsid w:val="6DEE7A91"/>
    <w:rsid w:val="6E064722"/>
    <w:rsid w:val="6E4C7ACB"/>
    <w:rsid w:val="6E5B3617"/>
    <w:rsid w:val="6E8723DF"/>
    <w:rsid w:val="6E8E4C94"/>
    <w:rsid w:val="6E9109C8"/>
    <w:rsid w:val="6EC612C9"/>
    <w:rsid w:val="6EC85F72"/>
    <w:rsid w:val="6ECF630B"/>
    <w:rsid w:val="6ED051EE"/>
    <w:rsid w:val="6EE37CF5"/>
    <w:rsid w:val="6F02716B"/>
    <w:rsid w:val="6F0441E8"/>
    <w:rsid w:val="6F23487A"/>
    <w:rsid w:val="6F2474E3"/>
    <w:rsid w:val="6F34560B"/>
    <w:rsid w:val="6F407B6D"/>
    <w:rsid w:val="6F4E6FC9"/>
    <w:rsid w:val="6F5E47A3"/>
    <w:rsid w:val="6F636456"/>
    <w:rsid w:val="6F686B83"/>
    <w:rsid w:val="6F6D6D0B"/>
    <w:rsid w:val="6F8A58B2"/>
    <w:rsid w:val="6FA50BA3"/>
    <w:rsid w:val="6FB50527"/>
    <w:rsid w:val="6FBF6D4F"/>
    <w:rsid w:val="6FC36CFC"/>
    <w:rsid w:val="6FC426C3"/>
    <w:rsid w:val="6FC450B4"/>
    <w:rsid w:val="6FE17A5D"/>
    <w:rsid w:val="6FF55BB2"/>
    <w:rsid w:val="6FFD220E"/>
    <w:rsid w:val="6FFF153B"/>
    <w:rsid w:val="700822DB"/>
    <w:rsid w:val="70097B4D"/>
    <w:rsid w:val="700A0487"/>
    <w:rsid w:val="700D537A"/>
    <w:rsid w:val="701931D5"/>
    <w:rsid w:val="703062A7"/>
    <w:rsid w:val="7052239C"/>
    <w:rsid w:val="706051C3"/>
    <w:rsid w:val="707F48E7"/>
    <w:rsid w:val="708939FB"/>
    <w:rsid w:val="708E7806"/>
    <w:rsid w:val="709B0449"/>
    <w:rsid w:val="709B3CEC"/>
    <w:rsid w:val="70A7776D"/>
    <w:rsid w:val="70B342DC"/>
    <w:rsid w:val="70BD0BC5"/>
    <w:rsid w:val="70BD1520"/>
    <w:rsid w:val="70DE2EC7"/>
    <w:rsid w:val="70E12F6F"/>
    <w:rsid w:val="70F43F62"/>
    <w:rsid w:val="710A7C65"/>
    <w:rsid w:val="71221260"/>
    <w:rsid w:val="71265A0B"/>
    <w:rsid w:val="71336CF8"/>
    <w:rsid w:val="713A551A"/>
    <w:rsid w:val="71430906"/>
    <w:rsid w:val="716B0C82"/>
    <w:rsid w:val="717859F0"/>
    <w:rsid w:val="717A6BBE"/>
    <w:rsid w:val="717F1325"/>
    <w:rsid w:val="718B3A93"/>
    <w:rsid w:val="719357A8"/>
    <w:rsid w:val="71AA4E4C"/>
    <w:rsid w:val="71D15759"/>
    <w:rsid w:val="71F0781A"/>
    <w:rsid w:val="72071788"/>
    <w:rsid w:val="7207282C"/>
    <w:rsid w:val="7225363F"/>
    <w:rsid w:val="72490DB3"/>
    <w:rsid w:val="726B1F94"/>
    <w:rsid w:val="72715ADF"/>
    <w:rsid w:val="7283089D"/>
    <w:rsid w:val="72834520"/>
    <w:rsid w:val="728D4993"/>
    <w:rsid w:val="72A459CA"/>
    <w:rsid w:val="72AF56CE"/>
    <w:rsid w:val="72B354BC"/>
    <w:rsid w:val="72CF5A6B"/>
    <w:rsid w:val="72FB389D"/>
    <w:rsid w:val="73211FB3"/>
    <w:rsid w:val="732C6CCC"/>
    <w:rsid w:val="73385D1B"/>
    <w:rsid w:val="73397777"/>
    <w:rsid w:val="733C6403"/>
    <w:rsid w:val="73407C1D"/>
    <w:rsid w:val="734D57A9"/>
    <w:rsid w:val="73897E24"/>
    <w:rsid w:val="73A762F5"/>
    <w:rsid w:val="73B049E1"/>
    <w:rsid w:val="73C308A2"/>
    <w:rsid w:val="73C30A8F"/>
    <w:rsid w:val="73D658C4"/>
    <w:rsid w:val="73E7564B"/>
    <w:rsid w:val="73EB15BD"/>
    <w:rsid w:val="73FE3961"/>
    <w:rsid w:val="74067DA3"/>
    <w:rsid w:val="742E508B"/>
    <w:rsid w:val="743D5A1E"/>
    <w:rsid w:val="74411C34"/>
    <w:rsid w:val="746C61EA"/>
    <w:rsid w:val="748F08AC"/>
    <w:rsid w:val="749D2D63"/>
    <w:rsid w:val="74B42FF3"/>
    <w:rsid w:val="74D157B3"/>
    <w:rsid w:val="74D43894"/>
    <w:rsid w:val="74DA0B96"/>
    <w:rsid w:val="74DC4AE7"/>
    <w:rsid w:val="74E333F5"/>
    <w:rsid w:val="74E366DC"/>
    <w:rsid w:val="74E8638B"/>
    <w:rsid w:val="74EC0D40"/>
    <w:rsid w:val="74F51688"/>
    <w:rsid w:val="74FD05BA"/>
    <w:rsid w:val="74FF50CC"/>
    <w:rsid w:val="75304AE7"/>
    <w:rsid w:val="753A2367"/>
    <w:rsid w:val="75454EE9"/>
    <w:rsid w:val="75455C14"/>
    <w:rsid w:val="754A50F4"/>
    <w:rsid w:val="754D5E80"/>
    <w:rsid w:val="75546F0E"/>
    <w:rsid w:val="75735602"/>
    <w:rsid w:val="75890FF7"/>
    <w:rsid w:val="75BC6194"/>
    <w:rsid w:val="75C17884"/>
    <w:rsid w:val="75C66195"/>
    <w:rsid w:val="75C91244"/>
    <w:rsid w:val="75D94B83"/>
    <w:rsid w:val="75E25886"/>
    <w:rsid w:val="75E91D01"/>
    <w:rsid w:val="75ED57B4"/>
    <w:rsid w:val="7610256F"/>
    <w:rsid w:val="763B6C5A"/>
    <w:rsid w:val="76403213"/>
    <w:rsid w:val="765946A8"/>
    <w:rsid w:val="765A113A"/>
    <w:rsid w:val="76A87846"/>
    <w:rsid w:val="76C75F1C"/>
    <w:rsid w:val="76CF5F86"/>
    <w:rsid w:val="76DD1439"/>
    <w:rsid w:val="76E40D9D"/>
    <w:rsid w:val="770007F3"/>
    <w:rsid w:val="772F0900"/>
    <w:rsid w:val="772F32B3"/>
    <w:rsid w:val="77350758"/>
    <w:rsid w:val="77770F54"/>
    <w:rsid w:val="77863B5D"/>
    <w:rsid w:val="77AD3563"/>
    <w:rsid w:val="77CA0464"/>
    <w:rsid w:val="77CF5C8C"/>
    <w:rsid w:val="7807529B"/>
    <w:rsid w:val="78140B75"/>
    <w:rsid w:val="781F4071"/>
    <w:rsid w:val="786A21DB"/>
    <w:rsid w:val="7876184A"/>
    <w:rsid w:val="787972A8"/>
    <w:rsid w:val="78977BC7"/>
    <w:rsid w:val="78A31F63"/>
    <w:rsid w:val="78AB5C0F"/>
    <w:rsid w:val="78D8692F"/>
    <w:rsid w:val="78EE34BF"/>
    <w:rsid w:val="7907103F"/>
    <w:rsid w:val="790A7749"/>
    <w:rsid w:val="791E1989"/>
    <w:rsid w:val="792232BA"/>
    <w:rsid w:val="793605D2"/>
    <w:rsid w:val="795B2E98"/>
    <w:rsid w:val="7968710C"/>
    <w:rsid w:val="79773EF9"/>
    <w:rsid w:val="79822780"/>
    <w:rsid w:val="799A30BA"/>
    <w:rsid w:val="79A36D5A"/>
    <w:rsid w:val="79D815F5"/>
    <w:rsid w:val="79E70BCD"/>
    <w:rsid w:val="79EC1E4C"/>
    <w:rsid w:val="79EF79B4"/>
    <w:rsid w:val="79F00B9B"/>
    <w:rsid w:val="7A321CBC"/>
    <w:rsid w:val="7A335B12"/>
    <w:rsid w:val="7A3B23DA"/>
    <w:rsid w:val="7A4F5F1D"/>
    <w:rsid w:val="7A586EEC"/>
    <w:rsid w:val="7A636661"/>
    <w:rsid w:val="7A73105E"/>
    <w:rsid w:val="7A744A68"/>
    <w:rsid w:val="7A944FFF"/>
    <w:rsid w:val="7AA104B3"/>
    <w:rsid w:val="7AA25553"/>
    <w:rsid w:val="7AA62F42"/>
    <w:rsid w:val="7AA65922"/>
    <w:rsid w:val="7AA85E98"/>
    <w:rsid w:val="7AA939CC"/>
    <w:rsid w:val="7AAB36B0"/>
    <w:rsid w:val="7ADC7CB8"/>
    <w:rsid w:val="7AF56105"/>
    <w:rsid w:val="7AF60A46"/>
    <w:rsid w:val="7B1B6641"/>
    <w:rsid w:val="7B5B7D24"/>
    <w:rsid w:val="7BA93249"/>
    <w:rsid w:val="7BAB7C19"/>
    <w:rsid w:val="7BB76FFC"/>
    <w:rsid w:val="7BBA748A"/>
    <w:rsid w:val="7BC2077D"/>
    <w:rsid w:val="7BCE1278"/>
    <w:rsid w:val="7BE664F8"/>
    <w:rsid w:val="7BF15C34"/>
    <w:rsid w:val="7C0C7DAD"/>
    <w:rsid w:val="7C143877"/>
    <w:rsid w:val="7C302B79"/>
    <w:rsid w:val="7C4D4D3E"/>
    <w:rsid w:val="7C584EF5"/>
    <w:rsid w:val="7C5855EB"/>
    <w:rsid w:val="7C590BFC"/>
    <w:rsid w:val="7C73265D"/>
    <w:rsid w:val="7C7A785C"/>
    <w:rsid w:val="7C811F9F"/>
    <w:rsid w:val="7C833A9B"/>
    <w:rsid w:val="7C8A72C8"/>
    <w:rsid w:val="7C9C28ED"/>
    <w:rsid w:val="7CAB16D5"/>
    <w:rsid w:val="7CB0178F"/>
    <w:rsid w:val="7CBE6A00"/>
    <w:rsid w:val="7CCC0A69"/>
    <w:rsid w:val="7CD76770"/>
    <w:rsid w:val="7CF238C6"/>
    <w:rsid w:val="7D1C2698"/>
    <w:rsid w:val="7D386C97"/>
    <w:rsid w:val="7D493485"/>
    <w:rsid w:val="7D515775"/>
    <w:rsid w:val="7D54233D"/>
    <w:rsid w:val="7D5D6ABA"/>
    <w:rsid w:val="7D777FCB"/>
    <w:rsid w:val="7D7F7537"/>
    <w:rsid w:val="7D893333"/>
    <w:rsid w:val="7D905F4B"/>
    <w:rsid w:val="7DA1062F"/>
    <w:rsid w:val="7DBD3A5F"/>
    <w:rsid w:val="7DD1510F"/>
    <w:rsid w:val="7DE06894"/>
    <w:rsid w:val="7DE914B2"/>
    <w:rsid w:val="7E262FF6"/>
    <w:rsid w:val="7E2968C4"/>
    <w:rsid w:val="7E6145B6"/>
    <w:rsid w:val="7E7B70C6"/>
    <w:rsid w:val="7E7E1F50"/>
    <w:rsid w:val="7E8B0DC6"/>
    <w:rsid w:val="7E9218B6"/>
    <w:rsid w:val="7E9B0B59"/>
    <w:rsid w:val="7EA00686"/>
    <w:rsid w:val="7EA47B56"/>
    <w:rsid w:val="7EC438E8"/>
    <w:rsid w:val="7ECE53CB"/>
    <w:rsid w:val="7EEC7280"/>
    <w:rsid w:val="7EFE16F5"/>
    <w:rsid w:val="7F1E0F41"/>
    <w:rsid w:val="7F2B02F3"/>
    <w:rsid w:val="7F435D76"/>
    <w:rsid w:val="7F4B6856"/>
    <w:rsid w:val="7F4E7925"/>
    <w:rsid w:val="7F5A516C"/>
    <w:rsid w:val="7F5F5AE6"/>
    <w:rsid w:val="7F5F6EE2"/>
    <w:rsid w:val="7F697A27"/>
    <w:rsid w:val="7F722E10"/>
    <w:rsid w:val="7F9733CB"/>
    <w:rsid w:val="7F9F23E4"/>
    <w:rsid w:val="7FA65CB1"/>
    <w:rsid w:val="7FAB7717"/>
    <w:rsid w:val="7FB33502"/>
    <w:rsid w:val="7FC34A00"/>
    <w:rsid w:val="7FEE10D1"/>
    <w:rsid w:val="7FF65FB4"/>
    <w:rsid w:val="EF3CEE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nhideWhenUsed="0" w:uiPriority="1" w:semiHidden="0" w:name="heading 7"/>
    <w:lsdException w:qFormat="1" w:uiPriority="0" w:name="heading 8"/>
    <w:lsdException w:qFormat="1" w:unhideWhenUsed="0" w:uiPriority="1"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qFormat="1" w:unhideWhenUsed="0" w:uiPriority="0" w:semiHidden="0" w:name="toc 3"/>
    <w:lsdException w:uiPriority="0" w:name="toc 4"/>
    <w:lsdException w:uiPriority="0" w:name="toc 5"/>
    <w:lsdException w:uiPriority="0" w:name="toc 6"/>
    <w:lsdException w:uiPriority="0" w:name="toc 7"/>
    <w:lsdException w:qFormat="1" w:unhideWhenUsed="0" w:uiPriority="0" w:semiHidden="0" w:name="toc 8"/>
    <w:lsdException w:uiPriority="0" w:name="toc 9"/>
    <w:lsdException w:qFormat="1" w:unhideWhenUsed="0"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99" w:semiHidden="0" w:name="Body Text Indent 2"/>
    <w:lsdException w:qFormat="1" w:unhideWhenUsed="0" w:uiPriority="0" w:semiHidden="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heme="minorHAnsi" w:hAnsiTheme="minorHAnsi" w:eastAsiaTheme="minorEastAsia" w:cstheme="minorBidi"/>
      <w:kern w:val="2"/>
      <w:sz w:val="21"/>
      <w:szCs w:val="22"/>
      <w:lang w:val="en-US" w:eastAsia="zh-CN" w:bidi="ar-SA"/>
    </w:rPr>
  </w:style>
  <w:style w:type="paragraph" w:styleId="3">
    <w:name w:val="heading 1"/>
    <w:basedOn w:val="1"/>
    <w:next w:val="1"/>
    <w:autoRedefine/>
    <w:qFormat/>
    <w:uiPriority w:val="0"/>
    <w:pPr>
      <w:keepNext/>
      <w:keepLines/>
      <w:spacing w:line="400" w:lineRule="exact"/>
      <w:outlineLvl w:val="0"/>
    </w:pPr>
    <w:rPr>
      <w:b/>
      <w:kern w:val="0"/>
      <w:sz w:val="44"/>
    </w:rPr>
  </w:style>
  <w:style w:type="paragraph" w:styleId="4">
    <w:name w:val="heading 2"/>
    <w:basedOn w:val="1"/>
    <w:next w:val="1"/>
    <w:autoRedefine/>
    <w:unhideWhenUsed/>
    <w:qFormat/>
    <w:uiPriority w:val="0"/>
    <w:pPr>
      <w:keepNext/>
      <w:keepLines/>
      <w:spacing w:line="415" w:lineRule="auto"/>
      <w:outlineLvl w:val="1"/>
    </w:pPr>
    <w:rPr>
      <w:rFonts w:ascii="Arial" w:hAnsi="Arial" w:eastAsia="黑体"/>
      <w:b/>
      <w:sz w:val="32"/>
    </w:rPr>
  </w:style>
  <w:style w:type="paragraph" w:styleId="5">
    <w:name w:val="heading 3"/>
    <w:basedOn w:val="1"/>
    <w:next w:val="1"/>
    <w:autoRedefine/>
    <w:unhideWhenUsed/>
    <w:qFormat/>
    <w:uiPriority w:val="0"/>
    <w:pPr>
      <w:keepNext/>
      <w:keepLines/>
      <w:spacing w:line="415" w:lineRule="auto"/>
      <w:outlineLvl w:val="2"/>
    </w:pPr>
    <w:rPr>
      <w:rFonts w:ascii="Times New Roman" w:hAnsi="Times New Roman" w:eastAsia="仿宋_GB2312"/>
      <w:b/>
      <w:sz w:val="28"/>
    </w:rPr>
  </w:style>
  <w:style w:type="paragraph" w:styleId="6">
    <w:name w:val="heading 4"/>
    <w:basedOn w:val="1"/>
    <w:next w:val="1"/>
    <w:unhideWhenUsed/>
    <w:qFormat/>
    <w:uiPriority w:val="0"/>
    <w:pPr>
      <w:keepNext/>
      <w:keepLines/>
      <w:spacing w:line="360" w:lineRule="auto"/>
      <w:outlineLvl w:val="3"/>
    </w:pPr>
    <w:rPr>
      <w:rFonts w:ascii="Arial" w:hAnsi="Arial"/>
      <w:b/>
      <w:bCs/>
      <w:szCs w:val="28"/>
    </w:rPr>
  </w:style>
  <w:style w:type="paragraph" w:styleId="7">
    <w:name w:val="heading 5"/>
    <w:basedOn w:val="1"/>
    <w:next w:val="1"/>
    <w:autoRedefine/>
    <w:unhideWhenUsed/>
    <w:qFormat/>
    <w:uiPriority w:val="0"/>
    <w:pPr>
      <w:keepNext/>
      <w:keepLines/>
      <w:spacing w:before="280" w:after="290" w:line="376" w:lineRule="auto"/>
      <w:outlineLvl w:val="4"/>
    </w:pPr>
    <w:rPr>
      <w:b/>
      <w:bCs/>
      <w:sz w:val="28"/>
      <w:szCs w:val="28"/>
    </w:rPr>
  </w:style>
  <w:style w:type="paragraph" w:styleId="8">
    <w:name w:val="heading 7"/>
    <w:basedOn w:val="1"/>
    <w:next w:val="1"/>
    <w:autoRedefine/>
    <w:qFormat/>
    <w:uiPriority w:val="1"/>
    <w:pPr>
      <w:ind w:left="398"/>
      <w:outlineLvl w:val="6"/>
    </w:pPr>
    <w:rPr>
      <w:rFonts w:ascii="宋体" w:hAnsi="宋体" w:eastAsia="宋体" w:cs="宋体"/>
      <w:b/>
      <w:bCs/>
      <w:sz w:val="28"/>
      <w:szCs w:val="28"/>
      <w:lang w:val="zh-CN" w:bidi="zh-CN"/>
    </w:rPr>
  </w:style>
  <w:style w:type="paragraph" w:styleId="9">
    <w:name w:val="heading 9"/>
    <w:basedOn w:val="1"/>
    <w:next w:val="1"/>
    <w:autoRedefine/>
    <w:qFormat/>
    <w:uiPriority w:val="1"/>
    <w:pPr>
      <w:ind w:left="398"/>
      <w:outlineLvl w:val="8"/>
    </w:pPr>
    <w:rPr>
      <w:rFonts w:ascii="宋体" w:hAnsi="宋体" w:eastAsia="宋体" w:cs="宋体"/>
      <w:b/>
      <w:bCs/>
      <w:szCs w:val="21"/>
      <w:lang w:val="zh-CN" w:bidi="zh-CN"/>
    </w:rPr>
  </w:style>
  <w:style w:type="character" w:default="1" w:styleId="30">
    <w:name w:val="Default Paragraph Font"/>
    <w:semiHidden/>
    <w:unhideWhenUsed/>
    <w:qFormat/>
    <w:uiPriority w:val="1"/>
  </w:style>
  <w:style w:type="table" w:default="1" w:styleId="28">
    <w:name w:val="Normal Table"/>
    <w:autoRedefine/>
    <w:semiHidden/>
    <w:unhideWhenUsed/>
    <w:qFormat/>
    <w:uiPriority w:val="99"/>
    <w:tblPr>
      <w:tblCellMar>
        <w:top w:w="0" w:type="dxa"/>
        <w:left w:w="108" w:type="dxa"/>
        <w:bottom w:w="0" w:type="dxa"/>
        <w:right w:w="108" w:type="dxa"/>
      </w:tblCellMar>
    </w:tblPr>
  </w:style>
  <w:style w:type="paragraph" w:customStyle="1" w:styleId="2">
    <w:name w:val="UserStyle_0"/>
    <w:basedOn w:val="1"/>
    <w:next w:val="1"/>
    <w:qFormat/>
    <w:uiPriority w:val="0"/>
    <w:pPr>
      <w:ind w:left="200" w:leftChars="200" w:hanging="200" w:hangingChars="200"/>
    </w:pPr>
  </w:style>
  <w:style w:type="paragraph" w:styleId="10">
    <w:name w:val="Normal Indent"/>
    <w:basedOn w:val="1"/>
    <w:autoRedefine/>
    <w:qFormat/>
    <w:uiPriority w:val="99"/>
    <w:pPr>
      <w:ind w:firstLine="420"/>
    </w:pPr>
    <w:rPr>
      <w:sz w:val="20"/>
      <w:szCs w:val="20"/>
    </w:rPr>
  </w:style>
  <w:style w:type="paragraph" w:styleId="11">
    <w:name w:val="Document Map"/>
    <w:basedOn w:val="1"/>
    <w:link w:val="58"/>
    <w:autoRedefine/>
    <w:qFormat/>
    <w:uiPriority w:val="0"/>
    <w:rPr>
      <w:rFonts w:ascii="宋体" w:eastAsia="宋体"/>
      <w:sz w:val="18"/>
      <w:szCs w:val="18"/>
    </w:rPr>
  </w:style>
  <w:style w:type="paragraph" w:styleId="12">
    <w:name w:val="annotation text"/>
    <w:basedOn w:val="1"/>
    <w:autoRedefine/>
    <w:qFormat/>
    <w:uiPriority w:val="0"/>
  </w:style>
  <w:style w:type="paragraph" w:styleId="13">
    <w:name w:val="Body Text"/>
    <w:basedOn w:val="1"/>
    <w:autoRedefine/>
    <w:qFormat/>
    <w:uiPriority w:val="0"/>
    <w:pPr>
      <w:autoSpaceDE w:val="0"/>
      <w:autoSpaceDN w:val="0"/>
      <w:adjustRightInd w:val="0"/>
      <w:spacing w:line="360" w:lineRule="exact"/>
    </w:pPr>
    <w:rPr>
      <w:rFonts w:ascii="方正仿宋简体" w:eastAsia="方正仿宋简体"/>
      <w:color w:val="000000"/>
      <w:kern w:val="0"/>
      <w:sz w:val="28"/>
    </w:rPr>
  </w:style>
  <w:style w:type="paragraph" w:styleId="14">
    <w:name w:val="Body Text Indent"/>
    <w:basedOn w:val="1"/>
    <w:autoRedefine/>
    <w:qFormat/>
    <w:uiPriority w:val="0"/>
    <w:pPr>
      <w:autoSpaceDE w:val="0"/>
      <w:autoSpaceDN w:val="0"/>
      <w:adjustRightInd w:val="0"/>
      <w:ind w:firstLine="645"/>
    </w:pPr>
    <w:rPr>
      <w:rFonts w:ascii="方正仿宋简体" w:eastAsia="方正仿宋简体"/>
      <w:color w:val="000000"/>
      <w:kern w:val="0"/>
      <w:sz w:val="30"/>
    </w:rPr>
  </w:style>
  <w:style w:type="paragraph" w:styleId="15">
    <w:name w:val="toc 3"/>
    <w:basedOn w:val="1"/>
    <w:next w:val="1"/>
    <w:autoRedefine/>
    <w:qFormat/>
    <w:uiPriority w:val="0"/>
    <w:pPr>
      <w:tabs>
        <w:tab w:val="right" w:leader="dot" w:pos="9060"/>
      </w:tabs>
      <w:spacing w:line="460" w:lineRule="exact"/>
      <w:ind w:firstLine="240" w:firstLineChars="100"/>
    </w:pPr>
    <w:rPr>
      <w:rFonts w:ascii="宋体" w:hAnsi="宋体"/>
      <w:kern w:val="0"/>
      <w:sz w:val="24"/>
    </w:rPr>
  </w:style>
  <w:style w:type="paragraph" w:styleId="16">
    <w:name w:val="Plain Text"/>
    <w:basedOn w:val="1"/>
    <w:next w:val="1"/>
    <w:link w:val="40"/>
    <w:autoRedefine/>
    <w:qFormat/>
    <w:uiPriority w:val="0"/>
    <w:pPr>
      <w:adjustRightInd w:val="0"/>
      <w:spacing w:line="312" w:lineRule="atLeast"/>
      <w:textAlignment w:val="baseline"/>
    </w:pPr>
    <w:rPr>
      <w:rFonts w:ascii="宋体" w:hAnsi="Courier New" w:eastAsia="宋体"/>
    </w:rPr>
  </w:style>
  <w:style w:type="paragraph" w:styleId="17">
    <w:name w:val="toc 8"/>
    <w:basedOn w:val="1"/>
    <w:next w:val="1"/>
    <w:autoRedefine/>
    <w:qFormat/>
    <w:uiPriority w:val="0"/>
    <w:pPr>
      <w:wordWrap w:val="0"/>
      <w:ind w:left="2550"/>
      <w:jc w:val="both"/>
    </w:pPr>
    <w:rPr>
      <w:rFonts w:ascii="Times New Roman" w:hAnsi="Times New Roman" w:eastAsia="宋体" w:cs="Times New Roman"/>
    </w:rPr>
  </w:style>
  <w:style w:type="paragraph" w:styleId="18">
    <w:name w:val="Date"/>
    <w:basedOn w:val="1"/>
    <w:next w:val="1"/>
    <w:autoRedefine/>
    <w:qFormat/>
    <w:uiPriority w:val="0"/>
    <w:rPr>
      <w:rFonts w:ascii="宋体"/>
      <w:color w:val="000000"/>
      <w:kern w:val="0"/>
      <w:sz w:val="30"/>
    </w:rPr>
  </w:style>
  <w:style w:type="paragraph" w:styleId="19">
    <w:name w:val="Body Text Indent 2"/>
    <w:basedOn w:val="1"/>
    <w:autoRedefine/>
    <w:qFormat/>
    <w:uiPriority w:val="99"/>
    <w:pPr>
      <w:spacing w:after="120" w:line="480" w:lineRule="auto"/>
      <w:ind w:left="420" w:leftChars="200"/>
    </w:pPr>
    <w:rPr>
      <w:sz w:val="24"/>
      <w:szCs w:val="24"/>
    </w:rPr>
  </w:style>
  <w:style w:type="paragraph" w:styleId="20">
    <w:name w:val="Balloon Text"/>
    <w:basedOn w:val="1"/>
    <w:link w:val="54"/>
    <w:autoRedefine/>
    <w:qFormat/>
    <w:uiPriority w:val="0"/>
    <w:rPr>
      <w:sz w:val="18"/>
      <w:szCs w:val="18"/>
    </w:rPr>
  </w:style>
  <w:style w:type="paragraph" w:styleId="21">
    <w:name w:val="footer"/>
    <w:basedOn w:val="1"/>
    <w:link w:val="62"/>
    <w:autoRedefine/>
    <w:qFormat/>
    <w:uiPriority w:val="99"/>
    <w:pPr>
      <w:tabs>
        <w:tab w:val="center" w:pos="4153"/>
        <w:tab w:val="right" w:pos="8306"/>
      </w:tabs>
      <w:snapToGrid w:val="0"/>
    </w:pPr>
    <w:rPr>
      <w:sz w:val="18"/>
    </w:rPr>
  </w:style>
  <w:style w:type="paragraph" w:styleId="22">
    <w:name w:val="header"/>
    <w:basedOn w:val="1"/>
    <w:autoRedefine/>
    <w:qFormat/>
    <w:uiPriority w:val="0"/>
    <w:pPr>
      <w:pBdr>
        <w:bottom w:val="single" w:color="auto" w:sz="6" w:space="1"/>
      </w:pBdr>
      <w:tabs>
        <w:tab w:val="center" w:pos="4153"/>
        <w:tab w:val="right" w:pos="8306"/>
      </w:tabs>
      <w:snapToGrid w:val="0"/>
      <w:jc w:val="center"/>
    </w:pPr>
    <w:rPr>
      <w:sz w:val="18"/>
    </w:rPr>
  </w:style>
  <w:style w:type="paragraph" w:styleId="23">
    <w:name w:val="toc 1"/>
    <w:basedOn w:val="1"/>
    <w:next w:val="1"/>
    <w:autoRedefine/>
    <w:qFormat/>
    <w:uiPriority w:val="39"/>
    <w:pPr>
      <w:tabs>
        <w:tab w:val="right" w:leader="dot" w:pos="9060"/>
      </w:tabs>
      <w:spacing w:line="460" w:lineRule="exact"/>
    </w:pPr>
    <w:rPr>
      <w:b/>
      <w:sz w:val="28"/>
    </w:rPr>
  </w:style>
  <w:style w:type="paragraph" w:styleId="24">
    <w:name w:val="Body Text Indent 3"/>
    <w:basedOn w:val="1"/>
    <w:link w:val="42"/>
    <w:autoRedefine/>
    <w:qFormat/>
    <w:uiPriority w:val="0"/>
    <w:pPr>
      <w:spacing w:after="120"/>
      <w:ind w:left="420" w:leftChars="200"/>
    </w:pPr>
    <w:rPr>
      <w:rFonts w:eastAsia="宋体"/>
      <w:sz w:val="16"/>
      <w:szCs w:val="16"/>
    </w:rPr>
  </w:style>
  <w:style w:type="paragraph" w:styleId="25">
    <w:name w:val="toc 2"/>
    <w:basedOn w:val="1"/>
    <w:next w:val="1"/>
    <w:autoRedefine/>
    <w:qFormat/>
    <w:uiPriority w:val="0"/>
    <w:pPr>
      <w:tabs>
        <w:tab w:val="right" w:leader="dot" w:pos="9060"/>
      </w:tabs>
      <w:ind w:left="210"/>
    </w:pPr>
    <w:rPr>
      <w:rFonts w:ascii="宋体" w:hAnsi="宋体"/>
      <w:smallCaps/>
      <w:kern w:val="0"/>
      <w:sz w:val="24"/>
    </w:rPr>
  </w:style>
  <w:style w:type="paragraph" w:styleId="26">
    <w:name w:val="Normal (Web)"/>
    <w:basedOn w:val="1"/>
    <w:autoRedefine/>
    <w:qFormat/>
    <w:uiPriority w:val="0"/>
    <w:pPr>
      <w:spacing w:beforeAutospacing="1" w:afterAutospacing="1"/>
    </w:pPr>
    <w:rPr>
      <w:kern w:val="0"/>
      <w:sz w:val="24"/>
    </w:rPr>
  </w:style>
  <w:style w:type="paragraph" w:styleId="27">
    <w:name w:val="index 1"/>
    <w:basedOn w:val="1"/>
    <w:next w:val="1"/>
    <w:autoRedefine/>
    <w:qFormat/>
    <w:uiPriority w:val="0"/>
  </w:style>
  <w:style w:type="table" w:styleId="29">
    <w:name w:val="Table Grid"/>
    <w:basedOn w:val="2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basedOn w:val="30"/>
    <w:qFormat/>
    <w:uiPriority w:val="0"/>
    <w:rPr>
      <w:b/>
    </w:rPr>
  </w:style>
  <w:style w:type="character" w:styleId="32">
    <w:name w:val="page number"/>
    <w:basedOn w:val="30"/>
    <w:autoRedefine/>
    <w:qFormat/>
    <w:uiPriority w:val="0"/>
  </w:style>
  <w:style w:type="character" w:styleId="33">
    <w:name w:val="Hyperlink"/>
    <w:basedOn w:val="30"/>
    <w:autoRedefine/>
    <w:qFormat/>
    <w:uiPriority w:val="99"/>
    <w:rPr>
      <w:color w:val="0000FF"/>
      <w:u w:val="single"/>
    </w:rPr>
  </w:style>
  <w:style w:type="paragraph" w:customStyle="1" w:styleId="34">
    <w:name w:val="font5"/>
    <w:basedOn w:val="1"/>
    <w:next w:val="17"/>
    <w:autoRedefine/>
    <w:qFormat/>
    <w:uiPriority w:val="0"/>
    <w:pPr>
      <w:spacing w:before="280" w:after="280"/>
    </w:pPr>
    <w:rPr>
      <w:rFonts w:ascii="宋体" w:eastAsia="宋体"/>
      <w:sz w:val="18"/>
    </w:rPr>
  </w:style>
  <w:style w:type="paragraph" w:customStyle="1" w:styleId="35">
    <w:name w:val="正文1"/>
    <w:basedOn w:val="1"/>
    <w:autoRedefine/>
    <w:qFormat/>
    <w:uiPriority w:val="0"/>
    <w:pPr>
      <w:adjustRightInd w:val="0"/>
      <w:spacing w:line="318" w:lineRule="atLeast"/>
      <w:ind w:left="369" w:firstLine="369"/>
      <w:textAlignment w:val="baseline"/>
    </w:pPr>
    <w:rPr>
      <w:szCs w:val="20"/>
    </w:rPr>
  </w:style>
  <w:style w:type="paragraph" w:styleId="36">
    <w:name w:val="Quote"/>
    <w:basedOn w:val="1"/>
    <w:next w:val="1"/>
    <w:autoRedefine/>
    <w:qFormat/>
    <w:uiPriority w:val="0"/>
    <w:rPr>
      <w:i/>
      <w:iCs/>
    </w:rPr>
  </w:style>
  <w:style w:type="paragraph" w:customStyle="1" w:styleId="37">
    <w:name w:val="表格文字"/>
    <w:basedOn w:val="1"/>
    <w:autoRedefine/>
    <w:qFormat/>
    <w:uiPriority w:val="99"/>
    <w:pPr>
      <w:spacing w:before="25" w:after="25"/>
    </w:pPr>
    <w:rPr>
      <w:bCs/>
      <w:spacing w:val="10"/>
      <w:kern w:val="0"/>
      <w:sz w:val="24"/>
    </w:rPr>
  </w:style>
  <w:style w:type="paragraph" w:customStyle="1" w:styleId="38">
    <w:name w:val="TOC 标题1"/>
    <w:basedOn w:val="3"/>
    <w:next w:val="1"/>
    <w:autoRedefine/>
    <w:qFormat/>
    <w:uiPriority w:val="39"/>
    <w:pPr>
      <w:spacing w:before="480" w:line="276" w:lineRule="auto"/>
      <w:outlineLvl w:val="9"/>
    </w:pPr>
    <w:rPr>
      <w:rFonts w:ascii="仿宋" w:hAnsi="仿宋" w:eastAsia="仿宋"/>
      <w:sz w:val="32"/>
      <w:szCs w:val="32"/>
    </w:rPr>
  </w:style>
  <w:style w:type="paragraph" w:customStyle="1" w:styleId="39">
    <w:name w:val="批注框文本 Char Char"/>
    <w:basedOn w:val="1"/>
    <w:autoRedefine/>
    <w:qFormat/>
    <w:uiPriority w:val="0"/>
    <w:rPr>
      <w:sz w:val="18"/>
    </w:rPr>
  </w:style>
  <w:style w:type="character" w:customStyle="1" w:styleId="40">
    <w:name w:val="纯文本 Char"/>
    <w:link w:val="16"/>
    <w:autoRedefine/>
    <w:qFormat/>
    <w:locked/>
    <w:uiPriority w:val="0"/>
    <w:rPr>
      <w:rFonts w:ascii="宋体" w:hAnsi="Courier New" w:eastAsia="宋体"/>
      <w:kern w:val="2"/>
      <w:sz w:val="21"/>
      <w:szCs w:val="22"/>
    </w:rPr>
  </w:style>
  <w:style w:type="character" w:customStyle="1" w:styleId="41">
    <w:name w:val="正文文本缩进 3 Char"/>
    <w:autoRedefine/>
    <w:qFormat/>
    <w:uiPriority w:val="0"/>
    <w:rPr>
      <w:rFonts w:eastAsia="宋体"/>
      <w:kern w:val="2"/>
      <w:sz w:val="16"/>
      <w:szCs w:val="16"/>
    </w:rPr>
  </w:style>
  <w:style w:type="character" w:customStyle="1" w:styleId="42">
    <w:name w:val="正文文本缩进 3 Char1"/>
    <w:basedOn w:val="30"/>
    <w:link w:val="24"/>
    <w:autoRedefine/>
    <w:qFormat/>
    <w:uiPriority w:val="0"/>
    <w:rPr>
      <w:kern w:val="2"/>
      <w:sz w:val="16"/>
      <w:szCs w:val="16"/>
    </w:rPr>
  </w:style>
  <w:style w:type="paragraph" w:customStyle="1" w:styleId="43">
    <w:name w:val="Blockquote"/>
    <w:basedOn w:val="1"/>
    <w:autoRedefine/>
    <w:qFormat/>
    <w:uiPriority w:val="0"/>
    <w:pPr>
      <w:autoSpaceDE w:val="0"/>
      <w:autoSpaceDN w:val="0"/>
      <w:adjustRightInd w:val="0"/>
      <w:spacing w:before="100" w:after="100"/>
      <w:ind w:left="360" w:right="360"/>
    </w:pPr>
    <w:rPr>
      <w:kern w:val="0"/>
      <w:sz w:val="24"/>
      <w:szCs w:val="20"/>
    </w:rPr>
  </w:style>
  <w:style w:type="paragraph" w:customStyle="1" w:styleId="44">
    <w:name w:val="_Style 1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Table Paragraph"/>
    <w:basedOn w:val="1"/>
    <w:autoRedefine/>
    <w:qFormat/>
    <w:uiPriority w:val="1"/>
    <w:rPr>
      <w:rFonts w:ascii="宋体" w:hAnsi="宋体" w:eastAsia="宋体" w:cs="宋体"/>
      <w:lang w:val="zh-CN" w:bidi="zh-CN"/>
    </w:rPr>
  </w:style>
  <w:style w:type="paragraph" w:styleId="46">
    <w:name w:val="List Paragraph"/>
    <w:basedOn w:val="1"/>
    <w:autoRedefine/>
    <w:qFormat/>
    <w:uiPriority w:val="1"/>
    <w:pPr>
      <w:ind w:left="758" w:firstLine="480"/>
    </w:pPr>
    <w:rPr>
      <w:rFonts w:ascii="宋体" w:hAnsi="宋体" w:eastAsia="宋体" w:cs="宋体"/>
      <w:lang w:val="zh-CN" w:bidi="zh-CN"/>
    </w:rPr>
  </w:style>
  <w:style w:type="paragraph" w:customStyle="1" w:styleId="47">
    <w:name w:val="无间隔1"/>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48">
    <w:name w:val="WPSOffice手动目录 1"/>
    <w:autoRedefine/>
    <w:qFormat/>
    <w:uiPriority w:val="0"/>
    <w:rPr>
      <w:rFonts w:ascii="Times New Roman" w:hAnsi="Times New Roman" w:eastAsia="宋体" w:cs="Times New Roman"/>
      <w:lang w:val="en-US" w:eastAsia="zh-CN" w:bidi="ar-SA"/>
    </w:rPr>
  </w:style>
  <w:style w:type="paragraph" w:customStyle="1" w:styleId="49">
    <w:name w:val="Normal_0"/>
    <w:autoRedefine/>
    <w:qFormat/>
    <w:uiPriority w:val="0"/>
    <w:pPr>
      <w:widowControl w:val="0"/>
      <w:jc w:val="both"/>
    </w:pPr>
    <w:rPr>
      <w:rFonts w:ascii="Times New Roman" w:hAnsi="Times New Roman" w:eastAsia="Times New Roman" w:cs="Times New Roman"/>
      <w:lang w:val="en-US" w:eastAsia="zh-CN" w:bidi="ar-SA"/>
    </w:rPr>
  </w:style>
  <w:style w:type="paragraph" w:customStyle="1" w:styleId="50">
    <w:name w:val="正文_3"/>
    <w:autoRedefine/>
    <w:qFormat/>
    <w:uiPriority w:val="99"/>
    <w:pPr>
      <w:widowControl w:val="0"/>
      <w:jc w:val="both"/>
    </w:pPr>
    <w:rPr>
      <w:rFonts w:ascii="Calibri" w:hAnsi="Calibri" w:eastAsia="宋体" w:cs="Times New Roman"/>
      <w:kern w:val="2"/>
      <w:sz w:val="21"/>
      <w:szCs w:val="22"/>
      <w:lang w:val="en-US" w:eastAsia="zh-CN" w:bidi="ar-SA"/>
    </w:rPr>
  </w:style>
  <w:style w:type="paragraph" w:customStyle="1" w:styleId="51">
    <w:name w:val="Normal_1"/>
    <w:autoRedefine/>
    <w:qFormat/>
    <w:uiPriority w:val="0"/>
    <w:pPr>
      <w:widowControl w:val="0"/>
      <w:jc w:val="both"/>
    </w:pPr>
    <w:rPr>
      <w:rFonts w:ascii="Times New Roman" w:hAnsi="Times New Roman" w:eastAsia="Times New Roman" w:cs="Times New Roman"/>
      <w:lang w:val="en-US" w:eastAsia="zh-CN" w:bidi="ar-SA"/>
    </w:rPr>
  </w:style>
  <w:style w:type="character" w:customStyle="1" w:styleId="52">
    <w:name w:val="15"/>
    <w:basedOn w:val="30"/>
    <w:autoRedefine/>
    <w:qFormat/>
    <w:uiPriority w:val="0"/>
    <w:rPr>
      <w:rFonts w:hint="default" w:ascii="Times New Roman" w:hAnsi="Times New Roman" w:cs="Times New Roman"/>
    </w:rPr>
  </w:style>
  <w:style w:type="character" w:customStyle="1" w:styleId="53">
    <w:name w:val="10"/>
    <w:basedOn w:val="30"/>
    <w:autoRedefine/>
    <w:qFormat/>
    <w:uiPriority w:val="0"/>
    <w:rPr>
      <w:rFonts w:hint="default" w:ascii="Times New Roman" w:hAnsi="Times New Roman" w:cs="Times New Roman"/>
    </w:rPr>
  </w:style>
  <w:style w:type="character" w:customStyle="1" w:styleId="54">
    <w:name w:val="批注框文本 Char"/>
    <w:basedOn w:val="30"/>
    <w:link w:val="20"/>
    <w:autoRedefine/>
    <w:qFormat/>
    <w:uiPriority w:val="0"/>
    <w:rPr>
      <w:rFonts w:asciiTheme="minorHAnsi" w:hAnsiTheme="minorHAnsi" w:eastAsiaTheme="minorEastAsia" w:cstheme="minorBidi"/>
      <w:kern w:val="2"/>
      <w:sz w:val="18"/>
      <w:szCs w:val="18"/>
    </w:rPr>
  </w:style>
  <w:style w:type="character" w:customStyle="1" w:styleId="55">
    <w:name w:val="NormalCharacter"/>
    <w:autoRedefine/>
    <w:qFormat/>
    <w:uiPriority w:val="0"/>
  </w:style>
  <w:style w:type="table" w:customStyle="1" w:styleId="56">
    <w:name w:val="Table Normal"/>
    <w:autoRedefine/>
    <w:unhideWhenUsed/>
    <w:qFormat/>
    <w:uiPriority w:val="0"/>
    <w:tblPr>
      <w:tblCellMar>
        <w:top w:w="0" w:type="dxa"/>
        <w:left w:w="0" w:type="dxa"/>
        <w:bottom w:w="0" w:type="dxa"/>
        <w:right w:w="0" w:type="dxa"/>
      </w:tblCellMar>
    </w:tblPr>
  </w:style>
  <w:style w:type="paragraph" w:customStyle="1" w:styleId="57">
    <w:name w:val="正文_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8">
    <w:name w:val="文档结构图 Char"/>
    <w:basedOn w:val="30"/>
    <w:link w:val="11"/>
    <w:autoRedefine/>
    <w:qFormat/>
    <w:uiPriority w:val="0"/>
    <w:rPr>
      <w:rFonts w:ascii="宋体" w:hAnsiTheme="minorHAnsi" w:cstheme="minorBidi"/>
      <w:kern w:val="2"/>
      <w:sz w:val="18"/>
      <w:szCs w:val="18"/>
    </w:rPr>
  </w:style>
  <w:style w:type="paragraph" w:customStyle="1" w:styleId="59">
    <w:name w:val="正文_2"/>
    <w:next w:val="60"/>
    <w:autoRedefine/>
    <w:qFormat/>
    <w:uiPriority w:val="0"/>
    <w:pPr>
      <w:widowControl w:val="0"/>
    </w:pPr>
    <w:rPr>
      <w:rFonts w:ascii="Times New Roman" w:hAnsi="Times New Roman" w:eastAsia="Times New Roman" w:cs="Times New Roman"/>
      <w:color w:val="000000"/>
      <w:sz w:val="24"/>
      <w:szCs w:val="24"/>
      <w:lang w:val="en-US" w:eastAsia="en-US" w:bidi="en-US"/>
    </w:rPr>
  </w:style>
  <w:style w:type="paragraph" w:customStyle="1" w:styleId="60">
    <w:name w:val="Default"/>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table" w:customStyle="1" w:styleId="61">
    <w:name w:val="网格型1"/>
    <w:basedOn w:val="28"/>
    <w:autoRedefine/>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2">
    <w:name w:val="页脚 Char"/>
    <w:basedOn w:val="30"/>
    <w:link w:val="21"/>
    <w:autoRedefine/>
    <w:qFormat/>
    <w:uiPriority w:val="99"/>
    <w:rPr>
      <w:rFonts w:asciiTheme="minorHAnsi" w:hAnsiTheme="minorHAnsi" w:eastAsiaTheme="minorEastAsia" w:cstheme="minorBidi"/>
      <w:kern w:val="2"/>
      <w:sz w:val="18"/>
      <w:szCs w:val="22"/>
    </w:rPr>
  </w:style>
  <w:style w:type="paragraph" w:customStyle="1" w:styleId="63">
    <w:name w:val="1"/>
    <w:basedOn w:val="1"/>
    <w:next w:val="16"/>
    <w:autoRedefine/>
    <w:qFormat/>
    <w:uiPriority w:val="0"/>
    <w:rPr>
      <w:rFonts w:ascii="宋体" w:hAnsi="Courier New"/>
      <w:szCs w:val="20"/>
    </w:rPr>
  </w:style>
  <w:style w:type="paragraph" w:customStyle="1" w:styleId="64">
    <w:name w:val="首行缩进"/>
    <w:basedOn w:val="1"/>
    <w:autoRedefine/>
    <w:qFormat/>
    <w:uiPriority w:val="99"/>
    <w:pPr>
      <w:spacing w:line="360" w:lineRule="auto"/>
      <w:ind w:firstLine="480" w:firstLineChars="200"/>
    </w:pPr>
    <w:rPr>
      <w:rFonts w:ascii="宋体" w:hAnsi="宋体"/>
      <w:sz w:val="24"/>
    </w:rPr>
  </w:style>
  <w:style w:type="paragraph" w:customStyle="1" w:styleId="65">
    <w:name w:val="_Style 3"/>
    <w:basedOn w:val="3"/>
    <w:next w:val="1"/>
    <w:autoRedefine/>
    <w:qFormat/>
    <w:uiPriority w:val="0"/>
    <w:pPr>
      <w:outlineLvl w:val="9"/>
    </w:pPr>
  </w:style>
  <w:style w:type="character" w:customStyle="1" w:styleId="66">
    <w:name w:val="16"/>
    <w:basedOn w:val="30"/>
    <w:autoRedefine/>
    <w:qFormat/>
    <w:uiPriority w:val="0"/>
    <w:rPr>
      <w:rFonts w:hint="default" w:ascii="Times New Roman" w:hAnsi="Times New Roman" w:cs="Times New Roman"/>
      <w:color w:val="575656"/>
    </w:rPr>
  </w:style>
  <w:style w:type="paragraph" w:customStyle="1" w:styleId="67">
    <w:name w:val="Table Text"/>
    <w:basedOn w:val="1"/>
    <w:autoRedefine/>
    <w:semiHidden/>
    <w:qFormat/>
    <w:uiPriority w:val="0"/>
    <w:pPr>
      <w:kinsoku w:val="0"/>
      <w:autoSpaceDE w:val="0"/>
      <w:autoSpaceDN w:val="0"/>
      <w:adjustRightInd w:val="0"/>
      <w:snapToGrid w:val="0"/>
      <w:textAlignment w:val="baseline"/>
    </w:pPr>
    <w:rPr>
      <w:rFonts w:ascii="宋体" w:hAnsi="宋体" w:eastAsia="宋体" w:cs="宋体"/>
      <w:snapToGrid w:val="0"/>
      <w:color w:val="000000"/>
      <w:kern w:val="0"/>
      <w:sz w:val="24"/>
      <w:szCs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jpeg"/><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Company>
  <Pages>101</Pages>
  <Words>18712</Words>
  <Characters>20112</Characters>
  <Lines>448</Lines>
  <Paragraphs>126</Paragraphs>
  <TotalTime>3</TotalTime>
  <ScaleCrop>false</ScaleCrop>
  <LinksUpToDate>false</LinksUpToDate>
  <CharactersWithSpaces>20866</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2024-05-19T06:51:00Z</dcterms:created>
  <dc:creator>Administrator</dc:creator>
  <cp:lastModifiedBy>laotee</cp:lastModifiedBy>
  <cp:lastPrinted>2023-09-07T00:59:00Z</cp:lastPrinted>
  <dcterms:modified xsi:type="dcterms:W3CDTF">2026-07-15T09:59:59Z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DD708E5C27E44B4997B58AD109EA92EE_13</vt:lpwstr>
  </property>
  <property fmtid="{D5CDD505-2E9C-101B-9397-08002B2CF9AE}" pid="4" name="KSOTemplateDocerSaveRecord">
    <vt:lpwstr>eyJoZGlkIjoiODdjYzQ0OTY1NTFmMGYyNzJkNWNjMWFhOTEzY2M0ZDciLCJ1c2VySWQiOiIxMDQyNTk0NjY2In0=</vt:lpwstr>
  </property>
</Properties>
</file>