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360" w:lineRule="auto"/>
        <w:jc w:val="center"/>
        <w:rPr>
          <w:rFonts w:hint="eastAsia" w:ascii="仿宋" w:hAnsi="仿宋" w:eastAsia="仿宋" w:cs="仿宋"/>
          <w:b/>
          <w:bCs/>
          <w:color w:val="auto"/>
          <w:sz w:val="56"/>
          <w:szCs w:val="56"/>
          <w:highlight w:val="none"/>
        </w:rPr>
      </w:pPr>
      <w:r>
        <w:rPr>
          <w:rFonts w:hint="eastAsia" w:ascii="仿宋" w:hAnsi="仿宋" w:eastAsia="仿宋" w:cs="仿宋"/>
          <w:b/>
          <w:bCs/>
          <w:color w:val="auto"/>
          <w:sz w:val="60"/>
          <w:szCs w:val="60"/>
          <w:highlight w:val="none"/>
          <w:lang w:eastAsia="zh-CN"/>
          <w14:shadow w14:blurRad="50800" w14:dist="38100" w14:dir="2700000" w14:sx="100000" w14:sy="100000" w14:kx="0" w14:ky="0" w14:algn="tl">
            <w14:srgbClr w14:val="000000">
              <w14:alpha w14:val="60000"/>
            </w14:srgbClr>
          </w14:shadow>
        </w:rPr>
        <w:t>广西恒辉工程咨询</w:t>
      </w:r>
      <w:r>
        <w:rPr>
          <w:rFonts w:hint="eastAsia" w:ascii="仿宋" w:hAnsi="仿宋" w:eastAsia="仿宋" w:cs="仿宋"/>
          <w:b/>
          <w:bCs/>
          <w:color w:val="auto"/>
          <w:sz w:val="60"/>
          <w:szCs w:val="60"/>
          <w:highlight w:val="none"/>
          <w14:shadow w14:blurRad="50800" w14:dist="38100" w14:dir="2700000" w14:sx="100000" w14:sy="100000" w14:kx="0" w14:ky="0" w14:algn="tl">
            <w14:srgbClr w14:val="000000">
              <w14:alpha w14:val="60000"/>
            </w14:srgbClr>
          </w14:shadow>
        </w:rPr>
        <w:t>有限公司</w:t>
      </w:r>
    </w:p>
    <w:p>
      <w:pPr>
        <w:snapToGrid w:val="0"/>
        <w:spacing w:before="156" w:beforeLines="50" w:line="360" w:lineRule="auto"/>
        <w:jc w:val="center"/>
        <w:rPr>
          <w:rFonts w:hint="eastAsia" w:ascii="仿宋" w:hAnsi="仿宋" w:eastAsia="仿宋" w:cs="仿宋"/>
          <w:color w:val="auto"/>
          <w:highlight w:val="none"/>
        </w:rPr>
      </w:pPr>
    </w:p>
    <w:p>
      <w:pPr>
        <w:snapToGrid w:val="0"/>
        <w:spacing w:before="156" w:beforeLines="50" w:line="360" w:lineRule="auto"/>
        <w:jc w:val="center"/>
        <w:rPr>
          <w:rFonts w:hint="eastAsia" w:ascii="仿宋" w:hAnsi="仿宋" w:eastAsia="仿宋" w:cs="仿宋"/>
          <w:color w:val="auto"/>
          <w:highlight w:val="none"/>
        </w:rPr>
      </w:pPr>
    </w:p>
    <w:p>
      <w:pPr>
        <w:snapToGrid w:val="0"/>
        <w:spacing w:before="156" w:beforeLines="50" w:line="360" w:lineRule="auto"/>
        <w:jc w:val="center"/>
        <w:rPr>
          <w:rFonts w:hint="eastAsia" w:ascii="仿宋" w:hAnsi="仿宋" w:eastAsia="仿宋" w:cs="仿宋"/>
          <w:color w:val="auto"/>
          <w:sz w:val="44"/>
          <w:szCs w:val="44"/>
          <w:highlight w:val="none"/>
        </w:rPr>
      </w:pPr>
      <w:r>
        <w:rPr>
          <w:rFonts w:hint="eastAsia" w:ascii="仿宋" w:hAnsi="仿宋" w:eastAsia="仿宋" w:cs="仿宋"/>
          <w:b/>
          <w:bCs/>
          <w:color w:val="auto"/>
          <w:sz w:val="72"/>
          <w:szCs w:val="72"/>
          <w:highlight w:val="none"/>
          <w14:shadow w14:blurRad="50800" w14:dist="38100" w14:dir="2700000" w14:sx="100000" w14:sy="100000" w14:kx="0" w14:ky="0" w14:algn="tl">
            <w14:srgbClr w14:val="000000">
              <w14:alpha w14:val="60000"/>
            </w14:srgbClr>
          </w14:shadow>
        </w:rPr>
        <w:t>竞争性磋商文件</w:t>
      </w:r>
    </w:p>
    <w:p>
      <w:pPr>
        <w:spacing w:line="360" w:lineRule="auto"/>
        <w:jc w:val="center"/>
        <w:rPr>
          <w:rFonts w:hint="eastAsia" w:ascii="仿宋" w:hAnsi="仿宋" w:eastAsia="仿宋" w:cs="仿宋"/>
          <w:b/>
          <w:color w:val="auto"/>
          <w:sz w:val="32"/>
          <w:szCs w:val="32"/>
          <w:highlight w:val="none"/>
        </w:rPr>
      </w:pPr>
      <w:r>
        <w:rPr>
          <w:rFonts w:hint="eastAsia" w:ascii="宋体" w:hAnsi="宋体" w:cs="宋体"/>
          <w:color w:val="auto"/>
          <w:sz w:val="48"/>
          <w:szCs w:val="48"/>
          <w:highlight w:val="none"/>
        </w:rPr>
        <w:t>（全流程电子化评标）</w:t>
      </w: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jc w:val="both"/>
        <w:rPr>
          <w:rFonts w:ascii="宋体" w:hAnsi="宋体" w:cs="宋体"/>
          <w:b/>
          <w:bCs/>
          <w:color w:val="auto"/>
          <w:sz w:val="44"/>
          <w:szCs w:val="44"/>
          <w:highlight w:val="none"/>
        </w:rPr>
      </w:pPr>
    </w:p>
    <w:p>
      <w:pPr>
        <w:rPr>
          <w:rFonts w:ascii="宋体" w:hAnsi="宋体" w:cs="宋体"/>
          <w:b/>
          <w:color w:val="auto"/>
          <w:sz w:val="32"/>
          <w:szCs w:val="32"/>
          <w:highlight w:val="none"/>
        </w:rPr>
      </w:pPr>
    </w:p>
    <w:p>
      <w:pPr>
        <w:pStyle w:val="16"/>
        <w:rPr>
          <w:rFonts w:ascii="宋体" w:hAnsi="宋体" w:cs="宋体"/>
          <w:b/>
          <w:color w:val="auto"/>
          <w:sz w:val="32"/>
          <w:szCs w:val="32"/>
          <w:highlight w:val="none"/>
        </w:rPr>
      </w:pPr>
    </w:p>
    <w:p>
      <w:pPr>
        <w:pStyle w:val="16"/>
        <w:ind w:left="0" w:leftChars="0" w:firstLine="0" w:firstLineChars="0"/>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spacing w:line="360" w:lineRule="auto"/>
        <w:ind w:left="2054" w:leftChars="256" w:hanging="1516" w:hangingChars="472"/>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t>六堡茶种质资源圃建设项目</w:t>
      </w:r>
    </w:p>
    <w:p>
      <w:pPr>
        <w:spacing w:line="360" w:lineRule="auto"/>
        <w:ind w:left="0" w:leftChars="0" w:firstLine="540" w:firstLineChars="168"/>
        <w:jc w:val="left"/>
        <w:rPr>
          <w:rFonts w:hint="eastAsia" w:ascii="宋体" w:hAnsi="宋体" w:eastAsia="宋体" w:cs="宋体"/>
          <w:b/>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WZZC2026-C2-050015-GXHH</w:t>
      </w:r>
    </w:p>
    <w:p>
      <w:pPr>
        <w:spacing w:line="360" w:lineRule="auto"/>
        <w:ind w:left="0" w:leftChars="0" w:firstLine="540" w:firstLineChars="168"/>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梧州市长洲区农业农村局</w:t>
      </w:r>
    </w:p>
    <w:p>
      <w:pPr>
        <w:spacing w:line="360" w:lineRule="auto"/>
        <w:ind w:left="0" w:leftChars="0" w:firstLine="540" w:firstLineChars="168"/>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val="en-US" w:eastAsia="zh-CN"/>
        </w:rPr>
        <w:t>广西恒辉工程咨询</w:t>
      </w:r>
      <w:r>
        <w:rPr>
          <w:rFonts w:hint="eastAsia" w:ascii="宋体" w:hAnsi="宋体" w:cs="宋体"/>
          <w:b/>
          <w:bCs/>
          <w:color w:val="auto"/>
          <w:sz w:val="32"/>
          <w:szCs w:val="32"/>
          <w:highlight w:val="none"/>
          <w:lang w:eastAsia="zh-CN"/>
        </w:rPr>
        <w:t>有限公司</w:t>
      </w: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spacing w:line="360" w:lineRule="auto"/>
        <w:jc w:val="center"/>
        <w:rPr>
          <w:rFonts w:ascii="宋体" w:hAnsi="宋体" w:cs="宋体"/>
          <w:color w:val="auto"/>
          <w:highlight w:val="none"/>
        </w:rPr>
      </w:pPr>
      <w:r>
        <w:rPr>
          <w:rFonts w:hint="eastAsia" w:ascii="宋体" w:hAnsi="宋体" w:cs="宋体"/>
          <w:b/>
          <w:color w:val="auto"/>
          <w:sz w:val="32"/>
          <w:szCs w:val="32"/>
          <w:highlight w:val="none"/>
          <w:lang w:eastAsia="zh-CN"/>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lang w:eastAsia="zh-CN"/>
        </w:rPr>
        <w:t>年</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lang w:eastAsia="zh-CN"/>
        </w:rPr>
        <w:t>月</w:t>
      </w:r>
    </w:p>
    <w:p>
      <w:pPr>
        <w:spacing w:line="360" w:lineRule="auto"/>
        <w:jc w:val="center"/>
        <w:rPr>
          <w:rFonts w:ascii="宋体" w:hAnsi="宋体" w:cs="宋体"/>
          <w:b/>
          <w:color w:val="auto"/>
          <w:sz w:val="32"/>
          <w:szCs w:val="32"/>
          <w:highlight w:val="none"/>
        </w:rPr>
        <w:sectPr>
          <w:pgSz w:w="11911" w:h="16838"/>
          <w:pgMar w:top="1418" w:right="1418" w:bottom="1418" w:left="1418" w:header="851" w:footer="964" w:gutter="0"/>
          <w:cols w:space="720" w:num="1"/>
          <w:docGrid w:linePitch="312" w:charSpace="0"/>
        </w:sectPr>
      </w:pPr>
    </w:p>
    <w:p>
      <w:pPr>
        <w:spacing w:line="360" w:lineRule="auto"/>
        <w:jc w:val="center"/>
        <w:rPr>
          <w:rFonts w:ascii="宋体" w:hAnsi="宋体" w:cs="宋体"/>
          <w:b/>
          <w:color w:val="auto"/>
          <w:sz w:val="44"/>
          <w:szCs w:val="44"/>
          <w:highlight w:val="none"/>
        </w:rPr>
      </w:pPr>
      <w:r>
        <w:rPr>
          <w:rFonts w:hint="eastAsia" w:ascii="宋体" w:hAnsi="宋体" w:cs="宋体"/>
          <w:b/>
          <w:color w:val="auto"/>
          <w:sz w:val="32"/>
          <w:szCs w:val="32"/>
          <w:highlight w:val="none"/>
        </w:rPr>
        <w:t>目 录</w:t>
      </w:r>
    </w:p>
    <w:p>
      <w:pPr>
        <w:pStyle w:val="23"/>
        <w:tabs>
          <w:tab w:val="right" w:leader="dot" w:pos="9077"/>
        </w:tabs>
        <w:spacing w:line="360" w:lineRule="auto"/>
        <w:rPr>
          <w:rFonts w:ascii="宋体" w:hAnsi="宋体" w:cs="宋体"/>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"_Toc26732"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_Toc26732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"_Toc15873" </w:instrText>
      </w:r>
      <w:r>
        <w:rPr>
          <w:color w:val="auto"/>
          <w:highlight w:val="none"/>
        </w:rPr>
        <w:fldChar w:fldCharType="separate"/>
      </w:r>
      <w:r>
        <w:rPr>
          <w:rFonts w:hint="eastAsia" w:ascii="宋体" w:hAnsi="宋体" w:cs="宋体"/>
          <w:color w:val="auto"/>
          <w:sz w:val="24"/>
          <w:highlight w:val="none"/>
        </w:rPr>
        <w:t>第二章 供应商须知</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_Toc15873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"_Toc31224" </w:instrText>
      </w:r>
      <w:r>
        <w:rPr>
          <w:color w:val="auto"/>
          <w:highlight w:val="none"/>
        </w:rPr>
        <w:fldChar w:fldCharType="separate"/>
      </w:r>
      <w:r>
        <w:rPr>
          <w:rFonts w:hint="eastAsia" w:ascii="宋体" w:hAnsi="宋体" w:cs="宋体"/>
          <w:color w:val="auto"/>
          <w:sz w:val="24"/>
          <w:highlight w:val="none"/>
        </w:rPr>
        <w:t>第一节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_Toc31224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"_Toc3871" </w:instrText>
      </w:r>
      <w:r>
        <w:rPr>
          <w:color w:val="auto"/>
          <w:highlight w:val="none"/>
        </w:rPr>
        <w:fldChar w:fldCharType="separate"/>
      </w:r>
      <w:r>
        <w:rPr>
          <w:rFonts w:hint="eastAsia" w:ascii="宋体" w:hAnsi="宋体" w:cs="宋体"/>
          <w:color w:val="auto"/>
          <w:sz w:val="24"/>
          <w:highlight w:val="none"/>
        </w:rPr>
        <w:t>第二节 供应商须知正文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_Toc3871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"_Toc14066" </w:instrText>
      </w:r>
      <w:r>
        <w:rPr>
          <w:color w:val="auto"/>
          <w:highlight w:val="none"/>
        </w:rPr>
        <w:fldChar w:fldCharType="separate"/>
      </w:r>
      <w:r>
        <w:rPr>
          <w:rFonts w:hint="eastAsia" w:ascii="宋体" w:hAnsi="宋体" w:cs="宋体"/>
          <w:bCs/>
          <w:color w:val="auto"/>
          <w:sz w:val="24"/>
          <w:highlight w:val="none"/>
        </w:rPr>
        <w:t>一、总则</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_Toc14066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"_Toc597" </w:instrText>
      </w:r>
      <w:r>
        <w:rPr>
          <w:color w:val="auto"/>
          <w:highlight w:val="none"/>
        </w:rPr>
        <w:fldChar w:fldCharType="separate"/>
      </w:r>
      <w:r>
        <w:rPr>
          <w:rFonts w:hint="eastAsia" w:ascii="宋体" w:hAnsi="宋体" w:cs="宋体"/>
          <w:bCs/>
          <w:color w:val="auto"/>
          <w:sz w:val="24"/>
          <w:highlight w:val="none"/>
        </w:rPr>
        <w:t>二、磋商文件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_Toc597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"_Toc11654" </w:instrText>
      </w:r>
      <w:r>
        <w:rPr>
          <w:color w:val="auto"/>
          <w:highlight w:val="none"/>
        </w:rPr>
        <w:fldChar w:fldCharType="separate"/>
      </w:r>
      <w:r>
        <w:rPr>
          <w:rFonts w:hint="eastAsia" w:ascii="宋体" w:hAnsi="宋体" w:cs="宋体"/>
          <w:bCs/>
          <w:color w:val="auto"/>
          <w:sz w:val="24"/>
          <w:highlight w:val="none"/>
        </w:rPr>
        <w:t>三、响应文件的编制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_Toc11654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"_Toc16919" </w:instrText>
      </w:r>
      <w:r>
        <w:rPr>
          <w:color w:val="auto"/>
          <w:highlight w:val="none"/>
        </w:rPr>
        <w:fldChar w:fldCharType="separate"/>
      </w:r>
      <w:r>
        <w:rPr>
          <w:rFonts w:hint="eastAsia" w:ascii="宋体" w:hAnsi="宋体" w:cs="宋体"/>
          <w:bCs/>
          <w:color w:val="auto"/>
          <w:sz w:val="24"/>
          <w:highlight w:val="none"/>
        </w:rPr>
        <w:t>四、评审及磋商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_Toc16919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"_Toc18284" </w:instrText>
      </w:r>
      <w:r>
        <w:rPr>
          <w:color w:val="auto"/>
          <w:highlight w:val="none"/>
        </w:rPr>
        <w:fldChar w:fldCharType="separate"/>
      </w:r>
      <w:r>
        <w:rPr>
          <w:rFonts w:hint="eastAsia" w:ascii="宋体" w:hAnsi="宋体" w:cs="宋体"/>
          <w:bCs/>
          <w:color w:val="auto"/>
          <w:sz w:val="24"/>
          <w:highlight w:val="none"/>
        </w:rPr>
        <w:t>五、成交及合同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_Toc18284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"_Toc7683" </w:instrText>
      </w:r>
      <w:r>
        <w:rPr>
          <w:color w:val="auto"/>
          <w:highlight w:val="none"/>
        </w:rPr>
        <w:fldChar w:fldCharType="separate"/>
      </w:r>
      <w:r>
        <w:rPr>
          <w:rFonts w:hint="eastAsia" w:ascii="宋体" w:hAnsi="宋体" w:cs="宋体"/>
          <w:bCs/>
          <w:color w:val="auto"/>
          <w:sz w:val="24"/>
          <w:highlight w:val="none"/>
        </w:rPr>
        <w:t>六、验收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_Toc7683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"_Toc5991" </w:instrText>
      </w:r>
      <w:r>
        <w:rPr>
          <w:color w:val="auto"/>
          <w:highlight w:val="none"/>
        </w:rPr>
        <w:fldChar w:fldCharType="separate"/>
      </w:r>
      <w:r>
        <w:rPr>
          <w:rFonts w:hint="eastAsia" w:ascii="宋体" w:hAnsi="宋体" w:cs="宋体"/>
          <w:bCs/>
          <w:color w:val="auto"/>
          <w:sz w:val="24"/>
          <w:highlight w:val="none"/>
        </w:rPr>
        <w:t>七、其他事项</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_Toc5991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"_Toc24815" </w:instrText>
      </w:r>
      <w:r>
        <w:rPr>
          <w:color w:val="auto"/>
          <w:highlight w:val="none"/>
        </w:rPr>
        <w:fldChar w:fldCharType="separate"/>
      </w:r>
      <w:r>
        <w:rPr>
          <w:rFonts w:hint="eastAsia" w:ascii="宋体" w:hAnsi="宋体" w:cs="宋体"/>
          <w:color w:val="auto"/>
          <w:sz w:val="24"/>
          <w:highlight w:val="none"/>
        </w:rPr>
        <w:t>第三章 采购需求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_Toc24815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"_Toc7085" </w:instrText>
      </w:r>
      <w:r>
        <w:rPr>
          <w:color w:val="auto"/>
          <w:highlight w:val="none"/>
        </w:rPr>
        <w:fldChar w:fldCharType="separate"/>
      </w:r>
      <w:r>
        <w:rPr>
          <w:rFonts w:hint="eastAsia" w:ascii="宋体" w:hAnsi="宋体" w:cs="宋体"/>
          <w:bCs/>
          <w:color w:val="auto"/>
          <w:sz w:val="24"/>
          <w:highlight w:val="none"/>
        </w:rPr>
        <w:t>第四章 评审程序、评审方法和评审标准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_Toc7085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"_Toc15394" </w:instrText>
      </w:r>
      <w:r>
        <w:rPr>
          <w:color w:val="auto"/>
          <w:highlight w:val="none"/>
        </w:rPr>
        <w:fldChar w:fldCharType="separate"/>
      </w:r>
      <w:r>
        <w:rPr>
          <w:rFonts w:hint="eastAsia" w:ascii="宋体" w:hAnsi="宋体" w:cs="宋体"/>
          <w:color w:val="auto"/>
          <w:sz w:val="24"/>
          <w:highlight w:val="none"/>
        </w:rPr>
        <w:t>第一节 评审程序和评审方法</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_Toc15394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"_Toc25766" </w:instrText>
      </w:r>
      <w:r>
        <w:rPr>
          <w:color w:val="auto"/>
          <w:highlight w:val="none"/>
        </w:rPr>
        <w:fldChar w:fldCharType="separate"/>
      </w:r>
      <w:r>
        <w:rPr>
          <w:rFonts w:hint="eastAsia" w:ascii="宋体" w:hAnsi="宋体" w:cs="宋体"/>
          <w:color w:val="auto"/>
          <w:sz w:val="24"/>
          <w:highlight w:val="none"/>
        </w:rPr>
        <w:t>第二节 评标报告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_Toc25766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"_Toc6554" </w:instrText>
      </w:r>
      <w:r>
        <w:rPr>
          <w:color w:val="auto"/>
          <w:highlight w:val="none"/>
        </w:rPr>
        <w:fldChar w:fldCharType="separate"/>
      </w:r>
      <w:r>
        <w:rPr>
          <w:rFonts w:hint="eastAsia" w:ascii="宋体" w:hAnsi="宋体" w:cs="宋体"/>
          <w:color w:val="auto"/>
          <w:sz w:val="24"/>
          <w:highlight w:val="none"/>
        </w:rPr>
        <w:t>第三节 评审过程的保密与录像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_Toc6554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"_Toc19118" </w:instrText>
      </w:r>
      <w:r>
        <w:rPr>
          <w:color w:val="auto"/>
          <w:highlight w:val="none"/>
        </w:rPr>
        <w:fldChar w:fldCharType="separate"/>
      </w:r>
      <w:r>
        <w:rPr>
          <w:rFonts w:hint="eastAsia" w:ascii="宋体" w:hAnsi="宋体" w:cs="宋体"/>
          <w:color w:val="auto"/>
          <w:sz w:val="24"/>
          <w:highlight w:val="none"/>
        </w:rPr>
        <w:t>第五章 工程量清单</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_Toc19118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"_Toc30036" </w:instrText>
      </w:r>
      <w:r>
        <w:rPr>
          <w:color w:val="auto"/>
          <w:highlight w:val="none"/>
        </w:rPr>
        <w:fldChar w:fldCharType="separate"/>
      </w:r>
      <w:r>
        <w:rPr>
          <w:rFonts w:hint="eastAsia" w:ascii="宋体" w:hAnsi="宋体" w:cs="宋体"/>
          <w:color w:val="auto"/>
          <w:sz w:val="24"/>
          <w:highlight w:val="none"/>
        </w:rPr>
        <w:t>第六章 图纸（另册）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_Toc30036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"_Toc29359" </w:instrText>
      </w:r>
      <w:r>
        <w:rPr>
          <w:color w:val="auto"/>
          <w:highlight w:val="none"/>
        </w:rPr>
        <w:fldChar w:fldCharType="separate"/>
      </w:r>
      <w:r>
        <w:rPr>
          <w:rFonts w:hint="eastAsia" w:ascii="宋体" w:hAnsi="宋体" w:cs="宋体"/>
          <w:bCs/>
          <w:color w:val="auto"/>
          <w:sz w:val="24"/>
          <w:highlight w:val="none"/>
        </w:rPr>
        <w:t>第七章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_Toc29359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"_Toc7655" </w:instrText>
      </w:r>
      <w:r>
        <w:rPr>
          <w:color w:val="auto"/>
          <w:highlight w:val="none"/>
        </w:rPr>
        <w:fldChar w:fldCharType="separate"/>
      </w:r>
      <w:r>
        <w:rPr>
          <w:rFonts w:hint="eastAsia" w:ascii="宋体" w:hAnsi="宋体" w:cs="宋体"/>
          <w:color w:val="auto"/>
          <w:sz w:val="24"/>
          <w:highlight w:val="none"/>
        </w:rPr>
        <w:t>第一节 封面格式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_Toc7655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"_Toc8406" </w:instrText>
      </w:r>
      <w:r>
        <w:rPr>
          <w:color w:val="auto"/>
          <w:highlight w:val="none"/>
        </w:rPr>
        <w:fldChar w:fldCharType="separate"/>
      </w:r>
      <w:r>
        <w:rPr>
          <w:rFonts w:hint="eastAsia" w:ascii="宋体" w:hAnsi="宋体" w:cs="宋体"/>
          <w:color w:val="auto"/>
          <w:sz w:val="24"/>
          <w:highlight w:val="none"/>
        </w:rPr>
        <w:t>第二节 资格证明文件格式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_Toc8406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"_Toc32504" </w:instrText>
      </w:r>
      <w:r>
        <w:rPr>
          <w:color w:val="auto"/>
          <w:highlight w:val="none"/>
        </w:rPr>
        <w:fldChar w:fldCharType="separate"/>
      </w:r>
      <w:r>
        <w:rPr>
          <w:rFonts w:hint="eastAsia" w:ascii="宋体" w:hAnsi="宋体" w:cs="宋体"/>
          <w:bCs/>
          <w:color w:val="auto"/>
          <w:sz w:val="24"/>
          <w:highlight w:val="none"/>
        </w:rPr>
        <w:t>第三节 商务技术文件格式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_Toc32504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"_Toc4530" </w:instrText>
      </w:r>
      <w:r>
        <w:rPr>
          <w:color w:val="auto"/>
          <w:highlight w:val="none"/>
        </w:rPr>
        <w:fldChar w:fldCharType="separate"/>
      </w:r>
      <w:r>
        <w:rPr>
          <w:rFonts w:hint="eastAsia" w:ascii="宋体" w:hAnsi="宋体" w:cs="宋体"/>
          <w:color w:val="auto"/>
          <w:sz w:val="24"/>
          <w:highlight w:val="none"/>
        </w:rPr>
        <w:t>第四节 报价文件格式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_Toc4530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"_Toc27730" </w:instrText>
      </w:r>
      <w:r>
        <w:rPr>
          <w:color w:val="auto"/>
          <w:highlight w:val="none"/>
        </w:rPr>
        <w:fldChar w:fldCharType="separate"/>
      </w:r>
      <w:r>
        <w:rPr>
          <w:rFonts w:hint="eastAsia" w:ascii="宋体" w:hAnsi="宋体" w:cs="宋体"/>
          <w:color w:val="auto"/>
          <w:sz w:val="24"/>
          <w:highlight w:val="none"/>
        </w:rPr>
        <w:t>第八章 合同文本</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_Toc27730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"_Toc5496" </w:instrText>
      </w:r>
      <w:r>
        <w:rPr>
          <w:color w:val="auto"/>
          <w:highlight w:val="none"/>
        </w:rPr>
        <w:fldChar w:fldCharType="separate"/>
      </w:r>
      <w:r>
        <w:rPr>
          <w:rFonts w:hint="eastAsia" w:ascii="宋体" w:hAnsi="宋体" w:cs="宋体"/>
          <w:color w:val="auto"/>
          <w:sz w:val="24"/>
          <w:highlight w:val="none"/>
        </w:rPr>
        <w:t>第九章 质疑、投诉材料格式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_Toc5496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5"/>
        <w:spacing w:line="360" w:lineRule="auto"/>
        <w:rPr>
          <w:rFonts w:ascii="宋体" w:hAnsi="宋体" w:cs="宋体"/>
          <w:b/>
          <w:color w:val="auto"/>
          <w:sz w:val="32"/>
          <w:szCs w:val="32"/>
          <w:highlight w:val="none"/>
        </w:rPr>
      </w:pPr>
      <w:r>
        <w:rPr>
          <w:rFonts w:hint="eastAsia" w:ascii="宋体" w:hAnsi="宋体" w:cs="宋体"/>
          <w:color w:val="auto"/>
          <w:sz w:val="24"/>
          <w:highlight w:val="none"/>
        </w:rPr>
        <w:fldChar w:fldCharType="end"/>
      </w:r>
    </w:p>
    <w:p>
      <w:pPr>
        <w:pStyle w:val="2"/>
        <w:spacing w:before="0" w:after="0" w:line="360" w:lineRule="auto"/>
        <w:jc w:val="center"/>
        <w:rPr>
          <w:rFonts w:ascii="宋体" w:hAnsi="宋体" w:cs="宋体"/>
          <w:bCs w:val="0"/>
          <w:color w:val="auto"/>
          <w:kern w:val="2"/>
          <w:sz w:val="32"/>
          <w:szCs w:val="32"/>
          <w:highlight w:val="none"/>
        </w:rPr>
        <w:sectPr>
          <w:footerReference r:id="rId3" w:type="default"/>
          <w:pgSz w:w="11911" w:h="16838"/>
          <w:pgMar w:top="1418" w:right="1418" w:bottom="1418" w:left="1418" w:header="851" w:footer="964" w:gutter="0"/>
          <w:pgNumType w:start="1"/>
          <w:cols w:space="720" w:num="1"/>
          <w:docGrid w:linePitch="312" w:charSpace="0"/>
        </w:sectPr>
      </w:pPr>
    </w:p>
    <w:p>
      <w:pPr>
        <w:pStyle w:val="2"/>
        <w:spacing w:before="0" w:after="0" w:line="360" w:lineRule="auto"/>
        <w:jc w:val="center"/>
        <w:rPr>
          <w:rFonts w:ascii="宋体" w:hAnsi="宋体" w:cs="宋体"/>
          <w:bCs w:val="0"/>
          <w:color w:val="auto"/>
          <w:kern w:val="2"/>
          <w:sz w:val="32"/>
          <w:szCs w:val="32"/>
          <w:highlight w:val="none"/>
        </w:rPr>
      </w:pPr>
      <w:bookmarkStart w:id="0" w:name="_Toc26732"/>
      <w:r>
        <w:rPr>
          <w:rFonts w:hint="eastAsia" w:ascii="宋体" w:hAnsi="宋体" w:cs="宋体"/>
          <w:bCs w:val="0"/>
          <w:color w:val="auto"/>
          <w:kern w:val="2"/>
          <w:sz w:val="32"/>
          <w:szCs w:val="32"/>
          <w:highlight w:val="none"/>
        </w:rPr>
        <w:t>第一章 竞争性磋商公告</w:t>
      </w:r>
      <w:bookmarkEnd w:id="0"/>
      <w:bookmarkStart w:id="1" w:name="_Toc28359012"/>
      <w:bookmarkStart w:id="2" w:name="_Toc28359089"/>
      <w:bookmarkStart w:id="3" w:name="_Toc35393798"/>
      <w:bookmarkStart w:id="4" w:name="_Toc44229878"/>
      <w:bookmarkStart w:id="5" w:name="_Toc35393629"/>
      <w:bookmarkStart w:id="6" w:name="_Toc28359081"/>
      <w:bookmarkStart w:id="7" w:name="_Toc35393623"/>
      <w:bookmarkStart w:id="8" w:name="_Toc35393792"/>
      <w:bookmarkStart w:id="9" w:name="_Toc28359004"/>
    </w:p>
    <w:tbl>
      <w:tblPr>
        <w:tblStyle w:val="30"/>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9079" w:type="dxa"/>
            <w:vAlign w:val="center"/>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pPr>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六堡茶种质资源圃建设项目</w:t>
            </w:r>
            <w:r>
              <w:rPr>
                <w:rFonts w:hint="eastAsia" w:ascii="宋体" w:hAnsi="宋体" w:cs="宋体"/>
                <w:color w:val="auto"/>
                <w:szCs w:val="21"/>
                <w:highlight w:val="none"/>
              </w:rPr>
              <w:t>的潜在供应商应在</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rPr>
              <w:t>获取采购文件，并于</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6月22日</w:t>
            </w:r>
            <w:r>
              <w:rPr>
                <w:rFonts w:hint="eastAsia" w:ascii="宋体" w:hAnsi="宋体" w:cs="宋体"/>
                <w:color w:val="auto"/>
                <w:szCs w:val="21"/>
                <w:highlight w:val="none"/>
                <w:u w:val="single"/>
              </w:rPr>
              <w:t>9:30</w:t>
            </w:r>
            <w:r>
              <w:rPr>
                <w:rFonts w:hint="eastAsia" w:ascii="宋体" w:hAnsi="宋体" w:cs="宋体"/>
                <w:color w:val="auto"/>
                <w:szCs w:val="21"/>
                <w:highlight w:val="none"/>
              </w:rPr>
              <w:t>（北京时间）前提交响应文件。</w:t>
            </w:r>
          </w:p>
        </w:tc>
      </w:tr>
    </w:tbl>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一、项目基本情况</w:t>
      </w:r>
      <w:bookmarkEnd w:id="1"/>
      <w:bookmarkEnd w:id="2"/>
      <w:bookmarkEnd w:id="3"/>
      <w:bookmarkEnd w:id="4"/>
      <w:bookmarkEnd w:id="5"/>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WZZC2026-C2-050015-GXHH</w:t>
      </w:r>
    </w:p>
    <w:p>
      <w:pPr>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val="en-US" w:eastAsia="zh-CN"/>
        </w:rPr>
        <w:t>六堡茶种质资源圃建设项目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3000004.72</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采购需求：</w:t>
      </w:r>
    </w:p>
    <w:p>
      <w:pPr>
        <w:spacing w:line="360" w:lineRule="auto"/>
        <w:ind w:left="850" w:leftChars="40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六堡茶种质资源圃建设项目</w:t>
      </w:r>
    </w:p>
    <w:p>
      <w:pPr>
        <w:spacing w:line="360" w:lineRule="auto"/>
        <w:ind w:left="850" w:leftChars="405"/>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数量：</w:t>
      </w:r>
      <w:r>
        <w:rPr>
          <w:rFonts w:hint="eastAsia" w:ascii="宋体" w:hAnsi="宋体" w:cs="宋体"/>
          <w:color w:val="auto"/>
          <w:szCs w:val="21"/>
          <w:highlight w:val="none"/>
          <w:lang w:val="en-US" w:eastAsia="zh-CN"/>
        </w:rPr>
        <w:t>1</w:t>
      </w:r>
      <w:bookmarkStart w:id="551" w:name="_GoBack"/>
      <w:bookmarkEnd w:id="551"/>
    </w:p>
    <w:p>
      <w:pPr>
        <w:spacing w:line="360" w:lineRule="auto"/>
        <w:ind w:left="850" w:leftChars="405"/>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3000004.72</w:t>
      </w:r>
    </w:p>
    <w:p>
      <w:pPr>
        <w:widowControl/>
        <w:adjustRightInd w:val="0"/>
        <w:spacing w:line="360" w:lineRule="auto"/>
        <w:ind w:left="850" w:leftChars="405"/>
        <w:jc w:val="left"/>
        <w:textAlignment w:val="baseline"/>
        <w:rPr>
          <w:rStyle w:val="98"/>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简要规格描述或项目基本概况介绍、用途：</w:t>
      </w:r>
      <w:bookmarkStart w:id="10" w:name="PO_3000001868_PM004"/>
      <w:r>
        <w:rPr>
          <w:rFonts w:hint="eastAsia" w:ascii="宋体" w:hAnsi="宋体" w:eastAsia="宋体" w:cs="宋体"/>
          <w:kern w:val="2"/>
          <w:sz w:val="24"/>
          <w:szCs w:val="22"/>
          <w:highlight w:val="none"/>
          <w:lang w:val="en-US" w:eastAsia="zh-CN" w:bidi="ar-SA"/>
        </w:rPr>
        <w:t>1.建设100亩六堡茶种质资源圃及建设60亩茶树良种繁育基地。 2.采购就安装智能化水肥一体化设备，包括配备精准灌溉、精准施肥等智能化设备以及安装实时监控系统、太阳能供电系统等；在茶树良种繁育基地搭建100平方米的育苗温室，配套棚架、遮阳网系统、环境控制系统、自动喷淋设备等建设内容。</w:t>
      </w:r>
      <w:r>
        <w:rPr>
          <w:rFonts w:hint="eastAsia" w:ascii="宋体" w:hAnsi="宋体" w:cs="宋体"/>
          <w:color w:val="auto"/>
          <w:szCs w:val="21"/>
          <w:highlight w:val="none"/>
        </w:rPr>
        <w:t>具体按施工图纸、工程量清单、竞争性磋商文件及相关补充通知的全部内容。</w:t>
      </w:r>
    </w:p>
    <w:bookmarkEnd w:id="10"/>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最高限价</w:t>
      </w:r>
      <w:bookmarkStart w:id="11" w:name="_Hlk66782034"/>
      <w:r>
        <w:rPr>
          <w:rFonts w:hint="eastAsia" w:ascii="宋体" w:hAnsi="宋体" w:cs="宋体"/>
          <w:color w:val="auto"/>
          <w:szCs w:val="21"/>
          <w:highlight w:val="none"/>
        </w:rPr>
        <w:t>（如有）</w:t>
      </w:r>
      <w:bookmarkEnd w:id="11"/>
      <w:r>
        <w:rPr>
          <w:rFonts w:hint="eastAsia" w:ascii="宋体" w:hAnsi="宋体" w:cs="宋体"/>
          <w:color w:val="auto"/>
          <w:szCs w:val="21"/>
          <w:highlight w:val="none"/>
        </w:rPr>
        <w:t>：</w:t>
      </w:r>
      <w:r>
        <w:rPr>
          <w:rFonts w:hint="eastAsia" w:ascii="宋体" w:hAnsi="宋体" w:cs="宋体"/>
          <w:color w:val="auto"/>
          <w:szCs w:val="21"/>
          <w:highlight w:val="none"/>
          <w:lang w:eastAsia="zh-CN"/>
        </w:rPr>
        <w:t>3000004.72</w:t>
      </w:r>
      <w:r>
        <w:rPr>
          <w:rFonts w:hint="eastAsia" w:ascii="宋体" w:hAnsi="宋体" w:cs="宋体"/>
          <w:color w:val="auto"/>
          <w:szCs w:val="21"/>
          <w:highlight w:val="none"/>
          <w:lang w:val="en-US" w:eastAsia="zh-CN"/>
        </w:rPr>
        <w:t>元</w:t>
      </w:r>
    </w:p>
    <w:p>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bidi="zh-CN"/>
        </w:rPr>
        <w:t>工期</w:t>
      </w:r>
      <w:r>
        <w:rPr>
          <w:rFonts w:hint="eastAsia" w:ascii="宋体" w:hAnsi="宋体" w:cs="宋体"/>
          <w:color w:val="auto"/>
          <w:szCs w:val="21"/>
          <w:highlight w:val="none"/>
          <w:u w:val="single"/>
          <w:lang w:val="en-US" w:bidi="zh-CN"/>
        </w:rPr>
        <w:t>90</w:t>
      </w:r>
      <w:r>
        <w:rPr>
          <w:rFonts w:hint="eastAsia" w:ascii="宋体" w:hAnsi="宋体" w:cs="宋体"/>
          <w:color w:val="auto"/>
          <w:szCs w:val="21"/>
          <w:highlight w:val="none"/>
          <w:lang w:bidi="zh-CN"/>
        </w:rPr>
        <w:t>日历天</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bookmarkStart w:id="12" w:name="_Toc35393630"/>
      <w:bookmarkStart w:id="13" w:name="_Toc35393799"/>
      <w:bookmarkStart w:id="14" w:name="_Toc28359013"/>
      <w:bookmarkStart w:id="15" w:name="_Toc44229879"/>
      <w:bookmarkStart w:id="16" w:name="_Toc28359090"/>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w:t>
      </w:r>
    </w:p>
    <w:p>
      <w:pPr>
        <w:spacing w:line="360" w:lineRule="auto"/>
        <w:ind w:firstLine="422" w:firstLineChars="200"/>
        <w:rPr>
          <w:rFonts w:hint="eastAsia" w:ascii="宋体" w:hAnsi="宋体" w:eastAsia="宋体" w:cs="宋体"/>
          <w:bCs/>
          <w:color w:val="auto"/>
          <w:szCs w:val="21"/>
          <w:highlight w:val="none"/>
          <w:lang w:eastAsia="zh-CN"/>
        </w:rPr>
      </w:pPr>
      <w:r>
        <w:rPr>
          <w:rFonts w:hint="eastAsia" w:ascii="宋体" w:hAnsi="宋体" w:cs="宋体"/>
          <w:b/>
          <w:color w:val="auto"/>
          <w:szCs w:val="21"/>
          <w:highlight w:val="none"/>
        </w:rPr>
        <w:t>二、申请人的资格要求：</w:t>
      </w:r>
      <w:bookmarkEnd w:id="12"/>
      <w:bookmarkEnd w:id="13"/>
      <w:bookmarkEnd w:id="14"/>
      <w:bookmarkEnd w:id="15"/>
      <w:bookmarkEnd w:id="16"/>
    </w:p>
    <w:p>
      <w:pPr>
        <w:spacing w:line="360" w:lineRule="auto"/>
        <w:ind w:firstLine="420" w:firstLineChars="200"/>
        <w:rPr>
          <w:rFonts w:ascii="宋体" w:hAnsi="宋体" w:cs="宋体"/>
          <w:color w:val="auto"/>
          <w:szCs w:val="21"/>
          <w:highlight w:val="none"/>
        </w:rPr>
      </w:pPr>
      <w:bookmarkStart w:id="17" w:name="OLE_LINK14"/>
      <w:r>
        <w:rPr>
          <w:rFonts w:hint="eastAsia" w:ascii="宋体" w:hAnsi="宋体" w:cs="宋体"/>
          <w:color w:val="auto"/>
          <w:szCs w:val="21"/>
          <w:highlight w:val="none"/>
        </w:rPr>
        <w:t>1.满足《中华人民共和国政府采购法》第二十二条规定</w:t>
      </w:r>
      <w:bookmarkEnd w:id="17"/>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bookmarkStart w:id="18" w:name="OLE_LINK15"/>
      <w:r>
        <w:rPr>
          <w:rFonts w:hint="eastAsia" w:ascii="宋体" w:hAnsi="宋体" w:cs="宋体"/>
          <w:color w:val="auto"/>
          <w:szCs w:val="21"/>
          <w:highlight w:val="none"/>
        </w:rPr>
        <w:t>本项目为专门面向中小企业项目，供应商应为中型企业或小型企业或微型企业或监狱企业或残疾人福利性单位</w:t>
      </w:r>
      <w:bookmarkEnd w:id="18"/>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pPr>
        <w:spacing w:line="360" w:lineRule="auto"/>
        <w:ind w:firstLine="480" w:firstLineChars="200"/>
        <w:rPr>
          <w:rFonts w:hint="eastAsia" w:ascii="宋体" w:hAnsi="宋体" w:eastAsia="宋体" w:cs="宋体"/>
          <w:kern w:val="2"/>
          <w:sz w:val="24"/>
          <w:szCs w:val="22"/>
          <w:highlight w:val="none"/>
          <w:lang w:val="en-US" w:eastAsia="zh-CN" w:bidi="ar-SA"/>
        </w:rPr>
      </w:pPr>
      <w:bookmarkStart w:id="19" w:name="OLE_LINK1"/>
      <w:bookmarkStart w:id="20" w:name="OLE_LINK16"/>
      <w:r>
        <w:rPr>
          <w:rFonts w:hint="eastAsia" w:ascii="宋体" w:hAnsi="宋体" w:eastAsia="宋体" w:cs="宋体"/>
          <w:kern w:val="2"/>
          <w:sz w:val="24"/>
          <w:szCs w:val="22"/>
          <w:highlight w:val="none"/>
          <w:lang w:val="en-US" w:eastAsia="zh-CN" w:bidi="ar-SA"/>
        </w:rPr>
        <w:t>具备</w:t>
      </w:r>
      <w:r>
        <w:rPr>
          <w:rFonts w:hint="eastAsia" w:ascii="宋体" w:hAnsi="宋体" w:cs="宋体"/>
          <w:kern w:val="2"/>
          <w:sz w:val="24"/>
          <w:szCs w:val="22"/>
          <w:highlight w:val="none"/>
          <w:lang w:val="en-US" w:eastAsia="zh-CN" w:bidi="ar-SA"/>
        </w:rPr>
        <w:t>建筑工程总承包二级</w:t>
      </w:r>
      <w:r>
        <w:rPr>
          <w:rFonts w:hint="eastAsia" w:ascii="宋体" w:hAnsi="宋体" w:eastAsia="宋体" w:cs="宋体"/>
          <w:kern w:val="2"/>
          <w:sz w:val="24"/>
          <w:szCs w:val="22"/>
          <w:highlight w:val="none"/>
          <w:lang w:val="en-US" w:eastAsia="zh-CN" w:bidi="ar-SA"/>
        </w:rPr>
        <w:t>（含）以上资质，并在人员、设备、资金等方面具备相应的施工能力。其中，投标人拟派项目经理须具备</w:t>
      </w:r>
      <w:r>
        <w:rPr>
          <w:rFonts w:hint="eastAsia" w:ascii="宋体" w:hAnsi="宋体" w:cs="宋体"/>
          <w:kern w:val="2"/>
          <w:sz w:val="24"/>
          <w:szCs w:val="22"/>
          <w:highlight w:val="none"/>
          <w:lang w:val="en-US" w:eastAsia="zh-CN" w:bidi="ar-SA"/>
        </w:rPr>
        <w:t>建筑</w:t>
      </w:r>
      <w:r>
        <w:rPr>
          <w:rFonts w:hint="eastAsia" w:ascii="宋体" w:hAnsi="宋体" w:eastAsia="宋体" w:cs="宋体"/>
          <w:kern w:val="2"/>
          <w:sz w:val="24"/>
          <w:szCs w:val="22"/>
          <w:highlight w:val="none"/>
          <w:lang w:val="en-US" w:eastAsia="zh-CN" w:bidi="ar-SA"/>
        </w:rPr>
        <w:t>工程专业二级以上（含本级）注册建造师执业资格。具备有效的安全生产考核合格证书（B类）</w:t>
      </w:r>
      <w:bookmarkEnd w:id="19"/>
      <w:r>
        <w:rPr>
          <w:rFonts w:hint="eastAsia" w:ascii="宋体" w:hAnsi="宋体" w:eastAsia="宋体" w:cs="宋体"/>
          <w:kern w:val="2"/>
          <w:sz w:val="24"/>
          <w:szCs w:val="22"/>
          <w:highlight w:val="none"/>
          <w:lang w:val="en-US" w:eastAsia="zh-CN" w:bidi="ar-SA"/>
        </w:rPr>
        <w:t>。拟投入本项目专职安全员具备安全生产考核合格证书(C类)。</w:t>
      </w:r>
      <w:bookmarkEnd w:id="20"/>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三、获取采购文件</w:t>
      </w:r>
      <w:bookmarkEnd w:id="6"/>
      <w:bookmarkEnd w:id="7"/>
      <w:bookmarkEnd w:id="8"/>
      <w:bookmarkEnd w:id="9"/>
    </w:p>
    <w:p>
      <w:pPr>
        <w:spacing w:line="360" w:lineRule="auto"/>
        <w:ind w:firstLine="420" w:firstLineChars="200"/>
        <w:rPr>
          <w:rFonts w:ascii="宋体" w:hAnsi="宋体" w:cs="宋体"/>
          <w:color w:val="auto"/>
          <w:szCs w:val="21"/>
          <w:highlight w:val="none"/>
        </w:rPr>
      </w:pPr>
      <w:bookmarkStart w:id="21" w:name="_Toc28359082"/>
      <w:bookmarkStart w:id="22" w:name="_Toc35393793"/>
      <w:bookmarkStart w:id="23" w:name="_Toc35393624"/>
      <w:bookmarkStart w:id="24" w:name="_Toc28359005"/>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6月8</w:t>
      </w:r>
      <w:r>
        <w:rPr>
          <w:rFonts w:hint="eastAsia" w:ascii="宋体" w:hAnsi="宋体" w:cs="宋体"/>
          <w:color w:val="auto"/>
          <w:szCs w:val="21"/>
          <w:highlight w:val="none"/>
        </w:rPr>
        <w:t>日至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6月15日</w:t>
      </w:r>
      <w:r>
        <w:rPr>
          <w:rFonts w:hint="eastAsia" w:ascii="宋体" w:hAnsi="宋体" w:cs="宋体"/>
          <w:color w:val="auto"/>
          <w:szCs w:val="21"/>
          <w:highlight w:val="none"/>
        </w:rPr>
        <w:t>，每天上午00:00至12:00，下午12:00至23:59（北京时间，法定节假日除外）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方式：</w:t>
      </w:r>
      <w:r>
        <w:rPr>
          <w:rFonts w:ascii="宋体" w:hAnsi="宋体" w:cs="宋体"/>
          <w:color w:val="auto"/>
          <w:szCs w:val="21"/>
          <w:highlight w:val="none"/>
        </w:rPr>
        <w:t>供应商登录广西政府采购云平台https://www.gcy.zfcg.gxzf.gov.cn/在线申请获取采购文件（进入“项目采购”应用，在获取采购文件菜单中选择项目，申请获取采购文件）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售价（元）：0</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w:t>
      </w:r>
      <w:bookmarkEnd w:id="21"/>
      <w:bookmarkEnd w:id="22"/>
      <w:bookmarkEnd w:id="23"/>
      <w:bookmarkEnd w:id="24"/>
      <w:r>
        <w:rPr>
          <w:rFonts w:hint="eastAsia" w:ascii="宋体" w:hAnsi="宋体" w:cs="宋体"/>
          <w:b/>
          <w:bCs/>
          <w:color w:val="auto"/>
          <w:szCs w:val="21"/>
          <w:highlight w:val="none"/>
        </w:rPr>
        <w:t>响应文件提交</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6月22日</w:t>
      </w:r>
      <w:r>
        <w:rPr>
          <w:rFonts w:hint="eastAsia" w:ascii="宋体" w:hAnsi="宋体" w:cs="宋体"/>
          <w:color w:val="auto"/>
          <w:szCs w:val="21"/>
          <w:highlight w:val="none"/>
        </w:rPr>
        <w:t>9:30（北京时间）</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地点（网址）：</w:t>
      </w:r>
      <w:bookmarkStart w:id="25" w:name="OLE_LINK3"/>
      <w:r>
        <w:rPr>
          <w:rFonts w:hint="eastAsia" w:ascii="宋体" w:hAnsi="宋体" w:cs="宋体"/>
          <w:bCs/>
          <w:color w:val="auto"/>
          <w:szCs w:val="21"/>
          <w:highlight w:val="none"/>
        </w:rPr>
        <w:t>“广西政府采购云平台”（https://www.gcy.zfcg.gxzf.gov.cn/）（本项目不要求供应商到达开标现场，但供应商应派法定代表人或委托代理人准时在线出席电子开评标会议，随时关注开评标进度，如在开评标过程中有电子询标，应在规定的时间内对电子询标函进行澄清回复）。</w:t>
      </w:r>
    </w:p>
    <w:bookmarkEnd w:id="25"/>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五、响应文件开启</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6月22日</w:t>
      </w:r>
      <w:r>
        <w:rPr>
          <w:rFonts w:hint="eastAsia" w:ascii="宋体" w:hAnsi="宋体" w:cs="宋体"/>
          <w:color w:val="auto"/>
          <w:szCs w:val="21"/>
          <w:highlight w:val="none"/>
        </w:rPr>
        <w:t>9:30（北京时间）</w:t>
      </w:r>
    </w:p>
    <w:p>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地点：通过广西政府采购云平台（https://www.gcy.zfcg.gxzf.gov.cn/）实行在线解密开启</w:t>
      </w:r>
    </w:p>
    <w:p>
      <w:pPr>
        <w:spacing w:line="360" w:lineRule="auto"/>
        <w:ind w:firstLine="422" w:firstLineChars="200"/>
        <w:rPr>
          <w:rFonts w:ascii="宋体" w:hAnsi="宋体" w:cs="宋体"/>
          <w:b/>
          <w:bCs/>
          <w:color w:val="auto"/>
          <w:szCs w:val="21"/>
          <w:highlight w:val="none"/>
        </w:rPr>
      </w:pPr>
      <w:bookmarkStart w:id="26" w:name="_Toc28359007"/>
      <w:bookmarkStart w:id="27" w:name="_Toc28359084"/>
      <w:bookmarkStart w:id="28" w:name="_Toc35393794"/>
      <w:bookmarkStart w:id="29" w:name="_Toc35393625"/>
      <w:r>
        <w:rPr>
          <w:rFonts w:hint="eastAsia" w:ascii="宋体" w:hAnsi="宋体" w:cs="宋体"/>
          <w:b/>
          <w:bCs/>
          <w:color w:val="auto"/>
          <w:szCs w:val="21"/>
          <w:highlight w:val="none"/>
        </w:rPr>
        <w:t>六、公告期限</w:t>
      </w:r>
      <w:bookmarkEnd w:id="26"/>
      <w:bookmarkEnd w:id="27"/>
      <w:bookmarkEnd w:id="28"/>
      <w:bookmarkEnd w:id="2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pPr>
        <w:spacing w:line="360" w:lineRule="auto"/>
        <w:ind w:firstLine="422" w:firstLineChars="200"/>
        <w:rPr>
          <w:rFonts w:ascii="宋体" w:hAnsi="宋体" w:cs="宋体"/>
          <w:b/>
          <w:bCs/>
          <w:color w:val="auto"/>
          <w:szCs w:val="21"/>
          <w:highlight w:val="none"/>
        </w:rPr>
      </w:pPr>
      <w:bookmarkStart w:id="30" w:name="_Toc35393626"/>
      <w:bookmarkStart w:id="31" w:name="_Toc35393795"/>
      <w:r>
        <w:rPr>
          <w:rFonts w:hint="eastAsia" w:ascii="宋体" w:hAnsi="宋体" w:cs="宋体"/>
          <w:b/>
          <w:bCs/>
          <w:color w:val="auto"/>
          <w:szCs w:val="21"/>
          <w:highlight w:val="none"/>
        </w:rPr>
        <w:t>七、其他补充事宜</w:t>
      </w:r>
      <w:bookmarkEnd w:id="30"/>
      <w:bookmarkEnd w:id="31"/>
    </w:p>
    <w:p>
      <w:pPr>
        <w:spacing w:line="360" w:lineRule="auto"/>
        <w:ind w:firstLine="420" w:firstLineChars="200"/>
        <w:rPr>
          <w:rFonts w:ascii="宋体" w:hAnsi="宋体" w:cs="宋体"/>
          <w:color w:val="auto"/>
          <w:szCs w:val="21"/>
          <w:highlight w:val="none"/>
        </w:rPr>
      </w:pPr>
      <w:bookmarkStart w:id="32" w:name="_Hlk37429595"/>
      <w:bookmarkStart w:id="33" w:name="_Hlk37429585"/>
      <w:r>
        <w:rPr>
          <w:rFonts w:hint="eastAsia" w:ascii="宋体" w:hAnsi="宋体" w:cs="宋体"/>
          <w:color w:val="auto"/>
          <w:szCs w:val="21"/>
          <w:highlight w:val="none"/>
        </w:rPr>
        <w:t>1.网上查询地址</w:t>
      </w:r>
      <w:bookmarkEnd w:id="32"/>
      <w:bookmarkEnd w:id="33"/>
      <w:bookmarkStart w:id="34" w:name="_Hlk37429674"/>
      <w:r>
        <w:rPr>
          <w:rFonts w:hint="eastAsia" w:ascii="宋体" w:hAnsi="宋体" w:cs="宋体"/>
          <w:color w:val="auto"/>
          <w:szCs w:val="21"/>
          <w:highlight w:val="none"/>
        </w:rPr>
        <w:t>：</w:t>
      </w:r>
      <w:r>
        <w:rPr>
          <w:rFonts w:hint="eastAsia" w:ascii="宋体" w:hAnsi="宋体" w:cs="宋体"/>
          <w:bCs/>
          <w:color w:val="auto"/>
          <w:szCs w:val="21"/>
          <w:highlight w:val="none"/>
        </w:rPr>
        <w:t>中国政府采购网、广西壮族自治区政府采购网、梧州市政府采购网。</w:t>
      </w:r>
    </w:p>
    <w:bookmarkEnd w:id="34"/>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2.在线投标响应（电子投标）说明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需要落实的政府采购政策：关于印发《政府采购促进中小企业发展管理办法》的通知（财库〔2020〕46号）、《关于政府采购支持监狱企业发展有关问题的通知》（财库﹝2014﹞68号）、《关于促进残疾人就业政府采购政策的通知》（财库〔2017〕141号）、《广西壮族自治区财政厅关于持续优化政府采购营商环境推动高质量发展的通知》（桂财采〔2024〕55号）、《广西壮族自治区财政厅关于贯彻落实政府采购支持中小企业发展政策的通知》（桂财采〔2022〕31号），在工程采购项目中，对于经主管预算单位统筹后未预留份额专门面向中小企业采购的采购项目，评审时对符合规定的残疾人福利性单位、小型和微型企业承建的工程报价给予5%的扣除。监狱企业视同小型和微型企业，工程由其承建的，在评审时给予相同的价格扣除。残疾人福利性单位属于小型、微型企业的，不重复享受政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）CA证书在线解密：首次响应文件开启时，需携带制作响应文件时用来加密的有效数字证书（CA认证）登录广西政府采购云平台电子开标大厅现场按规定时间对加密的响应文件进行解密，否则后果自负。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）供应商需要在具备有摄像头及语音功能且互联网网络状况良好的电脑登录广西政府采购云平台远程开标大厅参与本次磋商，否则后果自负。</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八、凡对本次采购提出询问，请按以下方式联系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1.采购人信息</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val="en-US" w:eastAsia="zh-CN"/>
        </w:rPr>
        <w:t>梧州市长洲区农业农村局</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梧州市长洲区兴梧路36号</w:t>
      </w:r>
    </w:p>
    <w:p>
      <w:pPr>
        <w:pStyle w:val="18"/>
        <w:spacing w:line="360" w:lineRule="auto"/>
        <w:ind w:firstLine="420" w:firstLineChars="200"/>
        <w:rPr>
          <w:rFonts w:hint="eastAsia" w:hAnsi="宋体" w:eastAsia="宋体" w:cs="宋体"/>
          <w:color w:val="auto"/>
          <w:kern w:val="2"/>
          <w:sz w:val="21"/>
          <w:highlight w:val="none"/>
          <w:lang w:eastAsia="zh-CN"/>
        </w:rPr>
      </w:pPr>
      <w:r>
        <w:rPr>
          <w:rFonts w:hint="eastAsia" w:hAnsi="宋体" w:cs="宋体"/>
          <w:color w:val="auto"/>
          <w:kern w:val="2"/>
          <w:sz w:val="21"/>
          <w:highlight w:val="none"/>
        </w:rPr>
        <w:t>项目联系人：</w:t>
      </w:r>
      <w:bookmarkStart w:id="35" w:name="OLE_LINK5"/>
      <w:r>
        <w:rPr>
          <w:rFonts w:hint="eastAsia" w:hAnsi="宋体" w:cs="宋体"/>
          <w:color w:val="auto"/>
          <w:kern w:val="2"/>
          <w:sz w:val="21"/>
          <w:highlight w:val="none"/>
        </w:rPr>
        <w:t>肖傲</w:t>
      </w:r>
      <w:bookmarkEnd w:id="35"/>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项目联系方式：3824856</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广西恒辉工程咨询有限公司</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bookmarkStart w:id="36" w:name="OLE_LINK6"/>
      <w:r>
        <w:rPr>
          <w:rFonts w:hint="eastAsia" w:ascii="宋体" w:hAnsi="宋体" w:cs="宋体"/>
          <w:color w:val="auto"/>
          <w:szCs w:val="21"/>
          <w:highlight w:val="none"/>
          <w:lang w:eastAsia="zh-CN"/>
        </w:rPr>
        <w:t>广西梧州市新兴三路30号神冠豪都B栋1单元34楼3402室</w:t>
      </w:r>
      <w:bookmarkEnd w:id="36"/>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徐工</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项目联系方式：</w:t>
      </w:r>
      <w:bookmarkStart w:id="37" w:name="OLE_LINK2"/>
      <w:r>
        <w:rPr>
          <w:rFonts w:hint="eastAsia" w:ascii="宋体" w:hAnsi="宋体" w:cs="宋体"/>
          <w:color w:val="auto"/>
          <w:szCs w:val="21"/>
          <w:highlight w:val="none"/>
          <w:lang w:eastAsia="zh-CN"/>
        </w:rPr>
        <w:t>18577407356</w:t>
      </w:r>
      <w:bookmarkEnd w:id="37"/>
    </w:p>
    <w:p>
      <w:pPr>
        <w:spacing w:line="360" w:lineRule="auto"/>
        <w:ind w:firstLine="420" w:firstLineChars="200"/>
        <w:rPr>
          <w:rFonts w:ascii="宋体" w:hAnsi="宋体" w:cs="宋体"/>
          <w:color w:val="auto"/>
          <w:szCs w:val="21"/>
          <w:highlight w:val="none"/>
        </w:rPr>
      </w:pPr>
    </w:p>
    <w:p>
      <w:pPr>
        <w:pStyle w:val="11"/>
        <w:spacing w:line="360" w:lineRule="auto"/>
        <w:ind w:firstLine="420" w:firstLineChars="200"/>
        <w:jc w:val="right"/>
        <w:rPr>
          <w:rFonts w:hint="eastAsia" w:ascii="宋体" w:hAnsi="宋体" w:cs="宋体"/>
          <w:color w:val="auto"/>
          <w:szCs w:val="21"/>
          <w:highlight w:val="none"/>
          <w:lang w:eastAsia="zh-CN"/>
        </w:rPr>
      </w:pPr>
    </w:p>
    <w:p>
      <w:pPr>
        <w:pStyle w:val="11"/>
        <w:spacing w:line="360" w:lineRule="auto"/>
        <w:ind w:firstLine="420" w:firstLineChars="200"/>
        <w:jc w:val="right"/>
        <w:rPr>
          <w:rFonts w:hint="eastAsia" w:ascii="宋体" w:hAnsi="宋体" w:eastAsia="宋体" w:cs="宋体"/>
          <w:color w:val="auto"/>
          <w:szCs w:val="21"/>
          <w:highlight w:val="none"/>
          <w:lang w:eastAsia="zh-CN"/>
        </w:rPr>
      </w:pPr>
      <w:bookmarkStart w:id="38" w:name="OLE_LINK4"/>
      <w:r>
        <w:rPr>
          <w:rFonts w:hint="eastAsia" w:ascii="宋体" w:hAnsi="宋体" w:cs="宋体"/>
          <w:color w:val="auto"/>
          <w:szCs w:val="21"/>
          <w:highlight w:val="none"/>
          <w:lang w:eastAsia="zh-CN"/>
        </w:rPr>
        <w:t xml:space="preserve"> 广西恒辉工程咨询有限公司</w:t>
      </w:r>
    </w:p>
    <w:bookmarkEnd w:id="38"/>
    <w:p>
      <w:pPr>
        <w:pStyle w:val="21"/>
        <w:snapToGrid/>
        <w:spacing w:line="360" w:lineRule="auto"/>
        <w:jc w:val="right"/>
        <w:rPr>
          <w:rFonts w:ascii="宋体" w:hAnsi="宋体" w:cs="宋体"/>
          <w:color w:val="auto"/>
          <w:kern w:val="2"/>
          <w:sz w:val="21"/>
          <w:szCs w:val="21"/>
          <w:highlight w:val="yellow"/>
        </w:rPr>
      </w:pPr>
      <w:r>
        <w:rPr>
          <w:rFonts w:hint="eastAsia" w:ascii="宋体" w:hAnsi="宋体" w:cs="宋体"/>
          <w:color w:val="auto"/>
          <w:kern w:val="2"/>
          <w:sz w:val="21"/>
          <w:szCs w:val="21"/>
          <w:highlight w:val="none"/>
          <w:lang w:eastAsia="zh-CN"/>
        </w:rPr>
        <w:t>2026年</w:t>
      </w:r>
      <w:r>
        <w:rPr>
          <w:rFonts w:hint="eastAsia" w:ascii="宋体" w:hAnsi="宋体" w:cs="宋体"/>
          <w:color w:val="auto"/>
          <w:kern w:val="2"/>
          <w:sz w:val="21"/>
          <w:szCs w:val="21"/>
          <w:highlight w:val="none"/>
          <w:lang w:val="en-US" w:eastAsia="zh-CN"/>
        </w:rPr>
        <w:t>6月8</w:t>
      </w:r>
      <w:r>
        <w:rPr>
          <w:rFonts w:hint="eastAsia" w:ascii="宋体" w:hAnsi="宋体" w:cs="宋体"/>
          <w:color w:val="auto"/>
          <w:kern w:val="2"/>
          <w:sz w:val="21"/>
          <w:szCs w:val="21"/>
          <w:highlight w:val="none"/>
        </w:rPr>
        <w:t>日</w:t>
      </w:r>
    </w:p>
    <w:p>
      <w:pPr>
        <w:spacing w:line="360" w:lineRule="auto"/>
        <w:jc w:val="center"/>
        <w:outlineLvl w:val="0"/>
        <w:rPr>
          <w:rFonts w:ascii="宋体" w:hAnsi="宋体" w:cs="宋体"/>
          <w:b/>
          <w:color w:val="auto"/>
          <w:sz w:val="32"/>
          <w:szCs w:val="32"/>
          <w:highlight w:val="none"/>
        </w:rPr>
      </w:pPr>
      <w:bookmarkStart w:id="39" w:name="_Toc19892"/>
      <w:bookmarkStart w:id="40" w:name="_Toc5839"/>
      <w:r>
        <w:rPr>
          <w:rFonts w:hint="eastAsia" w:ascii="宋体" w:hAnsi="宋体" w:cs="宋体"/>
          <w:color w:val="auto"/>
          <w:szCs w:val="21"/>
          <w:highlight w:val="none"/>
        </w:rPr>
        <w:br w:type="page"/>
      </w:r>
      <w:bookmarkEnd w:id="39"/>
      <w:bookmarkEnd w:id="40"/>
      <w:bookmarkStart w:id="41" w:name="_Toc15873"/>
      <w:r>
        <w:rPr>
          <w:rFonts w:hint="eastAsia" w:ascii="宋体" w:hAnsi="宋体" w:cs="宋体"/>
          <w:b/>
          <w:color w:val="auto"/>
          <w:sz w:val="32"/>
          <w:szCs w:val="32"/>
          <w:highlight w:val="none"/>
        </w:rPr>
        <w:t>第二章 供应商须知</w:t>
      </w:r>
      <w:bookmarkEnd w:id="41"/>
    </w:p>
    <w:p>
      <w:pPr>
        <w:pStyle w:val="3"/>
        <w:spacing w:before="0" w:after="0" w:line="360" w:lineRule="auto"/>
        <w:jc w:val="center"/>
        <w:rPr>
          <w:rFonts w:ascii="宋体" w:hAnsi="宋体" w:cs="宋体"/>
          <w:bCs w:val="0"/>
          <w:color w:val="auto"/>
          <w:sz w:val="28"/>
          <w:szCs w:val="28"/>
          <w:highlight w:val="none"/>
        </w:rPr>
      </w:pPr>
      <w:bookmarkStart w:id="42" w:name="_Toc31224"/>
      <w:r>
        <w:rPr>
          <w:rFonts w:hint="eastAsia" w:ascii="宋体" w:hAnsi="宋体" w:cs="宋体"/>
          <w:bCs w:val="0"/>
          <w:color w:val="auto"/>
          <w:sz w:val="28"/>
          <w:szCs w:val="28"/>
          <w:highlight w:val="none"/>
        </w:rPr>
        <w:t>第一节 供应商须知前附表</w:t>
      </w:r>
      <w:bookmarkEnd w:id="42"/>
    </w:p>
    <w:tbl>
      <w:tblPr>
        <w:tblStyle w:val="30"/>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
        <w:gridCol w:w="1613"/>
        <w:gridCol w:w="6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44" w:type="dxa"/>
            <w:vAlign w:val="center"/>
          </w:tcPr>
          <w:p>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613" w:type="dxa"/>
            <w:vAlign w:val="center"/>
          </w:tcPr>
          <w:p>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882" w:type="dxa"/>
            <w:vAlign w:val="center"/>
          </w:tcPr>
          <w:p>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供应商资格条件要求详见公告。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不允许联合体投标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不允许分包</w:t>
            </w:r>
          </w:p>
          <w:p>
            <w:pPr>
              <w:spacing w:line="300" w:lineRule="auto"/>
              <w:rPr>
                <w:rFonts w:ascii="宋体" w:hAnsi="宋体" w:cs="宋体"/>
                <w:color w:val="auto"/>
                <w:szCs w:val="21"/>
                <w:highlight w:val="none"/>
              </w:rPr>
            </w:pPr>
            <w:r>
              <w:rPr>
                <w:rFonts w:hint="eastAsia" w:ascii="宋体" w:hAnsi="宋体" w:cs="宋体"/>
                <w:color w:val="auto"/>
                <w:szCs w:val="21"/>
                <w:highlight w:val="none"/>
              </w:rPr>
              <w:t>□允许分包</w:t>
            </w:r>
          </w:p>
          <w:p>
            <w:pPr>
              <w:spacing w:line="30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11"/>
              <w:spacing w:line="300" w:lineRule="auto"/>
              <w:jc w:val="both"/>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882" w:type="dxa"/>
            <w:vAlign w:val="center"/>
          </w:tcPr>
          <w:p>
            <w:pPr>
              <w:spacing w:line="300" w:lineRule="auto"/>
              <w:rPr>
                <w:rFonts w:ascii="宋体" w:hAnsi="宋体" w:cs="宋体"/>
                <w:color w:val="auto"/>
                <w:szCs w:val="21"/>
                <w:highlight w:val="none"/>
              </w:rPr>
            </w:pPr>
            <w:bookmarkStart w:id="43" w:name="OLE_LINK7"/>
            <w:r>
              <w:rPr>
                <w:rFonts w:hint="eastAsia" w:ascii="宋体" w:hAnsi="宋体" w:cs="宋体"/>
                <w:color w:val="auto"/>
                <w:szCs w:val="21"/>
                <w:highlight w:val="none"/>
              </w:rPr>
              <w:t>1.供应商有效的营业执照复印件</w:t>
            </w:r>
            <w:bookmarkEnd w:id="43"/>
            <w:r>
              <w:rPr>
                <w:rFonts w:hint="eastAsia" w:ascii="宋体" w:hAnsi="宋体" w:cs="宋体"/>
                <w:color w:val="auto"/>
                <w:szCs w:val="21"/>
                <w:highlight w:val="none"/>
              </w:rPr>
              <w:t>；</w:t>
            </w:r>
            <w:bookmarkStart w:id="44" w:name="OLE_LINK9"/>
            <w:r>
              <w:rPr>
                <w:rFonts w:hint="eastAsia" w:ascii="宋体" w:hAnsi="宋体" w:cs="宋体"/>
                <w:b/>
                <w:bCs/>
                <w:color w:val="auto"/>
                <w:szCs w:val="21"/>
                <w:highlight w:val="none"/>
              </w:rPr>
              <w:t>（必须提供，否则响应文件按无效响应处理）</w:t>
            </w:r>
          </w:p>
          <w:bookmarkEnd w:id="44"/>
          <w:p>
            <w:pPr>
              <w:spacing w:line="300" w:lineRule="auto"/>
              <w:rPr>
                <w:rFonts w:ascii="宋体" w:hAnsi="宋体" w:cs="宋体"/>
                <w:color w:val="auto"/>
                <w:szCs w:val="21"/>
                <w:highlight w:val="none"/>
              </w:rPr>
            </w:pPr>
            <w:r>
              <w:rPr>
                <w:rFonts w:hint="eastAsia" w:ascii="宋体" w:hAnsi="宋体" w:cs="宋体"/>
                <w:color w:val="auto"/>
                <w:szCs w:val="21"/>
                <w:highlight w:val="none"/>
              </w:rPr>
              <w:t>2.供应商依法缴纳税收的相关材料[响应文件递交截止时间前半年内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bCs/>
                <w:color w:val="auto"/>
                <w:szCs w:val="21"/>
                <w:highlight w:val="none"/>
              </w:rPr>
              <w:t>（必须提供，否则响应文件按无效响应处理）</w:t>
            </w:r>
          </w:p>
          <w:p>
            <w:pPr>
              <w:spacing w:line="300" w:lineRule="auto"/>
              <w:rPr>
                <w:rFonts w:ascii="宋体" w:hAnsi="宋体" w:cs="宋体"/>
                <w:b/>
                <w:bCs/>
                <w:color w:val="auto"/>
                <w:szCs w:val="21"/>
                <w:highlight w:val="none"/>
              </w:rPr>
            </w:pPr>
            <w:r>
              <w:rPr>
                <w:rFonts w:hint="eastAsia" w:ascii="宋体" w:hAnsi="宋体" w:cs="宋体"/>
                <w:color w:val="auto"/>
                <w:szCs w:val="21"/>
                <w:highlight w:val="none"/>
              </w:rPr>
              <w:t>3.供应商依法缴纳社会保障资金的相关材料[响应文件递交截止时间前三个月</w:t>
            </w:r>
            <w:r>
              <w:rPr>
                <w:rFonts w:hint="eastAsia" w:ascii="宋体" w:hAnsi="宋体" w:cs="宋体"/>
                <w:color w:val="auto"/>
                <w:szCs w:val="21"/>
                <w:highlight w:val="none"/>
                <w:lang w:val="en-US" w:eastAsia="zh-CN"/>
              </w:rPr>
              <w:t>任意一个月</w:t>
            </w:r>
            <w:r>
              <w:rPr>
                <w:rFonts w:hint="eastAsia" w:ascii="宋体" w:hAnsi="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pPr>
              <w:spacing w:line="300" w:lineRule="auto"/>
              <w:rPr>
                <w:rFonts w:ascii="宋体" w:hAnsi="宋体" w:cs="宋体"/>
                <w:b/>
                <w:color w:val="auto"/>
                <w:szCs w:val="21"/>
                <w:highlight w:val="none"/>
              </w:rPr>
            </w:pPr>
            <w:r>
              <w:rPr>
                <w:rFonts w:hint="eastAsia" w:ascii="宋体" w:hAnsi="宋体" w:cs="宋体"/>
                <w:color w:val="auto"/>
                <w:szCs w:val="21"/>
                <w:highlight w:val="none"/>
              </w:rPr>
              <w:t>4.供应商财务状况报告[202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或2025年</w:t>
            </w:r>
            <w:r>
              <w:rPr>
                <w:rFonts w:hint="eastAsia" w:ascii="宋体" w:hAnsi="宋体" w:cs="宋体"/>
                <w:color w:val="auto"/>
                <w:szCs w:val="21"/>
                <w:highlight w:val="none"/>
              </w:rPr>
              <w:t>财务状况报告复印件，应提供经审计的财务报告（含第三方审计机构评估的财务报告），或是供应商本单位出具的财务报表（至少包含资产负债表、利润表、现金流量表）复印件（新成立的公司应提供公司成立日之后次月起到响应文件递交截止前一个月的财务报表复印件），或者其基本开户银行出具的资信证明]；</w:t>
            </w:r>
            <w:r>
              <w:rPr>
                <w:rFonts w:hint="eastAsia" w:ascii="宋体" w:hAnsi="宋体" w:cs="宋体"/>
                <w:b/>
                <w:bCs/>
                <w:color w:val="auto"/>
                <w:szCs w:val="21"/>
                <w:highlight w:val="none"/>
              </w:rPr>
              <w:t>（必须提供，否则响应文件按无效响应处理）</w:t>
            </w:r>
          </w:p>
          <w:p>
            <w:pPr>
              <w:spacing w:line="300" w:lineRule="auto"/>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bCs/>
                <w:color w:val="auto"/>
                <w:szCs w:val="21"/>
                <w:highlight w:val="none"/>
              </w:rPr>
              <w:t>（必须提供，否则响应文件按无效响应处理）</w:t>
            </w:r>
          </w:p>
          <w:p>
            <w:pPr>
              <w:spacing w:line="300" w:lineRule="auto"/>
              <w:rPr>
                <w:rFonts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bCs/>
                <w:color w:val="auto"/>
                <w:szCs w:val="21"/>
                <w:highlight w:val="none"/>
              </w:rPr>
              <w:t>（必须提供，否则响应文件按无效响应处理）</w:t>
            </w:r>
          </w:p>
          <w:p>
            <w:pPr>
              <w:spacing w:line="300" w:lineRule="auto"/>
              <w:rPr>
                <w:rFonts w:hint="eastAsia" w:ascii="宋体" w:hAnsi="宋体" w:cs="宋体"/>
                <w:b/>
                <w:bCs/>
                <w:color w:val="auto"/>
                <w:szCs w:val="21"/>
                <w:highlight w:val="none"/>
              </w:rPr>
            </w:pPr>
            <w:r>
              <w:rPr>
                <w:rFonts w:hint="eastAsia" w:ascii="宋体" w:hAnsi="宋体" w:cs="宋体"/>
                <w:color w:val="auto"/>
                <w:szCs w:val="21"/>
                <w:highlight w:val="none"/>
              </w:rPr>
              <w:t>7.建设工程项目管理承诺书；</w:t>
            </w:r>
            <w:r>
              <w:rPr>
                <w:rFonts w:hint="eastAsia" w:ascii="宋体" w:hAnsi="宋体" w:cs="宋体"/>
                <w:b/>
                <w:bCs/>
                <w:color w:val="auto"/>
                <w:szCs w:val="21"/>
                <w:highlight w:val="none"/>
              </w:rPr>
              <w:t>（必须提供，否则响应文件按无效响应处理）</w:t>
            </w:r>
          </w:p>
          <w:p>
            <w:pPr>
              <w:spacing w:line="30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8.本项目为专门面向中小企业项目，供应商应为中型企业或小型企业或微型企业或监狱企业或残疾人福利性单位；</w:t>
            </w:r>
            <w:r>
              <w:rPr>
                <w:rFonts w:hint="eastAsia" w:ascii="宋体" w:hAnsi="宋体" w:eastAsia="宋体" w:cs="宋体"/>
                <w:b/>
                <w:color w:val="auto"/>
                <w:szCs w:val="21"/>
                <w:highlight w:val="none"/>
                <w:lang w:val="en-US" w:eastAsia="zh-CN"/>
              </w:rPr>
              <w:t>（必须提供《中小企业声明函》或《残疾人福利性单位声明函》或《监狱企业证明》，否则响应文件作无效处理）</w:t>
            </w:r>
          </w:p>
          <w:p>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具备建筑工程总承包二级（含）以上资质，并在人员、设备、资金等方面具备相应的施工能力</w:t>
            </w:r>
            <w:r>
              <w:rPr>
                <w:rFonts w:hint="eastAsia" w:ascii="宋体" w:hAnsi="宋体" w:eastAsia="宋体" w:cs="宋体"/>
                <w:color w:val="auto"/>
                <w:szCs w:val="21"/>
                <w:highlight w:val="none"/>
              </w:rPr>
              <w:t>；</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pPr>
              <w:spacing w:line="300" w:lineRule="auto"/>
              <w:rPr>
                <w:rFonts w:hint="eastAsia" w:ascii="宋体" w:hAnsi="宋体" w:cs="宋体"/>
                <w:b/>
                <w:bCs/>
                <w:color w:val="auto"/>
                <w:szCs w:val="21"/>
                <w:highlight w:val="none"/>
              </w:rPr>
            </w:pPr>
            <w:bookmarkStart w:id="45" w:name="OLE_LINK12"/>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投标人拟派项目经理须具备建筑工程专业二级以上（含本级）注册建造师执业资格、具备有效的安全生产考核合格证书（B类）复印件以及供应商单位为该项目经理于响应文件递交截止时间前三个月任意一个月依法缴纳社会保险的证明材料及相关材料的复印件；</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pPr>
              <w:spacing w:line="300" w:lineRule="auto"/>
              <w:rPr>
                <w:rFonts w:hint="eastAsia" w:ascii="宋体" w:hAnsi="宋体" w:cs="宋体"/>
                <w:b/>
                <w:bCs/>
                <w:color w:val="auto"/>
                <w:szCs w:val="21"/>
                <w:highlight w:val="none"/>
              </w:rPr>
            </w:pPr>
            <w:bookmarkStart w:id="46" w:name="OLE_LINK8"/>
            <w:r>
              <w:rPr>
                <w:rFonts w:hint="eastAsia" w:ascii="宋体" w:hAnsi="宋体" w:eastAsia="宋体" w:cs="宋体"/>
                <w:color w:val="auto"/>
                <w:szCs w:val="21"/>
                <w:highlight w:val="none"/>
              </w:rPr>
              <w:t>11.拟投入本项目的专职安全生产管理人员的安全生产考核合格证书（C类）复印件及供应商单位为该专职安全生产管理人员于</w:t>
            </w:r>
            <w:r>
              <w:rPr>
                <w:rFonts w:hint="eastAsia" w:ascii="宋体" w:hAnsi="宋体" w:eastAsia="宋体" w:cs="宋体"/>
                <w:color w:val="auto"/>
                <w:szCs w:val="21"/>
                <w:highlight w:val="none"/>
                <w:lang w:val="en-US" w:eastAsia="zh-CN"/>
              </w:rPr>
              <w:t>响应文件递交截止时间前三个月任意一个月依法缴纳社会保险的证明材料及相关材料的复印件</w:t>
            </w:r>
            <w:bookmarkEnd w:id="46"/>
            <w:r>
              <w:rPr>
                <w:rFonts w:hint="eastAsia" w:ascii="宋体" w:hAnsi="宋体" w:eastAsia="宋体" w:cs="宋体"/>
                <w:color w:val="auto"/>
                <w:szCs w:val="21"/>
                <w:highlight w:val="none"/>
              </w:rPr>
              <w:t>；（</w:t>
            </w:r>
            <w:r>
              <w:rPr>
                <w:rFonts w:hint="eastAsia" w:ascii="宋体" w:hAnsi="宋体" w:cs="宋体"/>
                <w:b/>
                <w:bCs/>
                <w:color w:val="auto"/>
                <w:szCs w:val="21"/>
                <w:highlight w:val="none"/>
              </w:rPr>
              <w:t>必须提供，否则响应文件按无效响应处理）</w:t>
            </w:r>
          </w:p>
          <w:p>
            <w:pPr>
              <w:spacing w:line="30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.除磋商文件规定必须提供以外，供应商认为需要提供的其他证明材料；</w:t>
            </w:r>
          </w:p>
          <w:bookmarkEnd w:id="45"/>
          <w:p>
            <w:pPr>
              <w:spacing w:line="30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1613" w:type="dxa"/>
            <w:vAlign w:val="center"/>
          </w:tcPr>
          <w:p>
            <w:pPr>
              <w:spacing w:line="30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商务技术文件组成</w:t>
            </w:r>
          </w:p>
        </w:tc>
        <w:tc>
          <w:tcPr>
            <w:tcW w:w="6882" w:type="dxa"/>
            <w:vAlign w:val="center"/>
          </w:tcPr>
          <w:p>
            <w:pPr>
              <w:spacing w:line="300" w:lineRule="auto"/>
              <w:rPr>
                <w:rFonts w:ascii="宋体" w:hAnsi="宋体" w:cs="宋体"/>
                <w:color w:val="auto"/>
                <w:szCs w:val="21"/>
                <w:highlight w:val="none"/>
              </w:rPr>
            </w:pPr>
            <w:bookmarkStart w:id="47" w:name="OLE_LINK10"/>
            <w:r>
              <w:rPr>
                <w:rFonts w:hint="eastAsia" w:ascii="宋体" w:hAnsi="宋体" w:cs="宋体"/>
                <w:color w:val="auto"/>
                <w:szCs w:val="21"/>
                <w:highlight w:val="none"/>
              </w:rPr>
              <w:t>1.无串通竞标行为的承诺函；</w:t>
            </w:r>
            <w:r>
              <w:rPr>
                <w:rFonts w:hint="eastAsia" w:ascii="宋体" w:hAnsi="宋体" w:cs="宋体"/>
                <w:b/>
                <w:bCs/>
                <w:color w:val="auto"/>
                <w:szCs w:val="21"/>
                <w:highlight w:val="none"/>
              </w:rPr>
              <w:t>（必须提供，否则响应文件按无效响应处理）</w:t>
            </w:r>
          </w:p>
          <w:p>
            <w:pPr>
              <w:spacing w:line="300" w:lineRule="auto"/>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（除自然人竞标外必须提供，否则响应文件按无效响应处理）</w:t>
            </w:r>
          </w:p>
          <w:p>
            <w:pPr>
              <w:spacing w:line="300" w:lineRule="auto"/>
              <w:rPr>
                <w:rFonts w:ascii="宋体" w:hAnsi="宋体" w:cs="宋体"/>
                <w:b/>
                <w:bCs/>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bCs/>
                <w:color w:val="auto"/>
                <w:szCs w:val="21"/>
                <w:highlight w:val="none"/>
              </w:rPr>
              <w:t>（委托时必须提供，否则响应文件按无效响应处理）</w:t>
            </w:r>
          </w:p>
          <w:p>
            <w:pPr>
              <w:spacing w:line="300" w:lineRule="auto"/>
              <w:rPr>
                <w:rFonts w:ascii="宋体" w:hAnsi="宋体" w:cs="宋体"/>
                <w:b/>
                <w:bCs/>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.供应商基本情况表；</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.施工组织设计；</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.项目管理机构；</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.业绩材料；（如有，请提供）</w:t>
            </w:r>
          </w:p>
          <w:p>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.供应商认为需要提供的其他有关资料。</w:t>
            </w:r>
          </w:p>
          <w:bookmarkEnd w:id="47"/>
          <w:p>
            <w:pPr>
              <w:spacing w:line="300" w:lineRule="auto"/>
              <w:rPr>
                <w:rFonts w:ascii="宋体" w:hAnsi="宋体" w:cs="宋体"/>
                <w:b/>
                <w:color w:val="auto"/>
                <w:szCs w:val="21"/>
                <w:highlight w:val="none"/>
              </w:rPr>
            </w:pPr>
            <w:r>
              <w:rPr>
                <w:rFonts w:hint="eastAsia" w:ascii="宋体" w:hAnsi="宋体" w:cs="宋体"/>
                <w:b/>
                <w:color w:val="auto"/>
                <w:szCs w:val="21"/>
                <w:highlight w:val="none"/>
              </w:rPr>
              <w:t>注：</w:t>
            </w:r>
          </w:p>
          <w:p>
            <w:pPr>
              <w:spacing w:line="300" w:lineRule="auto"/>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1.法定代表人授权委托书必须由法定代表人及委托代理人签字，并加盖供应商电子公章，否则响应文件按无效响应处理。</w:t>
            </w:r>
          </w:p>
          <w:p>
            <w:pPr>
              <w:spacing w:line="300" w:lineRule="auto"/>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882" w:type="dxa"/>
            <w:vAlign w:val="center"/>
          </w:tcPr>
          <w:p>
            <w:pPr>
              <w:spacing w:line="300" w:lineRule="auto"/>
              <w:rPr>
                <w:rFonts w:ascii="宋体" w:hAnsi="宋体" w:cs="宋体"/>
                <w:color w:val="auto"/>
                <w:szCs w:val="21"/>
                <w:highlight w:val="none"/>
              </w:rPr>
            </w:pPr>
            <w:bookmarkStart w:id="48" w:name="OLE_LINK11"/>
            <w:r>
              <w:rPr>
                <w:rFonts w:hint="eastAsia" w:ascii="宋体" w:hAnsi="宋体" w:cs="宋体"/>
                <w:color w:val="auto"/>
                <w:szCs w:val="21"/>
                <w:highlight w:val="none"/>
              </w:rPr>
              <w:t>1.报价函</w:t>
            </w:r>
            <w:r>
              <w:rPr>
                <w:rFonts w:hint="eastAsia" w:ascii="宋体" w:hAnsi="宋体" w:cs="宋体"/>
                <w:b/>
                <w:color w:val="auto"/>
                <w:szCs w:val="21"/>
                <w:highlight w:val="none"/>
              </w:rPr>
              <w:t>（必须提供，否则响应文件按无效响应处理）</w:t>
            </w:r>
          </w:p>
          <w:p>
            <w:pPr>
              <w:spacing w:line="300" w:lineRule="auto"/>
              <w:rPr>
                <w:rFonts w:ascii="宋体" w:hAnsi="宋体" w:cs="宋体"/>
                <w:color w:val="auto"/>
                <w:szCs w:val="21"/>
                <w:highlight w:val="none"/>
              </w:rPr>
            </w:pPr>
            <w:r>
              <w:rPr>
                <w:rFonts w:hint="eastAsia" w:ascii="宋体" w:hAnsi="宋体" w:cs="宋体"/>
                <w:color w:val="auto"/>
                <w:szCs w:val="21"/>
                <w:highlight w:val="none"/>
              </w:rPr>
              <w:t>2.报价函附录</w:t>
            </w:r>
            <w:r>
              <w:rPr>
                <w:rFonts w:hint="eastAsia" w:ascii="宋体" w:hAnsi="宋体" w:cs="宋体"/>
                <w:b/>
                <w:color w:val="auto"/>
                <w:szCs w:val="21"/>
                <w:highlight w:val="none"/>
              </w:rPr>
              <w:t>（必须提供，否则响应文件按无效响应处理）</w:t>
            </w:r>
          </w:p>
          <w:p>
            <w:pPr>
              <w:spacing w:line="300" w:lineRule="auto"/>
              <w:rPr>
                <w:rFonts w:ascii="宋体" w:hAnsi="宋体" w:cs="宋体"/>
                <w:color w:val="auto"/>
                <w:szCs w:val="21"/>
                <w:highlight w:val="none"/>
              </w:rPr>
            </w:pPr>
            <w:r>
              <w:rPr>
                <w:rFonts w:hint="eastAsia" w:ascii="宋体" w:hAnsi="宋体" w:cs="宋体"/>
                <w:color w:val="auto"/>
                <w:szCs w:val="21"/>
                <w:highlight w:val="none"/>
              </w:rPr>
              <w:t>3.已标价的工程量清单</w:t>
            </w:r>
            <w:r>
              <w:rPr>
                <w:rFonts w:hint="eastAsia" w:ascii="宋体" w:hAnsi="宋体" w:cs="宋体"/>
                <w:b/>
                <w:bCs/>
                <w:color w:val="auto"/>
                <w:szCs w:val="21"/>
                <w:highlight w:val="none"/>
              </w:rPr>
              <w:t>（必须提供，否则响应文件按无效响应处理）</w:t>
            </w:r>
          </w:p>
          <w:bookmarkEnd w:id="48"/>
          <w:p>
            <w:pPr>
              <w:spacing w:line="300" w:lineRule="auto"/>
              <w:rPr>
                <w:rFonts w:ascii="宋体" w:hAnsi="宋体" w:cs="宋体"/>
                <w:color w:val="auto"/>
                <w:szCs w:val="21"/>
                <w:highlight w:val="none"/>
              </w:rPr>
            </w:pPr>
            <w:r>
              <w:rPr>
                <w:rFonts w:hint="eastAsia" w:ascii="宋体" w:hAnsi="宋体" w:cs="宋体"/>
                <w:b/>
                <w:color w:val="auto"/>
                <w:szCs w:val="21"/>
                <w:highlight w:val="none"/>
              </w:rPr>
              <w:t>注：以上标明“必须提供”的材料属于复印件的扫描件的，必须加盖供应商电子公章，否则响应文件按无效响应处理。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1.响应文件电子版要求：按照本采购文件“第七章 响应文件格式”编写（第七章未附格式的，由供应商自行拟定），不可涂改并在规定加盖公章处加盖电子公章，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pPr>
              <w:spacing w:line="300" w:lineRule="auto"/>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供应商必须就所竞标分标的全部“工程量清单”内容作完整唯一报价，漏项报价的或对发包清单内容做更改、选择填报的或有条件的报价，其竞标将视为无效。</w:t>
            </w:r>
            <w:r>
              <w:rPr>
                <w:rFonts w:hint="eastAsia" w:ascii="宋体" w:hAnsi="宋体" w:cs="宋体"/>
                <w:b/>
                <w:bCs/>
                <w:color w:val="auto"/>
                <w:szCs w:val="21"/>
                <w:highlight w:val="none"/>
              </w:rPr>
              <w:t>磋商过程中，供应商的最后报价如有变动，则必须以工程量清单报价表的格式编制提交，供应商须提前做好相关准备并按时递交最后报价文件，否则磋商无效</w:t>
            </w:r>
            <w:r>
              <w:rPr>
                <w:rFonts w:hint="eastAsia" w:ascii="宋体" w:hAnsi="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6882" w:type="dxa"/>
            <w:vAlign w:val="center"/>
          </w:tcPr>
          <w:p>
            <w:pPr>
              <w:pStyle w:val="10"/>
              <w:widowControl w:val="0"/>
              <w:tabs>
                <w:tab w:val="clear" w:pos="454"/>
              </w:tabs>
              <w:spacing w:afterLines="0" w:line="300" w:lineRule="auto"/>
              <w:ind w:left="0" w:firstLine="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bookmarkStart w:id="49" w:name="PO_3000001868_PM046"/>
            <w:r>
              <w:rPr>
                <w:rFonts w:hint="eastAsia" w:ascii="宋体" w:hAnsi="宋体" w:cs="宋体"/>
                <w:color w:val="auto"/>
                <w:kern w:val="2"/>
                <w:sz w:val="21"/>
                <w:szCs w:val="21"/>
                <w:highlight w:val="none"/>
                <w:u w:val="single"/>
              </w:rPr>
              <w:t>60</w:t>
            </w:r>
            <w:bookmarkEnd w:id="49"/>
            <w:r>
              <w:rPr>
                <w:rFonts w:hint="eastAsia" w:ascii="宋体" w:hAnsi="宋体" w:cs="宋体"/>
                <w:color w:val="auto"/>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882" w:type="dxa"/>
            <w:vAlign w:val="center"/>
          </w:tcPr>
          <w:p>
            <w:pPr>
              <w:spacing w:line="300" w:lineRule="auto"/>
              <w:rPr>
                <w:rFonts w:hint="eastAsia" w:ascii="宋体" w:hAnsi="宋体" w:cs="宋体"/>
                <w:b/>
                <w:bCs/>
                <w:color w:val="auto"/>
                <w:szCs w:val="21"/>
                <w:highlight w:val="none"/>
              </w:rPr>
            </w:pPr>
            <w:r>
              <w:rPr>
                <w:rFonts w:hint="eastAsia" w:ascii="宋体" w:hAnsi="宋体" w:cs="宋体"/>
                <w:b/>
                <w:bCs/>
                <w:color w:val="auto"/>
                <w:szCs w:val="21"/>
                <w:highlight w:val="none"/>
              </w:rPr>
              <w:t>☑本项目</w:t>
            </w:r>
            <w:r>
              <w:rPr>
                <w:rFonts w:hint="eastAsia" w:ascii="宋体" w:hAnsi="宋体" w:cs="宋体"/>
                <w:b/>
                <w:bCs/>
                <w:color w:val="auto"/>
                <w:szCs w:val="21"/>
                <w:highlight w:val="none"/>
                <w:lang w:eastAsia="zh-CN"/>
              </w:rPr>
              <w:t>不收取</w:t>
            </w:r>
            <w:r>
              <w:rPr>
                <w:rFonts w:hint="eastAsia" w:ascii="宋体" w:hAnsi="宋体" w:cs="宋体"/>
                <w:b/>
                <w:bCs/>
                <w:color w:val="auto"/>
                <w:szCs w:val="21"/>
                <w:highlight w:val="none"/>
              </w:rPr>
              <w:t>磋商保证金。</w:t>
            </w:r>
          </w:p>
          <w:p>
            <w:pPr>
              <w:spacing w:line="300" w:lineRule="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□本项目收取磋商保证金，具体规定如下</w:t>
            </w:r>
            <w:r>
              <w:rPr>
                <w:rFonts w:hint="eastAsia" w:ascii="宋体" w:hAnsi="宋体" w:cs="宋体"/>
                <w:b/>
                <w:bCs/>
                <w:color w:val="auto"/>
                <w:szCs w:val="21"/>
                <w:highlight w:val="none"/>
                <w:lang w:eastAsia="zh-CN"/>
              </w:rPr>
              <w:t>：</w:t>
            </w:r>
          </w:p>
          <w:p>
            <w:pPr>
              <w:spacing w:line="300" w:lineRule="auto"/>
              <w:rPr>
                <w:rFonts w:ascii="宋体" w:hAnsi="宋体" w:cs="宋体"/>
                <w:color w:val="auto"/>
                <w:szCs w:val="21"/>
                <w:highlight w:val="none"/>
              </w:rPr>
            </w:pPr>
            <w:r>
              <w:rPr>
                <w:rFonts w:hint="eastAsia" w:ascii="宋体" w:hAnsi="宋体" w:cs="宋体"/>
                <w:color w:val="auto"/>
                <w:szCs w:val="21"/>
                <w:highlight w:val="none"/>
              </w:rPr>
              <w:t>磋商保证金的交纳方式：银行转账、支票、汇票、本票、银行出具的保函或保险机构出具的保函（包含电子保函）、保险单，禁止采用现钞方式。</w:t>
            </w:r>
          </w:p>
          <w:p>
            <w:pPr>
              <w:spacing w:line="300" w:lineRule="auto"/>
              <w:rPr>
                <w:rFonts w:ascii="宋体" w:hAnsi="宋体" w:cs="宋体"/>
                <w:color w:val="auto"/>
                <w:szCs w:val="21"/>
                <w:highlight w:val="none"/>
              </w:rPr>
            </w:pPr>
            <w:r>
              <w:rPr>
                <w:rFonts w:hint="eastAsia" w:ascii="宋体" w:hAnsi="宋体" w:cs="宋体"/>
                <w:color w:val="auto"/>
                <w:szCs w:val="21"/>
                <w:highlight w:val="none"/>
              </w:rPr>
              <w:t>相关要求：</w:t>
            </w:r>
          </w:p>
          <w:p>
            <w:pPr>
              <w:spacing w:line="30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1.磋商保证金采用银行转账交纳方式的，在首次响应文件提交截止时间前交至采购代理机构指定账户并且到账，供应商应将银行转账底单的复印件作为磋商保证金提交凭证，放置于商务技术文件中，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w:t>
            </w:r>
          </w:p>
          <w:p>
            <w:pPr>
              <w:spacing w:line="300" w:lineRule="auto"/>
              <w:rPr>
                <w:rFonts w:ascii="宋体" w:hAnsi="宋体" w:cs="宋体"/>
                <w:color w:val="auto"/>
                <w:szCs w:val="21"/>
                <w:highlight w:val="none"/>
              </w:rPr>
            </w:pPr>
            <w:r>
              <w:rPr>
                <w:rFonts w:hint="eastAsia" w:ascii="宋体" w:hAnsi="宋体" w:cs="宋体"/>
                <w:color w:val="auto"/>
                <w:szCs w:val="21"/>
                <w:highlight w:val="none"/>
              </w:rPr>
              <w:t>2.磋商保证金采用支票、汇票或本票交纳方式的，供应商应将支票、汇票或本票的复印件作为磋商保证金提交凭证，放置于商务技术文件中，</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w:t>
            </w:r>
          </w:p>
          <w:p>
            <w:pPr>
              <w:spacing w:line="300" w:lineRule="auto"/>
              <w:rPr>
                <w:rFonts w:ascii="宋体" w:hAnsi="宋体" w:cs="宋体"/>
                <w:color w:val="auto"/>
                <w:szCs w:val="21"/>
                <w:highlight w:val="none"/>
              </w:rPr>
            </w:pPr>
            <w:r>
              <w:rPr>
                <w:rFonts w:hint="eastAsia" w:ascii="宋体" w:hAnsi="宋体" w:cs="宋体"/>
                <w:color w:val="auto"/>
                <w:szCs w:val="21"/>
                <w:highlight w:val="none"/>
              </w:rPr>
              <w:t>3.磋商保证金采用银行、保险机构出具的保函交纳方式的，供应商应将保函的复印件作为磋商保证金提交凭证，放置于商务技术文件中，</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并在首次响应文件提交截止时间前，递交单独密封的保函原件（原件单独放入一个密封袋中，并在封口处加盖供应商公章或委托代理人签字，以示密封，在封套上标记“项目名称（项目编号）磋商保证金”字样），</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w:t>
            </w:r>
          </w:p>
          <w:p>
            <w:pPr>
              <w:spacing w:line="300" w:lineRule="auto"/>
              <w:rPr>
                <w:rFonts w:ascii="宋体" w:hAnsi="宋体" w:cs="宋体"/>
                <w:color w:val="auto"/>
                <w:szCs w:val="21"/>
                <w:highlight w:val="none"/>
              </w:rPr>
            </w:pPr>
            <w:r>
              <w:rPr>
                <w:rFonts w:hint="eastAsia" w:ascii="宋体" w:hAnsi="宋体" w:cs="宋体"/>
                <w:color w:val="auto"/>
                <w:szCs w:val="21"/>
                <w:highlight w:val="none"/>
              </w:rPr>
              <w:t>4.磋商保证金指定帐户：</w:t>
            </w:r>
          </w:p>
          <w:p>
            <w:pPr>
              <w:spacing w:line="300" w:lineRule="auto"/>
              <w:rPr>
                <w:rFonts w:hint="eastAsia" w:ascii="宋体" w:hAnsi="宋体" w:cs="宋体"/>
                <w:b/>
                <w:bCs/>
                <w:color w:val="auto"/>
                <w:szCs w:val="21"/>
                <w:highlight w:val="none"/>
              </w:rPr>
            </w:pPr>
            <w:r>
              <w:rPr>
                <w:rFonts w:hint="eastAsia" w:ascii="宋体" w:hAnsi="宋体" w:cs="宋体"/>
                <w:b/>
                <w:bCs/>
                <w:color w:val="auto"/>
                <w:szCs w:val="21"/>
                <w:highlight w:val="none"/>
              </w:rPr>
              <w:t>开户名称：广西恒辉工程咨询有限公司</w:t>
            </w:r>
            <w:r>
              <w:rPr>
                <w:rFonts w:hint="eastAsia" w:ascii="宋体" w:hAnsi="宋体" w:cs="宋体"/>
                <w:b/>
                <w:bCs/>
                <w:color w:val="auto"/>
                <w:szCs w:val="21"/>
                <w:highlight w:val="none"/>
                <w:lang w:eastAsia="zh-CN"/>
              </w:rPr>
              <w:t xml:space="preserve"> </w:t>
            </w:r>
          </w:p>
          <w:p>
            <w:pPr>
              <w:spacing w:line="300" w:lineRule="auto"/>
              <w:rPr>
                <w:rFonts w:hint="eastAsia" w:ascii="宋体" w:hAnsi="宋体" w:cs="宋体"/>
                <w:b/>
                <w:bCs/>
                <w:color w:val="auto"/>
                <w:szCs w:val="21"/>
                <w:highlight w:val="none"/>
              </w:rPr>
            </w:pPr>
            <w:r>
              <w:rPr>
                <w:rFonts w:hint="eastAsia" w:ascii="宋体" w:hAnsi="宋体" w:cs="宋体"/>
                <w:b/>
                <w:bCs/>
                <w:color w:val="auto"/>
                <w:szCs w:val="21"/>
                <w:highlight w:val="none"/>
              </w:rPr>
              <w:t>开户银行：中国农业银行梧州灏景支行</w:t>
            </w:r>
          </w:p>
          <w:p>
            <w:pPr>
              <w:spacing w:line="300" w:lineRule="auto"/>
              <w:rPr>
                <w:rFonts w:hint="eastAsia" w:ascii="宋体" w:hAnsi="宋体" w:cs="宋体"/>
                <w:b/>
                <w:bCs/>
                <w:color w:val="auto"/>
                <w:szCs w:val="21"/>
                <w:highlight w:val="none"/>
              </w:rPr>
            </w:pPr>
            <w:r>
              <w:rPr>
                <w:rFonts w:hint="eastAsia" w:ascii="宋体" w:hAnsi="宋体" w:cs="宋体"/>
                <w:b/>
                <w:bCs/>
                <w:color w:val="auto"/>
                <w:szCs w:val="21"/>
                <w:highlight w:val="none"/>
              </w:rPr>
              <w:t>银行账号：20312801040011706</w:t>
            </w:r>
          </w:p>
          <w:p>
            <w:pPr>
              <w:spacing w:line="30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pPr>
              <w:spacing w:line="300" w:lineRule="auto"/>
              <w:rPr>
                <w:rFonts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1.磋商保证金在首次响应文件提交截止时间后提交的，或不按规定交纳方式交纳的，或未足额交纳的（包含保函额度不足的），视为无效磋商保证金。</w:t>
            </w:r>
          </w:p>
          <w:p>
            <w:pPr>
              <w:spacing w:line="30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2.供应商采用现钞方式或从个人账户（自然人竞标除外）转出的磋商保证金，视为无效磋商保证金。</w:t>
            </w:r>
          </w:p>
          <w:p>
            <w:pPr>
              <w:spacing w:line="300" w:lineRule="auto"/>
              <w:rPr>
                <w:rFonts w:ascii="宋体" w:hAnsi="宋体" w:cs="宋体"/>
                <w:b/>
                <w:color w:val="auto"/>
                <w:szCs w:val="21"/>
                <w:highlight w:val="none"/>
              </w:rPr>
            </w:pPr>
            <w:r>
              <w:rPr>
                <w:rFonts w:hint="eastAsia" w:ascii="宋体" w:hAnsi="宋体" w:cs="宋体"/>
                <w:b/>
                <w:color w:val="auto"/>
                <w:szCs w:val="21"/>
                <w:highlight w:val="none"/>
              </w:rPr>
              <w:t>3.支票、汇票或本票出现无效或者背书情形的，视为无效磋商保证金。</w:t>
            </w:r>
          </w:p>
          <w:p>
            <w:pPr>
              <w:spacing w:line="300" w:lineRule="auto"/>
              <w:rPr>
                <w:rFonts w:ascii="宋体" w:hAnsi="宋体" w:cs="宋体"/>
                <w:b/>
                <w:color w:val="auto"/>
                <w:szCs w:val="21"/>
                <w:highlight w:val="none"/>
              </w:rPr>
            </w:pPr>
            <w:r>
              <w:rPr>
                <w:rFonts w:hint="eastAsia" w:ascii="宋体" w:hAnsi="宋体" w:cs="宋体"/>
                <w:b/>
                <w:color w:val="auto"/>
                <w:szCs w:val="21"/>
                <w:highlight w:val="none"/>
              </w:rPr>
              <w:t>4.保函有效期低于磋商有效期的，视为无效磋商保证金。</w:t>
            </w:r>
          </w:p>
          <w:p>
            <w:pPr>
              <w:autoSpaceDE w:val="0"/>
              <w:autoSpaceDN w:val="0"/>
              <w:spacing w:line="300" w:lineRule="auto"/>
              <w:textAlignment w:val="bottom"/>
              <w:rPr>
                <w:rFonts w:ascii="宋体" w:hAnsi="宋体" w:cs="宋体"/>
                <w:color w:val="auto"/>
                <w:szCs w:val="21"/>
                <w:highlight w:val="none"/>
              </w:rPr>
            </w:pPr>
            <w:r>
              <w:rPr>
                <w:rFonts w:hint="eastAsia" w:ascii="宋体" w:hAnsi="宋体" w:cs="宋体"/>
                <w:b/>
                <w:color w:val="auto"/>
                <w:szCs w:val="21"/>
                <w:highlight w:val="none"/>
              </w:rPr>
              <w:t>5.采用银行、保险机构出具保函的，必须为无条件保函，否则视为无效磋商保证金。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44" w:type="dxa"/>
            <w:vMerge w:val="restart"/>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82" w:type="dxa"/>
            <w:vAlign w:val="center"/>
          </w:tcPr>
          <w:p>
            <w:pPr>
              <w:spacing w:line="300" w:lineRule="auto"/>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44" w:type="dxa"/>
            <w:vMerge w:val="continue"/>
            <w:vAlign w:val="center"/>
          </w:tcPr>
          <w:p>
            <w:pPr>
              <w:spacing w:line="300" w:lineRule="auto"/>
              <w:jc w:val="center"/>
              <w:rPr>
                <w:rFonts w:ascii="宋体" w:hAnsi="宋体" w:cs="宋体"/>
                <w:color w:val="auto"/>
                <w:szCs w:val="21"/>
                <w:highlight w:val="none"/>
              </w:rPr>
            </w:pP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82" w:type="dxa"/>
            <w:vAlign w:val="center"/>
          </w:tcPr>
          <w:p>
            <w:pPr>
              <w:spacing w:line="300" w:lineRule="auto"/>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不退回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44" w:type="dxa"/>
            <w:vMerge w:val="restart"/>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pPr>
              <w:spacing w:line="30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Merge w:val="continue"/>
            <w:vAlign w:val="center"/>
          </w:tcPr>
          <w:p>
            <w:pPr>
              <w:spacing w:line="300" w:lineRule="auto"/>
              <w:jc w:val="center"/>
              <w:rPr>
                <w:rFonts w:ascii="宋体" w:hAnsi="宋体" w:cs="宋体"/>
                <w:color w:val="auto"/>
                <w:szCs w:val="21"/>
                <w:highlight w:val="none"/>
              </w:rPr>
            </w:pP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882" w:type="dxa"/>
            <w:vAlign w:val="center"/>
          </w:tcPr>
          <w:p>
            <w:pPr>
              <w:pStyle w:val="11"/>
              <w:spacing w:line="300" w:lineRule="auto"/>
              <w:jc w:val="both"/>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pPr>
              <w:spacing w:line="300" w:lineRule="auto"/>
              <w:rPr>
                <w:rFonts w:ascii="宋体" w:hAnsi="宋体" w:cs="宋体"/>
                <w:color w:val="auto"/>
                <w:szCs w:val="21"/>
                <w:highlight w:val="none"/>
              </w:rPr>
            </w:pPr>
            <w:r>
              <w:rPr>
                <w:rFonts w:hint="eastAsia" w:ascii="宋体" w:hAnsi="宋体" w:cs="宋体"/>
                <w:b/>
                <w:color w:val="auto"/>
                <w:szCs w:val="21"/>
                <w:highlight w:val="none"/>
              </w:rPr>
              <w:sym w:font="Wingdings 2" w:char="0052"/>
            </w:r>
            <w:r>
              <w:rPr>
                <w:rFonts w:hint="eastAsia" w:ascii="宋体" w:hAnsi="宋体" w:cs="宋体"/>
                <w:color w:val="auto"/>
                <w:szCs w:val="21"/>
                <w:highlight w:val="none"/>
              </w:rPr>
              <w:t>随机排序。</w:t>
            </w:r>
          </w:p>
          <w:p>
            <w:pPr>
              <w:spacing w:line="300" w:lineRule="auto"/>
              <w:rPr>
                <w:rFonts w:ascii="宋体" w:hAnsi="宋体" w:cs="宋体"/>
                <w:color w:val="auto"/>
                <w:szCs w:val="21"/>
                <w:highlight w:val="none"/>
              </w:rPr>
            </w:pPr>
            <w:r>
              <w:rPr>
                <w:rFonts w:hint="eastAsia" w:ascii="宋体" w:hAnsi="宋体" w:cs="宋体"/>
                <w:bCs/>
                <w:color w:val="auto"/>
                <w:szCs w:val="21"/>
                <w:highlight w:val="none"/>
              </w:rPr>
              <w:t>参与磋商前，</w:t>
            </w:r>
            <w:r>
              <w:rPr>
                <w:rFonts w:hint="eastAsia" w:ascii="宋体" w:hAnsi="宋体" w:cs="宋体"/>
                <w:color w:val="auto"/>
                <w:szCs w:val="21"/>
                <w:highlight w:val="none"/>
              </w:rPr>
              <w:t>供应商法定代表人、负责人、自然人或相应的委托代理人应在广西政府采购云平台携带CA数字证书在线参加磋商</w:t>
            </w:r>
            <w:r>
              <w:rPr>
                <w:rFonts w:hint="eastAsia" w:ascii="宋体" w:hAnsi="宋体" w:cs="宋体"/>
                <w:b/>
                <w:bCs/>
                <w:color w:val="auto"/>
                <w:szCs w:val="21"/>
                <w:highlight w:val="none"/>
              </w:rPr>
              <w:t>【开标当日磋商供应商法定代表人或授权委托人的通讯工具须保持畅通，在规定时间内在线等候磋商</w:t>
            </w:r>
            <w:r>
              <w:rPr>
                <w:rFonts w:hint="eastAsia" w:ascii="宋体" w:hAnsi="宋体" w:cs="宋体"/>
                <w:bCs/>
                <w:color w:val="auto"/>
                <w:szCs w:val="21"/>
                <w:highlight w:val="none"/>
              </w:rPr>
              <w:t>】</w:t>
            </w:r>
            <w:r>
              <w:rPr>
                <w:rFonts w:hint="eastAsia" w:ascii="宋体" w:hAnsi="宋体" w:cs="宋体"/>
                <w:color w:val="auto"/>
                <w:szCs w:val="21"/>
                <w:highlight w:val="none"/>
              </w:rPr>
              <w:t>，否则视同放弃参加磋商权利，其响应文件按无效响应处理。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882" w:type="dxa"/>
            <w:vAlign w:val="center"/>
          </w:tcPr>
          <w:p>
            <w:pPr>
              <w:autoSpaceDE w:val="0"/>
              <w:autoSpaceDN w:val="0"/>
              <w:spacing w:line="300" w:lineRule="auto"/>
              <w:textAlignment w:val="bottom"/>
              <w:rPr>
                <w:rFonts w:ascii="宋体" w:hAnsi="宋体" w:cs="宋体"/>
                <w:color w:val="auto"/>
                <w:szCs w:val="21"/>
                <w:highlight w:val="none"/>
              </w:rPr>
            </w:pPr>
            <w:r>
              <w:rPr>
                <w:rFonts w:hint="eastAsia" w:ascii="宋体" w:hAnsi="MS Mincho" w:eastAsia="MS Mincho" w:cs="MS Mincho"/>
                <w:color w:val="auto"/>
                <w:szCs w:val="21"/>
                <w:highlight w:val="none"/>
              </w:rPr>
              <w:t>☑</w:t>
            </w:r>
            <w:r>
              <w:rPr>
                <w:rFonts w:hint="eastAsia" w:ascii="宋体" w:hAnsi="宋体" w:cs="宋体"/>
                <w:color w:val="auto"/>
                <w:szCs w:val="21"/>
                <w:highlight w:val="none"/>
              </w:rPr>
              <w:t>本项目不收取履约保证金。</w:t>
            </w:r>
          </w:p>
          <w:p>
            <w:pPr>
              <w:autoSpaceDE w:val="0"/>
              <w:autoSpaceDN w:val="0"/>
              <w:spacing w:line="30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pPr>
              <w:spacing w:line="300" w:lineRule="auto"/>
              <w:rPr>
                <w:rFonts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u w:val="single"/>
              </w:rPr>
              <w:t>合同价款的2%</w:t>
            </w:r>
            <w:r>
              <w:rPr>
                <w:rFonts w:hint="eastAsia" w:ascii="宋体" w:hAnsi="宋体" w:cs="宋体"/>
                <w:color w:val="auto"/>
                <w:szCs w:val="21"/>
                <w:highlight w:val="none"/>
              </w:rPr>
              <w:t>。</w:t>
            </w:r>
            <w:r>
              <w:rPr>
                <w:rFonts w:hint="eastAsia" w:ascii="宋体" w:hAnsi="宋体" w:cs="宋体"/>
                <w:b/>
                <w:i/>
                <w:color w:val="auto"/>
                <w:szCs w:val="21"/>
                <w:highlight w:val="none"/>
              </w:rPr>
              <w:t>（注：履约保证金不超过政府采购合同金额的5%，对中小企业收取的履约保证金数额不得超过政府采购合同金额的2%。采购人可根据供应商的资信等情况减免履约保证金。）</w:t>
            </w:r>
          </w:p>
          <w:p>
            <w:pPr>
              <w:spacing w:line="300" w:lineRule="auto"/>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pPr>
              <w:spacing w:line="300" w:lineRule="auto"/>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履约保证金退付方式、时间及条件：采购人应在收到申请之日起28个日历天内扣减供应商赔偿金和其他应从供应商扣回的款项后，将履约金退给供应商（无息）。</w:t>
            </w:r>
          </w:p>
          <w:p>
            <w:pPr>
              <w:spacing w:line="300" w:lineRule="auto"/>
              <w:rPr>
                <w:rFonts w:ascii="宋体" w:hAnsi="宋体" w:cs="宋体"/>
                <w:color w:val="auto"/>
                <w:szCs w:val="21"/>
                <w:highlight w:val="none"/>
              </w:rPr>
            </w:pPr>
            <w:r>
              <w:rPr>
                <w:rFonts w:hint="eastAsia" w:ascii="宋体" w:hAnsi="宋体" w:cs="宋体"/>
                <w:color w:val="auto"/>
                <w:szCs w:val="21"/>
                <w:highlight w:val="none"/>
              </w:rPr>
              <w:t>履约保证金指定账户：（合同签订前提供）</w:t>
            </w:r>
          </w:p>
          <w:p>
            <w:pPr>
              <w:spacing w:line="300" w:lineRule="auto"/>
              <w:rPr>
                <w:rFonts w:ascii="宋体" w:hAnsi="宋体" w:cs="宋体"/>
                <w:b/>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br w:type="textWrapping"/>
            </w:r>
            <w:r>
              <w:rPr>
                <w:rFonts w:hint="eastAsia" w:ascii="宋体" w:hAnsi="宋体" w:cs="宋体"/>
                <w:b/>
                <w:color w:val="auto"/>
                <w:szCs w:val="21"/>
                <w:highlight w:val="none"/>
              </w:rPr>
              <w:t>1.</w:t>
            </w:r>
            <w:bookmarkStart w:id="50" w:name="_Hlk54170335"/>
            <w:r>
              <w:rPr>
                <w:rFonts w:hint="eastAsia" w:ascii="宋体" w:hAnsi="宋体" w:cs="宋体"/>
                <w:b/>
                <w:color w:val="auto"/>
                <w:szCs w:val="21"/>
                <w:highlight w:val="none"/>
              </w:rPr>
              <w:t>根据《广西壮族自治区财政厅关于进一步发挥政府采购政策功能促进企业发展的通知》（桂财采〔2023〕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50"/>
          </w:p>
          <w:p>
            <w:pPr>
              <w:spacing w:line="300" w:lineRule="auto"/>
              <w:rPr>
                <w:rFonts w:ascii="宋体" w:hAnsi="宋体" w:cs="宋体"/>
                <w:b/>
                <w:color w:val="auto"/>
                <w:szCs w:val="21"/>
                <w:highlight w:val="none"/>
              </w:rPr>
            </w:pPr>
            <w:r>
              <w:rPr>
                <w:rFonts w:hint="eastAsia" w:ascii="宋体" w:hAnsi="宋体" w:cs="宋体"/>
                <w:b/>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r>
              <w:rPr>
                <w:rFonts w:hint="eastAsia" w:ascii="宋体" w:hAnsi="宋体" w:cs="宋体"/>
                <w:b/>
                <w:color w:val="auto"/>
                <w:szCs w:val="21"/>
                <w:highlight w:val="none"/>
              </w:rPr>
              <w:br w:type="textWrapping"/>
            </w:r>
            <w:r>
              <w:rPr>
                <w:rFonts w:hint="eastAsia" w:ascii="宋体" w:hAnsi="宋体" w:cs="宋体"/>
                <w:b/>
                <w:color w:val="auto"/>
                <w:szCs w:val="21"/>
                <w:highlight w:val="none"/>
              </w:rPr>
              <w:t>3.采用银行、保险机构出具的保函的，必须为无条件保函，否则不予签订合同。</w:t>
            </w:r>
          </w:p>
          <w:p>
            <w:pPr>
              <w:spacing w:line="300" w:lineRule="auto"/>
              <w:rPr>
                <w:rFonts w:ascii="宋体" w:hAnsi="宋体" w:cs="宋体"/>
                <w:color w:val="auto"/>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营业执照副本复印件、单位授权委托书及被授权人身份证原件等其它证明材料。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Merge w:val="restart"/>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Merge w:val="continue"/>
            <w:vAlign w:val="center"/>
          </w:tcPr>
          <w:p>
            <w:pPr>
              <w:spacing w:line="300" w:lineRule="auto"/>
              <w:jc w:val="center"/>
              <w:rPr>
                <w:rFonts w:ascii="宋体" w:hAnsi="宋体" w:cs="宋体"/>
                <w:color w:val="auto"/>
                <w:szCs w:val="21"/>
                <w:highlight w:val="none"/>
              </w:rPr>
            </w:pP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 xml:space="preserve"> 广西恒辉工程咨询有限公司</w:t>
            </w:r>
            <w:r>
              <w:rPr>
                <w:rFonts w:hint="eastAsia" w:ascii="宋体" w:hAnsi="宋体" w:cs="宋体"/>
                <w:color w:val="auto"/>
                <w:szCs w:val="21"/>
                <w:highlight w:val="none"/>
              </w:rPr>
              <w:t>；</w:t>
            </w:r>
          </w:p>
          <w:p>
            <w:pPr>
              <w:spacing w:line="30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18577407356</w:t>
            </w:r>
            <w:r>
              <w:rPr>
                <w:rFonts w:hint="eastAsia" w:ascii="宋体" w:hAnsi="宋体" w:cs="宋体"/>
                <w:color w:val="auto"/>
                <w:szCs w:val="21"/>
                <w:highlight w:val="none"/>
              </w:rPr>
              <w:t>；</w:t>
            </w:r>
          </w:p>
          <w:p>
            <w:pPr>
              <w:spacing w:line="300" w:lineRule="auto"/>
              <w:ind w:left="1575" w:leftChars="250" w:hanging="1050" w:hangingChars="5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广西梧州市新兴三路30号神冠豪都B栋1单元34楼3402室</w:t>
            </w:r>
          </w:p>
          <w:p>
            <w:pPr>
              <w:spacing w:line="300" w:lineRule="auto"/>
              <w:rPr>
                <w:rFonts w:ascii="宋体" w:hAnsi="宋体" w:cs="宋体"/>
                <w:color w:val="auto"/>
                <w:szCs w:val="21"/>
                <w:highlight w:val="none"/>
                <w:shd w:val="clear"/>
              </w:rPr>
            </w:pPr>
            <w:r>
              <w:rPr>
                <w:rFonts w:hint="eastAsia" w:ascii="宋体" w:hAnsi="宋体" w:cs="宋体"/>
                <w:color w:val="auto"/>
                <w:szCs w:val="21"/>
                <w:highlight w:val="none"/>
              </w:rPr>
              <w:t>（</w:t>
            </w:r>
            <w:r>
              <w:rPr>
                <w:rFonts w:hint="eastAsia" w:ascii="宋体" w:hAnsi="宋体" w:cs="宋体"/>
                <w:color w:val="auto"/>
                <w:szCs w:val="21"/>
                <w:highlight w:val="none"/>
                <w:shd w:val="clear"/>
              </w:rPr>
              <w:t>2）</w:t>
            </w:r>
            <w:r>
              <w:rPr>
                <w:rFonts w:hint="eastAsia" w:ascii="宋体" w:hAnsi="宋体" w:cs="宋体"/>
                <w:color w:val="auto"/>
                <w:szCs w:val="21"/>
                <w:highlight w:val="none"/>
                <w:u w:val="single"/>
                <w:shd w:val="clear"/>
                <w:lang w:eastAsia="zh-CN"/>
              </w:rPr>
              <w:t>梧州市长洲区农业农村局</w:t>
            </w:r>
            <w:r>
              <w:rPr>
                <w:rFonts w:hint="eastAsia" w:ascii="宋体" w:hAnsi="宋体" w:cs="宋体"/>
                <w:color w:val="auto"/>
                <w:szCs w:val="21"/>
                <w:highlight w:val="none"/>
                <w:shd w:val="clear"/>
              </w:rPr>
              <w:t>；</w:t>
            </w:r>
          </w:p>
          <w:p>
            <w:pPr>
              <w:spacing w:line="30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3824856</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pacing w:line="300" w:lineRule="auto"/>
              <w:ind w:firstLine="525" w:firstLineChars="25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val="en-US" w:eastAsia="zh-CN"/>
              </w:rPr>
              <w:t xml:space="preserve">梧州市长洲区兴梧路36号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Merge w:val="continue"/>
            <w:vAlign w:val="center"/>
          </w:tcPr>
          <w:p>
            <w:pPr>
              <w:spacing w:line="300" w:lineRule="auto"/>
              <w:jc w:val="center"/>
              <w:rPr>
                <w:rFonts w:ascii="宋体" w:hAnsi="宋体" w:cs="宋体"/>
                <w:color w:val="auto"/>
                <w:szCs w:val="21"/>
                <w:highlight w:val="none"/>
              </w:rPr>
            </w:pP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12</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color w:val="auto"/>
                <w:szCs w:val="21"/>
                <w:highlight w:val="none"/>
                <w:u w:val="single"/>
              </w:rPr>
              <w:t>15</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882" w:type="dxa"/>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pPr>
              <w:spacing w:line="300" w:lineRule="auto"/>
              <w:rPr>
                <w:rFonts w:ascii="宋体" w:hAnsi="宋体" w:cs="宋体"/>
                <w:color w:val="auto"/>
                <w:szCs w:val="21"/>
                <w:highlight w:val="none"/>
              </w:rPr>
            </w:pPr>
            <w:r>
              <w:rPr>
                <w:rFonts w:hint="eastAsia" w:ascii="宋体" w:hAnsi="宋体" w:cs="宋体"/>
                <w:color w:val="auto"/>
                <w:szCs w:val="21"/>
                <w:highlight w:val="none"/>
              </w:rPr>
              <w:t>2.邮寄地址：</w:t>
            </w:r>
          </w:p>
          <w:p>
            <w:pPr>
              <w:spacing w:line="30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名称：</w:t>
            </w:r>
            <w:bookmarkStart w:id="51" w:name="PO_3000001868_PM036"/>
            <w:bookmarkEnd w:id="51"/>
            <w:r>
              <w:rPr>
                <w:rFonts w:hint="eastAsia" w:ascii="宋体" w:hAnsi="宋体" w:cs="宋体"/>
                <w:color w:val="auto"/>
                <w:szCs w:val="21"/>
                <w:highlight w:val="none"/>
              </w:rPr>
              <w:t>广西壮族自治区财政厅政府采购监督管理处</w:t>
            </w:r>
          </w:p>
          <w:p>
            <w:pPr>
              <w:spacing w:line="30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地址：</w:t>
            </w:r>
            <w:bookmarkStart w:id="52" w:name="PO_3000001868_PM039"/>
            <w:bookmarkEnd w:id="52"/>
            <w:r>
              <w:rPr>
                <w:rFonts w:hint="eastAsia" w:ascii="宋体" w:hAnsi="宋体" w:cs="宋体"/>
                <w:color w:val="auto"/>
                <w:szCs w:val="21"/>
                <w:highlight w:val="none"/>
              </w:rPr>
              <w:t>南宁市桃源路69号</w:t>
            </w:r>
          </w:p>
          <w:p>
            <w:pPr>
              <w:spacing w:line="30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联系电话：0771-5331544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882" w:type="dxa"/>
            <w:vAlign w:val="center"/>
          </w:tcPr>
          <w:p>
            <w:pPr>
              <w:pStyle w:val="18"/>
              <w:spacing w:line="300" w:lineRule="auto"/>
              <w:rPr>
                <w:rFonts w:hAnsi="宋体" w:cs="宋体"/>
                <w:color w:val="auto"/>
                <w:kern w:val="2"/>
                <w:sz w:val="21"/>
                <w:highlight w:val="none"/>
              </w:rPr>
            </w:pPr>
            <w:r>
              <w:rPr>
                <w:rFonts w:hint="eastAsia" w:hAnsi="宋体" w:cs="宋体"/>
                <w:color w:val="auto"/>
                <w:kern w:val="2"/>
                <w:sz w:val="21"/>
                <w:highlight w:val="none"/>
              </w:rPr>
              <w:t>1.是否收取采购代理费：</w:t>
            </w:r>
          </w:p>
          <w:p>
            <w:pPr>
              <w:pStyle w:val="18"/>
              <w:spacing w:line="300" w:lineRule="auto"/>
              <w:ind w:firstLine="210" w:firstLineChars="100"/>
              <w:rPr>
                <w:rFonts w:hAnsi="宋体" w:cs="宋体"/>
                <w:color w:val="auto"/>
                <w:kern w:val="2"/>
                <w:sz w:val="21"/>
                <w:highlight w:val="none"/>
              </w:rPr>
            </w:pPr>
            <w:r>
              <w:rPr>
                <w:rFonts w:hint="eastAsia" w:hAnsi="宋体" w:cs="宋体"/>
                <w:color w:val="auto"/>
                <w:kern w:val="2"/>
                <w:sz w:val="21"/>
                <w:highlight w:val="none"/>
              </w:rPr>
              <w:sym w:font="Wingdings 2" w:char="0052"/>
            </w:r>
            <w:r>
              <w:rPr>
                <w:rFonts w:hint="eastAsia" w:hAnsi="宋体" w:cs="宋体"/>
                <w:color w:val="auto"/>
                <w:kern w:val="2"/>
                <w:sz w:val="21"/>
                <w:highlight w:val="none"/>
              </w:rPr>
              <w:t>是；□否</w:t>
            </w:r>
          </w:p>
          <w:p>
            <w:pPr>
              <w:pStyle w:val="18"/>
              <w:spacing w:line="300" w:lineRule="auto"/>
              <w:rPr>
                <w:rFonts w:hAnsi="宋体" w:cs="宋体"/>
                <w:color w:val="auto"/>
                <w:kern w:val="2"/>
                <w:sz w:val="21"/>
                <w:highlight w:val="none"/>
              </w:rPr>
            </w:pPr>
            <w:r>
              <w:rPr>
                <w:rFonts w:hint="eastAsia" w:hAnsi="宋体" w:cs="宋体"/>
                <w:color w:val="auto"/>
                <w:kern w:val="2"/>
                <w:sz w:val="21"/>
                <w:highlight w:val="none"/>
              </w:rPr>
              <w:t>2.采购代理费支付方式：</w:t>
            </w:r>
          </w:p>
          <w:p>
            <w:pPr>
              <w:pStyle w:val="18"/>
              <w:spacing w:line="300" w:lineRule="auto"/>
              <w:ind w:left="525" w:leftChars="100" w:hanging="315" w:hangingChars="150"/>
              <w:rPr>
                <w:rFonts w:hAnsi="宋体" w:cs="宋体"/>
                <w:color w:val="auto"/>
                <w:kern w:val="2"/>
                <w:sz w:val="21"/>
                <w:highlight w:val="none"/>
              </w:rPr>
            </w:pPr>
            <w:r>
              <w:rPr>
                <w:rFonts w:hint="eastAsia" w:hAnsi="宋体" w:cs="宋体"/>
                <w:color w:val="auto"/>
                <w:kern w:val="2"/>
                <w:sz w:val="21"/>
                <w:highlight w:val="none"/>
              </w:rPr>
              <w:sym w:font="Wingdings 2" w:char="0052"/>
            </w:r>
            <w:r>
              <w:rPr>
                <w:rFonts w:hint="eastAsia" w:hAnsi="宋体" w:cs="宋体"/>
                <w:color w:val="auto"/>
                <w:kern w:val="2"/>
                <w:sz w:val="21"/>
                <w:highlight w:val="none"/>
              </w:rPr>
              <w:t>本项目代理服务费由</w:t>
            </w:r>
            <w:r>
              <w:rPr>
                <w:rFonts w:hint="eastAsia" w:hAnsi="宋体" w:cs="宋体"/>
                <w:color w:val="auto"/>
                <w:kern w:val="2"/>
                <w:sz w:val="21"/>
                <w:highlight w:val="none"/>
                <w:u w:val="single"/>
              </w:rPr>
              <w:t>成交供应商</w:t>
            </w:r>
            <w:r>
              <w:rPr>
                <w:rFonts w:hint="eastAsia" w:hAnsi="宋体" w:cs="宋体"/>
                <w:color w:val="auto"/>
                <w:kern w:val="2"/>
                <w:sz w:val="21"/>
                <w:highlight w:val="none"/>
              </w:rPr>
              <w:t>领取成交通知书前，一次性向采购代理机构支付。</w:t>
            </w:r>
          </w:p>
          <w:p>
            <w:pPr>
              <w:pStyle w:val="18"/>
              <w:spacing w:line="300" w:lineRule="auto"/>
              <w:ind w:firstLine="210" w:firstLineChars="100"/>
              <w:rPr>
                <w:rFonts w:hAnsi="宋体" w:cs="宋体"/>
                <w:color w:val="auto"/>
                <w:kern w:val="2"/>
                <w:sz w:val="21"/>
                <w:highlight w:val="none"/>
              </w:rPr>
            </w:pPr>
            <w:r>
              <w:rPr>
                <w:rFonts w:hint="eastAsia" w:hAnsi="宋体" w:cs="宋体"/>
                <w:color w:val="auto"/>
                <w:kern w:val="2"/>
                <w:sz w:val="21"/>
                <w:highlight w:val="none"/>
              </w:rPr>
              <w:t>□采购人支付。</w:t>
            </w:r>
          </w:p>
          <w:p>
            <w:pPr>
              <w:pStyle w:val="18"/>
              <w:spacing w:line="300" w:lineRule="auto"/>
              <w:rPr>
                <w:rFonts w:hint="eastAsia" w:hAnsi="宋体" w:eastAsia="宋体" w:cs="宋体"/>
                <w:color w:val="auto"/>
                <w:kern w:val="2"/>
                <w:sz w:val="21"/>
                <w:highlight w:val="none"/>
                <w:lang w:eastAsia="zh-CN"/>
              </w:rPr>
            </w:pPr>
            <w:r>
              <w:rPr>
                <w:rFonts w:hint="eastAsia" w:hAnsi="宋体" w:cs="宋体"/>
                <w:color w:val="auto"/>
                <w:kern w:val="2"/>
                <w:sz w:val="21"/>
                <w:highlight w:val="none"/>
              </w:rPr>
              <w:t>3.采购代理费收取标准：代理服务费</w:t>
            </w:r>
            <w:r>
              <w:rPr>
                <w:rFonts w:hint="eastAsia" w:hAnsi="宋体" w:cs="宋体"/>
                <w:color w:val="auto"/>
                <w:kern w:val="2"/>
                <w:sz w:val="21"/>
                <w:highlight w:val="none"/>
                <w:lang w:val="en-US" w:eastAsia="zh-CN"/>
              </w:rPr>
              <w:t>按</w:t>
            </w:r>
            <w:r>
              <w:rPr>
                <w:rFonts w:hint="eastAsia" w:hAnsi="宋体" w:cs="宋体"/>
                <w:color w:val="auto"/>
                <w:kern w:val="2"/>
                <w:sz w:val="21"/>
                <w:highlight w:val="none"/>
              </w:rPr>
              <w:t>合</w:t>
            </w:r>
            <w:r>
              <w:rPr>
                <w:rFonts w:hint="eastAsia" w:hAnsi="宋体" w:cs="宋体"/>
                <w:color w:val="auto"/>
                <w:kern w:val="2"/>
                <w:sz w:val="21"/>
                <w:highlight w:val="none"/>
                <w:u w:val="single"/>
              </w:rPr>
              <w:t>同价款的</w:t>
            </w:r>
            <w:r>
              <w:rPr>
                <w:rFonts w:hint="eastAsia" w:hAnsi="宋体" w:cs="宋体"/>
                <w:color w:val="auto"/>
                <w:kern w:val="2"/>
                <w:sz w:val="21"/>
                <w:highlight w:val="none"/>
                <w:u w:val="single"/>
                <w:lang w:val="en-US" w:eastAsia="zh-CN"/>
              </w:rPr>
              <w:t>1</w:t>
            </w:r>
            <w:r>
              <w:rPr>
                <w:rFonts w:hint="eastAsia" w:hAnsi="宋体" w:cs="宋体"/>
                <w:color w:val="auto"/>
                <w:kern w:val="2"/>
                <w:sz w:val="21"/>
                <w:highlight w:val="none"/>
                <w:u w:val="single"/>
              </w:rPr>
              <w:t>%</w:t>
            </w:r>
            <w:r>
              <w:rPr>
                <w:rFonts w:hint="eastAsia" w:hAnsi="宋体" w:cs="宋体"/>
                <w:color w:val="auto"/>
                <w:kern w:val="2"/>
                <w:sz w:val="21"/>
                <w:highlight w:val="none"/>
              </w:rPr>
              <w:t>向成交供应商收取</w:t>
            </w:r>
            <w:r>
              <w:rPr>
                <w:rFonts w:hint="eastAsia" w:hAnsi="宋体" w:cs="宋体"/>
                <w:b/>
                <w:bCs/>
                <w:color w:val="auto"/>
                <w:kern w:val="2"/>
                <w:sz w:val="21"/>
                <w:highlight w:val="none"/>
              </w:rPr>
              <w:t>。</w:t>
            </w:r>
          </w:p>
          <w:p>
            <w:pPr>
              <w:spacing w:line="300" w:lineRule="auto"/>
              <w:rPr>
                <w:rFonts w:ascii="宋体" w:hAnsi="宋体" w:cs="宋体"/>
                <w:color w:val="auto"/>
                <w:szCs w:val="21"/>
                <w:highlight w:val="none"/>
              </w:rPr>
            </w:pPr>
            <w:r>
              <w:rPr>
                <w:rFonts w:hint="eastAsia" w:ascii="宋体" w:hAnsi="宋体" w:cs="宋体"/>
                <w:color w:val="auto"/>
                <w:szCs w:val="21"/>
                <w:highlight w:val="none"/>
              </w:rPr>
              <w:t>4.采购代理费收取银行账户</w:t>
            </w:r>
          </w:p>
          <w:p>
            <w:pPr>
              <w:spacing w:line="300" w:lineRule="auto"/>
              <w:ind w:firstLine="207" w:firstLineChars="98"/>
              <w:rPr>
                <w:rFonts w:ascii="宋体" w:hAnsi="宋体" w:cs="宋体"/>
                <w:b/>
                <w:bCs/>
                <w:color w:val="auto"/>
                <w:szCs w:val="21"/>
                <w:highlight w:val="none"/>
              </w:rPr>
            </w:pPr>
            <w:r>
              <w:rPr>
                <w:rFonts w:hint="eastAsia" w:ascii="宋体" w:hAnsi="宋体" w:cs="宋体"/>
                <w:b/>
                <w:bCs/>
                <w:color w:val="auto"/>
                <w:szCs w:val="21"/>
                <w:highlight w:val="none"/>
              </w:rPr>
              <w:t>开户名称：</w:t>
            </w:r>
            <w:r>
              <w:rPr>
                <w:rFonts w:hint="eastAsia" w:ascii="宋体" w:hAnsi="宋体" w:cs="宋体"/>
                <w:b/>
                <w:bCs/>
                <w:color w:val="auto"/>
                <w:szCs w:val="21"/>
                <w:highlight w:val="none"/>
                <w:lang w:eastAsia="zh-CN"/>
              </w:rPr>
              <w:t>广西恒辉工程咨询有限公司</w:t>
            </w:r>
          </w:p>
          <w:p>
            <w:pPr>
              <w:spacing w:line="300" w:lineRule="auto"/>
              <w:ind w:firstLine="207" w:firstLineChars="98"/>
              <w:rPr>
                <w:rFonts w:ascii="宋体" w:hAnsi="宋体" w:cs="宋体"/>
                <w:b/>
                <w:bCs/>
                <w:color w:val="auto"/>
                <w:szCs w:val="21"/>
                <w:highlight w:val="none"/>
              </w:rPr>
            </w:pPr>
            <w:r>
              <w:rPr>
                <w:rFonts w:hint="eastAsia" w:ascii="宋体" w:hAnsi="宋体" w:cs="宋体"/>
                <w:b/>
                <w:bCs/>
                <w:color w:val="auto"/>
                <w:szCs w:val="21"/>
                <w:highlight w:val="none"/>
              </w:rPr>
              <w:t>开户银行：中国农业银行梧州灏景支行</w:t>
            </w:r>
          </w:p>
          <w:p>
            <w:pPr>
              <w:spacing w:line="300" w:lineRule="auto"/>
              <w:ind w:firstLine="207" w:firstLineChars="98"/>
              <w:rPr>
                <w:rFonts w:ascii="宋体" w:hAnsi="宋体" w:cs="宋体"/>
                <w:color w:val="auto"/>
                <w:szCs w:val="21"/>
                <w:highlight w:val="none"/>
              </w:rPr>
            </w:pPr>
            <w:r>
              <w:rPr>
                <w:rFonts w:hint="eastAsia" w:ascii="宋体" w:hAnsi="宋体" w:cs="宋体"/>
                <w:b/>
                <w:bCs/>
                <w:color w:val="auto"/>
                <w:szCs w:val="21"/>
                <w:highlight w:val="none"/>
              </w:rPr>
              <w:t>银行账号：20312801040011706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解释</w:t>
            </w:r>
          </w:p>
        </w:tc>
        <w:tc>
          <w:tcPr>
            <w:tcW w:w="6882" w:type="dxa"/>
            <w:vAlign w:val="center"/>
          </w:tcPr>
          <w:p>
            <w:pPr>
              <w:spacing w:line="300" w:lineRule="auto"/>
              <w:rPr>
                <w:rFonts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pPr>
              <w:pStyle w:val="18"/>
              <w:spacing w:line="300" w:lineRule="auto"/>
              <w:rPr>
                <w:rFonts w:hAnsi="宋体" w:cs="宋体"/>
                <w:color w:val="auto"/>
                <w:kern w:val="2"/>
                <w:sz w:val="21"/>
                <w:highlight w:val="none"/>
              </w:rPr>
            </w:pPr>
            <w:r>
              <w:rPr>
                <w:rFonts w:hint="eastAsia" w:hAnsi="宋体" w:cs="宋体"/>
                <w:b/>
                <w:color w:val="auto"/>
                <w:kern w:val="2"/>
                <w:sz w:val="21"/>
                <w:highlight w:val="none"/>
              </w:rPr>
              <w:t>法律责任：</w:t>
            </w:r>
            <w:r>
              <w:rPr>
                <w:rFonts w:hint="eastAsia" w:hAnsi="宋体" w:cs="宋体"/>
                <w:color w:val="auto"/>
                <w:kern w:val="2"/>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1613" w:type="dxa"/>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82" w:type="dxa"/>
            <w:vAlign w:val="center"/>
          </w:tcPr>
          <w:p>
            <w:pPr>
              <w:pStyle w:val="18"/>
              <w:spacing w:line="300" w:lineRule="auto"/>
              <w:rPr>
                <w:rFonts w:hAnsi="宋体" w:cs="宋体"/>
                <w:color w:val="auto"/>
                <w:kern w:val="2"/>
                <w:sz w:val="21"/>
                <w:highlight w:val="none"/>
              </w:rPr>
            </w:pPr>
            <w:r>
              <w:rPr>
                <w:rFonts w:hint="eastAsia" w:hAnsi="宋体" w:cs="宋体"/>
                <w:color w:val="auto"/>
                <w:kern w:val="2"/>
                <w:sz w:val="21"/>
                <w:highlight w:val="none"/>
              </w:rPr>
              <w:t xml:space="preserve">1.电子响应文件中须加盖供应商公章部分均采用CA签章，并根据“政府采购项目电子交易管理操作指南-供应商”及本竞争性磋商文件规定的格式和顺序编制电子投标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投标文件被误读、漏读，或者在按采购文件规定的部位查找不到相关内容的，由供应商自行承担。 </w:t>
            </w:r>
          </w:p>
          <w:p>
            <w:pPr>
              <w:pStyle w:val="18"/>
              <w:spacing w:line="300" w:lineRule="auto"/>
              <w:rPr>
                <w:rFonts w:hAnsi="宋体" w:cs="宋体"/>
                <w:color w:val="auto"/>
                <w:kern w:val="2"/>
                <w:sz w:val="21"/>
                <w:highlight w:val="none"/>
              </w:rPr>
            </w:pPr>
            <w:r>
              <w:rPr>
                <w:rFonts w:hint="eastAsia" w:hAnsi="宋体" w:cs="宋体"/>
                <w:color w:val="auto"/>
                <w:kern w:val="2"/>
                <w:sz w:val="21"/>
                <w:highlight w:val="none"/>
              </w:rPr>
              <w:t xml:space="preserve">2.供应商为其他组织或者自然人时，本磋商文件规定的法定代表人指负责人或者自然人。 本磋商文件所称负责人是指参加竞标的其他组织营业执照或者执业许可证等证照上的负责人，本磋商文件所称自然人指参与竞标的自然人本人，且应具备独立承担民事责任能力，自然人应当为年满 18 岁以上成年人（十六周岁以上的未成年人，以自己的劳动收入为主要生活来源的，视为完全民事行为能力人）。 </w:t>
            </w:r>
          </w:p>
          <w:p>
            <w:pPr>
              <w:pStyle w:val="18"/>
              <w:spacing w:line="300" w:lineRule="auto"/>
              <w:rPr>
                <w:rFonts w:hAnsi="宋体" w:cs="宋体"/>
                <w:color w:val="auto"/>
                <w:kern w:val="2"/>
                <w:sz w:val="21"/>
                <w:highlight w:val="none"/>
              </w:rPr>
            </w:pPr>
            <w:r>
              <w:rPr>
                <w:rFonts w:hint="eastAsia" w:hAnsi="宋体" w:cs="宋体"/>
                <w:color w:val="auto"/>
                <w:kern w:val="2"/>
                <w:sz w:val="21"/>
                <w:highlight w:val="none"/>
              </w:rPr>
              <w:t xml:space="preserve">3.本磋商文件中描述供应商的“签字”是指供应商的法定代表人或者委托代理人亲自在文件规定签署处亲笔写上个人的名字的行为，私章、签字章、印鉴、影印等其他形式均不能代替亲笔签字。 </w:t>
            </w:r>
          </w:p>
          <w:p>
            <w:pPr>
              <w:pStyle w:val="18"/>
              <w:spacing w:line="300" w:lineRule="auto"/>
              <w:rPr>
                <w:rFonts w:hAnsi="宋体" w:cs="宋体"/>
                <w:color w:val="auto"/>
                <w:kern w:val="2"/>
                <w:sz w:val="21"/>
                <w:highlight w:val="none"/>
              </w:rPr>
            </w:pPr>
            <w:r>
              <w:rPr>
                <w:rFonts w:hint="eastAsia" w:hAnsi="宋体" w:cs="宋体"/>
                <w:color w:val="auto"/>
                <w:kern w:val="2"/>
                <w:sz w:val="21"/>
                <w:highlight w:val="none"/>
              </w:rPr>
              <w:t>4.自然人竞标的，磋商文件规定盖公章处由自然人摁手指指印。</w:t>
            </w:r>
          </w:p>
          <w:p>
            <w:pPr>
              <w:pStyle w:val="18"/>
              <w:spacing w:line="300" w:lineRule="auto"/>
              <w:rPr>
                <w:rFonts w:hAnsi="宋体" w:cs="宋体"/>
                <w:color w:val="auto"/>
                <w:kern w:val="2"/>
                <w:sz w:val="21"/>
                <w:highlight w:val="none"/>
              </w:rPr>
            </w:pPr>
            <w:r>
              <w:rPr>
                <w:rFonts w:hint="eastAsia" w:hAnsi="宋体" w:cs="宋体"/>
                <w:color w:val="auto"/>
                <w:kern w:val="2"/>
                <w:sz w:val="21"/>
                <w:highlight w:val="none"/>
              </w:rPr>
              <w:t xml:space="preserve">5.本磋商文件所称的“以上”“以下”“以内”“届满”，包括本数；所称的“不满”“超过”“以外”，不包括本数。 </w:t>
            </w:r>
          </w:p>
          <w:p>
            <w:pPr>
              <w:pStyle w:val="18"/>
              <w:spacing w:line="300" w:lineRule="auto"/>
              <w:rPr>
                <w:rFonts w:hAnsi="宋体" w:cs="宋体"/>
                <w:color w:val="auto"/>
                <w:kern w:val="2"/>
                <w:sz w:val="21"/>
                <w:highlight w:val="none"/>
              </w:rPr>
            </w:pPr>
            <w:r>
              <w:rPr>
                <w:rFonts w:hint="eastAsia" w:hAnsi="宋体" w:cs="宋体"/>
                <w:color w:val="auto"/>
                <w:kern w:val="2"/>
                <w:sz w:val="21"/>
                <w:highlight w:val="none"/>
              </w:rPr>
              <w:t>6.CA 签章上目前没有法定代表人（负责人）或授权代表签字信息，供应商在响应文件中涉及到签字的位置线下签好字然后扫描或者拍照做成 PDF 的格式亦可。响应文件中涉及到签字的位置未按要求签字的，提供的材料视为无效。</w:t>
            </w:r>
          </w:p>
        </w:tc>
      </w:tr>
    </w:tbl>
    <w:p>
      <w:pPr>
        <w:spacing w:line="360" w:lineRule="auto"/>
        <w:ind w:firstLine="440" w:firstLineChars="200"/>
        <w:rPr>
          <w:rFonts w:ascii="宋体" w:hAnsi="宋体" w:cs="宋体"/>
          <w:color w:val="auto"/>
          <w:sz w:val="22"/>
          <w:szCs w:val="22"/>
          <w:highlight w:val="none"/>
        </w:rPr>
      </w:pPr>
      <w:bookmarkStart w:id="53" w:name="_Toc3871"/>
    </w:p>
    <w:p>
      <w:pPr>
        <w:widowControl/>
        <w:jc w:val="left"/>
        <w:rPr>
          <w:rFonts w:ascii="宋体" w:hAnsi="宋体" w:cs="宋体"/>
          <w:color w:val="auto"/>
          <w:sz w:val="22"/>
          <w:szCs w:val="22"/>
          <w:highlight w:val="none"/>
        </w:rPr>
      </w:pPr>
      <w:r>
        <w:rPr>
          <w:rFonts w:ascii="宋体" w:hAnsi="宋体" w:cs="宋体"/>
          <w:color w:val="auto"/>
          <w:sz w:val="22"/>
          <w:szCs w:val="22"/>
          <w:highlight w:val="none"/>
        </w:rPr>
        <w:br w:type="page"/>
      </w:r>
    </w:p>
    <w:p>
      <w:pPr>
        <w:spacing w:line="360" w:lineRule="auto"/>
        <w:ind w:firstLine="440" w:firstLineChars="200"/>
        <w:rPr>
          <w:rFonts w:ascii="宋体" w:hAnsi="宋体" w:cs="宋体"/>
          <w:color w:val="auto"/>
          <w:sz w:val="22"/>
          <w:szCs w:val="22"/>
          <w:highlight w:val="none"/>
        </w:rPr>
      </w:pPr>
    </w:p>
    <w:p>
      <w:pPr>
        <w:pStyle w:val="3"/>
        <w:spacing w:before="0" w:after="0" w:line="360" w:lineRule="auto"/>
        <w:jc w:val="center"/>
        <w:rPr>
          <w:rFonts w:ascii="宋体" w:hAnsi="宋体" w:cs="宋体"/>
          <w:b w:val="0"/>
          <w:color w:val="auto"/>
          <w:highlight w:val="none"/>
        </w:rPr>
      </w:pPr>
      <w:r>
        <w:rPr>
          <w:rFonts w:hint="eastAsia" w:ascii="宋体" w:hAnsi="宋体" w:cs="宋体"/>
          <w:bCs w:val="0"/>
          <w:color w:val="auto"/>
          <w:sz w:val="28"/>
          <w:szCs w:val="28"/>
          <w:highlight w:val="none"/>
        </w:rPr>
        <w:t>第二节 供应商须知正文</w:t>
      </w:r>
      <w:bookmarkEnd w:id="53"/>
    </w:p>
    <w:p>
      <w:pPr>
        <w:spacing w:line="360" w:lineRule="auto"/>
        <w:ind w:firstLine="562" w:firstLineChars="200"/>
        <w:outlineLvl w:val="2"/>
        <w:rPr>
          <w:rFonts w:ascii="宋体" w:hAnsi="宋体" w:cs="宋体"/>
          <w:b/>
          <w:bCs/>
          <w:color w:val="auto"/>
          <w:sz w:val="28"/>
          <w:szCs w:val="28"/>
          <w:highlight w:val="none"/>
        </w:rPr>
      </w:pPr>
      <w:bookmarkStart w:id="54" w:name="_Toc14066"/>
      <w:r>
        <w:rPr>
          <w:rFonts w:hint="eastAsia" w:ascii="宋体" w:hAnsi="宋体" w:cs="宋体"/>
          <w:b/>
          <w:bCs/>
          <w:color w:val="auto"/>
          <w:sz w:val="28"/>
          <w:szCs w:val="28"/>
          <w:highlight w:val="none"/>
        </w:rPr>
        <w:t>一、总则</w:t>
      </w:r>
      <w:bookmarkEnd w:id="54"/>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1.适用范围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2.定义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2.6“响应文件”是指：供应商根据本磋商文件要求，编制包含资格证明、报价商务技术等所有内容的文件。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3.供应商的资格条件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4.磋商费用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5.联合体竞标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持续优化政府采购营商环境推动高质量发展的通知》（桂财采〔2024〕55号）第三条的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6.转包与分包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持续优化政府采购营商环境推动高质量发展的通知》（桂财采〔2024〕55号）第三条的规定，允许大中型企业向一家或者多家小微企业分包的采购项目，对于分包意向协议约定小微企业的合同份额占到合同总金额30%以上的，采购人、采购代理机构应当对大中型企业的报价给予4%-6%（工程项目为1%-2%）的扣除，用扣除后的价格参加评审。接受分包的小微企业与分包企业之间存在直接控股、管理关系的，不享受价格扣除优惠政策。</w:t>
      </w:r>
    </w:p>
    <w:p>
      <w:pPr>
        <w:spacing w:line="360" w:lineRule="auto"/>
        <w:ind w:firstLine="422" w:firstLineChars="200"/>
        <w:rPr>
          <w:rFonts w:ascii="宋体" w:hAnsi="宋体" w:cs="宋体"/>
          <w:b/>
          <w:bCs/>
          <w:color w:val="auto"/>
          <w:szCs w:val="21"/>
          <w:highlight w:val="none"/>
        </w:rPr>
      </w:pPr>
      <w:bookmarkStart w:id="55" w:name="_Toc254970532"/>
      <w:bookmarkStart w:id="56" w:name="_Toc254970673"/>
      <w:r>
        <w:rPr>
          <w:rFonts w:hint="eastAsia" w:ascii="宋体" w:hAnsi="宋体" w:cs="宋体"/>
          <w:b/>
          <w:bCs/>
          <w:color w:val="auto"/>
          <w:szCs w:val="21"/>
          <w:highlight w:val="none"/>
        </w:rPr>
        <w:t>7.特别说明</w:t>
      </w:r>
      <w:bookmarkEnd w:id="55"/>
      <w:bookmarkEnd w:id="56"/>
    </w:p>
    <w:p>
      <w:pPr>
        <w:spacing w:line="360" w:lineRule="auto"/>
        <w:ind w:firstLine="420" w:firstLineChars="200"/>
        <w:rPr>
          <w:rFonts w:ascii="宋体" w:hAnsi="宋体" w:cs="宋体"/>
          <w:color w:val="auto"/>
          <w:szCs w:val="21"/>
          <w:highlight w:val="none"/>
        </w:rPr>
      </w:pPr>
      <w:bookmarkStart w:id="57" w:name="_8.1提供相同品牌产品且通过资格审查、符合性审查的不同投标人参加同一合"/>
      <w:bookmarkEnd w:id="57"/>
      <w:r>
        <w:rPr>
          <w:rFonts w:hint="eastAsia" w:ascii="宋体" w:hAnsi="宋体" w:cs="宋体"/>
          <w:color w:val="auto"/>
          <w:szCs w:val="21"/>
          <w:highlight w:val="none"/>
        </w:rPr>
        <w:t>7.1</w:t>
      </w:r>
      <w:bookmarkStart w:id="58"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58"/>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pPr>
        <w:spacing w:line="360" w:lineRule="auto"/>
        <w:ind w:firstLine="562" w:firstLineChars="200"/>
        <w:outlineLvl w:val="2"/>
        <w:rPr>
          <w:rFonts w:ascii="宋体" w:hAnsi="宋体" w:cs="宋体"/>
          <w:b/>
          <w:bCs/>
          <w:color w:val="auto"/>
          <w:sz w:val="28"/>
          <w:szCs w:val="28"/>
          <w:highlight w:val="none"/>
        </w:rPr>
      </w:pPr>
      <w:bookmarkStart w:id="59" w:name="_Toc254970675"/>
      <w:bookmarkStart w:id="60" w:name="_Toc254970534"/>
      <w:bookmarkStart w:id="61" w:name="_Toc597"/>
      <w:r>
        <w:rPr>
          <w:rFonts w:hint="eastAsia" w:ascii="宋体" w:hAnsi="宋体" w:cs="宋体"/>
          <w:b/>
          <w:bCs/>
          <w:color w:val="auto"/>
          <w:sz w:val="28"/>
          <w:szCs w:val="28"/>
          <w:highlight w:val="none"/>
        </w:rPr>
        <w:t>二、磋商文件</w:t>
      </w:r>
      <w:bookmarkEnd w:id="59"/>
      <w:bookmarkEnd w:id="60"/>
      <w:bookmarkEnd w:id="61"/>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8.磋商文件的构成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竞争性磋商公告；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 供应商须知；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采购需求；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第五章 工程量清单；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图纸（另册）；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响应文件格式；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合同文本；</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第九章 质疑、投诉材料格式。</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9.供应商的询问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供应商应认真阅读磋商文件，如供应商对磋商文件有疑问的，如要求采购人作出澄清或者修改的，供应商尽应在提交首次响应文件截止之日前，以书面形式向采购人、采购代理机构提出。</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10.磋商文件的澄清和修改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采购人和采购代理机构可以视采购具体情况，变更提交首次响应文件截止时间和磋商时间，将变更时间将在“采购文件公告”中“七、其他补充事宜1.网上查询地址”规定的政府采购信息发布媒体上发布更正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响应文件未按磋商文件的澄清、修改的内容编制，又不符合实质性要求的，其响应文件作无效处理。</w:t>
      </w:r>
    </w:p>
    <w:p>
      <w:pPr>
        <w:spacing w:line="360" w:lineRule="auto"/>
        <w:ind w:firstLine="562" w:firstLineChars="200"/>
        <w:outlineLvl w:val="2"/>
        <w:rPr>
          <w:rFonts w:ascii="宋体" w:hAnsi="宋体" w:cs="宋体"/>
          <w:b/>
          <w:bCs/>
          <w:color w:val="auto"/>
          <w:sz w:val="28"/>
          <w:szCs w:val="28"/>
          <w:highlight w:val="none"/>
        </w:rPr>
      </w:pPr>
      <w:bookmarkStart w:id="62" w:name="_Toc11654"/>
      <w:r>
        <w:rPr>
          <w:rFonts w:hint="eastAsia" w:ascii="宋体" w:hAnsi="宋体" w:cs="宋体"/>
          <w:b/>
          <w:bCs/>
          <w:color w:val="auto"/>
          <w:sz w:val="28"/>
          <w:szCs w:val="28"/>
          <w:highlight w:val="none"/>
        </w:rPr>
        <w:t>三、响应文件的编制</w:t>
      </w:r>
      <w:bookmarkEnd w:id="62"/>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11.响应文件的编制原则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12.响应文件的组成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13.计量单位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14.竞标的风险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15.响应报价要求和构成</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15.1响应报价应按“第七章 响应文件格式”中“报价函及报价函附录”格式填写。</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63"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63"/>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16.磋商有效期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16.1磋商有效期是指为保证采购人有足够的时间在提交响应文件后完成评审、确定成交供应商、合同签订等工作而要求供应商提交的响应文件在一定时间内保持有效的期限。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磋商有效期应由供应商按“供应商须知前附表”规定的期限作出响应。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16.3供应商的响应文件在磋商有效期内均保持有效。</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17.磋商保证金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17.2磋商保证金的退还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17.2.1未成交供应商的磋商保证金自成交通知书发出之日起5个工作日内退还，退还方式如下：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（2）采用支票、汇票或本票方式的，以转账方式退回到供应商银行账户或由供应商代表持相关授权证明材料至磋商保证金收取单位办理支票、汇票或本票原件退还手续。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（3）采用银行、保险机构出具的保函方式的，由供应商代表持相关授权证明材料至磋商保证金收取单位办理保函原件退还手续。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17.2.2成交供应商的磋商保证金自签订合同之日起5个工作日内退还，退还方式同未成交供应商的磋商保证金的退还方式。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17.3磋商保证金不计息。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（3）除因不可抗力或竞争性磋商文件认可的情形以外，成交供应商不与采购人签订合同的；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（5）竞争性磋商文件规定的其他情形。</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18.响应文件编制的要求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18.1各供应商在编制响应文件时请按照磋商文件“第七章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64" w:name="_Hlk65832699"/>
      <w:r>
        <w:rPr>
          <w:rFonts w:hint="eastAsia" w:ascii="宋体" w:hAnsi="宋体" w:cs="宋体"/>
          <w:color w:val="auto"/>
          <w:szCs w:val="21"/>
          <w:highlight w:val="none"/>
        </w:rPr>
        <w:t>3响应文件须由供应商在</w:t>
      </w:r>
      <w:r>
        <w:rPr>
          <w:rFonts w:hint="eastAsia" w:ascii="宋体" w:hAnsi="宋体" w:cs="宋体"/>
          <w:color w:val="auto"/>
          <w:szCs w:val="21"/>
          <w:highlight w:val="none"/>
          <w:lang w:val="zh-CN"/>
        </w:rPr>
        <w:t>“</w:t>
      </w:r>
      <w:r>
        <w:rPr>
          <w:rFonts w:hint="eastAsia" w:ascii="宋体" w:hAnsi="宋体" w:cs="宋体"/>
          <w:color w:val="auto"/>
          <w:szCs w:val="21"/>
          <w:highlight w:val="none"/>
        </w:rPr>
        <w:t>第七章 响应文件格式</w:t>
      </w:r>
      <w:r>
        <w:rPr>
          <w:rFonts w:hint="eastAsia" w:ascii="宋体" w:hAnsi="宋体" w:cs="宋体"/>
          <w:color w:val="auto"/>
          <w:szCs w:val="21"/>
          <w:highlight w:val="none"/>
          <w:lang w:val="zh-CN"/>
        </w:rPr>
        <w:t>”</w:t>
      </w:r>
      <w:r>
        <w:rPr>
          <w:rFonts w:hint="eastAsia" w:ascii="宋体" w:hAnsi="宋体" w:cs="宋体"/>
          <w:color w:val="auto"/>
          <w:szCs w:val="21"/>
          <w:highlight w:val="none"/>
        </w:rPr>
        <w:t>规定位置进行签署、盖章</w:t>
      </w:r>
      <w:bookmarkEnd w:id="64"/>
      <w:r>
        <w:rPr>
          <w:rFonts w:hint="eastAsia" w:ascii="宋体" w:hAnsi="宋体" w:cs="宋体"/>
          <w:color w:val="auto"/>
          <w:szCs w:val="21"/>
          <w:highlight w:val="none"/>
        </w:rPr>
        <w:t>，否则其响应文件按无效响应处理。骑缝盖公章不视为在规定位置盖章。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19.响应文件的密封和标记</w:t>
      </w:r>
    </w:p>
    <w:p>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19.1供应商进行电子交易应安装客户端软件</w:t>
      </w:r>
      <w:r>
        <w:rPr>
          <w:rFonts w:hint="eastAsia" w:ascii="宋体" w:hAnsi="宋体" w:cs="宋体"/>
          <w:color w:val="auto"/>
          <w:szCs w:val="21"/>
          <w:highlight w:val="none"/>
        </w:rPr>
        <w:t>-</w:t>
      </w:r>
      <w:r>
        <w:rPr>
          <w:rFonts w:hint="eastAsia" w:ascii="宋体" w:hAnsi="宋体" w:cs="宋体"/>
          <w:color w:val="auto"/>
          <w:szCs w:val="21"/>
          <w:highlight w:val="none"/>
          <w:lang w:val="zh-CN"/>
        </w:rPr>
        <w:t>“政采云电子交易客户端”，并按照磋商文件和电子交易平台的要求编制并加密响应文件。供应商未按规定加密的响应文件，电子交易平台将拒收并提示。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19.2使用“政采云电子交易客户端”需要提前申领CA数字证书。</w:t>
      </w:r>
    </w:p>
    <w:p>
      <w:pPr>
        <w:pStyle w:val="18"/>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20.响应文件的提交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20.2在响应文件提交截止时间以后，不能补充、修改响应文件。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20.3在提交“最后报价”后，供应商不能退出磋商。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20.5采购机构不可视情况延长提交响应文件的截止时间。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pPr>
        <w:spacing w:line="360" w:lineRule="auto"/>
        <w:ind w:firstLine="422" w:firstLineChars="200"/>
        <w:rPr>
          <w:rFonts w:ascii="宋体" w:hAnsi="宋体" w:cs="宋体"/>
          <w:b/>
          <w:bCs/>
          <w:color w:val="auto"/>
          <w:szCs w:val="21"/>
          <w:highlight w:val="none"/>
        </w:rPr>
      </w:pPr>
      <w:bookmarkStart w:id="65" w:name="_Hlk45702405"/>
      <w:r>
        <w:rPr>
          <w:rFonts w:hint="eastAsia" w:ascii="宋体" w:hAnsi="宋体" w:cs="宋体"/>
          <w:b/>
          <w:bCs/>
          <w:color w:val="auto"/>
          <w:szCs w:val="21"/>
          <w:highlight w:val="none"/>
        </w:rPr>
        <w:t>22.首次响应文件的退回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23.截止时间后的撤回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供应商在首次响应文件提交截止时间后可向采购人、采购代理机构书面申请撤回电子响应文件。</w:t>
      </w:r>
      <w:bookmarkEnd w:id="65"/>
    </w:p>
    <w:p>
      <w:pPr>
        <w:spacing w:line="360" w:lineRule="auto"/>
        <w:ind w:firstLine="562" w:firstLineChars="200"/>
        <w:outlineLvl w:val="2"/>
        <w:rPr>
          <w:rFonts w:ascii="宋体" w:hAnsi="宋体" w:cs="宋体"/>
          <w:b/>
          <w:bCs/>
          <w:color w:val="auto"/>
          <w:sz w:val="28"/>
          <w:szCs w:val="28"/>
          <w:highlight w:val="none"/>
        </w:rPr>
      </w:pPr>
      <w:bookmarkStart w:id="66" w:name="_Toc16919"/>
      <w:r>
        <w:rPr>
          <w:rFonts w:hint="eastAsia" w:ascii="宋体" w:hAnsi="宋体" w:cs="宋体"/>
          <w:b/>
          <w:bCs/>
          <w:color w:val="auto"/>
          <w:sz w:val="28"/>
          <w:szCs w:val="28"/>
          <w:highlight w:val="none"/>
        </w:rPr>
        <w:t>四、评审及磋商</w:t>
      </w:r>
      <w:bookmarkEnd w:id="66"/>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24.磋商小组成立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25.首次响应文件的开启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pPr>
        <w:pStyle w:val="18"/>
        <w:spacing w:line="360" w:lineRule="auto"/>
        <w:ind w:firstLine="420" w:firstLineChars="200"/>
        <w:rPr>
          <w:rFonts w:hAnsi="宋体" w:cs="宋体"/>
          <w:bCs/>
          <w:color w:val="auto"/>
          <w:kern w:val="2"/>
          <w:sz w:val="21"/>
          <w:highlight w:val="none"/>
        </w:rPr>
      </w:pPr>
      <w:r>
        <w:rPr>
          <w:rFonts w:hint="eastAsia" w:hAnsi="宋体" w:cs="宋体"/>
          <w:color w:val="auto"/>
          <w:kern w:val="2"/>
          <w:sz w:val="21"/>
          <w:highlight w:val="none"/>
        </w:rPr>
        <w:t xml:space="preserve">25.2 </w:t>
      </w:r>
      <w:r>
        <w:rPr>
          <w:rFonts w:hint="eastAsia" w:hAnsi="宋体" w:cs="宋体"/>
          <w:bCs/>
          <w:color w:val="auto"/>
          <w:kern w:val="2"/>
          <w:sz w:val="21"/>
          <w:highlight w:val="none"/>
        </w:rPr>
        <w:t>响应文件解密</w:t>
      </w:r>
    </w:p>
    <w:p>
      <w:pPr>
        <w:pStyle w:val="18"/>
        <w:spacing w:line="360" w:lineRule="auto"/>
        <w:ind w:firstLine="420" w:firstLineChars="200"/>
        <w:rPr>
          <w:rFonts w:hAnsi="宋体" w:cs="宋体"/>
          <w:color w:val="auto"/>
          <w:kern w:val="2"/>
          <w:sz w:val="21"/>
          <w:highlight w:val="none"/>
        </w:rPr>
      </w:pPr>
      <w:r>
        <w:rPr>
          <w:rFonts w:hint="eastAsia" w:hAnsi="宋体" w:cs="宋体"/>
          <w:bCs/>
          <w:color w:val="auto"/>
          <w:kern w:val="2"/>
          <w:sz w:val="21"/>
          <w:highlight w:val="none"/>
        </w:rPr>
        <w:t>采购代理机构将在“供应商须知前附表”规定的时</w:t>
      </w:r>
      <w:r>
        <w:rPr>
          <w:rFonts w:hint="eastAsia" w:hAnsi="宋体" w:cs="宋体"/>
          <w:color w:val="auto"/>
          <w:kern w:val="2"/>
          <w:sz w:val="21"/>
          <w:highlight w:val="none"/>
        </w:rPr>
        <w:t>间通过电子交易平台组织响应文件开启，采购机构依托电子交易平台发起开始解密指令，供应商的法定代表人或其委托代理人</w:t>
      </w:r>
      <w:r>
        <w:rPr>
          <w:rFonts w:hint="eastAsia" w:hAnsi="宋体" w:cs="宋体"/>
          <w:b/>
          <w:color w:val="auto"/>
          <w:kern w:val="2"/>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kern w:val="2"/>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kern w:val="2"/>
          <w:sz w:val="21"/>
          <w:highlight w:val="none"/>
        </w:rPr>
        <w:t>视为响应文件无效。</w:t>
      </w:r>
      <w:r>
        <w:rPr>
          <w:rFonts w:hint="eastAsia" w:hAnsi="宋体" w:cs="宋体"/>
          <w:color w:val="auto"/>
          <w:kern w:val="2"/>
          <w:sz w:val="21"/>
          <w:highlight w:val="none"/>
        </w:rPr>
        <w:t>（解密</w:t>
      </w:r>
      <w:r>
        <w:rPr>
          <w:rFonts w:hint="eastAsia" w:hAnsi="宋体" w:cs="宋体"/>
          <w:bCs/>
          <w:color w:val="auto"/>
          <w:kern w:val="2"/>
          <w:sz w:val="21"/>
          <w:highlight w:val="none"/>
        </w:rPr>
        <w:t>异常情况处理：详见本章</w:t>
      </w:r>
      <w:r>
        <w:rPr>
          <w:rFonts w:hint="eastAsia" w:hAnsi="宋体" w:cs="宋体"/>
          <w:color w:val="auto"/>
          <w:kern w:val="2"/>
          <w:sz w:val="21"/>
          <w:highlight w:val="none"/>
        </w:rPr>
        <w:t>26.3电子交易活动的中止。）</w:t>
      </w:r>
    </w:p>
    <w:p>
      <w:pPr>
        <w:pStyle w:val="18"/>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如</w:t>
      </w:r>
      <w:r>
        <w:rPr>
          <w:rFonts w:hint="eastAsia" w:hAnsi="宋体" w:cs="宋体"/>
          <w:bCs/>
          <w:color w:val="auto"/>
          <w:kern w:val="2"/>
          <w:sz w:val="21"/>
          <w:highlight w:val="none"/>
        </w:rPr>
        <w:t>供应商成功解密响应文件，但未在“政采云”电子开标大厅参加谈判的，视同认可磋商过程和结果，</w:t>
      </w:r>
      <w:r>
        <w:rPr>
          <w:rFonts w:hint="eastAsia" w:hAnsi="宋体" w:cs="宋体"/>
          <w:color w:val="auto"/>
          <w:kern w:val="2"/>
          <w:sz w:val="21"/>
          <w:highlight w:val="none"/>
        </w:rPr>
        <w:t>由此产生的后果由供应商自行负责。参与</w:t>
      </w:r>
      <w:r>
        <w:rPr>
          <w:rFonts w:hint="eastAsia" w:hAnsi="宋体" w:cs="宋体"/>
          <w:bCs/>
          <w:color w:val="auto"/>
          <w:kern w:val="2"/>
          <w:sz w:val="21"/>
          <w:highlight w:val="none"/>
        </w:rPr>
        <w:t>磋商</w:t>
      </w:r>
      <w:r>
        <w:rPr>
          <w:rFonts w:hint="eastAsia" w:hAnsi="宋体" w:cs="宋体"/>
          <w:color w:val="auto"/>
          <w:kern w:val="2"/>
          <w:sz w:val="21"/>
          <w:highlight w:val="none"/>
        </w:rPr>
        <w:t>的供应商不足3家的，不得</w:t>
      </w:r>
      <w:r>
        <w:rPr>
          <w:rFonts w:hint="eastAsia" w:hAnsi="宋体" w:cs="宋体"/>
          <w:bCs/>
          <w:color w:val="auto"/>
          <w:kern w:val="2"/>
          <w:sz w:val="21"/>
          <w:highlight w:val="none"/>
        </w:rPr>
        <w:t>磋商</w:t>
      </w:r>
      <w:r>
        <w:rPr>
          <w:rFonts w:hint="eastAsia" w:hAnsi="宋体" w:cs="宋体"/>
          <w:color w:val="auto"/>
          <w:kern w:val="2"/>
          <w:sz w:val="21"/>
          <w:highlight w:val="none"/>
        </w:rPr>
        <w:t>。</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26.评审程序、评审方法和评审标准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26.1磋商小组按照“第六章 评审程序、评审方法和评审标准”规定的方法、评审因素、标准和程序对响应文件进行评审。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26.2负偏离要求及磋商顺序详见“供应商须知前附表”。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（5）其他无法保证电子交易的公平、公正和安全的情况。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spacing w:line="360" w:lineRule="auto"/>
        <w:ind w:firstLine="562" w:firstLineChars="200"/>
        <w:outlineLvl w:val="2"/>
        <w:rPr>
          <w:rFonts w:ascii="宋体" w:hAnsi="宋体" w:cs="宋体"/>
          <w:b/>
          <w:bCs/>
          <w:color w:val="auto"/>
          <w:sz w:val="28"/>
          <w:szCs w:val="28"/>
          <w:highlight w:val="none"/>
        </w:rPr>
      </w:pPr>
      <w:bookmarkStart w:id="67" w:name="_Toc18284"/>
      <w:r>
        <w:rPr>
          <w:rFonts w:hint="eastAsia" w:ascii="宋体" w:hAnsi="宋体" w:cs="宋体"/>
          <w:b/>
          <w:bCs/>
          <w:color w:val="auto"/>
          <w:sz w:val="28"/>
          <w:szCs w:val="28"/>
          <w:highlight w:val="none"/>
        </w:rPr>
        <w:t>五、成交及合同</w:t>
      </w:r>
      <w:bookmarkEnd w:id="67"/>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27.2成交通知及成交结果公告。成交供应商确定后2个工作日内，在省级以上财政部门指定的媒体上公告成交结果，同时向成交供应商发出成交通知书，</w:t>
      </w:r>
      <w:r>
        <w:rPr>
          <w:rFonts w:hint="eastAsia" w:ascii="宋体" w:hAnsi="宋体" w:cs="宋体"/>
          <w:b/>
          <w:bCs/>
          <w:color w:val="auto"/>
          <w:szCs w:val="21"/>
          <w:highlight w:val="none"/>
          <w:u w:val="single"/>
        </w:rPr>
        <w:t>成交通知书规定签订合同的时间不得超过15日</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名单、严重失信主体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28.履约保证金</w:t>
      </w:r>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详见“供应商须知前附表”</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29.签订合同</w:t>
      </w:r>
    </w:p>
    <w:p>
      <w:pPr>
        <w:pStyle w:val="78"/>
        <w:spacing w:before="0"/>
        <w:ind w:firstLine="420"/>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kern w:val="2"/>
          <w:sz w:val="21"/>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pPr>
        <w:pStyle w:val="78"/>
        <w:spacing w:before="0"/>
        <w:ind w:firstLine="420"/>
        <w:rPr>
          <w:rFonts w:ascii="宋体" w:hAnsi="宋体" w:cs="宋体"/>
          <w:color w:val="auto"/>
          <w:kern w:val="2"/>
          <w:sz w:val="21"/>
          <w:szCs w:val="21"/>
          <w:highlight w:val="none"/>
        </w:rPr>
      </w:pPr>
      <w:r>
        <w:rPr>
          <w:rFonts w:hint="eastAsia" w:ascii="宋体" w:hAnsi="宋体" w:cs="宋体"/>
          <w:color w:val="auto"/>
          <w:kern w:val="2"/>
          <w:sz w:val="21"/>
          <w:szCs w:val="21"/>
          <w:highlight w:val="none"/>
        </w:rPr>
        <w:t>29.5采购合同由采购人与成交供应商根据磋商文件、响应文件等内容签订，签订须携带的材料见“ 供应商须知前附表”。</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30.政府采购合同公告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采购人或者受托采购代理机构应当自政府采购合同签订之日起2个工作日内，将政府采购合同</w:t>
      </w:r>
      <w:r>
        <w:rPr>
          <w:rFonts w:hint="eastAsia" w:ascii="宋体" w:hAnsi="宋体" w:cs="宋体"/>
          <w:bCs/>
          <w:color w:val="auto"/>
          <w:szCs w:val="21"/>
          <w:highlight w:val="none"/>
        </w:rPr>
        <w:t>在以下媒体上发布：</w:t>
      </w:r>
      <w:r>
        <w:rPr>
          <w:rFonts w:hint="eastAsia" w:ascii="宋体" w:hAnsi="宋体" w:cs="宋体"/>
          <w:color w:val="auto"/>
          <w:szCs w:val="21"/>
          <w:highlight w:val="none"/>
        </w:rPr>
        <w:t>广西壮族自治区政府采购网（zfcg.gxzf.gov.cn）、梧州市政府采购网（http：//117.141.250.58：10030/web/cgw/index.ptl）上公告，但政府采购合同中涉及国家秘密、商业秘密的内容除外。</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31.询问、质疑和投诉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b/>
          <w:color w:val="auto"/>
          <w:szCs w:val="21"/>
          <w:highlight w:val="none"/>
        </w:rPr>
        <w:t xml:space="preserve">具体质疑起算时间及处理方式如下：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szCs w:val="21"/>
          <w:highlight w:val="none"/>
        </w:rPr>
        <w:t>委托代理协议无特殊约定的，</w:t>
      </w:r>
      <w:r>
        <w:rPr>
          <w:rFonts w:hint="eastAsia" w:ascii="宋体" w:hAnsi="宋体" w:cs="宋体"/>
          <w:bCs/>
          <w:color w:val="auto"/>
          <w:szCs w:val="21"/>
          <w:highlight w:val="none"/>
        </w:rPr>
        <w:t>对竞争性磋商文件中</w:t>
      </w:r>
      <w:r>
        <w:rPr>
          <w:rFonts w:hint="eastAsia" w:ascii="宋体" w:hAnsi="宋体" w:cs="宋体"/>
          <w:color w:val="auto"/>
          <w:szCs w:val="21"/>
          <w:highlight w:val="none"/>
        </w:rPr>
        <w:t>采购需求</w:t>
      </w:r>
      <w:r>
        <w:rPr>
          <w:rFonts w:hint="eastAsia" w:ascii="宋体" w:hAnsi="宋体" w:cs="宋体"/>
          <w:bCs/>
          <w:color w:val="auto"/>
          <w:szCs w:val="21"/>
          <w:highlight w:val="none"/>
        </w:rPr>
        <w:t>（含资格要求、采购预算和评分办法）的质疑由采购人受理并负责答复；对竞争性磋商文件中的采购执行程序的质疑由采购代理机构受理并负责答复。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（2）质疑项目的名称、编号；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（4）事实依据；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（5）必要的法律依据；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（6）提出质疑的日期。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pPr>
        <w:spacing w:line="360" w:lineRule="auto"/>
        <w:ind w:firstLine="562" w:firstLineChars="200"/>
        <w:outlineLvl w:val="2"/>
        <w:rPr>
          <w:rFonts w:ascii="宋体" w:hAnsi="宋体" w:cs="宋体"/>
          <w:b/>
          <w:bCs/>
          <w:color w:val="auto"/>
          <w:sz w:val="28"/>
          <w:szCs w:val="28"/>
          <w:highlight w:val="none"/>
        </w:rPr>
      </w:pPr>
      <w:bookmarkStart w:id="69" w:name="_Toc7683"/>
      <w:r>
        <w:rPr>
          <w:rFonts w:hint="eastAsia" w:ascii="宋体" w:hAnsi="宋体" w:cs="宋体"/>
          <w:b/>
          <w:bCs/>
          <w:color w:val="auto"/>
          <w:sz w:val="28"/>
          <w:szCs w:val="28"/>
          <w:highlight w:val="none"/>
        </w:rPr>
        <w:t>六、验收</w:t>
      </w:r>
      <w:bookmarkEnd w:id="68"/>
      <w:bookmarkEnd w:id="69"/>
    </w:p>
    <w:p>
      <w:pPr>
        <w:tabs>
          <w:tab w:val="left" w:pos="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32.验收</w:t>
      </w:r>
    </w:p>
    <w:p>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pacing w:line="360" w:lineRule="auto"/>
        <w:ind w:firstLine="562" w:firstLineChars="200"/>
        <w:outlineLvl w:val="2"/>
        <w:rPr>
          <w:rFonts w:ascii="宋体" w:hAnsi="宋体" w:cs="宋体"/>
          <w:b/>
          <w:bCs/>
          <w:color w:val="auto"/>
          <w:sz w:val="28"/>
          <w:szCs w:val="28"/>
          <w:highlight w:val="none"/>
        </w:rPr>
      </w:pPr>
      <w:bookmarkStart w:id="70" w:name="_Toc5991"/>
      <w:r>
        <w:rPr>
          <w:rFonts w:hint="eastAsia" w:ascii="宋体" w:hAnsi="宋体" w:cs="宋体"/>
          <w:b/>
          <w:bCs/>
          <w:color w:val="auto"/>
          <w:sz w:val="28"/>
          <w:szCs w:val="28"/>
          <w:highlight w:val="none"/>
        </w:rPr>
        <w:t>七、其他事项</w:t>
      </w:r>
      <w:bookmarkEnd w:id="70"/>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33.代理服务费</w:t>
      </w:r>
    </w:p>
    <w:p>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34.需要补充的其他内容</w:t>
      </w:r>
    </w:p>
    <w:p>
      <w:pPr>
        <w:pStyle w:val="18"/>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pPr>
        <w:pStyle w:val="18"/>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34.2 其他事项详见“供应商须知前附表”。</w:t>
      </w:r>
    </w:p>
    <w:p>
      <w:pPr>
        <w:pStyle w:val="18"/>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pPr>
        <w:pStyle w:val="18"/>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pPr>
        <w:pStyle w:val="18"/>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pPr>
        <w:widowControl/>
        <w:spacing w:line="360" w:lineRule="auto"/>
        <w:jc w:val="left"/>
        <w:rPr>
          <w:rFonts w:ascii="宋体" w:hAnsi="宋体"/>
          <w:color w:val="auto"/>
          <w:highlight w:val="none"/>
        </w:rPr>
      </w:pPr>
      <w:r>
        <w:rPr>
          <w:rFonts w:ascii="宋体" w:hAnsi="宋体"/>
          <w:color w:val="auto"/>
          <w:highlight w:val="none"/>
        </w:rPr>
        <w:br w:type="page"/>
      </w:r>
    </w:p>
    <w:p>
      <w:pPr>
        <w:pStyle w:val="13"/>
        <w:rPr>
          <w:rFonts w:ascii="宋体" w:hAnsi="宋体"/>
          <w:color w:val="auto"/>
          <w:highlight w:val="none"/>
        </w:rPr>
      </w:pPr>
    </w:p>
    <w:p>
      <w:pPr>
        <w:pStyle w:val="2"/>
        <w:spacing w:before="0" w:after="0" w:line="360" w:lineRule="auto"/>
        <w:jc w:val="center"/>
        <w:rPr>
          <w:rFonts w:ascii="宋体" w:hAnsi="宋体" w:cs="宋体"/>
          <w:bCs w:val="0"/>
          <w:color w:val="auto"/>
          <w:kern w:val="2"/>
          <w:sz w:val="32"/>
          <w:szCs w:val="32"/>
          <w:highlight w:val="none"/>
        </w:rPr>
      </w:pPr>
      <w:bookmarkStart w:id="71" w:name="_Toc24815"/>
      <w:r>
        <w:rPr>
          <w:rFonts w:hint="eastAsia" w:ascii="宋体" w:hAnsi="宋体" w:cs="宋体"/>
          <w:bCs w:val="0"/>
          <w:color w:val="auto"/>
          <w:kern w:val="2"/>
          <w:sz w:val="32"/>
          <w:szCs w:val="32"/>
          <w:highlight w:val="none"/>
        </w:rPr>
        <w:t>第三章 采购需求</w:t>
      </w:r>
      <w:bookmarkEnd w:id="71"/>
    </w:p>
    <w:p>
      <w:pPr>
        <w:spacing w:line="360" w:lineRule="auto"/>
        <w:ind w:firstLine="482" w:firstLineChars="200"/>
        <w:rPr>
          <w:rFonts w:ascii="宋体" w:hAnsi="宋体" w:cs="宋体"/>
          <w:b/>
          <w:bCs/>
          <w:color w:val="auto"/>
          <w:sz w:val="24"/>
          <w:highlight w:val="none"/>
        </w:rPr>
      </w:pPr>
      <w:bookmarkStart w:id="72" w:name="_Toc1789"/>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w:t>
      </w:r>
      <w:bookmarkEnd w:id="72"/>
      <w:bookmarkStart w:id="73" w:name="_Toc24484"/>
      <w:r>
        <w:rPr>
          <w:rFonts w:hint="eastAsia" w:ascii="宋体" w:hAnsi="宋体" w:cs="宋体"/>
          <w:b/>
          <w:bCs/>
          <w:color w:val="auto"/>
          <w:sz w:val="24"/>
          <w:highlight w:val="none"/>
        </w:rPr>
        <w:t>建设内容及规模：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（一）工程名称：</w:t>
      </w:r>
      <w:r>
        <w:rPr>
          <w:rFonts w:hint="eastAsia" w:ascii="宋体" w:hAnsi="宋体" w:cs="宋体"/>
          <w:color w:val="auto"/>
          <w:sz w:val="24"/>
          <w:highlight w:val="none"/>
          <w:lang w:val="en-US" w:eastAsia="zh-CN"/>
        </w:rPr>
        <w:t>六堡茶种质资源圃建设项目</w:t>
      </w:r>
      <w:r>
        <w:rPr>
          <w:rFonts w:hint="eastAsia" w:ascii="宋体" w:hAnsi="宋体" w:cs="宋体"/>
          <w:color w:val="auto"/>
          <w:sz w:val="24"/>
          <w:highlight w:val="none"/>
        </w:rPr>
        <w:t>。</w:t>
      </w:r>
    </w:p>
    <w:p>
      <w:pPr>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（二）建设单位：梧州市长洲区农业农村局</w:t>
      </w:r>
      <w:r>
        <w:rPr>
          <w:rFonts w:hint="eastAsia" w:ascii="宋体" w:hAnsi="宋体" w:cs="宋体"/>
          <w:color w:val="auto"/>
          <w:sz w:val="24"/>
          <w:highlight w:val="none"/>
          <w:lang w:val="en-US" w:eastAsia="zh-CN"/>
        </w:rPr>
        <w:t xml:space="preserve">              </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eastAsia="zh-CN"/>
        </w:rPr>
        <w:t>三</w:t>
      </w:r>
      <w:r>
        <w:rPr>
          <w:rFonts w:hint="eastAsia" w:ascii="宋体" w:hAnsi="宋体" w:cs="宋体"/>
          <w:color w:val="auto"/>
          <w:sz w:val="24"/>
          <w:highlight w:val="none"/>
        </w:rPr>
        <w:t>）建设地点：</w:t>
      </w:r>
      <w:r>
        <w:rPr>
          <w:rFonts w:hint="eastAsia" w:ascii="宋体" w:hAnsi="宋体" w:cs="宋体"/>
          <w:color w:val="auto"/>
          <w:sz w:val="24"/>
          <w:highlight w:val="none"/>
          <w:lang w:val="en-US" w:eastAsia="zh-CN"/>
        </w:rPr>
        <w:t>梧州市长洲区</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eastAsia="zh-CN"/>
        </w:rPr>
        <w:t>四</w:t>
      </w:r>
      <w:r>
        <w:rPr>
          <w:rFonts w:hint="eastAsia" w:ascii="宋体" w:hAnsi="宋体" w:cs="宋体"/>
          <w:color w:val="auto"/>
          <w:sz w:val="24"/>
          <w:highlight w:val="none"/>
        </w:rPr>
        <w:t>）资金来源：财政资金。</w:t>
      </w:r>
    </w:p>
    <w:p>
      <w:pPr>
        <w:widowControl/>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五</w:t>
      </w:r>
      <w:r>
        <w:rPr>
          <w:rFonts w:hint="eastAsia" w:ascii="宋体" w:hAnsi="宋体" w:cs="宋体"/>
          <w:color w:val="auto"/>
          <w:sz w:val="24"/>
          <w:highlight w:val="none"/>
        </w:rPr>
        <w:t>）项目主要内容包括:</w:t>
      </w:r>
      <w:r>
        <w:rPr>
          <w:rFonts w:hint="eastAsia" w:hAnsi="宋体"/>
          <w:bCs/>
          <w:color w:val="000000" w:themeColor="text1"/>
          <w:sz w:val="24"/>
          <w:highlight w:val="none"/>
          <w:lang w:eastAsia="zh-CN"/>
          <w14:textFill>
            <w14:solidFill>
              <w14:schemeClr w14:val="tx1"/>
            </w14:solidFill>
          </w14:textFill>
        </w:rPr>
        <w:t>1.建设100亩六堡茶种质资源圃及建设60亩茶树良种繁育基地。 2.采购就安装智能化水肥一体化设备，包括配备精准灌溉、精准施肥等智能化设备以及安装实时监控系统、太阳能供电系统等；在茶树良种繁育基地搭建100平方米的育苗温室，配套棚架、遮阳网系统、环境控制系统、自动喷淋设备等建设内容。</w:t>
      </w:r>
      <w:r>
        <w:rPr>
          <w:rFonts w:hint="eastAsia" w:ascii="宋体" w:hAnsi="宋体" w:cs="宋体"/>
          <w:color w:val="auto"/>
          <w:sz w:val="24"/>
          <w:highlight w:val="none"/>
        </w:rPr>
        <w:t>具体按施工图纸、工程量清单、竞争性磋商文件及相关补充通知的全部内容。</w:t>
      </w:r>
    </w:p>
    <w:p>
      <w:pPr>
        <w:widowControl/>
        <w:adjustRightInd w:val="0"/>
        <w:spacing w:line="360" w:lineRule="auto"/>
        <w:ind w:firstLine="480" w:firstLineChars="200"/>
        <w:jc w:val="left"/>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eastAsia="zh-CN"/>
        </w:rPr>
        <w:t>六</w:t>
      </w:r>
      <w:r>
        <w:rPr>
          <w:rFonts w:hint="eastAsia" w:ascii="宋体" w:hAnsi="宋体" w:cs="宋体"/>
          <w:color w:val="auto"/>
          <w:sz w:val="24"/>
          <w:highlight w:val="none"/>
        </w:rPr>
        <w:t>）招标控制价：</w:t>
      </w:r>
      <w:r>
        <w:rPr>
          <w:rFonts w:hint="eastAsia" w:ascii="宋体" w:hAnsi="宋体" w:cs="宋体"/>
          <w:color w:val="auto"/>
          <w:sz w:val="24"/>
          <w:highlight w:val="none"/>
          <w:lang w:eastAsia="zh-CN"/>
        </w:rPr>
        <w:t>3000004.72</w:t>
      </w:r>
      <w:r>
        <w:rPr>
          <w:rFonts w:hint="eastAsia" w:ascii="宋体" w:hAnsi="宋体" w:cs="宋体"/>
          <w:color w:val="auto"/>
          <w:sz w:val="24"/>
          <w:highlight w:val="none"/>
          <w:lang w:val="en-US" w:eastAsia="zh-CN"/>
        </w:rPr>
        <w:t>元</w:t>
      </w:r>
    </w:p>
    <w:p>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w:t>
      </w:r>
      <w:r>
        <w:rPr>
          <w:rFonts w:hint="eastAsia" w:ascii="宋体" w:hAnsi="宋体" w:cs="宋体"/>
          <w:color w:val="auto"/>
          <w:sz w:val="24"/>
          <w:highlight w:val="none"/>
          <w:lang w:eastAsia="zh-CN"/>
        </w:rPr>
        <w:t>七</w:t>
      </w:r>
      <w:r>
        <w:rPr>
          <w:rFonts w:hint="eastAsia" w:ascii="宋体" w:hAnsi="宋体" w:cs="宋体"/>
          <w:color w:val="auto"/>
          <w:sz w:val="24"/>
          <w:highlight w:val="none"/>
        </w:rPr>
        <w:t>）合同履行期限：</w:t>
      </w:r>
      <w:r>
        <w:rPr>
          <w:rFonts w:hint="eastAsia" w:ascii="宋体" w:hAnsi="宋体" w:cs="宋体"/>
          <w:color w:val="auto"/>
          <w:sz w:val="24"/>
          <w:highlight w:val="none"/>
          <w:lang w:bidi="zh-CN"/>
        </w:rPr>
        <w:t>工期</w:t>
      </w:r>
      <w:r>
        <w:rPr>
          <w:rFonts w:hint="eastAsia" w:ascii="宋体" w:hAnsi="宋体" w:cs="宋体"/>
          <w:color w:val="auto"/>
          <w:sz w:val="24"/>
          <w:highlight w:val="none"/>
          <w:lang w:val="en-US" w:bidi="zh-CN"/>
        </w:rPr>
        <w:t>90</w:t>
      </w:r>
      <w:r>
        <w:rPr>
          <w:rFonts w:hint="eastAsia" w:ascii="宋体" w:hAnsi="宋体" w:cs="宋体"/>
          <w:color w:val="auto"/>
          <w:sz w:val="24"/>
          <w:highlight w:val="none"/>
          <w:lang w:bidi="zh-CN"/>
        </w:rPr>
        <w:t>日历天</w:t>
      </w:r>
      <w:r>
        <w:rPr>
          <w:rFonts w:hint="eastAsia" w:ascii="宋体" w:hAnsi="宋体" w:cs="宋体"/>
          <w:color w:val="auto"/>
          <w:sz w:val="24"/>
          <w:highlight w:val="none"/>
        </w:rPr>
        <w:t>。</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eastAsia="zh-CN"/>
        </w:rPr>
        <w:t>二</w:t>
      </w:r>
      <w:r>
        <w:rPr>
          <w:rFonts w:hint="eastAsia" w:ascii="宋体" w:hAnsi="宋体" w:cs="宋体"/>
          <w:b/>
          <w:bCs/>
          <w:color w:val="auto"/>
          <w:sz w:val="24"/>
          <w:highlight w:val="none"/>
        </w:rPr>
        <w:t>、项目质量等级</w:t>
      </w:r>
      <w:bookmarkEnd w:id="7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满足国家现行与本项目相应的施工竣工验收规范之“合格”标准。</w:t>
      </w:r>
    </w:p>
    <w:p>
      <w:pPr>
        <w:spacing w:line="360" w:lineRule="auto"/>
        <w:ind w:firstLine="482" w:firstLineChars="200"/>
        <w:rPr>
          <w:rFonts w:ascii="宋体" w:hAnsi="宋体" w:cs="宋体"/>
          <w:b/>
          <w:bCs/>
          <w:color w:val="auto"/>
          <w:sz w:val="24"/>
          <w:highlight w:val="none"/>
        </w:rPr>
      </w:pPr>
      <w:bookmarkStart w:id="74" w:name="_Toc32651"/>
      <w:r>
        <w:rPr>
          <w:rFonts w:hint="eastAsia" w:ascii="宋体" w:hAnsi="宋体" w:cs="宋体"/>
          <w:b/>
          <w:bCs/>
          <w:color w:val="auto"/>
          <w:sz w:val="24"/>
          <w:highlight w:val="none"/>
          <w:lang w:eastAsia="zh-CN"/>
        </w:rPr>
        <w:t>三</w:t>
      </w:r>
      <w:r>
        <w:rPr>
          <w:rFonts w:hint="eastAsia" w:ascii="宋体" w:hAnsi="宋体" w:cs="宋体"/>
          <w:b/>
          <w:bCs/>
          <w:color w:val="auto"/>
          <w:sz w:val="24"/>
          <w:highlight w:val="none"/>
        </w:rPr>
        <w:t>、合同履行期限</w:t>
      </w:r>
      <w:bookmarkEnd w:id="74"/>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总工期</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个日历天。</w:t>
      </w:r>
    </w:p>
    <w:p>
      <w:pPr>
        <w:spacing w:line="360" w:lineRule="auto"/>
        <w:ind w:firstLine="482" w:firstLineChars="20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四、承包方式</w:t>
      </w:r>
    </w:p>
    <w:p>
      <w:pPr>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lang w:eastAsia="zh-CN"/>
        </w:rPr>
        <w:t>本工程采用固定总价</w:t>
      </w:r>
      <w:r>
        <w:rPr>
          <w:rFonts w:hint="eastAsia" w:ascii="宋体" w:hAnsi="宋体" w:cs="宋体"/>
          <w:b/>
          <w:bCs/>
          <w:color w:val="auto"/>
          <w:sz w:val="24"/>
          <w:highlight w:val="none"/>
          <w:lang w:eastAsia="zh-CN"/>
        </w:rPr>
        <w:t>。</w:t>
      </w:r>
    </w:p>
    <w:p>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rPr>
        <w:t>五、付款方式</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预付款支付比例或金额:甲方向乙方支付合同总金额的 30%作为项目预付款【备注:政府投资项目应严格执行工程预付款制度，工程预付款应不低于合同总价(扣除暂列金额)的10%(最高不超过30%，并与工程进度款分期按约定比例抵扣)】</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进度款支付方式:合同内乙方可按工程计量周期（30个日历日）内完成工程量（需先扣除预付款等额工程量，既申请进度款工程量=实际完成工程量-预付款等额工程量）的80%向甲方申请支付进度款；在项目竣工验收并完成财政结算评审后，乙方按财政结算审核造价总额的3%预留工程质量保修金，双方约定由乙方将工程质量保证金（工程质量保证金=工程结算造价审核总额×3%）存入甲方指定专户，待甲方确认到账后，乙方可向甲方申请支付财政结算审核造价剩余全部工程款，工程质量保证金则暂存甲方指定专户，待工程质保期满后由乙方按相关程序向甲方申请返还，工程质保期为一年。</w:t>
      </w:r>
    </w:p>
    <w:p>
      <w:pPr>
        <w:spacing w:line="360" w:lineRule="auto"/>
        <w:ind w:firstLine="482" w:firstLineChars="200"/>
        <w:rPr>
          <w:rFonts w:hint="default" w:ascii="宋体" w:hAnsi="宋体" w:cs="宋体"/>
          <w:color w:val="auto"/>
          <w:sz w:val="24"/>
          <w:highlight w:val="none"/>
          <w:lang w:val="en-US"/>
        </w:rPr>
      </w:pPr>
      <w:r>
        <w:rPr>
          <w:rFonts w:hint="eastAsia" w:ascii="宋体" w:hAnsi="宋体" w:cs="宋体"/>
          <w:b/>
          <w:bCs/>
          <w:color w:val="auto"/>
          <w:sz w:val="24"/>
          <w:highlight w:val="none"/>
          <w:lang w:eastAsia="zh-CN"/>
        </w:rPr>
        <w:t>六、安全生产责任保险费</w:t>
      </w:r>
      <w:r>
        <w:rPr>
          <w:rFonts w:hint="eastAsia" w:ascii="宋体" w:hAnsi="宋体" w:cs="宋体"/>
          <w:b/>
          <w:bCs/>
          <w:color w:val="auto"/>
          <w:sz w:val="24"/>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安全生产责任保险费按分部分项工程费及措施项目费（含单价及总价措施项目费）为计算基数乘以0.2%计入暂估价，工程结算时，由发承包双方根据工程实际情况确认的安全生产责任保险费计入工程造价。</w:t>
      </w:r>
    </w:p>
    <w:p>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eastAsia="zh-CN"/>
        </w:rPr>
        <w:t xml:space="preserve">七、所属行业 </w:t>
      </w:r>
    </w:p>
    <w:p>
      <w:pPr>
        <w:pStyle w:val="18"/>
        <w:spacing w:line="360" w:lineRule="auto"/>
        <w:ind w:firstLine="480" w:firstLineChars="200"/>
        <w:rPr>
          <w:rFonts w:hint="eastAsia" w:hAnsi="宋体" w:cs="宋体"/>
          <w:sz w:val="24"/>
          <w:szCs w:val="24"/>
          <w:highlight w:val="none"/>
        </w:rPr>
      </w:pPr>
      <w:r>
        <w:rPr>
          <w:rFonts w:hint="eastAsia" w:hAnsi="宋体" w:cs="宋体"/>
          <w:sz w:val="24"/>
          <w:szCs w:val="24"/>
          <w:highlight w:val="none"/>
        </w:rPr>
        <w:t>依照《中小企业划型标准规定》（工信部联企业〔2011〕300 号）及《国民经济行业分类》（GB/T 4754—2017）的有关规定执行，本项目所属行业为</w:t>
      </w:r>
      <w:r>
        <w:rPr>
          <w:rFonts w:hint="eastAsia" w:hAnsi="宋体" w:cs="宋体"/>
          <w:b/>
          <w:bCs/>
          <w:sz w:val="24"/>
          <w:szCs w:val="24"/>
          <w:highlight w:val="none"/>
        </w:rPr>
        <w:t>建筑业</w:t>
      </w:r>
      <w:r>
        <w:rPr>
          <w:rFonts w:hint="eastAsia" w:hAnsi="宋体" w:cs="宋体"/>
          <w:sz w:val="24"/>
          <w:szCs w:val="24"/>
          <w:highlight w:val="none"/>
        </w:rPr>
        <w:t>。</w:t>
      </w:r>
    </w:p>
    <w:p>
      <w:pPr>
        <w:pStyle w:val="18"/>
        <w:jc w:val="left"/>
        <w:rPr>
          <w:rFonts w:hint="eastAsia" w:ascii="仿宋" w:hAnsi="仿宋" w:eastAsia="仿宋" w:cs="仿宋"/>
          <w:b/>
          <w:bCs/>
          <w:sz w:val="28"/>
          <w:szCs w:val="28"/>
          <w:highlight w:val="none"/>
        </w:rPr>
      </w:pPr>
    </w:p>
    <w:p>
      <w:pPr>
        <w:pStyle w:val="18"/>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附件1：</w:t>
      </w:r>
    </w:p>
    <w:p>
      <w:pPr>
        <w:pStyle w:val="18"/>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中小微企业划型标准</w:t>
      </w:r>
    </w:p>
    <w:p>
      <w:pPr>
        <w:pStyle w:val="18"/>
        <w:jc w:val="center"/>
        <w:rPr>
          <w:rFonts w:hint="eastAsia" w:ascii="宋体" w:hAnsi="宋体" w:eastAsia="宋体" w:cs="宋体"/>
          <w:b/>
          <w:bCs/>
          <w:color w:val="auto"/>
          <w:kern w:val="2"/>
          <w:sz w:val="24"/>
          <w:szCs w:val="24"/>
          <w:highlight w:val="none"/>
          <w:lang w:val="en-US" w:eastAsia="zh-CN" w:bidi="ar-SA"/>
        </w:rPr>
      </w:pPr>
    </w:p>
    <w:tbl>
      <w:tblPr>
        <w:tblStyle w:val="30"/>
        <w:tblW w:w="9567" w:type="dxa"/>
        <w:tblInd w:w="-109" w:type="dxa"/>
        <w:tblLayout w:type="fixed"/>
        <w:tblCellMar>
          <w:top w:w="0" w:type="dxa"/>
          <w:left w:w="108" w:type="dxa"/>
          <w:bottom w:w="0" w:type="dxa"/>
          <w:right w:w="108" w:type="dxa"/>
        </w:tblCellMar>
      </w:tblPr>
      <w:tblGrid>
        <w:gridCol w:w="1835"/>
        <w:gridCol w:w="2042"/>
        <w:gridCol w:w="876"/>
        <w:gridCol w:w="1896"/>
        <w:gridCol w:w="1751"/>
        <w:gridCol w:w="1167"/>
      </w:tblGrid>
      <w:tr>
        <w:tblPrEx>
          <w:tblCellMar>
            <w:top w:w="0" w:type="dxa"/>
            <w:left w:w="108" w:type="dxa"/>
            <w:bottom w:w="0" w:type="dxa"/>
            <w:right w:w="108" w:type="dxa"/>
          </w:tblCellMar>
        </w:tblPrEx>
        <w:trPr>
          <w:trHeight w:val="690" w:hRule="atLeast"/>
        </w:trPr>
        <w:tc>
          <w:tcPr>
            <w:tcW w:w="183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kern w:val="0"/>
                <w:sz w:val="24"/>
                <w:highlight w:val="none"/>
              </w:rPr>
            </w:pPr>
            <w:r>
              <w:rPr>
                <w:rFonts w:ascii="仿宋" w:hAnsi="仿宋" w:eastAsia="仿宋" w:cs="仿宋"/>
                <w:b/>
                <w:kern w:val="0"/>
                <w:sz w:val="24"/>
                <w:highlight w:val="none"/>
              </w:rPr>
              <w:t>行业名称</w:t>
            </w:r>
          </w:p>
        </w:tc>
        <w:tc>
          <w:tcPr>
            <w:tcW w:w="2042"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b/>
                <w:kern w:val="0"/>
                <w:sz w:val="24"/>
                <w:highlight w:val="none"/>
              </w:rPr>
            </w:pPr>
            <w:r>
              <w:rPr>
                <w:rFonts w:ascii="仿宋" w:hAnsi="仿宋" w:eastAsia="仿宋" w:cs="仿宋"/>
                <w:b/>
                <w:kern w:val="0"/>
                <w:sz w:val="24"/>
                <w:highlight w:val="none"/>
              </w:rPr>
              <w:t>指标名称</w:t>
            </w:r>
          </w:p>
        </w:tc>
        <w:tc>
          <w:tcPr>
            <w:tcW w:w="876"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b/>
                <w:kern w:val="0"/>
                <w:sz w:val="24"/>
                <w:highlight w:val="none"/>
              </w:rPr>
            </w:pPr>
            <w:r>
              <w:rPr>
                <w:rFonts w:ascii="仿宋" w:hAnsi="仿宋" w:eastAsia="仿宋" w:cs="仿宋"/>
                <w:b/>
                <w:kern w:val="0"/>
                <w:sz w:val="24"/>
                <w:highlight w:val="none"/>
              </w:rPr>
              <w:t>计量单位</w:t>
            </w:r>
          </w:p>
        </w:tc>
        <w:tc>
          <w:tcPr>
            <w:tcW w:w="1896"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b/>
                <w:kern w:val="0"/>
                <w:sz w:val="24"/>
                <w:highlight w:val="none"/>
              </w:rPr>
            </w:pPr>
            <w:r>
              <w:rPr>
                <w:rFonts w:ascii="仿宋" w:hAnsi="仿宋" w:eastAsia="仿宋" w:cs="仿宋"/>
                <w:b/>
                <w:kern w:val="0"/>
                <w:sz w:val="24"/>
                <w:highlight w:val="none"/>
              </w:rPr>
              <w:t>中型</w:t>
            </w:r>
          </w:p>
        </w:tc>
        <w:tc>
          <w:tcPr>
            <w:tcW w:w="1751"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b/>
                <w:kern w:val="0"/>
                <w:sz w:val="24"/>
                <w:highlight w:val="none"/>
              </w:rPr>
            </w:pPr>
            <w:r>
              <w:rPr>
                <w:rFonts w:ascii="仿宋" w:hAnsi="仿宋" w:eastAsia="仿宋" w:cs="仿宋"/>
                <w:b/>
                <w:kern w:val="0"/>
                <w:sz w:val="24"/>
                <w:highlight w:val="none"/>
              </w:rPr>
              <w:t>小型</w:t>
            </w:r>
          </w:p>
        </w:tc>
        <w:tc>
          <w:tcPr>
            <w:tcW w:w="116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b/>
                <w:kern w:val="0"/>
                <w:sz w:val="24"/>
                <w:highlight w:val="none"/>
              </w:rPr>
            </w:pPr>
            <w:r>
              <w:rPr>
                <w:rFonts w:ascii="仿宋" w:hAnsi="仿宋" w:eastAsia="仿宋" w:cs="仿宋"/>
                <w:b/>
                <w:kern w:val="0"/>
                <w:sz w:val="24"/>
                <w:highlight w:val="none"/>
              </w:rPr>
              <w:t>微型</w:t>
            </w:r>
          </w:p>
        </w:tc>
      </w:tr>
      <w:tr>
        <w:tblPrEx>
          <w:tblCellMar>
            <w:top w:w="0" w:type="dxa"/>
            <w:left w:w="108" w:type="dxa"/>
            <w:bottom w:w="0" w:type="dxa"/>
            <w:right w:w="108" w:type="dxa"/>
          </w:tblCellMar>
        </w:tblPrEx>
        <w:trPr>
          <w:trHeight w:val="350" w:hRule="atLeast"/>
        </w:trPr>
        <w:tc>
          <w:tcPr>
            <w:tcW w:w="1835" w:type="dxa"/>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农、林、牧、渔</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500≤Y＜20000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50≤Y＜500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Y＜50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工业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300≤X＜1000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20≤X＜300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X＜20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2000≤Y＜40000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300≤Y＜2000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Y＜300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建筑业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6000≤Y＜80000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300≤Y＜6000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Y＜300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资产总额（Z）</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5000≤Z＜80000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300≤Z＜5000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Z＜300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批发业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20≤X＜200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5≤X＜20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X＜5</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5000≤Y＜40000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1000≤Y＜5000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零售业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50≤X＜300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10≤X＜50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500≤Y＜20000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100≤Y＜500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交通运输业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300≤X＜1000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20≤X＜300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X＜20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3000≤Y＜30000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200≤Y＜3000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Y＜200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仓储业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100≤X＜200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20≤X＜100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X＜20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1000≤Y＜30000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100≤Y＜1000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邮政业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300≤X＜1000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20≤X＜300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X＜20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2000≤Y＜30000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100≤Y＜2000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住宿业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2000≤Y＜10000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100≤Y＜2000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餐饮业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2000≤Y＜10000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100≤Y＜2000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信息传输业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100≤X＜2000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1000≤Y＜100000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100≤Y＜1000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软件和信息技术服务业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1000≤Y＜10000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50≤Y＜1000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Y＜50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房地产开发经营</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1000≤Y＜200000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100≤X＜1000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资产总额（Z）</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5000≤Z＜10000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2000≤Y＜5000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Y＜2000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物业管理</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300≤X＜1000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100≤X＜300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1000≤Y＜5000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500≤Y＜1000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Y＜500</w:t>
            </w:r>
          </w:p>
        </w:tc>
      </w:tr>
      <w:tr>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租赁和商务服务业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r>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资产总额（Z）</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8000≤Z＜120000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100≤Z＜8000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tblPrEx>
          <w:tblCellMar>
            <w:top w:w="0" w:type="dxa"/>
            <w:left w:w="108" w:type="dxa"/>
            <w:bottom w:w="0" w:type="dxa"/>
            <w:right w:w="108" w:type="dxa"/>
          </w:tblCellMar>
        </w:tblPrEx>
        <w:trPr>
          <w:trHeight w:val="480" w:hRule="atLeast"/>
        </w:trPr>
        <w:tc>
          <w:tcPr>
            <w:tcW w:w="1835" w:type="dxa"/>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其他未列明行业</w:t>
            </w:r>
          </w:p>
        </w:tc>
        <w:tc>
          <w:tcPr>
            <w:tcW w:w="2042"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bl>
    <w:p>
      <w:pPr>
        <w:spacing w:line="360" w:lineRule="auto"/>
        <w:ind w:firstLine="420" w:firstLineChars="200"/>
        <w:rPr>
          <w:rFonts w:hint="eastAsia" w:ascii="仿宋" w:hAnsi="仿宋" w:eastAsia="仿宋" w:cs="仿宋"/>
          <w:szCs w:val="21"/>
          <w:highlight w:val="none"/>
        </w:rPr>
      </w:pPr>
    </w:p>
    <w:p>
      <w:pPr>
        <w:pStyle w:val="18"/>
        <w:spacing w:line="360" w:lineRule="auto"/>
        <w:ind w:firstLine="400" w:firstLineChars="200"/>
        <w:rPr>
          <w:rFonts w:hint="eastAsia" w:hAnsi="宋体" w:cs="宋体"/>
          <w:sz w:val="24"/>
          <w:szCs w:val="24"/>
          <w:highlight w:val="none"/>
        </w:rPr>
      </w:pPr>
      <w:r>
        <w:rPr>
          <w:rFonts w:hint="eastAsia" w:ascii="仿宋" w:hAnsi="仿宋" w:eastAsia="仿宋" w:cs="仿宋"/>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pPr>
        <w:spacing w:line="360" w:lineRule="auto"/>
        <w:ind w:firstLine="420" w:firstLineChars="200"/>
        <w:rPr>
          <w:rFonts w:ascii="宋体" w:hAnsi="宋体" w:cs="宋体"/>
          <w:color w:val="auto"/>
          <w:szCs w:val="21"/>
          <w:highlight w:val="none"/>
        </w:rPr>
      </w:pPr>
    </w:p>
    <w:p>
      <w:pPr>
        <w:rPr>
          <w:rFonts w:hint="eastAsia" w:hAnsi="宋体" w:cs="宋体"/>
          <w:b/>
          <w:bCs/>
          <w:color w:val="auto"/>
          <w:kern w:val="2"/>
          <w:sz w:val="32"/>
          <w:szCs w:val="32"/>
          <w:highlight w:val="none"/>
        </w:rPr>
      </w:pPr>
      <w:bookmarkStart w:id="75" w:name="_Toc7085"/>
    </w:p>
    <w:p>
      <w:pPr>
        <w:pStyle w:val="18"/>
        <w:spacing w:line="360" w:lineRule="auto"/>
        <w:ind w:firstLine="643" w:firstLineChars="200"/>
        <w:jc w:val="center"/>
        <w:textAlignment w:val="center"/>
        <w:outlineLvl w:val="0"/>
        <w:rPr>
          <w:rFonts w:hAnsi="宋体" w:cs="宋体"/>
          <w:color w:val="auto"/>
          <w:kern w:val="2"/>
          <w:sz w:val="44"/>
          <w:szCs w:val="44"/>
          <w:highlight w:val="none"/>
        </w:rPr>
      </w:pPr>
      <w:r>
        <w:rPr>
          <w:rFonts w:hint="eastAsia" w:hAnsi="宋体" w:cs="宋体"/>
          <w:b/>
          <w:bCs/>
          <w:color w:val="auto"/>
          <w:kern w:val="2"/>
          <w:sz w:val="32"/>
          <w:szCs w:val="32"/>
          <w:highlight w:val="none"/>
        </w:rPr>
        <w:t>第四章 评审程序、评审方法和评审标准</w:t>
      </w:r>
      <w:bookmarkEnd w:id="75"/>
    </w:p>
    <w:p>
      <w:pPr>
        <w:pStyle w:val="3"/>
        <w:spacing w:before="0" w:after="0" w:line="360" w:lineRule="auto"/>
        <w:jc w:val="center"/>
        <w:rPr>
          <w:rFonts w:ascii="宋体" w:hAnsi="宋体" w:cs="宋体"/>
          <w:bCs w:val="0"/>
          <w:color w:val="auto"/>
          <w:sz w:val="28"/>
          <w:szCs w:val="28"/>
          <w:highlight w:val="none"/>
        </w:rPr>
      </w:pPr>
      <w:bookmarkStart w:id="76" w:name="_Toc15394"/>
      <w:r>
        <w:rPr>
          <w:rFonts w:hint="eastAsia" w:ascii="宋体" w:hAnsi="宋体" w:cs="宋体"/>
          <w:bCs w:val="0"/>
          <w:color w:val="auto"/>
          <w:sz w:val="28"/>
          <w:szCs w:val="28"/>
          <w:highlight w:val="none"/>
        </w:rPr>
        <w:t>第一节 评审程序和评审方法</w:t>
      </w:r>
      <w:bookmarkEnd w:id="76"/>
    </w:p>
    <w:p>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由磋商小组确认磋商文件。</w:t>
      </w:r>
    </w:p>
    <w:p>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2.1响应文件开启后，磋商小组依法对供应商的资格证明文件进行审查。</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注：采购人代表或者采购代理机构在资格审查结束前，对供应商进行信用查询。</w:t>
      </w:r>
    </w:p>
    <w:p>
      <w:pPr>
        <w:spacing w:line="43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7"/>
          <w:rFonts w:hint="eastAsia" w:ascii="宋体" w:hAnsi="宋体" w:cs="宋体"/>
          <w:color w:val="auto"/>
          <w:sz w:val="24"/>
          <w:highlight w:val="none"/>
          <w:u w:val="none"/>
        </w:rPr>
        <w:t>www.creditchina.gov.cn</w:t>
      </w:r>
      <w:r>
        <w:rPr>
          <w:rStyle w:val="37"/>
          <w:rFonts w:hint="eastAsia" w:ascii="宋体" w:hAnsi="宋体" w:cs="宋体"/>
          <w:color w:val="auto"/>
          <w:sz w:val="24"/>
          <w:highlight w:val="none"/>
          <w:u w:val="none"/>
        </w:rPr>
        <w:fldChar w:fldCharType="end"/>
      </w:r>
      <w:r>
        <w:rPr>
          <w:rFonts w:hint="eastAsia" w:ascii="宋体" w:hAnsi="宋体" w:cs="宋体"/>
          <w:color w:val="auto"/>
          <w:sz w:val="24"/>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7"/>
          <w:rFonts w:hint="eastAsia" w:ascii="宋体" w:hAnsi="宋体" w:cs="宋体"/>
          <w:color w:val="auto"/>
          <w:sz w:val="24"/>
          <w:highlight w:val="none"/>
          <w:u w:val="none"/>
        </w:rPr>
        <w:t>www.ccgp.gov.cn</w:t>
      </w:r>
      <w:r>
        <w:rPr>
          <w:rStyle w:val="37"/>
          <w:rFonts w:hint="eastAsia" w:ascii="宋体" w:hAnsi="宋体" w:cs="宋体"/>
          <w:color w:val="auto"/>
          <w:sz w:val="24"/>
          <w:highlight w:val="none"/>
          <w:u w:val="none"/>
        </w:rPr>
        <w:fldChar w:fldCharType="end"/>
      </w:r>
      <w:r>
        <w:rPr>
          <w:rFonts w:hint="eastAsia" w:ascii="宋体" w:hAnsi="宋体" w:cs="宋体"/>
          <w:color w:val="auto"/>
          <w:sz w:val="24"/>
          <w:highlight w:val="none"/>
        </w:rPr>
        <w:t>）链接入口。</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查询记录和证据留存方式：在查询网站中直接打印查询记录，截图另存为电子文档作为评审资料保存。</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信用信息使用规则：对在“信用中国”网站（www.creditchina.gov.cn）、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2.2资格审查标准为本磋商文件中载明对供应商资格要求的条件。资格审查采用合格制，凡符合磋商文件规定的供应商资格要求的响应文件均通过资格审查。</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2.3供应商有下列情形之一的，资格审查不通过，其响应文件按无效响应处理：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（1）不具备磋商文件中规定的资格要求的；</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（2）响应文件未提供任一项“供应商须知前附表”资格证明文件规定的“必须提供”的文件资料的；</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（3）响应文件提供的资格证明文件出现任一项不符合“供应商须知前附表”资格证明文件规定的“必须提供”的文件资料要求或者无效的。</w:t>
      </w:r>
    </w:p>
    <w:p>
      <w:pPr>
        <w:spacing w:line="430" w:lineRule="exact"/>
        <w:ind w:firstLine="480" w:firstLineChars="200"/>
        <w:rPr>
          <w:rFonts w:ascii="宋体" w:hAnsi="宋体" w:cs="宋体"/>
          <w:color w:val="auto"/>
          <w:sz w:val="24"/>
          <w:highlight w:val="none"/>
        </w:rPr>
      </w:pPr>
      <w:bookmarkStart w:id="77" w:name="_Hlk68601553"/>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77"/>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2.4通过资格审查的合格供应商不足3家的，不得进入符合性审查环节，采购人或者采购代理机构应当重新开展采购活动。</w:t>
      </w:r>
    </w:p>
    <w:p>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3.1由磋商小组对通过资格审查的合格供应商的响应文件的响应报价、商务、技术等实质性要求进行符合性审查，以确定其是否满足磋商文件的实质性要求。</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3.4首次响应文件报价出现前后不一致的，按照下列规定修正： </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3.5商务技术、报价评审</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在评审时，如发现下列情形之一的，将被视为响应文件无效处理：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（1）商务技术评审</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1）响应文件未按磋商文件要求签署、盖章；</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2）委托代理人未能出具有效身份证明或者出具的身份证明与授权委托书中的信息不符； </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3）响应文件未提供任一项“供应商须知前附表” 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4）商务条款中标“▲”的条款发生负偏离的或者允许负偏离的条款数超过“供应商须知前附表”规定项数的或者标明实质性的要求发生负偏离；</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5）未对磋商有效期作出响应或者响应文件承诺的磋商有效期不满足磋商文件要求；</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6）响应文件的实质性内容未使用中文表述、使用计量单位不符合磋商文件要求；</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7）响应文件中的文件资料因填写不齐全或者内容虚假或者出现其他情形而导致被磋商小组认定无效；</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8）响应文件含有采购人不能接受的附加条件；</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9）属于“供应商须知正文”第7.5条情形；</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10）技术需求允许负偏离的条款数超过“供应商须知前附表”规定项数；</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11）虚假竞标，或者出现其他情形而导致被磋商小组认定无效；</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12）竞标技术方案不明确，磋商文件未允许但响应文件中存在一个或者一个以上备选（替代）竞标方案；</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13）响应文件标注的项目名称或者项目编号与竞争性磋商文件标注的项目名称或者项目编号不一致的；</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14）未响应磋商文件实质性要求；</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15）法律、法规和磋商文件规定的其他无效情形。</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（2）报价评审</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1）响应文件未提供“供应商须知前附表”报价文件中规定的“报价函及报价函附录”；</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2）未采用人民币报价或者未按照磋商文件标明的币种报价；</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6）响应文件响应的标的数量及单位与竞争性磋商采购文件要求实质性不一致的。</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4.3对磋商文件作出的实质性变动是磋商文件的有效组成部分，由磋商小组及时以电子澄清函形式同时通知所有参加磋商的供应商。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4.5磋商中，磋商的任何一方不得透露与磋商有关的其他供应商的技术资料、价格和其他信息。</w:t>
      </w:r>
    </w:p>
    <w:p>
      <w:pPr>
        <w:widowControl/>
        <w:tabs>
          <w:tab w:val="left" w:pos="540"/>
        </w:tabs>
        <w:spacing w:line="43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4.6磋商小组应对磋商过程和重要磋商内容进行记录，作为评标报告一部分，磋商小组在记录上签字确认。</w:t>
      </w:r>
      <w:r>
        <w:rPr>
          <w:rFonts w:hint="eastAsia" w:ascii="宋体" w:hAnsi="宋体" w:cs="宋体"/>
          <w:b/>
          <w:color w:val="auto"/>
          <w:sz w:val="24"/>
          <w:highlight w:val="none"/>
        </w:rPr>
        <w:t>主要内容包括：</w:t>
      </w:r>
    </w:p>
    <w:p>
      <w:pPr>
        <w:pStyle w:val="78"/>
        <w:spacing w:before="0" w:line="430" w:lineRule="exact"/>
        <w:ind w:firstLine="480"/>
        <w:rPr>
          <w:rFonts w:ascii="宋体" w:hAnsi="宋体" w:cs="宋体"/>
          <w:color w:val="auto"/>
          <w:kern w:val="2"/>
          <w:szCs w:val="24"/>
          <w:highlight w:val="none"/>
        </w:rPr>
      </w:pPr>
      <w:r>
        <w:rPr>
          <w:rFonts w:hint="eastAsia" w:ascii="宋体" w:hAnsi="宋体" w:cs="宋体"/>
          <w:color w:val="auto"/>
          <w:kern w:val="2"/>
          <w:szCs w:val="24"/>
          <w:highlight w:val="none"/>
        </w:rPr>
        <w:t>（1）按照相关规定进行公示的，公示情况说明；</w:t>
      </w:r>
    </w:p>
    <w:p>
      <w:pPr>
        <w:pStyle w:val="78"/>
        <w:spacing w:before="0" w:line="430" w:lineRule="exact"/>
        <w:ind w:firstLine="480"/>
        <w:rPr>
          <w:rFonts w:ascii="宋体" w:hAnsi="宋体" w:cs="宋体"/>
          <w:color w:val="auto"/>
          <w:kern w:val="2"/>
          <w:szCs w:val="24"/>
          <w:highlight w:val="none"/>
        </w:rPr>
      </w:pPr>
      <w:r>
        <w:rPr>
          <w:rFonts w:hint="eastAsia" w:ascii="宋体" w:hAnsi="宋体" w:cs="宋体"/>
          <w:color w:val="auto"/>
          <w:kern w:val="2"/>
          <w:szCs w:val="24"/>
          <w:highlight w:val="none"/>
        </w:rPr>
        <w:t>（2）磋商日期和地点，磋商人员名单；</w:t>
      </w:r>
    </w:p>
    <w:p>
      <w:pPr>
        <w:pStyle w:val="78"/>
        <w:spacing w:before="0" w:line="430" w:lineRule="exact"/>
        <w:ind w:firstLine="480"/>
        <w:rPr>
          <w:rFonts w:ascii="宋体" w:hAnsi="宋体" w:cs="宋体"/>
          <w:color w:val="auto"/>
          <w:kern w:val="2"/>
          <w:szCs w:val="24"/>
          <w:highlight w:val="none"/>
        </w:rPr>
      </w:pPr>
      <w:r>
        <w:rPr>
          <w:rFonts w:hint="eastAsia" w:ascii="宋体" w:hAnsi="宋体" w:cs="宋体"/>
          <w:color w:val="auto"/>
          <w:kern w:val="2"/>
          <w:szCs w:val="24"/>
          <w:highlight w:val="none"/>
        </w:rPr>
        <w:t>（3）合同主要条款及价格商定情况。</w:t>
      </w:r>
    </w:p>
    <w:p>
      <w:pPr>
        <w:widowControl/>
        <w:tabs>
          <w:tab w:val="left" w:pos="540"/>
        </w:tabs>
        <w:spacing w:line="43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4.7磋商过程中重新提交的响应文件，供应商可以在开启前补充、修改。</w:t>
      </w:r>
    </w:p>
    <w:p>
      <w:pPr>
        <w:tabs>
          <w:tab w:val="left" w:pos="2835"/>
        </w:tabs>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4.8对磋商过程提交的响应文件进行有效性、完整性和响应程度审查，通过审查的合格供应商不足3家的，采购人或者采购代理机构应当重新开展采购活动。</w:t>
      </w:r>
    </w:p>
    <w:p>
      <w:pPr>
        <w:spacing w:line="43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5.竞标报价</w:t>
      </w:r>
    </w:p>
    <w:p>
      <w:pPr>
        <w:spacing w:line="43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5.1本工程竞标报价采用工程量清单报价。工程量按实际结算。供应商应就本项目作完整唯一报价。</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5.1.1本工程采用</w:t>
      </w:r>
      <w:r>
        <w:rPr>
          <w:rFonts w:hint="eastAsia" w:ascii="宋体" w:hAnsi="宋体" w:cs="宋体"/>
          <w:color w:val="auto"/>
          <w:sz w:val="24"/>
          <w:highlight w:val="none"/>
          <w:lang w:val="en-US" w:eastAsia="zh-CN"/>
        </w:rPr>
        <w:t>固定总价</w:t>
      </w:r>
      <w:r>
        <w:rPr>
          <w:rFonts w:hint="eastAsia" w:ascii="宋体" w:hAnsi="宋体" w:cs="宋体"/>
          <w:color w:val="auto"/>
          <w:sz w:val="24"/>
          <w:highlight w:val="none"/>
        </w:rPr>
        <w:t>承包，竞标报价为供应商在响应文件中提出的各项支付金额的总和。供应商工程量清单中原有项目的工程量无论增减多少，均按原单价结算，承包人必须按发包人的指令完成施工，不得以任何理由拒绝，否则视为违约，供应商应在报价中考虑由工程量变化带来的风险。</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供应商所填报的各项综合单价中的各种材料单价及综合单价，在合同实施期间不因市场价格变化因素而变动,供应商所填报的单价及综合单价在合同实施期间在任何情况下不再作调整（工程变更、本工程约定的材料价格风险及政策性调整除外），供应商在报价时应考虑各种风险因素和自己的承受能力。</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5.1.3本合同实施期间因设计变更引起工程项目、工程量变化的，其工程量按实际发生并经监理工程师及发包人签证认可，变更合同价款按下列方法进行：</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（1）合同中已有适用于变更工程的价格，按合同已有的价格变更合同价款；</w:t>
      </w:r>
    </w:p>
    <w:p>
      <w:pPr>
        <w:spacing w:line="43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（2）合同中只有类似于变更工程的价格，可以参照类似价格变更合同价款；</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合同中没有适用或类似于变更工程的价格，则有定额的套定额计算（土石方除外），执行本工程竞标报价的计算及结算依据并乘以下浮系数（成交价/工程预算控制价）计算，其中材料价格有信息价的按施工期间的信息价进行计算，无信息的按市场价；新增项目无定额可套的，由发包人、承包人及监理根据市场价格协商确定。</w:t>
      </w:r>
    </w:p>
    <w:p>
      <w:pPr>
        <w:spacing w:line="43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本工程最终结算以财政审计部门审定为准。</w:t>
      </w:r>
    </w:p>
    <w:p>
      <w:pPr>
        <w:spacing w:line="430" w:lineRule="exact"/>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5.2本项目采用多次报价方式，作最终报价时，供应商的最终报价如有变动，则必须以完整的工程量清单报价表的格式（按磋商文件中的相关规定签字盖章）编制提交，供应商须提前做好相关准备并按时递交最终报价文件，否则按竞标无效处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5.3竞标货币</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响应文件中的报价全部采用人民币表示。</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5.5已经提交响应文件的供应商，在提交最后报价之前，可以根据磋商情况退出磋商，退出磋商的供应商的响应文件按无效响应处理。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5.6供应商未在规定时间内提交最后报价的，视同退出磋商。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5.7磋商小组收齐某一分标最后报价后统一开启，磋商小组对最后报价进行有效性、完整性和响应程度的审查。</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5.8最终响应文件的报价出现前后不一致的，按照本章第3.4条的规定修正。 </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5.9修正后的最终报价出现下列情形的，按无效响应处理：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（1）供应商不确认的（全流程电子化评标采取在线确认）；</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（2）经供应商确认修正后的响应报价（包含首次报价、最后报价）超过所竞标分标规定的采购预算金额或者最高限价的（如本项目公布了最高限价）；</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（3）经供应商确认修正后的响应报价（包含首次报价、最后报价）超过分项采购预算金额或者最高限价的（如本项目公布了最高限价）。</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5.10经供应商确认修正后的最后报价作为评审及签订合同的依据。</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5.11供应商出现最后报价按无效响应处理或者响应文件按无效处理时，磋商小组应当告知有关供应商。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5.12最后报价结束后，磋商小组不得再与供应商进行任何形式的商谈。</w:t>
      </w:r>
    </w:p>
    <w:p>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6.比较与评价</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6.1评审方法：综合评分法。</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6.2经磋商确定最终提交最后报价的供应商后，由磋商小组采用综合评分法对提交最后报价的供应商的响应文件和最后报价进行综合评分。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6.3评审时，磋商小组各成员应当独立对每个有效响应的文件进行评价、打分，然后汇总每个供应商每项评分因素的得分。</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（1）磋商小组按照磋商文件中规定的评审标准计算各供应商的报价得分。项目评审过程中，不得去掉最后报价中的最高报价和最低报价。</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（2）各供应商的得分为磋商小组所有成员的有效评分的算术平均数。</w:t>
      </w:r>
    </w:p>
    <w:p>
      <w:pPr>
        <w:spacing w:line="43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6.4评审价为供应商的最后报价进行政策性扣除后的价格，评审价只是作为评审时使用。最终成交供应商的成交金额等于最后报价（如有修正，以确认修正后的最后报价为准）。</w:t>
      </w:r>
    </w:p>
    <w:p>
      <w:pPr>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6.5</w:t>
      </w:r>
      <w:r>
        <w:rPr>
          <w:rFonts w:hint="eastAsia" w:ascii="宋体" w:hAnsi="宋体" w:eastAsia="宋体" w:cs="宋体"/>
          <w:color w:val="auto"/>
          <w:sz w:val="24"/>
          <w:highlight w:val="none"/>
        </w:rPr>
        <w:t>经磋商确定最终采购需求和提交最后报价的服务商后，由磋商小组采用综合评分法对提交最后报价的服务商的响应文件和最后报价进行综合评分。</w:t>
      </w:r>
    </w:p>
    <w:p>
      <w:pPr>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评标委员会在评审中发现下列情形之一的，应当启动异常低价投标审查程序：</w:t>
      </w:r>
    </w:p>
    <w:p>
      <w:pPr>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投标（响应）报价低于全部通过符合性审查供应商投标（响应）报价平均值50%的，即投标（响应）报价</w:t>
      </w:r>
      <w:r>
        <w:rPr>
          <w:rFonts w:hint="eastAsia" w:ascii="宋体" w:hAnsi="宋体" w:eastAsia="宋体" w:cs="宋体"/>
          <w:color w:val="auto"/>
          <w:sz w:val="24"/>
          <w:highlight w:val="none"/>
          <w:lang w:val="en-US" w:eastAsia="zh-CN"/>
        </w:rPr>
        <w:t>&lt;</w:t>
      </w:r>
      <w:r>
        <w:rPr>
          <w:rFonts w:hint="eastAsia" w:ascii="宋体" w:hAnsi="宋体" w:eastAsia="宋体" w:cs="宋体"/>
          <w:color w:val="auto"/>
          <w:sz w:val="24"/>
          <w:highlight w:val="none"/>
        </w:rPr>
        <w:t>全部通过符合性审查供应商投标（响应）报价平均值×50%；</w:t>
      </w:r>
    </w:p>
    <w:p>
      <w:pPr>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投标（响应）报价低于通过符合性审查的次低报价供应商投标（响应）报价50%的，即投标（响应）报价&lt;通过符合性审查的次低报价供应商投标（响应）报价×50%；</w:t>
      </w:r>
    </w:p>
    <w:p>
      <w:pPr>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投标（响应）报价低于采购项目最高限价45%的，即投标（响应）报价&lt;采购项目最高限价×45%；</w:t>
      </w:r>
    </w:p>
    <w:p>
      <w:pPr>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评审委员会基于专业判断，认为供应商报价过低，有可能影响产品质量或者不能诚信履约的其他情形。</w:t>
      </w:r>
    </w:p>
    <w:p>
      <w:pPr>
        <w:spacing w:line="43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430" w:lineRule="exact"/>
        <w:ind w:firstLine="480" w:firstLineChars="200"/>
        <w:rPr>
          <w:rFonts w:hint="default" w:ascii="宋体" w:hAnsi="宋体" w:eastAsia="宋体" w:cs="Times New Roman"/>
          <w:b/>
          <w:bCs/>
          <w:color w:val="auto"/>
          <w:sz w:val="24"/>
          <w:szCs w:val="24"/>
          <w:highlight w:val="none"/>
          <w:lang w:eastAsia="zh-CN"/>
        </w:rPr>
      </w:pPr>
      <w:r>
        <w:rPr>
          <w:rFonts w:hint="eastAsia" w:ascii="宋体" w:hAnsi="宋体" w:eastAsia="宋体" w:cs="宋体"/>
          <w:color w:val="auto"/>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color w:val="auto"/>
          <w:sz w:val="24"/>
          <w:szCs w:val="24"/>
          <w:highlight w:val="none"/>
          <w:lang w:val="en-US" w:eastAsia="zh-CN"/>
        </w:rPr>
        <w:t>。</w:t>
      </w:r>
      <w:r>
        <w:rPr>
          <w:rFonts w:hint="eastAsia" w:ascii="宋体" w:hAnsi="宋体" w:eastAsia="宋体" w:cs="Times New Roman"/>
          <w:b/>
          <w:bCs/>
          <w:color w:val="auto"/>
          <w:sz w:val="24"/>
          <w:szCs w:val="24"/>
          <w:highlight w:val="none"/>
          <w:lang w:val="en-US" w:eastAsia="zh-CN"/>
        </w:rPr>
        <w:t>投标（响应）供应商不能提供书面说明、证明材料，或者提供的书面说明、证明材料不能证明其报价合理性的，评审委员会应当将其作为无效投标（响应）处理。</w:t>
      </w:r>
    </w:p>
    <w:p>
      <w:pPr>
        <w:pStyle w:val="18"/>
        <w:spacing w:line="400" w:lineRule="exact"/>
        <w:ind w:firstLine="420"/>
        <w:rPr>
          <w:rFonts w:hint="default"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8"/>
        <w:spacing w:line="400" w:lineRule="exact"/>
        <w:ind w:firstLine="420"/>
        <w:rPr>
          <w:rFonts w:hint="default" w:ascii="宋体" w:hAnsi="宋体" w:eastAsia="宋体" w:cs="宋体"/>
          <w:color w:val="auto"/>
          <w:sz w:val="24"/>
          <w:highlight w:val="none"/>
          <w:lang w:val="en-US" w:eastAsia="zh-CN"/>
        </w:rPr>
      </w:pPr>
      <w:r>
        <w:rPr>
          <w:rFonts w:hint="eastAsia" w:ascii="宋体" w:hAnsi="宋体" w:eastAsia="宋体" w:cs="Times New Roman"/>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7.评审标准</w:t>
      </w:r>
    </w:p>
    <w:p>
      <w:pPr>
        <w:spacing w:line="43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7.1评审依据：磋商小组将以磋商响应文件为评审依据，对供应商的报价、技术、商务等方面内容按百分制打分。（计分方法按四舍五入取至百分位）</w:t>
      </w:r>
    </w:p>
    <w:p>
      <w:pPr>
        <w:spacing w:line="430" w:lineRule="exact"/>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总得分=1+2+3</w:t>
      </w:r>
    </w:p>
    <w:p>
      <w:pPr>
        <w:spacing w:line="440" w:lineRule="exact"/>
        <w:ind w:firstLine="480" w:firstLineChars="200"/>
        <w:jc w:val="center"/>
        <w:rPr>
          <w:rFonts w:hint="eastAsia" w:ascii="宋体" w:hAnsi="宋体" w:eastAsia="宋体" w:cs="宋体"/>
          <w:bCs/>
          <w:color w:val="auto"/>
          <w:szCs w:val="21"/>
          <w:highlight w:val="none"/>
          <w:lang w:val="en-US" w:eastAsia="zh-CN"/>
        </w:rPr>
      </w:pPr>
      <w:bookmarkStart w:id="78" w:name="PO_TDCUS_ITEM_SM_TITLE_1"/>
      <w:r>
        <w:rPr>
          <w:rFonts w:hint="eastAsia" w:ascii="宋体" w:hAnsi="宋体" w:cs="宋体"/>
          <w:bCs/>
          <w:color w:val="auto"/>
          <w:sz w:val="24"/>
          <w:highlight w:val="none"/>
        </w:rPr>
        <w:br w:type="page"/>
      </w:r>
      <w:r>
        <w:rPr>
          <w:rFonts w:hint="eastAsia" w:ascii="宋体" w:hAnsi="宋体" w:cs="宋体"/>
          <w:b/>
          <w:color w:val="auto"/>
          <w:sz w:val="28"/>
          <w:szCs w:val="28"/>
          <w:highlight w:val="none"/>
        </w:rPr>
        <w:t>评分方法</w:t>
      </w:r>
      <w:bookmarkEnd w:id="78"/>
      <w:bookmarkStart w:id="79" w:name="PO_TDCUS_ITEM_SM_TABLE_1"/>
      <w:r>
        <w:rPr>
          <w:rFonts w:hint="eastAsia" w:ascii="宋体" w:hAnsi="宋体" w:cs="宋体"/>
          <w:b/>
          <w:color w:val="auto"/>
          <w:sz w:val="28"/>
          <w:szCs w:val="28"/>
          <w:highlight w:val="none"/>
          <w:lang w:val="en-US" w:eastAsia="zh-CN"/>
        </w:rPr>
        <w:t xml:space="preserve"> </w:t>
      </w:r>
    </w:p>
    <w:tbl>
      <w:tblPr>
        <w:tblStyle w:val="30"/>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11"/>
        <w:gridCol w:w="6192"/>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3" w:type="pct"/>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647" w:type="pct"/>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评分类型</w:t>
            </w:r>
          </w:p>
        </w:tc>
        <w:tc>
          <w:tcPr>
            <w:tcW w:w="3306" w:type="pct"/>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评分标准</w:t>
            </w:r>
          </w:p>
        </w:tc>
        <w:tc>
          <w:tcPr>
            <w:tcW w:w="624" w:type="pct"/>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647" w:type="pct"/>
            <w:vAlign w:val="center"/>
          </w:tcPr>
          <w:p>
            <w:pPr>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价格分</w:t>
            </w:r>
          </w:p>
        </w:tc>
        <w:tc>
          <w:tcPr>
            <w:tcW w:w="3306" w:type="pct"/>
            <w:vAlign w:val="center"/>
          </w:tcPr>
          <w:p>
            <w:pPr>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（1）评审价为供应商的最后报价进行政策性扣除后（如有）的价格，评审价只是作为评审时使用。最终成交供应商的成交金额等于最后报价（如有修正，以确认修正后的最后报价为准）。</w:t>
            </w:r>
          </w:p>
          <w:p>
            <w:pPr>
              <w:pStyle w:val="18"/>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（2）政府采购政策性扣除计算方法</w:t>
            </w:r>
          </w:p>
          <w:p>
            <w:pPr>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政府采购促进中小企业发展管理办法》（财库〔2020〕46号）、《广西壮族自治区财政厅关于贯彻落实政府采购支持中小企业发展政策的通知》（桂财采〔2022〕31号）及《广西壮族自治区财政厅关于持续优化政府采购营商环境推动高质量发展的通知》（桂财采〔2024〕55号）的规定，供应商在其响应文件中提供《中小企业声明函》，且工程的施工单位全部为符合政策要求的小微企业承建，对供应商的竞标报价给予5%的扣除，扣除后的价格为评审价，即评审价=竞标报价×（1-5%）。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2%的扣除，用扣除后的价格参加评审，扣除后的价格为评审价，即评审价=竞标报价×（1-2%）。除上述情况外，评审价=竞标报价。组成联合体或者接受分包的小微企业与联合体内其他企业、分包企业之间存在直接控股、管理关系的，不享受价格扣除优惠政策。</w:t>
            </w:r>
          </w:p>
          <w:p>
            <w:pPr>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widowControl/>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根据《广西壮族自治区财政厅关于贯彻落实政府采购支持中小企业发展政策的通知》（桂财采〔2022〕31号）及《广西壮族自治区财政厅关于持续优化政府采购营商环境推动高质量发展的通知》（桂财采〔2024〕55号）的规定，本项目100%采购份额全部面向中型企业、小型企业、微型企业、监狱企业、残疾人福利性单位采购，因此价格分部分不再进行政策性扣除，不再给予小型企业、微型企业、监狱企业、残疾人福利性单位价格扣除优惠。</w:t>
            </w:r>
          </w:p>
          <w:p>
            <w:pPr>
              <w:widowControl/>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（6）即：评审报价＝最后报价。</w:t>
            </w:r>
          </w:p>
          <w:p>
            <w:pPr>
              <w:widowControl/>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（7）以进入比较与评价环节的最低的评审报价为基准价，基准价得分为20分。</w:t>
            </w:r>
          </w:p>
          <w:p>
            <w:pPr>
              <w:snapToGrid w:val="0"/>
              <w:jc w:val="left"/>
              <w:rPr>
                <w:rFonts w:ascii="宋体" w:hAnsi="宋体" w:cs="宋体"/>
                <w:bCs/>
                <w:color w:val="auto"/>
                <w:szCs w:val="21"/>
                <w:highlight w:val="none"/>
              </w:rPr>
            </w:pPr>
            <w:r>
              <w:rPr>
                <w:rFonts w:hint="eastAsia" w:ascii="宋体" w:hAnsi="宋体" w:eastAsia="宋体" w:cs="宋体"/>
                <w:color w:val="auto"/>
                <w:kern w:val="2"/>
                <w:sz w:val="21"/>
                <w:szCs w:val="21"/>
                <w:highlight w:val="none"/>
                <w:lang w:val="en-US" w:eastAsia="zh-CN" w:bidi="ar-SA"/>
              </w:rPr>
              <w:t>（8）价格分计算公式：报价得分=（基准价/最后报价）×20分。</w:t>
            </w:r>
          </w:p>
        </w:tc>
        <w:tc>
          <w:tcPr>
            <w:tcW w:w="624"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23" w:type="pct"/>
            <w:vAlign w:val="center"/>
          </w:tcPr>
          <w:p>
            <w:pPr>
              <w:widowControl/>
              <w:snapToGrid w:val="0"/>
              <w:jc w:val="center"/>
              <w:rPr>
                <w:rFonts w:ascii="宋体" w:hAnsi="宋体" w:cs="宋体"/>
                <w:bCs/>
                <w:color w:val="auto"/>
                <w:szCs w:val="21"/>
                <w:highlight w:val="none"/>
              </w:rPr>
            </w:pPr>
            <w:r>
              <w:rPr>
                <w:rFonts w:hint="eastAsia" w:ascii="宋体" w:hAnsi="宋体" w:cs="宋体"/>
                <w:b/>
                <w:color w:val="auto"/>
                <w:szCs w:val="21"/>
                <w:highlight w:val="none"/>
              </w:rPr>
              <w:t>2</w:t>
            </w:r>
          </w:p>
        </w:tc>
        <w:tc>
          <w:tcPr>
            <w:tcW w:w="647" w:type="pct"/>
            <w:vAlign w:val="center"/>
          </w:tcPr>
          <w:p>
            <w:pPr>
              <w:widowControl/>
              <w:snapToGrid w:val="0"/>
              <w:jc w:val="center"/>
              <w:rPr>
                <w:rFonts w:ascii="宋体" w:hAnsi="宋体" w:cs="宋体"/>
                <w:bCs/>
                <w:color w:val="auto"/>
                <w:szCs w:val="21"/>
                <w:highlight w:val="none"/>
              </w:rPr>
            </w:pPr>
            <w:r>
              <w:rPr>
                <w:rFonts w:hint="eastAsia" w:ascii="宋体" w:hAnsi="宋体" w:cs="宋体"/>
                <w:b/>
                <w:color w:val="auto"/>
                <w:szCs w:val="21"/>
                <w:highlight w:val="none"/>
              </w:rPr>
              <w:t>技术分</w:t>
            </w:r>
          </w:p>
        </w:tc>
        <w:tc>
          <w:tcPr>
            <w:tcW w:w="3306" w:type="pct"/>
            <w:vAlign w:val="center"/>
          </w:tcPr>
          <w:p>
            <w:pPr>
              <w:widowControl/>
              <w:snapToGrid w:val="0"/>
              <w:jc w:val="left"/>
              <w:rPr>
                <w:rFonts w:ascii="宋体" w:hAnsi="宋体" w:cs="宋体"/>
                <w:bCs/>
                <w:color w:val="auto"/>
                <w:szCs w:val="21"/>
                <w:highlight w:val="none"/>
              </w:rPr>
            </w:pPr>
            <w:r>
              <w:rPr>
                <w:rFonts w:hint="eastAsia" w:ascii="宋体" w:hAnsi="宋体" w:cs="宋体"/>
                <w:b/>
                <w:color w:val="auto"/>
                <w:szCs w:val="21"/>
                <w:highlight w:val="none"/>
              </w:rPr>
              <w:t>评审因素</w:t>
            </w:r>
          </w:p>
        </w:tc>
        <w:tc>
          <w:tcPr>
            <w:tcW w:w="624" w:type="pct"/>
            <w:vAlign w:val="center"/>
          </w:tcPr>
          <w:p>
            <w:pPr>
              <w:snapToGrid w:val="0"/>
              <w:jc w:val="center"/>
              <w:rPr>
                <w:rFonts w:ascii="宋体" w:hAnsi="宋体" w:cs="宋体"/>
                <w:bCs/>
                <w:color w:val="auto"/>
                <w:szCs w:val="21"/>
                <w:highlight w:val="none"/>
              </w:rPr>
            </w:pPr>
            <w:r>
              <w:rPr>
                <w:rFonts w:hint="eastAsia" w:ascii="宋体" w:hAnsi="宋体" w:cs="宋体"/>
                <w:b/>
                <w:color w:val="auto"/>
                <w:szCs w:val="21"/>
                <w:highlight w:val="none"/>
              </w:rPr>
              <w:t>满分60分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2.1</w:t>
            </w:r>
          </w:p>
        </w:tc>
        <w:tc>
          <w:tcPr>
            <w:tcW w:w="647"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拟投入本项目人员情况分</w:t>
            </w:r>
          </w:p>
        </w:tc>
        <w:tc>
          <w:tcPr>
            <w:tcW w:w="3306" w:type="pct"/>
            <w:vAlign w:val="center"/>
          </w:tcPr>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一档（9分）：组织结构合理，各类人员证件齐备有效（各类人员指项目经理、项目技术负责人、施工员、专职安全生产管理人员、质量员、资料员、</w:t>
            </w:r>
            <w:r>
              <w:rPr>
                <w:rFonts w:hint="eastAsia" w:ascii="宋体" w:hAnsi="宋体" w:cs="宋体"/>
                <w:color w:val="auto"/>
                <w:szCs w:val="21"/>
                <w:highlight w:val="none"/>
                <w:lang w:eastAsia="zh-CN"/>
              </w:rPr>
              <w:t>造价师</w:t>
            </w:r>
            <w:r>
              <w:rPr>
                <w:rFonts w:hint="eastAsia" w:ascii="宋体" w:hAnsi="宋体" w:cs="宋体"/>
                <w:color w:val="auto"/>
                <w:szCs w:val="21"/>
                <w:highlight w:val="none"/>
              </w:rPr>
              <w:t>），其中项目经理和项目技术负责人都具备中级或以上技术职称证书。</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二档（6分）：组织结构较合理，各类人员证件齐备有效（各类人员指项目经理、项目技术负责人、施工员、专职安全生产管理人员、质量员、资料员、</w:t>
            </w:r>
            <w:r>
              <w:rPr>
                <w:rFonts w:hint="eastAsia" w:ascii="宋体" w:hAnsi="宋体" w:cs="宋体"/>
                <w:color w:val="auto"/>
                <w:szCs w:val="21"/>
                <w:highlight w:val="none"/>
                <w:lang w:eastAsia="zh-CN"/>
              </w:rPr>
              <w:t>造价师</w:t>
            </w:r>
            <w:r>
              <w:rPr>
                <w:rFonts w:hint="eastAsia" w:ascii="宋体" w:hAnsi="宋体" w:cs="宋体"/>
                <w:color w:val="auto"/>
                <w:szCs w:val="21"/>
                <w:highlight w:val="none"/>
              </w:rPr>
              <w:t>），其中项目经理或项目技术负责人其中1人具备中级或以上技术职称证书。</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三档（3分）：组织结构简单，各类人员证件齐备有效（各类人员指项目经理、项目技术负责人、施工员、专职安全生产管理人员、质量员、资料员、</w:t>
            </w:r>
            <w:r>
              <w:rPr>
                <w:rFonts w:hint="eastAsia" w:ascii="宋体" w:hAnsi="宋体" w:cs="宋体"/>
                <w:color w:val="auto"/>
                <w:szCs w:val="21"/>
                <w:highlight w:val="none"/>
                <w:lang w:eastAsia="zh-CN"/>
              </w:rPr>
              <w:t>造价师</w:t>
            </w:r>
            <w:r>
              <w:rPr>
                <w:rFonts w:hint="eastAsia" w:ascii="宋体" w:hAnsi="宋体" w:cs="宋体"/>
                <w:color w:val="auto"/>
                <w:szCs w:val="21"/>
                <w:highlight w:val="none"/>
              </w:rPr>
              <w:t>）。</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注：以上人员须持有相应上岗证书[专职安全生产管理人员提供安全生产考核合格证书（C类），项目技术负责人提供中级及以上技术职称证书）]，响应文件中应提供以上人员有效的身份证正反面复印件、资格（上岗）证书、职称证书复印件及提供响应文件递交截止时间前半年内连续三个月在现任职单位依法缴纳社会保险证明材料的复印件，如项目人员为退休返聘人员的需提供相关退休证明材料。</w:t>
            </w:r>
          </w:p>
        </w:tc>
        <w:tc>
          <w:tcPr>
            <w:tcW w:w="624"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2.2</w:t>
            </w:r>
          </w:p>
        </w:tc>
        <w:tc>
          <w:tcPr>
            <w:tcW w:w="647"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主要施工方法</w:t>
            </w:r>
          </w:p>
        </w:tc>
        <w:tc>
          <w:tcPr>
            <w:tcW w:w="3306" w:type="pct"/>
            <w:vAlign w:val="center"/>
          </w:tcPr>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各主要分部施工方法符合项目实际，须有详尽的施工技术方案，工艺先进、方法科学合理、可行，能指导具体施工并确保安全。 </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一档（8分）：各主要分部施工方法符合项目实际，有详尽的施工技术方案，工艺先进、方法科学合理、可行，能指导具体施工并确保安全。</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二档（6分）：各主要分部施工方法符合项目实际，有较详尽的施工技术方案，工艺较先进、方法较科学合理、可行，能指导具体施工并确保安全。</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三档（4分）：各主要分部施工方法基本符合项目实际，有施工技术方案，工艺较先进、方法较科学合理、可行，基本指导具体施工并确保安全。</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四档（2分）：各主要分部施工方法不符合项目实际，没有施工技术方案，工艺落后、方法不科学合理、可行，不能指导具体施工并确保安全。</w:t>
            </w:r>
          </w:p>
        </w:tc>
        <w:tc>
          <w:tcPr>
            <w:tcW w:w="624" w:type="pct"/>
            <w:vAlign w:val="center"/>
          </w:tcPr>
          <w:p>
            <w:pPr>
              <w:snapToGrid w:val="0"/>
              <w:jc w:val="center"/>
              <w:rPr>
                <w:rFonts w:ascii="宋体" w:hAnsi="宋体" w:cs="宋体"/>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2.3</w:t>
            </w:r>
          </w:p>
        </w:tc>
        <w:tc>
          <w:tcPr>
            <w:tcW w:w="647"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拟投入的主要物资计划</w:t>
            </w:r>
          </w:p>
        </w:tc>
        <w:tc>
          <w:tcPr>
            <w:tcW w:w="3306" w:type="pct"/>
            <w:vAlign w:val="center"/>
          </w:tcPr>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投入的施工材料有详细的组织计划且计划周密，数量、选型配置、进场时间安排合理，满足施工需要。</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一档（8分）：投入的施工材料设备有详细、具体的组织计划且计划周密，数量、选型配置、进场时间安排很合理，切实满足施工需要。</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二档（6分）：投入的施工材料设备有较详细的组织计划，计划较周密，数量、选型配置、进场时间安排合理，满足施工需要。</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三档（4分）：投入施工材料设备的组织与施工进度相呼应、材料计划数量基本满足施工材料要求、材料质量基本满足施工材料要求、材料进场时间基本合理。</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四档（2分）：投入施工材料设备的组织与施工进度不呼应、材料计划数量不能满足施工材料要求、材料质量不能满足施工材料要求、材料进场时间不合理。</w:t>
            </w:r>
          </w:p>
        </w:tc>
        <w:tc>
          <w:tcPr>
            <w:tcW w:w="624" w:type="pct"/>
            <w:vAlign w:val="center"/>
          </w:tcPr>
          <w:p>
            <w:pPr>
              <w:snapToGrid w:val="0"/>
              <w:jc w:val="center"/>
              <w:rPr>
                <w:rFonts w:ascii="宋体" w:hAnsi="宋体" w:cs="宋体"/>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2.4</w:t>
            </w:r>
          </w:p>
        </w:tc>
        <w:tc>
          <w:tcPr>
            <w:tcW w:w="647"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拟投入的主要施工机械、设备计划</w:t>
            </w:r>
          </w:p>
        </w:tc>
        <w:tc>
          <w:tcPr>
            <w:tcW w:w="3306" w:type="pct"/>
            <w:vAlign w:val="center"/>
          </w:tcPr>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投入的施工机械、设备、机具有详细的组织计划且计划周密，设备数量、选型配置、进场时间安排合理，满足施工需要。 </w:t>
            </w:r>
          </w:p>
          <w:p>
            <w:pPr>
              <w:pStyle w:val="29"/>
              <w:snapToGrid w:val="0"/>
              <w:ind w:firstLine="0" w:firstLineChars="0"/>
              <w:jc w:val="left"/>
              <w:rPr>
                <w:rFonts w:ascii="宋体" w:hAnsi="宋体" w:cs="宋体"/>
                <w:bCs/>
                <w:color w:val="auto"/>
                <w:szCs w:val="21"/>
                <w:highlight w:val="none"/>
              </w:rPr>
            </w:pPr>
            <w:r>
              <w:rPr>
                <w:rFonts w:hint="eastAsia" w:ascii="宋体" w:hAnsi="宋体" w:cs="宋体"/>
                <w:bCs/>
                <w:color w:val="auto"/>
                <w:szCs w:val="21"/>
                <w:highlight w:val="none"/>
              </w:rPr>
              <w:t>一档（7分）：投入的施工机械、设备、机具有详细的组织计划且计划周密，设备数量、选型配置、进场时间安排合理，满足施工需要。</w:t>
            </w:r>
          </w:p>
          <w:p>
            <w:pPr>
              <w:pStyle w:val="29"/>
              <w:snapToGrid w:val="0"/>
              <w:ind w:firstLine="0" w:firstLineChars="0"/>
              <w:jc w:val="left"/>
              <w:rPr>
                <w:rFonts w:ascii="宋体" w:hAnsi="宋体" w:cs="宋体"/>
                <w:bCs/>
                <w:color w:val="auto"/>
                <w:szCs w:val="21"/>
                <w:highlight w:val="none"/>
              </w:rPr>
            </w:pPr>
            <w:r>
              <w:rPr>
                <w:rFonts w:hint="eastAsia" w:ascii="宋体" w:hAnsi="宋体" w:cs="宋体"/>
                <w:bCs/>
                <w:color w:val="auto"/>
                <w:szCs w:val="21"/>
                <w:highlight w:val="none"/>
              </w:rPr>
              <w:t>二档（4分）：投入的施工机械、设备、机具有较为详细的组织计划，投入计划进度计划呼应，设备数量、选型配置、进场时间安排较合理，满足施工需要。</w:t>
            </w:r>
          </w:p>
          <w:p>
            <w:pPr>
              <w:pStyle w:val="29"/>
              <w:snapToGrid w:val="0"/>
              <w:ind w:firstLine="0" w:firstLineChars="0"/>
              <w:jc w:val="left"/>
              <w:rPr>
                <w:rFonts w:ascii="宋体" w:hAnsi="宋体" w:cs="宋体"/>
                <w:bCs/>
                <w:color w:val="auto"/>
                <w:szCs w:val="21"/>
                <w:highlight w:val="none"/>
              </w:rPr>
            </w:pPr>
            <w:r>
              <w:rPr>
                <w:rFonts w:hint="eastAsia" w:ascii="宋体" w:hAnsi="宋体" w:cs="宋体"/>
                <w:bCs/>
                <w:color w:val="auto"/>
                <w:szCs w:val="21"/>
                <w:highlight w:val="none"/>
              </w:rPr>
              <w:t>三档（2分）：投入计划与进度计划呼应，满足施工需要。</w:t>
            </w:r>
          </w:p>
          <w:p>
            <w:pPr>
              <w:pStyle w:val="29"/>
              <w:snapToGrid w:val="0"/>
              <w:ind w:firstLine="0" w:firstLineChars="0"/>
              <w:jc w:val="left"/>
              <w:rPr>
                <w:rFonts w:ascii="宋体" w:hAnsi="宋体" w:cs="宋体"/>
                <w:bCs/>
                <w:color w:val="auto"/>
                <w:szCs w:val="21"/>
                <w:highlight w:val="none"/>
              </w:rPr>
            </w:pPr>
            <w:r>
              <w:rPr>
                <w:rFonts w:hint="eastAsia" w:ascii="宋体" w:hAnsi="宋体" w:cs="宋体"/>
                <w:bCs/>
                <w:color w:val="auto"/>
                <w:szCs w:val="21"/>
                <w:highlight w:val="none"/>
              </w:rPr>
              <w:t>四档（1分）：投入计划与进度计划不呼应，不能满足施工需要。</w:t>
            </w:r>
          </w:p>
        </w:tc>
        <w:tc>
          <w:tcPr>
            <w:tcW w:w="624" w:type="pct"/>
            <w:vAlign w:val="center"/>
          </w:tcPr>
          <w:p>
            <w:pPr>
              <w:snapToGrid w:val="0"/>
              <w:jc w:val="center"/>
              <w:rPr>
                <w:rFonts w:ascii="宋体" w:hAnsi="宋体" w:cs="宋体"/>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Cs/>
                <w:color w:val="auto"/>
                <w:szCs w:val="21"/>
                <w:highlight w:val="none"/>
              </w:rPr>
            </w:pPr>
            <w:bookmarkStart w:id="80" w:name="OLE_LINK13" w:colFirst="1" w:colLast="2"/>
            <w:r>
              <w:rPr>
                <w:rFonts w:hint="eastAsia" w:ascii="宋体" w:hAnsi="宋体" w:cs="宋体"/>
                <w:bCs/>
                <w:color w:val="auto"/>
                <w:szCs w:val="21"/>
                <w:highlight w:val="none"/>
              </w:rPr>
              <w:t>2.5</w:t>
            </w:r>
          </w:p>
        </w:tc>
        <w:tc>
          <w:tcPr>
            <w:tcW w:w="647"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劳动力安排计划</w:t>
            </w:r>
          </w:p>
        </w:tc>
        <w:tc>
          <w:tcPr>
            <w:tcW w:w="3306" w:type="pct"/>
            <w:vAlign w:val="center"/>
          </w:tcPr>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各主要施工工序应有详细周密的劳动力安排计划，有各工种劳动力安排计划，劳动力投入合理，满足施工需要。 </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一档（4分）：各主要施工工序应有详细周密的劳动力安排计划，有各工种劳动力安排计划，劳动力投入合理，满足施工需要。</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二档（3分）：各主要施工工序应有详细的劳动力安排计划，劳动力投入合理，满足施工需要。</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三档（2分）：投入计划与进度计划呼应，基本满足施工需要，调配投入计划基本合理、准确。</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四档（1分）：投入计划与进度计划不呼应，不能满足施工需要。</w:t>
            </w:r>
          </w:p>
        </w:tc>
        <w:tc>
          <w:tcPr>
            <w:tcW w:w="624" w:type="pct"/>
            <w:vAlign w:val="center"/>
          </w:tcPr>
          <w:p>
            <w:pPr>
              <w:snapToGrid w:val="0"/>
              <w:jc w:val="center"/>
              <w:rPr>
                <w:rFonts w:ascii="宋体" w:hAnsi="宋体" w:cs="宋体"/>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4分</w:t>
            </w:r>
          </w:p>
        </w:tc>
      </w:tr>
      <w:bookmarkEnd w:id="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2.6</w:t>
            </w:r>
          </w:p>
        </w:tc>
        <w:tc>
          <w:tcPr>
            <w:tcW w:w="647"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确保工程质量的技术组织措施</w:t>
            </w:r>
          </w:p>
        </w:tc>
        <w:tc>
          <w:tcPr>
            <w:tcW w:w="3306" w:type="pct"/>
            <w:vAlign w:val="center"/>
          </w:tcPr>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应有专门的质量技术管理班子和制度，且人员配备合理，制度健全。主要工序应有质量技术保证措施和手段，自控体系完整，能有效保证技术质量，达到承诺的质量标准。 </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一档（4分）：应有专门的质量技术管理班子和制度，且人员配备合理，制度健全。主要工序应有质量技术保证措施和手段，自控体系完整，能有效保证技术质量，达到承诺的质量标准。</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二档（3分）：应有质量技术管理班子和制度，且人员配备较合理，有较完善的制度。主要工序应有质量技术保证措施和手段，自控体系较完整，能保证技术质量，达到承诺的质量标准。</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三挡（2分）：应有质量技术管理班子和制度，且人员配备可行。主要工序应有质量技术保证措施和手段，自控体系可行，基本能保证技术质量，达到承诺的质量标准。</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四档（1分）：编制的质量技术保证措施和手段不完善、不满足项目的实际施工要求。质量保证措施不具体。</w:t>
            </w:r>
          </w:p>
        </w:tc>
        <w:tc>
          <w:tcPr>
            <w:tcW w:w="624" w:type="pct"/>
            <w:vAlign w:val="center"/>
          </w:tcPr>
          <w:p>
            <w:pPr>
              <w:snapToGrid w:val="0"/>
              <w:jc w:val="center"/>
              <w:rPr>
                <w:rFonts w:ascii="宋体" w:hAnsi="宋体" w:cs="宋体"/>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2.7</w:t>
            </w:r>
          </w:p>
        </w:tc>
        <w:tc>
          <w:tcPr>
            <w:tcW w:w="647"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确保安全生产的技术组织措施</w:t>
            </w:r>
          </w:p>
        </w:tc>
        <w:tc>
          <w:tcPr>
            <w:tcW w:w="3306" w:type="pct"/>
            <w:vAlign w:val="center"/>
          </w:tcPr>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应有专门的安全管理人员和制度，且人员配备合理，制度健全，各道工序安全技术措施针对性强，符合实际且满足有关安全技术标准要求。现场防火、应急救援、社会治安安全措施得力。 </w:t>
            </w:r>
          </w:p>
          <w:p>
            <w:pPr>
              <w:snapToGrid w:val="0"/>
              <w:jc w:val="left"/>
              <w:rPr>
                <w:rFonts w:ascii="宋体" w:hAnsi="宋体" w:cs="宋体"/>
                <w:color w:val="auto"/>
                <w:szCs w:val="21"/>
                <w:highlight w:val="none"/>
              </w:rPr>
            </w:pPr>
            <w:r>
              <w:rPr>
                <w:rFonts w:hint="eastAsia" w:ascii="宋体" w:hAnsi="宋体" w:cs="宋体"/>
                <w:color w:val="auto"/>
                <w:szCs w:val="21"/>
                <w:highlight w:val="none"/>
              </w:rPr>
              <w:t>一档（4分）：针对项目应有专门的安全管理人员和制度，且人员配备合理，制度健全，各道工序安全技术措施针对性强，符合实际且满足有关安全技术标准要求。现场防火、应急救援、社会治安安全措施得力。</w:t>
            </w:r>
          </w:p>
          <w:p>
            <w:pPr>
              <w:snapToGrid w:val="0"/>
              <w:jc w:val="left"/>
              <w:rPr>
                <w:rFonts w:ascii="宋体" w:hAnsi="宋体" w:cs="宋体"/>
                <w:color w:val="auto"/>
                <w:szCs w:val="21"/>
                <w:highlight w:val="none"/>
              </w:rPr>
            </w:pPr>
            <w:r>
              <w:rPr>
                <w:rFonts w:hint="eastAsia" w:ascii="宋体" w:hAnsi="宋体" w:cs="宋体"/>
                <w:color w:val="auto"/>
                <w:szCs w:val="21"/>
                <w:highlight w:val="none"/>
              </w:rPr>
              <w:t>二档（3分）：针对项目应有专门的安全管理人员和制度，且人员配备基本合理，制度基本健全，各道工序安全技术措施针对性强，基本满足符合实际且满足有关安全技术标准要求。现场防火、应急救援、社会治安安全措施得力。</w:t>
            </w:r>
          </w:p>
          <w:p>
            <w:pPr>
              <w:snapToGrid w:val="0"/>
              <w:jc w:val="left"/>
              <w:rPr>
                <w:rFonts w:ascii="宋体" w:hAnsi="宋体" w:cs="宋体"/>
                <w:color w:val="auto"/>
                <w:szCs w:val="21"/>
                <w:highlight w:val="none"/>
              </w:rPr>
            </w:pPr>
            <w:r>
              <w:rPr>
                <w:rFonts w:hint="eastAsia" w:ascii="宋体" w:hAnsi="宋体" w:cs="宋体"/>
                <w:color w:val="auto"/>
                <w:szCs w:val="21"/>
                <w:highlight w:val="none"/>
              </w:rPr>
              <w:t>三档（2分）：针对项目有专门的安全管理人员和制度，但人员配备不够合理，制度不够健全，各道工序安全技术措施针对性一般，不够符合实际且不能满足有关安全技术标准要求。现场防火、应急救援、社会治安安全措施不够完善。</w:t>
            </w:r>
          </w:p>
          <w:p>
            <w:pPr>
              <w:snapToGrid w:val="0"/>
              <w:jc w:val="left"/>
              <w:rPr>
                <w:rFonts w:ascii="宋体" w:hAnsi="宋体" w:cs="宋体"/>
                <w:color w:val="auto"/>
                <w:szCs w:val="21"/>
                <w:highlight w:val="none"/>
              </w:rPr>
            </w:pPr>
            <w:r>
              <w:rPr>
                <w:rFonts w:hint="eastAsia" w:ascii="宋体" w:hAnsi="宋体" w:cs="宋体"/>
                <w:color w:val="auto"/>
                <w:szCs w:val="21"/>
                <w:highlight w:val="none"/>
              </w:rPr>
              <w:t>四档（1分）：针对项目有专门的安全管理人员和制度，但人员配备不合理，制度不健全，各道工序安全技术措施针对性差，不符合实际且不能满足有关安全技术标准要求。现场防火、应急救援、社会治安安全措施不完善。</w:t>
            </w:r>
          </w:p>
        </w:tc>
        <w:tc>
          <w:tcPr>
            <w:tcW w:w="624" w:type="pct"/>
            <w:vAlign w:val="center"/>
          </w:tcPr>
          <w:p>
            <w:pPr>
              <w:snapToGrid w:val="0"/>
              <w:jc w:val="center"/>
              <w:rPr>
                <w:rFonts w:ascii="宋体" w:hAnsi="宋体" w:cs="宋体"/>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2.8</w:t>
            </w:r>
          </w:p>
        </w:tc>
        <w:tc>
          <w:tcPr>
            <w:tcW w:w="647"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确保工期的技术组织措施</w:t>
            </w:r>
          </w:p>
        </w:tc>
        <w:tc>
          <w:tcPr>
            <w:tcW w:w="3306" w:type="pct"/>
            <w:vAlign w:val="center"/>
          </w:tcPr>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4分）：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3分）：在施工工艺、施工方法、材料选用、劳动力安排、技术等方面有基本保证工期的具体措施且措施可行。有控制工期的施工进度计划。应有施工总进度表或施工网络图，各项计划图表编制比较完善，安排科学合理，符合本项目施工实际要求。</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2分）：在施工工艺、施工方法、材料选用、劳动力安排、技术等方面有基本保证工期的措施，措施基本可行。有控制工期的施工进度计划。应有施工总进度表或施工网络图，各项计划图表编制基本完善，安排科学基本合理，基本符合本项目施工要求。</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1分）：在施工工艺、施工方法、材料选用、劳动力安排、技术等方面没有保证工期的具体措施。没有控制工期的施工进度计划。没有有施工总进度表或施工网络图，各项计划图表编制不完善，安排科学不合理，不符合本项目施工实际要求。</w:t>
            </w:r>
          </w:p>
        </w:tc>
        <w:tc>
          <w:tcPr>
            <w:tcW w:w="624"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2.9</w:t>
            </w:r>
          </w:p>
        </w:tc>
        <w:tc>
          <w:tcPr>
            <w:tcW w:w="647"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确保文明施工的技术组织措施</w:t>
            </w:r>
          </w:p>
        </w:tc>
        <w:tc>
          <w:tcPr>
            <w:tcW w:w="3306" w:type="pct"/>
            <w:vAlign w:val="center"/>
          </w:tcPr>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4分）：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3分）：针对本工程项目特点，应有现场文明施工、环境保护措施，且措施内容应达到《建筑施工安全生产检查标准》（JGJ59-2011）合格标准并符合《广西壮族自治区建筑工程文明施工导则》要求。各项措施比较具体。有实现现场文明施工目标的承诺。</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三档（2分）：有基本合理的措施，采用规范正确。</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四档（1分）：安全文明措施不得力，采用规范不正确。</w:t>
            </w:r>
          </w:p>
        </w:tc>
        <w:tc>
          <w:tcPr>
            <w:tcW w:w="624"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2.10</w:t>
            </w:r>
          </w:p>
        </w:tc>
        <w:tc>
          <w:tcPr>
            <w:tcW w:w="647"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工程施工的重点和难点及保证措施</w:t>
            </w:r>
          </w:p>
        </w:tc>
        <w:tc>
          <w:tcPr>
            <w:tcW w:w="3306" w:type="pct"/>
            <w:vAlign w:val="center"/>
          </w:tcPr>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针对本工程的特点，阐述本工程的重点和难点，解决重点和难点问题的方法是否合理。</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一档（4分）：针对本工程的特点，阐述本工程的重点和难点，解决重点和难点问题的方法是否具体而合理。</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二档（3分）：针对本工程的特点，阐述本工程的重点和难点，解决重点和难点问题的方法可行。</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三档（2分）：针对本工程的特点，阐述本工程的重点和难点，解决重点和难点问题的方法基本可行。</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四档（1分）：针对本工程的特点，阐述本工程的重点和难点，解决重点和难点问题的方法不可行。</w:t>
            </w:r>
          </w:p>
        </w:tc>
        <w:tc>
          <w:tcPr>
            <w:tcW w:w="624"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2.11</w:t>
            </w:r>
          </w:p>
        </w:tc>
        <w:tc>
          <w:tcPr>
            <w:tcW w:w="647"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施工总平面布置图</w:t>
            </w:r>
          </w:p>
        </w:tc>
        <w:tc>
          <w:tcPr>
            <w:tcW w:w="3306" w:type="pct"/>
            <w:vAlign w:val="center"/>
          </w:tcPr>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应有施工总平面布置图，安排科学合理，符合本项目施工实际要求及文件要求。</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一档（4分）：应有施工总平面布置图，安排科学合理，符合本项目施工实际要求。</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二档（3分）：应有施工总平面布置图，安排科学合理，基本符合本项目施工实际要求及文件要求。</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三档（2分）：应有的施工总平面布置图，安排基本可行，基本满足本项目施工实际要求及文件要求。</w:t>
            </w:r>
          </w:p>
          <w:p>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四档（1分）：布置不合理，不符合安全、文明生产要求。</w:t>
            </w:r>
          </w:p>
        </w:tc>
        <w:tc>
          <w:tcPr>
            <w:tcW w:w="624"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3" w:type="pct"/>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647" w:type="pct"/>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商务分</w:t>
            </w:r>
          </w:p>
        </w:tc>
        <w:tc>
          <w:tcPr>
            <w:tcW w:w="3306" w:type="pct"/>
            <w:vAlign w:val="center"/>
          </w:tcPr>
          <w:p>
            <w:pPr>
              <w:snapToGrid w:val="0"/>
              <w:jc w:val="left"/>
              <w:rPr>
                <w:rFonts w:ascii="宋体" w:hAnsi="宋体" w:cs="宋体"/>
                <w:b/>
                <w:color w:val="auto"/>
                <w:szCs w:val="21"/>
                <w:highlight w:val="none"/>
              </w:rPr>
            </w:pPr>
            <w:r>
              <w:rPr>
                <w:rFonts w:hint="eastAsia" w:ascii="宋体" w:hAnsi="宋体" w:cs="宋体"/>
                <w:b/>
                <w:color w:val="auto"/>
                <w:szCs w:val="21"/>
                <w:highlight w:val="none"/>
              </w:rPr>
              <w:t>评审因素</w:t>
            </w:r>
          </w:p>
        </w:tc>
        <w:tc>
          <w:tcPr>
            <w:tcW w:w="624" w:type="pct"/>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3.1</w:t>
            </w:r>
          </w:p>
        </w:tc>
        <w:tc>
          <w:tcPr>
            <w:tcW w:w="647" w:type="pct"/>
            <w:vAlign w:val="center"/>
          </w:tcPr>
          <w:p>
            <w:pPr>
              <w:widowControl/>
              <w:snapToGrid w:val="0"/>
              <w:jc w:val="center"/>
              <w:rPr>
                <w:rFonts w:ascii="宋体" w:hAnsi="宋体" w:cs="宋体"/>
                <w:b/>
                <w:bCs/>
                <w:color w:val="auto"/>
                <w:szCs w:val="21"/>
                <w:highlight w:val="none"/>
              </w:rPr>
            </w:pPr>
            <w:r>
              <w:rPr>
                <w:rFonts w:hint="eastAsia" w:ascii="宋体" w:hAnsi="宋体" w:cs="宋体"/>
                <w:color w:val="auto"/>
                <w:szCs w:val="21"/>
                <w:highlight w:val="none"/>
              </w:rPr>
              <w:t>业绩分</w:t>
            </w:r>
          </w:p>
        </w:tc>
        <w:tc>
          <w:tcPr>
            <w:tcW w:w="3306" w:type="pct"/>
            <w:vAlign w:val="center"/>
          </w:tcPr>
          <w:p>
            <w:pPr>
              <w:snapToGrid w:val="0"/>
              <w:jc w:val="left"/>
              <w:rPr>
                <w:rFonts w:ascii="宋体" w:hAnsi="宋体" w:cs="宋体"/>
                <w:bCs/>
                <w:color w:val="auto"/>
                <w:szCs w:val="21"/>
                <w:highlight w:val="none"/>
              </w:rPr>
            </w:pPr>
            <w:r>
              <w:rPr>
                <w:rFonts w:hint="eastAsia" w:ascii="宋体" w:hAnsi="宋体" w:cs="宋体"/>
                <w:bCs/>
                <w:color w:val="auto"/>
                <w:szCs w:val="21"/>
                <w:highlight w:val="none"/>
              </w:rPr>
              <w:t>供应商在近三年内承担过同类项目业绩，每有一个项目得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分，满分</w:t>
            </w:r>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分(须提供合同或中标(成交)通知书复印件并加盖公章，不按照上述要求提供资料者，不作为评分依据)</w:t>
            </w:r>
          </w:p>
        </w:tc>
        <w:tc>
          <w:tcPr>
            <w:tcW w:w="624" w:type="pct"/>
            <w:vAlign w:val="center"/>
          </w:tcPr>
          <w:p>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满分20分</w:t>
            </w:r>
          </w:p>
        </w:tc>
      </w:tr>
    </w:tbl>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w:t>
      </w:r>
      <w:bookmarkEnd w:id="79"/>
    </w:p>
    <w:p>
      <w:pPr>
        <w:spacing w:line="360" w:lineRule="auto"/>
        <w:ind w:firstLine="482" w:firstLineChars="200"/>
        <w:rPr>
          <w:rFonts w:ascii="宋体" w:hAnsi="宋体" w:cs="宋体"/>
          <w:b/>
          <w:bCs/>
          <w:color w:val="auto"/>
          <w:sz w:val="24"/>
          <w:highlight w:val="none"/>
        </w:rPr>
      </w:pPr>
      <w:bookmarkStart w:id="81" w:name="_Toc80205935"/>
      <w:r>
        <w:rPr>
          <w:rFonts w:hint="eastAsia" w:ascii="宋体" w:hAnsi="宋体" w:cs="宋体"/>
          <w:b/>
          <w:bCs/>
          <w:color w:val="auto"/>
          <w:sz w:val="24"/>
          <w:highlight w:val="none"/>
        </w:rPr>
        <w:t>7.2终止竞争性磋商采购活动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widowControl/>
        <w:jc w:val="left"/>
        <w:rPr>
          <w:rFonts w:ascii="宋体" w:hAnsi="宋体" w:cs="宋体"/>
          <w:color w:val="auto"/>
          <w:sz w:val="24"/>
          <w:highlight w:val="none"/>
        </w:rPr>
      </w:pPr>
      <w:r>
        <w:rPr>
          <w:rFonts w:ascii="宋体" w:hAnsi="宋体" w:cs="宋体"/>
          <w:color w:val="auto"/>
          <w:sz w:val="24"/>
          <w:highlight w:val="none"/>
        </w:rPr>
        <w:br w:type="page"/>
      </w:r>
    </w:p>
    <w:p>
      <w:pPr>
        <w:spacing w:line="360" w:lineRule="auto"/>
        <w:ind w:firstLine="480" w:firstLineChars="200"/>
        <w:rPr>
          <w:rFonts w:ascii="宋体" w:hAnsi="宋体" w:cs="宋体"/>
          <w:color w:val="auto"/>
          <w:sz w:val="24"/>
          <w:highlight w:val="none"/>
        </w:rPr>
      </w:pPr>
    </w:p>
    <w:p>
      <w:pPr>
        <w:pStyle w:val="3"/>
        <w:spacing w:beforeLines="50" w:after="0" w:line="360" w:lineRule="auto"/>
        <w:jc w:val="center"/>
        <w:rPr>
          <w:rFonts w:ascii="宋体" w:hAnsi="宋体" w:cs="宋体"/>
          <w:bCs w:val="0"/>
          <w:color w:val="auto"/>
          <w:sz w:val="28"/>
          <w:szCs w:val="28"/>
          <w:highlight w:val="none"/>
        </w:rPr>
      </w:pPr>
      <w:bookmarkStart w:id="82" w:name="_Toc25766"/>
      <w:r>
        <w:rPr>
          <w:rFonts w:hint="eastAsia" w:ascii="宋体" w:hAnsi="宋体" w:cs="宋体"/>
          <w:bCs w:val="0"/>
          <w:color w:val="auto"/>
          <w:sz w:val="28"/>
          <w:szCs w:val="28"/>
          <w:highlight w:val="none"/>
        </w:rPr>
        <w:t>第二节 评标报告</w:t>
      </w:r>
      <w:bookmarkEnd w:id="81"/>
      <w:bookmarkEnd w:id="82"/>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1.成交标准</w:t>
      </w:r>
    </w:p>
    <w:p>
      <w:pPr>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由磋商小组根据综合评分情况，按照评审得分由高到低顺序推荐3名以上成交候选供应商</w:t>
      </w:r>
      <w:r>
        <w:rPr>
          <w:rFonts w:hint="eastAsia" w:ascii="宋体" w:hAnsi="宋体" w:cs="宋体"/>
          <w:color w:val="auto"/>
          <w:sz w:val="24"/>
          <w:highlight w:val="none"/>
        </w:rPr>
        <w:t>,并在线编写电子评审报告</w:t>
      </w:r>
      <w:r>
        <w:rPr>
          <w:rFonts w:hint="eastAsia" w:ascii="宋体" w:hAnsi="宋体" w:cs="宋体"/>
          <w:bCs/>
          <w:color w:val="auto"/>
          <w:sz w:val="24"/>
          <w:highlight w:val="none"/>
        </w:rPr>
        <w:t>。符合本章第一节第5.4条情形的，可以推荐2家成交候选供应商。评审得分相同的，按照最后报价（不计算价格折扣）由低到高的顺序推荐。评审得分且最后报价（不计算价格折扣）相同的，按照技术得分由高到低排序推荐，技术得分相同的按照商务得分由高到低排序推荐。评审得分、最后报价（不计算价格折扣）、技术得分、商务得分均相同的，由磋商小组随机抽取推荐。</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2.评标争议事项处理</w:t>
      </w:r>
    </w:p>
    <w:p>
      <w:pPr>
        <w:pStyle w:val="78"/>
        <w:spacing w:before="0" w:line="400" w:lineRule="exact"/>
        <w:ind w:firstLine="480"/>
        <w:rPr>
          <w:rFonts w:ascii="宋体" w:hAnsi="宋体" w:cs="宋体"/>
          <w:color w:val="auto"/>
          <w:kern w:val="2"/>
          <w:szCs w:val="24"/>
          <w:highlight w:val="none"/>
        </w:rPr>
      </w:pPr>
      <w:r>
        <w:rPr>
          <w:rFonts w:hint="eastAsia" w:ascii="宋体" w:hAnsi="宋体" w:cs="宋体"/>
          <w:color w:val="auto"/>
          <w:kern w:val="2"/>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pPr>
        <w:pStyle w:val="78"/>
        <w:spacing w:before="0" w:line="400" w:lineRule="exact"/>
        <w:ind w:firstLine="480"/>
        <w:rPr>
          <w:rFonts w:ascii="宋体" w:hAnsi="宋体" w:cs="宋体"/>
          <w:color w:val="auto"/>
          <w:kern w:val="2"/>
          <w:szCs w:val="24"/>
          <w:highlight w:val="none"/>
        </w:rPr>
      </w:pPr>
    </w:p>
    <w:p>
      <w:pPr>
        <w:pStyle w:val="3"/>
        <w:spacing w:before="0" w:after="0" w:line="360" w:lineRule="auto"/>
        <w:jc w:val="center"/>
        <w:rPr>
          <w:rFonts w:ascii="宋体" w:hAnsi="宋体" w:cs="宋体"/>
          <w:b w:val="0"/>
          <w:color w:val="auto"/>
          <w:highlight w:val="none"/>
        </w:rPr>
      </w:pPr>
      <w:bookmarkStart w:id="83" w:name="_Toc6554"/>
      <w:bookmarkStart w:id="84" w:name="_Toc80205936"/>
      <w:r>
        <w:rPr>
          <w:rFonts w:hint="eastAsia" w:ascii="宋体" w:hAnsi="宋体" w:cs="宋体"/>
          <w:bCs w:val="0"/>
          <w:color w:val="auto"/>
          <w:sz w:val="28"/>
          <w:szCs w:val="28"/>
          <w:highlight w:val="none"/>
        </w:rPr>
        <w:t>第三节 评审过程的保密与录像</w:t>
      </w:r>
      <w:bookmarkEnd w:id="83"/>
      <w:bookmarkEnd w:id="84"/>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1.保密</w:t>
      </w:r>
    </w:p>
    <w:p>
      <w:pPr>
        <w:widowControl/>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pPr>
        <w:widowControl/>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2.录音录像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采购代理机构对评审工作现场及操作屏幕进行全过程录音录像，录音录像资料作为采购项目文件随其他文件一并存档。</w:t>
      </w:r>
    </w:p>
    <w:p>
      <w:pPr>
        <w:widowControl/>
        <w:jc w:val="left"/>
        <w:rPr>
          <w:rFonts w:ascii="宋体" w:hAnsi="宋体" w:cs="宋体"/>
          <w:color w:val="auto"/>
          <w:highlight w:val="none"/>
        </w:rPr>
      </w:pPr>
      <w:r>
        <w:rPr>
          <w:rFonts w:ascii="宋体" w:hAnsi="宋体" w:cs="宋体"/>
          <w:color w:val="auto"/>
          <w:highlight w:val="none"/>
        </w:rPr>
        <w:br w:type="page"/>
      </w:r>
    </w:p>
    <w:p>
      <w:pPr>
        <w:spacing w:line="400" w:lineRule="exact"/>
        <w:ind w:firstLine="420" w:firstLineChars="200"/>
        <w:rPr>
          <w:rFonts w:ascii="宋体" w:hAnsi="宋体" w:cs="宋体"/>
          <w:color w:val="auto"/>
          <w:highlight w:val="none"/>
        </w:rPr>
      </w:pPr>
    </w:p>
    <w:p>
      <w:pPr>
        <w:pStyle w:val="2"/>
        <w:spacing w:before="0" w:after="0" w:line="360" w:lineRule="auto"/>
        <w:jc w:val="center"/>
        <w:rPr>
          <w:rFonts w:hint="eastAsia" w:ascii="宋体" w:hAnsi="宋体" w:eastAsia="宋体" w:cs="宋体"/>
          <w:bCs w:val="0"/>
          <w:color w:val="auto"/>
          <w:kern w:val="2"/>
          <w:sz w:val="32"/>
          <w:szCs w:val="32"/>
          <w:highlight w:val="none"/>
          <w:lang w:val="en-US" w:eastAsia="zh-CN"/>
        </w:rPr>
      </w:pPr>
      <w:bookmarkStart w:id="85" w:name="_Toc19118"/>
      <w:r>
        <w:rPr>
          <w:rFonts w:hint="eastAsia" w:ascii="宋体" w:hAnsi="宋体" w:cs="宋体"/>
          <w:bCs w:val="0"/>
          <w:color w:val="auto"/>
          <w:kern w:val="2"/>
          <w:sz w:val="32"/>
          <w:szCs w:val="32"/>
          <w:highlight w:val="none"/>
        </w:rPr>
        <w:t>第五章  工程量清单</w:t>
      </w:r>
      <w:bookmarkEnd w:id="85"/>
      <w:r>
        <w:rPr>
          <w:rFonts w:hint="eastAsia" w:ascii="宋体" w:hAnsi="宋体" w:cs="宋体"/>
          <w:bCs w:val="0"/>
          <w:color w:val="auto"/>
          <w:kern w:val="2"/>
          <w:sz w:val="32"/>
          <w:szCs w:val="32"/>
          <w:highlight w:val="none"/>
          <w:lang w:val="en-US" w:eastAsia="zh-CN"/>
        </w:rPr>
        <w:t xml:space="preserve"> </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一、工程量清单说明</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1.工程量清单编制说明</w:t>
      </w:r>
    </w:p>
    <w:p>
      <w:pPr>
        <w:widowControl/>
        <w:spacing w:line="360" w:lineRule="auto"/>
        <w:ind w:firstLine="480" w:firstLineChars="200"/>
        <w:jc w:val="left"/>
        <w:rPr>
          <w:rFonts w:ascii="宋体" w:hAnsi="宋体" w:cs="宋体"/>
          <w:color w:val="auto"/>
          <w:highlight w:val="none"/>
        </w:rPr>
      </w:pPr>
      <w:r>
        <w:rPr>
          <w:rFonts w:hint="eastAsia" w:ascii="宋体" w:hAnsi="宋体" w:cs="宋体"/>
          <w:color w:val="auto"/>
          <w:sz w:val="24"/>
          <w:highlight w:val="none"/>
        </w:rPr>
        <w:t>1.1本工程量清单依据</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1、《建设工程工程量清单计价规范》(GB50500-2013)、《市政工程工程量计算规范》(GB 50857-2013)、《园林绿化工程工程量计算规范》(GB50858-2013)、《通用安装工程工程量计算规范》(GB 50856-2013)、《&lt;建设工程工程量清单计算规范&gt;GB50854～50862-2013 广西壮族自治区实施细则》修订版、广西壮族自治区住房和城乡建设厅颁布的《&lt;建设工程工程量清单计价规范&gt;GB50500-2013广西壮族自治区实施细则》；</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2、2024 年《广西壮族自治区建筑装饰装修工程消耗量定额》、2022年《广西壮族自治区市政工程消耗量定额》、2023年《广西壮族自治区安装工程消耗量定额》、等相应费用定额及有关计价文件；</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3、由梧州市长洲区农业技术推广站提供经洛阳市规划建筑设计研究院设计的《六堡茶种质资源圃建设项目》、本项目图纸提问答复及相应修改的图纸等；</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4、《广西壮族自治区住房城乡建设厅文件关于调整建设工程计价增值税税率的通知》(桂建标[2019]12号)；</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5、《自治区住房城乡建设厅关于建筑业实施营业税改增值税后广西壮族自治区建设工程计价依据调整的通知》(桂建标〔2016〕17号)；</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6、自治区住房城乡建设厅关于调整建设工程定额人工费及有关费率的通知(桂建标[2023]7号)；</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7、《自治区住房城乡建设厅关于印发广西壮族自治区房屋建筑和市政基础设施工程安全生产责任保险计价规定的通知》（桂建发〔2023〕6号）、《自治区住房城乡建设厅关于进一步明确广西壮族自治区房屋建筑和市政基础设施工程安全生产责任保险费计价规定的通知》（桂建价〔2024〕2号）。</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8、材料价格按《梧州市建设工程造价信息》2026年第4期发布的材料除税价格计取，缺项部分采用市场询价；</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11、与建设工程项目有关的标准、规范、技术资料；</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12、招标文件的具体要求；</w:t>
      </w:r>
    </w:p>
    <w:p>
      <w:pPr>
        <w:spacing w:line="500" w:lineRule="exact"/>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 xml:space="preserve">  13、其他相关资料。</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备注：《计价规范》中工程量清单格式名词中，“招标”与本采购文件“采购”同义，“投标”与本采购文件“竞标”或“磋商”同义，“发包人”“招标人”与本采购文件“采购人”同义，“承包人”“投标人”与本采购文件“供应商”同义。</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1.2工程量清单应与磋商须知、合同协议条款、合同的通用条款、合同专用条款、技术规范及图纸等文件一起结合使用。</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1.3工程量清单是采购文件的组成部分，是工程量清单计价的基础，作为编制采购预算、竞标报价、计算或调整工程量、索赔等的依据之一。</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1.4工程量清单另册发放。</w:t>
      </w:r>
    </w:p>
    <w:p>
      <w:pPr>
        <w:spacing w:line="50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本项目增值税计税方式采用：</w:t>
      </w:r>
      <w:r>
        <w:rPr>
          <w:rFonts w:hint="eastAsia" w:ascii="宋体" w:hAnsi="宋体" w:cs="宋体"/>
          <w:b/>
          <w:bCs/>
          <w:color w:val="auto"/>
          <w:sz w:val="24"/>
          <w:highlight w:val="none"/>
        </w:rPr>
        <w:sym w:font="Wingdings 2" w:char="0052"/>
      </w:r>
      <w:r>
        <w:rPr>
          <w:rFonts w:hint="eastAsia" w:ascii="宋体" w:hAnsi="宋体" w:cs="宋体"/>
          <w:b/>
          <w:bCs/>
          <w:color w:val="auto"/>
          <w:sz w:val="24"/>
          <w:highlight w:val="none"/>
        </w:rPr>
        <w:t>一般计税法，</w:t>
      </w:r>
      <w:r>
        <w:rPr>
          <w:rFonts w:hint="eastAsia" w:ascii="宋体" w:hAnsi="宋体" w:cs="宋体"/>
          <w:b/>
          <w:bCs/>
          <w:color w:val="auto"/>
          <w:sz w:val="24"/>
          <w:highlight w:val="none"/>
        </w:rPr>
        <w:sym w:font="Wingdings 2" w:char="00A3"/>
      </w:r>
      <w:r>
        <w:rPr>
          <w:rFonts w:hint="eastAsia" w:ascii="宋体" w:hAnsi="宋体" w:cs="宋体"/>
          <w:b/>
          <w:bCs/>
          <w:color w:val="auto"/>
          <w:sz w:val="24"/>
          <w:highlight w:val="none"/>
        </w:rPr>
        <w:t>简易计税法。</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般计税法建设工程的工程量清单表格按《关于建筑业实施营业税改征增值税后广西壮族自治区建设工程计价依据调整的通知》（桂建标〔2016〕17号）附件“增值税一般计税方法工程计价表”要求提供；简易计税法建设工程按照《计价规范》要求的表格提供，但规费和税费要按照《关于建筑业实施营业税改征增值税后广西壮族自治区建设工程计价依据调整的通知》（桂建标〔2016〕17号）要求调整。工程量清单的构成按《计价规范》有关规定执行。具体包括：</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招标工程量清单封面（封-1）</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招标工程量清单扉页（扉-1）</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总说明（表-01）</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 单位工程投标报价汇总表（总）（表-04）</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1.5分部分项工程和单价措施项目清单与计价表（表-08）</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 总价措施项目清单与计价表（表-11）</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 其他项目清单与计价汇总表（表-12）</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 税前项目清单与计价表（表-14）</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 规费、增值税计价表（表-15）</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2.采购预算编制说明</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招标控制价编制依据：</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1、《建设工程工程量清单计价规范》(GB50500-2013)、《市政工程工程量计算规范》(GB 50857-2013)、《园林绿化工程工程量计算规范》(GB50858-2013)、《通用安装工程工程量计算规范》(GB 50856-2013)、《&lt;建设工程工程量清单计算规范&gt;GB50854～50862-2013 广西壮族自治区实施细则》修订版、广西壮族自治区住房和城乡建设厅颁布的《&lt;建设工程工程量清单计价规范&gt;GB50500-2013广西壮族自治区实施细则》；</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2、2024 年《广西壮族自治区建筑装饰装修工程消耗量定额》、2022年《广西壮族自治区市政工程消耗量定额》、2023年《广西壮族自治区安装工程消耗量定额》、等相应费用定额及有关计价文件；</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3、由梧州市长洲区农业技术推广站提供经洛阳市规划建筑设计研究院设计的《六堡茶种质资源圃建设项目》、本项目图纸提问答复及相应修改的图纸等；</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4、《广西壮族自治区住房城乡建设厅文件关于调整建设工程计价增值税税率的通知》(桂建标[2019]12号)；</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5、《自治区住房城乡建设厅关于建筑业实施营业税改增值税后广西壮族自治区建设工程计价依据调整的通知》(桂建标〔2016〕17号)；</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6、自治区住房城乡建设厅关于调整建设工程定额人工费及有关费率的通知(桂建标[2023]7号)；</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7、《自治区住房城乡建设厅关于印发广西壮族自治区房屋建筑和市政基础设施工程安全生产责任保险计价规定的通知》（桂建发〔2023〕6号）、《自治区住房城乡建设厅关于进一步明确广西壮族自治区房屋建筑和市政基础设施工程安全生产责任保险费计价规定的通知》（桂建价〔2024〕2号）。</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8、材料价格按《梧州市建设工程造价信息》2026年第4期发布的材料除税价格计取，缺项部分采用市场询价；</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11、与建设工程项目有关的标准、规范、技术资料；</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12、招标文件的具体要求；</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13、其他相关资料。</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 分部分项及单价措施项目综合单价应包括磋商文件中采购人要求供应商所承担的风险内容及其范围（幅度）产生的风险费用。</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 总价措施项目应根据拟定的磋商文件和常规施工方案按《计价规范》和《计算规范》规定编制。</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 其他项目费应按下列规定报价：</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（1）暂列金额应按工程量清单中列出的金额填写；</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（2）材料、工程设备暂估价应按工程量清单中列出的单价计入综合单价；</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（3）专业工程暂估价应按工程量清单中列出的金额填写；</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（4）计日工应按工程量清单中列出的项目和数量，根据工程特点和有关计价依据确定的综合单价计算；</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（5）总承包服务费应根据工程量清单列出的内容和要求，按自治区住房城乡建设行政主管部门颁发的计价定额及有关规定计算。</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（6）对建设单位创建优质工程的，鼓励在招标控制价和预算中按广西区工程建设定额规定计列工程优质费，并明确工程优质费不可竞争。</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 规费和增值税应按规定确定，作为不可竞争费用。</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 其它需要说明的问题：</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1、综合单价已考虑包括但不限于材料的采购、包装、运输、高速公路通行费、装卸、堆放等到达施工现场指定落地或堆放地点之前的全部费用；如实际发生材料二次运输，结算时办理相关手续后予以计算。</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2、根据文件《自治区住房城乡建设厅关自治区住房城乡建设厅关于进一步明确广西壮族自治区房屋建筑和市政基础设施工程安全生产责任保险费计价规定的通知》（桂建价〔2024〕2号），安全生产责任险暂估价按招标工程量清单公布金额填写，投标人不得调整。</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3、本项目临时排水排污、防尘治理包含在工程排污费及安全文明施工费内，不另外考虑。</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4、投标人应在相应清单单价内综合考虑本项目场内土石方临时堆放、二次运输费用、附着物清理等。</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5、土方运距5km考虑计算，结算时按实调整。</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3.竞标报价（已标价工程量清单）编制说明</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 供应商应按工程量清单填报价格。项目编码、项目名称、项目特征、计量单位、工程量必须与工程量清单一致，供应商不得对工程量清单项目进行增减调整。</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 综合单价中应包含磋商文件中划分的应由供应商承担的风险范围及其费用。</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 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 总价措施项目的金额应根据磋商文件及竞标时拟定的施工组织设计或施工方案，按计价规范的规定自主确定。但安全文明施工费按国家、省级或行业建设主管部门的有关规定执行，作为不竞争费用单列。</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 其他项目费应按下列规定报价：</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（1）暂列金额应按工程量清单中列出的金额填写；</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（2）材料、工程设备暂估价应按工程量清单中列出的单价计入综合单价；</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（3）专业工程暂估价应按工程量清单中列出的金额填写；</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（4）计日工应按工程量清单中列出的项目和估算数量，自主确定综合单价并计算计日工总额；计日工单价均不含规费和税金；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（5）总承包服务费应根据工程量清单中列出的内容和供应材料、设备情况，按照采购人提出的协调、配合与服务要求和施工现场管理需要自主确定。</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（6）对建设单位创建优质工程的，鼓励在招标控制价和预算中按我区工程建设定额规定计列工程优质费，并明确工程优质费不可竞争。</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 规费和增值税应按规定确定，作为不可竞争费用。</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3.8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3.9 投标总价应当与分部分项工程费、措施项目费、其他项目费和规费、增值税的合计金额一致。</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3.10供应商应按《允许调整主要材料和工程设备一览表》的内容填报，不得擅自调整材料和设备名称型号规格、单位、风险系数、基准单价。</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3.11竞标报价表格按本工程工程量清单表格要求填写，并应按磋商文件的要求，附上《工程量清单综合单价分析表》（表-09）和《主要清单项目工料机分析表》（表-10）。</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未尽事宜详见本工程工程量清单、招标控制价编制说明以及现行《计价规范》等有关规定执行。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pPr>
        <w:pStyle w:val="13"/>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二、工程量清单[登陆广西政府采购云平台（https://www.gcy.zfcg.gxzf.gov.cn/）获取（下载）]是本竞争性磋商文件的组成部分。</w:t>
      </w:r>
    </w:p>
    <w:p>
      <w:pPr>
        <w:spacing w:line="500" w:lineRule="exact"/>
        <w:ind w:firstLine="480" w:firstLineChars="200"/>
        <w:rPr>
          <w:rFonts w:ascii="宋体" w:hAnsi="宋体" w:cs="宋体"/>
          <w:color w:val="auto"/>
          <w:sz w:val="24"/>
          <w:highlight w:val="none"/>
        </w:rPr>
      </w:pPr>
    </w:p>
    <w:p>
      <w:pPr>
        <w:widowControl/>
        <w:jc w:val="left"/>
        <w:rPr>
          <w:rFonts w:ascii="宋体" w:hAnsi="宋体" w:cs="宋体"/>
          <w:color w:val="auto"/>
          <w:sz w:val="24"/>
          <w:highlight w:val="none"/>
        </w:rPr>
      </w:pPr>
    </w:p>
    <w:p>
      <w:pPr>
        <w:rPr>
          <w:rFonts w:hint="eastAsia" w:ascii="宋体" w:hAnsi="宋体" w:cs="宋体"/>
          <w:bCs w:val="0"/>
          <w:color w:val="auto"/>
          <w:kern w:val="2"/>
          <w:sz w:val="32"/>
          <w:szCs w:val="32"/>
          <w:highlight w:val="none"/>
        </w:rPr>
      </w:pPr>
      <w:bookmarkStart w:id="86" w:name="_Toc30036"/>
      <w:r>
        <w:rPr>
          <w:rFonts w:hint="eastAsia" w:ascii="宋体" w:hAnsi="宋体" w:cs="宋体"/>
          <w:bCs w:val="0"/>
          <w:color w:val="auto"/>
          <w:kern w:val="2"/>
          <w:sz w:val="32"/>
          <w:szCs w:val="32"/>
          <w:highlight w:val="none"/>
        </w:rPr>
        <w:br w:type="page"/>
      </w:r>
    </w:p>
    <w:p>
      <w:pPr>
        <w:pStyle w:val="2"/>
        <w:spacing w:before="0" w:after="0" w:line="360" w:lineRule="auto"/>
        <w:jc w:val="center"/>
        <w:rPr>
          <w:rFonts w:ascii="宋体" w:hAnsi="宋体" w:cs="宋体"/>
          <w:bCs w:val="0"/>
          <w:color w:val="auto"/>
          <w:kern w:val="2"/>
          <w:sz w:val="32"/>
          <w:szCs w:val="32"/>
          <w:highlight w:val="none"/>
        </w:rPr>
      </w:pPr>
      <w:r>
        <w:rPr>
          <w:rFonts w:hint="eastAsia" w:ascii="宋体" w:hAnsi="宋体" w:cs="宋体"/>
          <w:bCs w:val="0"/>
          <w:color w:val="auto"/>
          <w:kern w:val="2"/>
          <w:sz w:val="32"/>
          <w:szCs w:val="32"/>
          <w:highlight w:val="none"/>
        </w:rPr>
        <w:t>第六章 图纸（另册）</w:t>
      </w:r>
      <w:bookmarkEnd w:id="86"/>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施工图纸（如有的话）[登陆广西政府采购云平台（https://www.gcy.zfcg.gxzf.gov.cn/）获取（下载）]，是本竞争性磋商文件的组成部分。</w:t>
      </w:r>
    </w:p>
    <w:p>
      <w:pPr>
        <w:widowControl/>
        <w:jc w:val="left"/>
        <w:rPr>
          <w:rFonts w:ascii="宋体" w:hAnsi="宋体" w:cs="宋体"/>
          <w:color w:val="auto"/>
          <w:sz w:val="28"/>
          <w:szCs w:val="28"/>
          <w:highlight w:val="none"/>
        </w:rPr>
      </w:pPr>
      <w:r>
        <w:rPr>
          <w:rFonts w:ascii="宋体" w:hAnsi="宋体" w:cs="宋体"/>
          <w:color w:val="auto"/>
          <w:sz w:val="28"/>
          <w:szCs w:val="28"/>
          <w:highlight w:val="none"/>
        </w:rPr>
        <w:br w:type="page"/>
      </w:r>
    </w:p>
    <w:p>
      <w:pPr>
        <w:pStyle w:val="18"/>
        <w:rPr>
          <w:rFonts w:hAnsi="宋体" w:cs="宋体"/>
          <w:color w:val="auto"/>
          <w:kern w:val="2"/>
          <w:sz w:val="22"/>
          <w:szCs w:val="24"/>
          <w:highlight w:val="none"/>
        </w:rPr>
      </w:pPr>
      <w:r>
        <w:rPr>
          <w:rFonts w:hint="eastAsia" w:hAnsi="宋体" w:cs="宋体"/>
          <w:color w:val="auto"/>
          <w:kern w:val="2"/>
          <w:sz w:val="22"/>
          <w:szCs w:val="24"/>
          <w:highlight w:val="none"/>
        </w:rPr>
        <w:t>附件1：</w:t>
      </w:r>
    </w:p>
    <w:p>
      <w:pPr>
        <w:pStyle w:val="18"/>
        <w:ind w:firstLine="400" w:firstLineChars="200"/>
        <w:rPr>
          <w:rFonts w:hAnsi="宋体" w:cs="宋体"/>
          <w:color w:val="auto"/>
          <w:kern w:val="2"/>
          <w:highlight w:val="none"/>
        </w:rPr>
      </w:pPr>
    </w:p>
    <w:p>
      <w:pPr>
        <w:widowControl/>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广西壮族自治区政府采购项目合同验收书（格式）</w:t>
      </w:r>
    </w:p>
    <w:p>
      <w:pPr>
        <w:widowControl/>
        <w:spacing w:before="100" w:beforeAutospacing="1" w:after="100" w:afterAutospacing="1" w:line="320" w:lineRule="exact"/>
        <w:ind w:left="-359" w:leftChars="-171"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根据政府采购项目（</w:t>
      </w:r>
      <w:r>
        <w:rPr>
          <w:rFonts w:hint="eastAsia" w:ascii="宋体" w:hAnsi="宋体" w:cs="宋体"/>
          <w:color w:val="auto"/>
          <w:szCs w:val="21"/>
          <w:highlight w:val="none"/>
          <w:u w:val="single"/>
        </w:rPr>
        <w:t>采购合同编号：</w:t>
      </w:r>
      <w:r>
        <w:rPr>
          <w:rFonts w:hint="eastAsia" w:ascii="宋体" w:hAnsi="宋体" w:cs="宋体"/>
          <w:color w:val="auto"/>
          <w:szCs w:val="21"/>
          <w:highlight w:val="none"/>
          <w:u w:val="single"/>
        </w:rPr>
        <w:softHyphen/>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）的约定，我单位对（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）政府采购项目中标（或成交）供应商（</w:t>
      </w:r>
      <w:r>
        <w:rPr>
          <w:rFonts w:hint="eastAsia" w:ascii="宋体" w:hAnsi="宋体" w:cs="宋体"/>
          <w:color w:val="auto"/>
          <w:szCs w:val="21"/>
          <w:highlight w:val="none"/>
          <w:u w:val="single"/>
        </w:rPr>
        <w:t xml:space="preserve">            公司名称              </w:t>
      </w:r>
      <w:r>
        <w:rPr>
          <w:rFonts w:hint="eastAsia" w:ascii="宋体" w:hAnsi="宋体" w:cs="宋体"/>
          <w:color w:val="auto"/>
          <w:szCs w:val="21"/>
          <w:highlight w:val="none"/>
        </w:rPr>
        <w:t>）提供的货物（或工程、服务）进行了验收，验收情况如下：</w:t>
      </w:r>
    </w:p>
    <w:tbl>
      <w:tblPr>
        <w:tblStyle w:val="30"/>
        <w:tblW w:w="506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537"/>
        <w:gridCol w:w="2174"/>
        <w:gridCol w:w="895"/>
        <w:gridCol w:w="2363"/>
        <w:gridCol w:w="192"/>
        <w:gridCol w:w="752"/>
        <w:gridCol w:w="12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2015" w:type="pct"/>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4" w:firstLineChars="2"/>
              <w:jc w:val="center"/>
              <w:rPr>
                <w:rFonts w:ascii="宋体" w:hAnsi="宋体" w:cs="宋体"/>
                <w:color w:val="auto"/>
                <w:szCs w:val="21"/>
                <w:highlight w:val="none"/>
              </w:rPr>
            </w:pPr>
            <w:r>
              <w:rPr>
                <w:rFonts w:hint="eastAsia" w:ascii="宋体" w:hAnsi="宋体" w:cs="宋体"/>
                <w:color w:val="auto"/>
                <w:szCs w:val="21"/>
                <w:highlight w:val="none"/>
              </w:rPr>
              <w:t>验收方式：</w:t>
            </w:r>
          </w:p>
        </w:tc>
        <w:tc>
          <w:tcPr>
            <w:tcW w:w="2984" w:type="pct"/>
            <w:gridSpan w:val="5"/>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420" w:firstLineChars="200"/>
              <w:jc w:val="center"/>
              <w:rPr>
                <w:rFonts w:ascii="宋体" w:hAnsi="宋体" w:cs="宋体"/>
                <w:color w:val="auto"/>
                <w:szCs w:val="21"/>
                <w:highlight w:val="none"/>
              </w:rPr>
            </w:pPr>
            <w:r>
              <w:rPr>
                <w:rFonts w:hint="eastAsia" w:ascii="宋体" w:hAnsi="宋体" w:cs="宋体"/>
                <w:color w:val="auto"/>
                <w:szCs w:val="21"/>
                <w:highlight w:val="none"/>
              </w:rPr>
              <w:t>□自行验收         □委托验收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835"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firstLine="2" w:firstLineChars="1"/>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79"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2" w:firstLineChars="1"/>
              <w:jc w:val="center"/>
              <w:rPr>
                <w:rFonts w:ascii="宋体" w:hAnsi="宋体" w:cs="宋体"/>
                <w:color w:val="auto"/>
                <w:szCs w:val="21"/>
                <w:highlight w:val="none"/>
              </w:rPr>
            </w:pPr>
            <w:r>
              <w:rPr>
                <w:rFonts w:hint="eastAsia" w:ascii="宋体" w:hAnsi="宋体" w:cs="宋体"/>
                <w:color w:val="auto"/>
                <w:szCs w:val="21"/>
                <w:highlight w:val="none"/>
              </w:rPr>
              <w:t>名  称</w:t>
            </w:r>
          </w:p>
        </w:tc>
        <w:tc>
          <w:tcPr>
            <w:tcW w:w="1768" w:type="pct"/>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2" w:firstLineChars="1"/>
              <w:jc w:val="center"/>
              <w:rPr>
                <w:rFonts w:ascii="宋体" w:hAnsi="宋体" w:cs="宋体"/>
                <w:color w:val="auto"/>
                <w:szCs w:val="21"/>
                <w:highlight w:val="none"/>
              </w:rPr>
            </w:pPr>
            <w:r>
              <w:rPr>
                <w:rFonts w:hint="eastAsia" w:ascii="宋体" w:hAnsi="宋体" w:cs="宋体"/>
                <w:color w:val="auto"/>
                <w:szCs w:val="21"/>
                <w:highlight w:val="none"/>
              </w:rPr>
              <w:t>货物型号规格、标准及配置等（或服务内容、标准）</w:t>
            </w:r>
          </w:p>
        </w:tc>
        <w:tc>
          <w:tcPr>
            <w:tcW w:w="512" w:type="pct"/>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02"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2" w:firstLineChars="1"/>
              <w:jc w:val="center"/>
              <w:rPr>
                <w:rFonts w:ascii="宋体" w:hAnsi="宋体" w:cs="宋体"/>
                <w:color w:val="auto"/>
                <w:szCs w:val="21"/>
                <w:highlight w:val="none"/>
              </w:rPr>
            </w:pPr>
            <w:r>
              <w:rPr>
                <w:rFonts w:hint="eastAsia" w:ascii="宋体" w:hAnsi="宋体" w:cs="宋体"/>
                <w:color w:val="auto"/>
                <w:szCs w:val="21"/>
                <w:highlight w:val="none"/>
              </w:rPr>
              <w:t>金  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835"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4" w:firstLineChars="2"/>
              <w:jc w:val="left"/>
              <w:rPr>
                <w:rFonts w:ascii="宋体" w:hAnsi="宋体" w:cs="宋体"/>
                <w:color w:val="auto"/>
                <w:szCs w:val="21"/>
                <w:highlight w:val="none"/>
              </w:rPr>
            </w:pPr>
            <w:r>
              <w:rPr>
                <w:rFonts w:hint="eastAsia" w:ascii="宋体" w:hAnsi="宋体" w:cs="宋体"/>
                <w:color w:val="auto"/>
                <w:szCs w:val="21"/>
                <w:highlight w:val="none"/>
              </w:rPr>
              <w:t> </w:t>
            </w:r>
          </w:p>
        </w:tc>
        <w:tc>
          <w:tcPr>
            <w:tcW w:w="1179"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1768" w:type="pct"/>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512" w:type="pct"/>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702"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835"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1179"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1768" w:type="pct"/>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512" w:type="pct"/>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702"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835"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1179"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1768" w:type="pct"/>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512" w:type="pct"/>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702"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3784" w:type="pct"/>
            <w:gridSpan w:val="4"/>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left="-3" w:firstLine="4" w:firstLineChars="2"/>
              <w:jc w:val="left"/>
              <w:rPr>
                <w:rFonts w:ascii="宋体" w:hAnsi="宋体" w:cs="宋体"/>
                <w:color w:val="auto"/>
                <w:szCs w:val="21"/>
                <w:highlight w:val="none"/>
              </w:rPr>
            </w:pPr>
            <w:r>
              <w:rPr>
                <w:rFonts w:hint="eastAsia" w:ascii="宋体" w:hAnsi="宋体" w:cs="宋体"/>
                <w:color w:val="auto"/>
                <w:szCs w:val="21"/>
                <w:highlight w:val="none"/>
              </w:rPr>
              <w:t>合        计</w:t>
            </w:r>
          </w:p>
        </w:tc>
        <w:tc>
          <w:tcPr>
            <w:tcW w:w="512" w:type="pct"/>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c>
          <w:tcPr>
            <w:tcW w:w="702"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5000" w:type="pct"/>
            <w:gridSpan w:val="7"/>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firstLine="2" w:firstLineChars="1"/>
              <w:jc w:val="left"/>
              <w:rPr>
                <w:rFonts w:ascii="宋体" w:hAnsi="宋体" w:cs="宋体"/>
                <w:color w:val="auto"/>
                <w:szCs w:val="21"/>
                <w:highlight w:val="none"/>
              </w:rPr>
            </w:pPr>
            <w:r>
              <w:rPr>
                <w:rFonts w:hint="eastAsia" w:ascii="宋体" w:hAnsi="宋体" w:cs="宋体"/>
                <w:color w:val="auto"/>
                <w:szCs w:val="21"/>
                <w:highlight w:val="none"/>
              </w:rPr>
              <w:t>合计大写金额：   仟    佰    拾    万    仟    佰    拾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835"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firstLine="2" w:firstLineChars="1"/>
              <w:jc w:val="center"/>
              <w:rPr>
                <w:rFonts w:ascii="宋体" w:hAnsi="宋体" w:cs="宋体"/>
                <w:color w:val="auto"/>
                <w:szCs w:val="21"/>
                <w:highlight w:val="none"/>
              </w:rPr>
            </w:pPr>
            <w:r>
              <w:rPr>
                <w:rFonts w:hint="eastAsia" w:ascii="宋体" w:hAnsi="宋体" w:cs="宋体"/>
                <w:color w:val="auto"/>
                <w:szCs w:val="21"/>
                <w:highlight w:val="none"/>
              </w:rPr>
              <w:t>实际供货日期</w:t>
            </w:r>
          </w:p>
        </w:tc>
        <w:tc>
          <w:tcPr>
            <w:tcW w:w="1665" w:type="pct"/>
            <w:gridSpan w:val="2"/>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20" w:lineRule="exact"/>
              <w:ind w:firstLine="420" w:firstLineChars="200"/>
              <w:jc w:val="center"/>
              <w:rPr>
                <w:rFonts w:ascii="宋体" w:hAnsi="宋体" w:cs="宋体"/>
                <w:color w:val="auto"/>
                <w:szCs w:val="21"/>
                <w:highlight w:val="none"/>
              </w:rPr>
            </w:pPr>
          </w:p>
        </w:tc>
        <w:tc>
          <w:tcPr>
            <w:tcW w:w="1387" w:type="pct"/>
            <w:gridSpan w:val="2"/>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20" w:lineRule="exact"/>
              <w:ind w:firstLine="39" w:firstLineChars="19"/>
              <w:jc w:val="center"/>
              <w:rPr>
                <w:rFonts w:ascii="宋体" w:hAnsi="宋体" w:cs="宋体"/>
                <w:color w:val="auto"/>
                <w:szCs w:val="21"/>
                <w:highlight w:val="none"/>
              </w:rPr>
            </w:pPr>
            <w:r>
              <w:rPr>
                <w:rFonts w:hint="eastAsia" w:ascii="宋体" w:hAnsi="宋体" w:cs="宋体"/>
                <w:color w:val="auto"/>
                <w:szCs w:val="21"/>
                <w:highlight w:val="none"/>
              </w:rPr>
              <w:t>合同交货验收日期</w:t>
            </w:r>
          </w:p>
        </w:tc>
        <w:tc>
          <w:tcPr>
            <w:tcW w:w="1110" w:type="pct"/>
            <w:gridSpan w:val="2"/>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20" w:lineRule="exact"/>
              <w:ind w:firstLine="420" w:firstLineChars="200"/>
              <w:jc w:val="left"/>
              <w:rPr>
                <w:rFonts w:ascii="宋体"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35" w:type="pc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exact"/>
              <w:ind w:firstLine="420" w:firstLineChars="200"/>
              <w:jc w:val="left"/>
              <w:rPr>
                <w:rFonts w:ascii="宋体" w:hAnsi="宋体" w:cs="宋体"/>
                <w:color w:val="auto"/>
                <w:szCs w:val="21"/>
                <w:highlight w:val="none"/>
              </w:rPr>
            </w:pPr>
          </w:p>
        </w:tc>
        <w:tc>
          <w:tcPr>
            <w:tcW w:w="1665" w:type="pct"/>
            <w:gridSpan w:val="2"/>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20" w:lineRule="exact"/>
              <w:ind w:firstLine="420" w:firstLineChars="200"/>
              <w:jc w:val="left"/>
              <w:rPr>
                <w:rFonts w:ascii="宋体" w:hAnsi="宋体" w:cs="宋体"/>
                <w:color w:val="auto"/>
                <w:szCs w:val="21"/>
                <w:highlight w:val="none"/>
              </w:rPr>
            </w:pPr>
          </w:p>
        </w:tc>
        <w:tc>
          <w:tcPr>
            <w:tcW w:w="1387" w:type="pct"/>
            <w:gridSpan w:val="2"/>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20" w:lineRule="exact"/>
              <w:ind w:left="590" w:firstLine="420" w:firstLineChars="200"/>
              <w:jc w:val="left"/>
              <w:rPr>
                <w:rFonts w:ascii="宋体" w:hAnsi="宋体" w:cs="宋体"/>
                <w:color w:val="auto"/>
                <w:szCs w:val="21"/>
                <w:highlight w:val="none"/>
              </w:rPr>
            </w:pPr>
          </w:p>
        </w:tc>
        <w:tc>
          <w:tcPr>
            <w:tcW w:w="1110" w:type="pct"/>
            <w:gridSpan w:val="2"/>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20" w:lineRule="exact"/>
              <w:ind w:firstLine="420" w:firstLineChars="200"/>
              <w:jc w:val="left"/>
              <w:rPr>
                <w:rFonts w:ascii="宋体"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83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验收具体内容</w:t>
            </w:r>
          </w:p>
        </w:tc>
        <w:tc>
          <w:tcPr>
            <w:tcW w:w="4164" w:type="pct"/>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835"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验收小组意见</w:t>
            </w:r>
          </w:p>
        </w:tc>
        <w:tc>
          <w:tcPr>
            <w:tcW w:w="4164" w:type="pct"/>
            <w:gridSpan w:val="6"/>
            <w:tcBorders>
              <w:top w:val="single" w:color="auto" w:sz="8" w:space="0"/>
              <w:left w:val="single" w:color="auto" w:sz="8" w:space="0"/>
              <w:bottom w:val="single" w:color="auto" w:sz="4" w:space="0"/>
              <w:right w:val="single" w:color="auto" w:sz="8" w:space="0"/>
            </w:tcBorders>
            <w:vAlign w:val="center"/>
          </w:tcPr>
          <w:p>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 验收结论性意见：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835" w:type="pct"/>
            <w:vMerge w:val="continue"/>
            <w:tcBorders>
              <w:top w:val="single" w:color="auto" w:sz="8" w:space="0"/>
              <w:left w:val="single" w:color="auto" w:sz="8" w:space="0"/>
              <w:bottom w:val="single" w:color="auto" w:sz="8" w:space="0"/>
              <w:right w:val="single" w:color="auto" w:sz="8" w:space="0"/>
            </w:tcBorders>
            <w:vAlign w:val="center"/>
          </w:tcPr>
          <w:p>
            <w:pPr>
              <w:widowControl/>
              <w:spacing w:line="320" w:lineRule="exact"/>
              <w:jc w:val="left"/>
              <w:rPr>
                <w:rFonts w:ascii="宋体" w:hAnsi="宋体" w:cs="宋体"/>
                <w:color w:val="auto"/>
                <w:szCs w:val="21"/>
                <w:highlight w:val="none"/>
              </w:rPr>
            </w:pPr>
          </w:p>
        </w:tc>
        <w:tc>
          <w:tcPr>
            <w:tcW w:w="4164" w:type="pct"/>
            <w:gridSpan w:val="6"/>
            <w:tcBorders>
              <w:top w:val="single" w:color="auto" w:sz="4" w:space="0"/>
              <w:left w:val="single" w:color="auto" w:sz="8" w:space="0"/>
              <w:bottom w:val="single" w:color="auto" w:sz="8" w:space="0"/>
              <w:right w:val="single" w:color="auto" w:sz="8" w:space="0"/>
            </w:tcBorders>
            <w:vAlign w:val="center"/>
          </w:tcPr>
          <w:p>
            <w:pPr>
              <w:spacing w:before="100" w:beforeAutospacing="1" w:after="100" w:afterAutospacing="1" w:line="320" w:lineRule="exact"/>
              <w:ind w:firstLine="84" w:firstLineChars="40"/>
              <w:jc w:val="left"/>
              <w:rPr>
                <w:rFonts w:ascii="宋体" w:hAnsi="宋体" w:cs="宋体"/>
                <w:color w:val="auto"/>
                <w:szCs w:val="21"/>
                <w:highlight w:val="none"/>
              </w:rPr>
            </w:pPr>
            <w:r>
              <w:rPr>
                <w:rFonts w:hint="eastAsia" w:ascii="宋体" w:hAnsi="宋体" w:cs="宋体"/>
                <w:color w:val="auto"/>
                <w:szCs w:val="21"/>
                <w:highlight w:val="none"/>
              </w:rPr>
              <w:t>有异议的意见和说明理由：</w:t>
            </w:r>
          </w:p>
          <w:p>
            <w:pPr>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5000" w:type="pct"/>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5000" w:type="pct"/>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监督人员或其他相关人员签字：</w:t>
            </w:r>
          </w:p>
          <w:p>
            <w:pPr>
              <w:widowControl/>
              <w:spacing w:before="100" w:beforeAutospacing="1" w:after="100" w:afterAutospacing="1" w:line="320" w:lineRule="exact"/>
              <w:ind w:firstLine="65" w:firstLineChars="31"/>
              <w:jc w:val="left"/>
              <w:rPr>
                <w:rFonts w:ascii="宋体" w:hAnsi="宋体" w:cs="宋体"/>
                <w:color w:val="auto"/>
                <w:szCs w:val="21"/>
                <w:highlight w:val="none"/>
              </w:rPr>
            </w:pPr>
            <w:r>
              <w:rPr>
                <w:rFonts w:hint="eastAsia" w:ascii="宋体" w:hAnsi="宋体" w:cs="宋体"/>
                <w:color w:val="auto"/>
                <w:szCs w:val="21"/>
                <w:highlight w:val="none"/>
              </w:rPr>
              <w:t>或受邀机构的意见（盖章）：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2501" w:type="pct"/>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exact"/>
              <w:ind w:firstLine="65" w:firstLineChars="31"/>
              <w:jc w:val="left"/>
              <w:rPr>
                <w:rFonts w:ascii="宋体" w:hAnsi="宋体" w:cs="宋体"/>
                <w:color w:val="auto"/>
                <w:szCs w:val="21"/>
                <w:highlight w:val="none"/>
              </w:rPr>
            </w:pPr>
            <w:r>
              <w:rPr>
                <w:rFonts w:hint="eastAsia" w:ascii="宋体" w:hAnsi="宋体" w:cs="宋体"/>
                <w:color w:val="auto"/>
                <w:szCs w:val="21"/>
                <w:highlight w:val="none"/>
              </w:rPr>
              <w:t>中标或者成交供应商负责人签字或盖章：</w:t>
            </w:r>
          </w:p>
          <w:p>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联系电话：         年 月 日</w:t>
            </w:r>
          </w:p>
        </w:tc>
        <w:tc>
          <w:tcPr>
            <w:tcW w:w="2498" w:type="pct"/>
            <w:gridSpan w:val="4"/>
            <w:tcBorders>
              <w:top w:val="single" w:color="auto" w:sz="8" w:space="0"/>
              <w:left w:val="nil"/>
              <w:bottom w:val="single" w:color="auto" w:sz="8" w:space="0"/>
              <w:right w:val="single" w:color="auto" w:sz="8" w:space="0"/>
            </w:tcBorders>
            <w:vAlign w:val="center"/>
          </w:tcPr>
          <w:p>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 采购人或受托机构的意见（盖章）：</w:t>
            </w:r>
          </w:p>
          <w:p>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联系电话：                 年   月   日</w:t>
            </w:r>
          </w:p>
        </w:tc>
      </w:tr>
    </w:tbl>
    <w:p>
      <w:pPr>
        <w:widowControl/>
        <w:jc w:val="left"/>
        <w:rPr>
          <w:rFonts w:ascii="宋体" w:hAnsi="宋体" w:cs="宋体"/>
          <w:color w:val="auto"/>
          <w:szCs w:val="21"/>
          <w:highlight w:val="none"/>
        </w:rPr>
      </w:pPr>
      <w:r>
        <w:rPr>
          <w:rFonts w:hint="eastAsia" w:ascii="宋体" w:hAnsi="宋体" w:cs="宋体"/>
          <w:color w:val="auto"/>
          <w:szCs w:val="21"/>
          <w:highlight w:val="none"/>
        </w:rPr>
        <w:t>备注：本报告单一式4份（采购单位1份、供应商1份、采购监督部门备案1份、采购代理机构1份）。</w:t>
      </w:r>
    </w:p>
    <w:p>
      <w:pPr>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4"/>
          <w:szCs w:val="32"/>
          <w:highlight w:val="none"/>
        </w:rPr>
        <w:t>附件2：</w:t>
      </w: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pPr>
        <w:jc w:val="center"/>
        <w:rPr>
          <w:rFonts w:ascii="宋体" w:hAnsi="宋体" w:cs="宋体"/>
          <w:color w:val="auto"/>
          <w:sz w:val="36"/>
          <w:szCs w:val="36"/>
          <w:highlight w:val="none"/>
        </w:rPr>
      </w:pPr>
    </w:p>
    <w:tbl>
      <w:tblPr>
        <w:tblStyle w:val="30"/>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供</w:t>
            </w:r>
          </w:p>
          <w:p>
            <w:pPr>
              <w:jc w:val="center"/>
              <w:rPr>
                <w:rFonts w:ascii="宋体" w:hAnsi="宋体" w:cs="宋体"/>
                <w:color w:val="auto"/>
                <w:sz w:val="24"/>
                <w:highlight w:val="none"/>
              </w:rPr>
            </w:pPr>
            <w:r>
              <w:rPr>
                <w:rFonts w:hint="eastAsia" w:ascii="宋体" w:hAnsi="宋体" w:cs="宋体"/>
                <w:color w:val="auto"/>
                <w:sz w:val="24"/>
                <w:highlight w:val="none"/>
              </w:rPr>
              <w:t>应</w:t>
            </w:r>
          </w:p>
          <w:p>
            <w:pPr>
              <w:jc w:val="center"/>
              <w:rPr>
                <w:rFonts w:ascii="宋体" w:hAnsi="宋体" w:cs="宋体"/>
                <w:color w:val="auto"/>
                <w:sz w:val="24"/>
                <w:highlight w:val="none"/>
              </w:rPr>
            </w:pPr>
            <w:r>
              <w:rPr>
                <w:rFonts w:hint="eastAsia" w:ascii="宋体" w:hAnsi="宋体" w:cs="宋体"/>
                <w:color w:val="auto"/>
                <w:sz w:val="24"/>
                <w:highlight w:val="none"/>
              </w:rPr>
              <w:t>商</w:t>
            </w:r>
          </w:p>
          <w:p>
            <w:pPr>
              <w:jc w:val="center"/>
              <w:rPr>
                <w:rFonts w:ascii="宋体" w:hAnsi="宋体" w:cs="宋体"/>
                <w:color w:val="auto"/>
                <w:sz w:val="24"/>
                <w:highlight w:val="none"/>
              </w:rPr>
            </w:pPr>
            <w:r>
              <w:rPr>
                <w:rFonts w:hint="eastAsia" w:ascii="宋体" w:hAnsi="宋体" w:cs="宋体"/>
                <w:color w:val="auto"/>
                <w:sz w:val="24"/>
                <w:highlight w:val="none"/>
              </w:rPr>
              <w:t>申</w:t>
            </w:r>
          </w:p>
          <w:p>
            <w:pPr>
              <w:jc w:val="center"/>
              <w:rPr>
                <w:rFonts w:ascii="宋体" w:hAnsi="宋体" w:cs="宋体"/>
                <w:color w:val="auto"/>
                <w:sz w:val="24"/>
                <w:highlight w:val="none"/>
              </w:rPr>
            </w:pPr>
            <w:r>
              <w:rPr>
                <w:rFonts w:hint="eastAsia" w:ascii="宋体" w:hAnsi="宋体" w:cs="宋体"/>
                <w:color w:val="auto"/>
                <w:sz w:val="24"/>
                <w:highlight w:val="none"/>
              </w:rPr>
              <w:t>请</w:t>
            </w:r>
          </w:p>
        </w:tc>
        <w:tc>
          <w:tcPr>
            <w:tcW w:w="770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highlight w:val="none"/>
              </w:rPr>
            </w:pPr>
          </w:p>
        </w:tc>
        <w:tc>
          <w:tcPr>
            <w:tcW w:w="770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highlight w:val="none"/>
              </w:rPr>
            </w:pPr>
          </w:p>
        </w:tc>
        <w:tc>
          <w:tcPr>
            <w:tcW w:w="770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highlight w:val="none"/>
              </w:rPr>
            </w:pPr>
            <w:r>
              <w:rPr>
                <w:rFonts w:hint="eastAsia" w:ascii="宋体" w:hAnsi="宋体" w:cs="宋体"/>
                <w:color w:val="auto"/>
                <w:sz w:val="24"/>
                <w:highlight w:val="none"/>
              </w:rPr>
              <w:t xml:space="preserve">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pPr>
              <w:spacing w:line="400" w:lineRule="exac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（小写）退付到达以下帐户。</w:t>
            </w:r>
          </w:p>
          <w:p>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单位名称：</w:t>
            </w:r>
          </w:p>
          <w:p>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开户银行：</w:t>
            </w:r>
          </w:p>
          <w:p>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帐   号：</w:t>
            </w:r>
          </w:p>
          <w:p>
            <w:pPr>
              <w:spacing w:line="400" w:lineRule="exact"/>
              <w:rPr>
                <w:rFonts w:ascii="宋体" w:hAnsi="宋体" w:cs="宋体"/>
                <w:color w:val="auto"/>
                <w:sz w:val="24"/>
                <w:highlight w:val="none"/>
              </w:rPr>
            </w:pPr>
            <w:r>
              <w:rPr>
                <w:rFonts w:hint="eastAsia" w:ascii="宋体" w:hAnsi="宋体" w:cs="宋体"/>
                <w:color w:val="auto"/>
                <w:sz w:val="24"/>
                <w:highlight w:val="none"/>
              </w:rPr>
              <w:t>联系人及电话：</w:t>
            </w:r>
          </w:p>
          <w:p>
            <w:pPr>
              <w:spacing w:line="400" w:lineRule="exact"/>
              <w:rPr>
                <w:rFonts w:ascii="宋体" w:hAnsi="宋体" w:cs="宋体"/>
                <w:color w:val="auto"/>
                <w:sz w:val="24"/>
                <w:highlight w:val="none"/>
              </w:rPr>
            </w:pPr>
          </w:p>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供应商（盖章）：</w:t>
            </w:r>
          </w:p>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采</w:t>
            </w:r>
          </w:p>
          <w:p>
            <w:pPr>
              <w:jc w:val="center"/>
              <w:rPr>
                <w:rFonts w:ascii="宋体" w:hAnsi="宋体" w:cs="宋体"/>
                <w:color w:val="auto"/>
                <w:sz w:val="24"/>
                <w:highlight w:val="none"/>
              </w:rPr>
            </w:pPr>
            <w:r>
              <w:rPr>
                <w:rFonts w:hint="eastAsia" w:ascii="宋体" w:hAnsi="宋体" w:cs="宋体"/>
                <w:color w:val="auto"/>
                <w:sz w:val="24"/>
                <w:highlight w:val="none"/>
              </w:rPr>
              <w:t>购</w:t>
            </w:r>
          </w:p>
          <w:p>
            <w:pPr>
              <w:jc w:val="center"/>
              <w:rPr>
                <w:rFonts w:ascii="宋体" w:hAnsi="宋体" w:cs="宋体"/>
                <w:color w:val="auto"/>
                <w:sz w:val="24"/>
                <w:highlight w:val="none"/>
              </w:rPr>
            </w:pPr>
            <w:r>
              <w:rPr>
                <w:rFonts w:hint="eastAsia" w:ascii="宋体" w:hAnsi="宋体" w:cs="宋体"/>
                <w:color w:val="auto"/>
                <w:sz w:val="24"/>
                <w:highlight w:val="none"/>
              </w:rPr>
              <w:t>人</w:t>
            </w:r>
          </w:p>
          <w:p>
            <w:pPr>
              <w:jc w:val="center"/>
              <w:rPr>
                <w:rFonts w:ascii="宋体" w:hAnsi="宋体" w:cs="宋体"/>
                <w:color w:val="auto"/>
                <w:sz w:val="24"/>
                <w:highlight w:val="none"/>
              </w:rPr>
            </w:pPr>
            <w:r>
              <w:rPr>
                <w:rFonts w:hint="eastAsia" w:ascii="宋体" w:hAnsi="宋体" w:cs="宋体"/>
                <w:color w:val="auto"/>
                <w:sz w:val="24"/>
                <w:highlight w:val="none"/>
              </w:rPr>
              <w:t>意</w:t>
            </w:r>
          </w:p>
          <w:p>
            <w:pPr>
              <w:jc w:val="center"/>
              <w:rPr>
                <w:rFonts w:ascii="宋体" w:hAnsi="宋体" w:cs="宋体"/>
                <w:color w:val="auto"/>
                <w:sz w:val="24"/>
                <w:highlight w:val="none"/>
              </w:rPr>
            </w:pPr>
            <w:r>
              <w:rPr>
                <w:rFonts w:hint="eastAsia" w:ascii="宋体" w:hAnsi="宋体" w:cs="宋体"/>
                <w:color w:val="auto"/>
                <w:sz w:val="24"/>
                <w:highlight w:val="none"/>
              </w:rPr>
              <w:t>见</w:t>
            </w:r>
          </w:p>
        </w:tc>
        <w:tc>
          <w:tcPr>
            <w:tcW w:w="770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spacing w:line="520" w:lineRule="exact"/>
              <w:rPr>
                <w:rFonts w:ascii="宋体" w:hAnsi="宋体" w:cs="宋体"/>
                <w:color w:val="auto"/>
                <w:sz w:val="24"/>
                <w:highlight w:val="none"/>
              </w:rPr>
            </w:pPr>
            <w:r>
              <w:rPr>
                <w:rFonts w:hint="eastAsia" w:ascii="宋体" w:hAnsi="宋体" w:cs="宋体"/>
                <w:color w:val="auto"/>
                <w:sz w:val="24"/>
                <w:highlight w:val="none"/>
              </w:rPr>
              <w:t>联系人及电话：               采购人（盖章）：</w:t>
            </w:r>
          </w:p>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pPr>
              <w:spacing w:line="520" w:lineRule="exact"/>
              <w:jc w:val="center"/>
              <w:rPr>
                <w:rFonts w:ascii="宋体" w:hAnsi="宋体" w:cs="宋体"/>
                <w:color w:val="auto"/>
                <w:sz w:val="24"/>
                <w:highlight w:val="none"/>
              </w:rPr>
            </w:pPr>
          </w:p>
        </w:tc>
      </w:tr>
    </w:tbl>
    <w:p>
      <w:pPr>
        <w:spacing w:before="120" w:after="120"/>
        <w:rPr>
          <w:rFonts w:ascii="宋体" w:hAnsi="宋体" w:cs="宋体"/>
          <w:b/>
          <w:bCs/>
          <w:color w:val="auto"/>
          <w:szCs w:val="21"/>
          <w:highlight w:val="none"/>
        </w:rPr>
      </w:pPr>
      <w:r>
        <w:rPr>
          <w:rFonts w:hint="eastAsia" w:ascii="宋体" w:hAnsi="宋体" w:cs="宋体"/>
          <w:b/>
          <w:bCs/>
          <w:color w:val="auto"/>
          <w:szCs w:val="21"/>
          <w:highlight w:val="none"/>
        </w:rPr>
        <w:t>注：供应商凭经采购人审批的退付意见书到保证金收取单位办理履约保证金退付事宜。</w:t>
      </w:r>
    </w:p>
    <w:p>
      <w:pPr>
        <w:spacing w:before="120" w:after="120"/>
        <w:rPr>
          <w:rFonts w:ascii="宋体" w:hAnsi="宋体" w:cs="宋体"/>
          <w:color w:val="auto"/>
          <w:highlight w:val="none"/>
        </w:rPr>
      </w:pPr>
      <w:r>
        <w:rPr>
          <w:rFonts w:ascii="宋体" w:hAnsi="宋体" w:cs="宋体"/>
          <w:b/>
          <w:bCs/>
          <w:color w:val="auto"/>
          <w:szCs w:val="21"/>
          <w:highlight w:val="none"/>
        </w:rPr>
        <w:br w:type="page"/>
      </w:r>
    </w:p>
    <w:p>
      <w:pPr>
        <w:pStyle w:val="2"/>
        <w:spacing w:before="0" w:after="0" w:line="360" w:lineRule="auto"/>
        <w:jc w:val="center"/>
        <w:rPr>
          <w:rFonts w:ascii="宋体" w:hAnsi="宋体" w:cs="宋体"/>
          <w:color w:val="auto"/>
          <w:kern w:val="2"/>
          <w:sz w:val="32"/>
          <w:szCs w:val="32"/>
          <w:highlight w:val="none"/>
        </w:rPr>
      </w:pPr>
      <w:bookmarkStart w:id="87" w:name="_Toc29359"/>
      <w:r>
        <w:rPr>
          <w:rFonts w:hint="eastAsia" w:ascii="宋体" w:hAnsi="宋体" w:cs="宋体"/>
          <w:color w:val="auto"/>
          <w:kern w:val="2"/>
          <w:sz w:val="32"/>
          <w:szCs w:val="32"/>
          <w:highlight w:val="none"/>
        </w:rPr>
        <w:t>第七章 响应文件格式</w:t>
      </w:r>
      <w:bookmarkEnd w:id="87"/>
    </w:p>
    <w:p>
      <w:pPr>
        <w:rPr>
          <w:rFonts w:ascii="宋体" w:hAnsi="宋体"/>
          <w:color w:val="auto"/>
          <w:highlight w:val="none"/>
        </w:rPr>
      </w:pPr>
    </w:p>
    <w:p>
      <w:pPr>
        <w:pStyle w:val="3"/>
        <w:jc w:val="center"/>
        <w:rPr>
          <w:rFonts w:hint="eastAsia" w:ascii="宋体" w:hAnsi="宋体" w:cs="宋体"/>
          <w:bCs w:val="0"/>
          <w:color w:val="auto"/>
          <w:highlight w:val="none"/>
        </w:rPr>
      </w:pPr>
      <w:bookmarkStart w:id="88" w:name="_Toc80205938"/>
      <w:bookmarkStart w:id="89" w:name="_Toc7655"/>
      <w:r>
        <w:rPr>
          <w:rFonts w:hint="eastAsia" w:ascii="宋体" w:hAnsi="宋体" w:cs="宋体"/>
          <w:bCs w:val="0"/>
          <w:color w:val="auto"/>
          <w:highlight w:val="none"/>
        </w:rPr>
        <w:t>第一节 封面格式</w:t>
      </w:r>
      <w:bookmarkEnd w:id="88"/>
      <w:bookmarkEnd w:id="89"/>
    </w:p>
    <w:p>
      <w:pPr>
        <w:spacing w:beforeLines="50" w:after="50"/>
        <w:rPr>
          <w:rFonts w:ascii="宋体" w:hAnsi="宋体" w:cs="宋体"/>
          <w:color w:val="auto"/>
          <w:sz w:val="24"/>
          <w:szCs w:val="20"/>
          <w:highlight w:val="none"/>
        </w:rPr>
      </w:pPr>
    </w:p>
    <w:p>
      <w:pPr>
        <w:spacing w:beforeLines="50" w:after="50"/>
        <w:jc w:val="center"/>
        <w:rPr>
          <w:rFonts w:ascii="宋体" w:hAnsi="宋体" w:cs="宋体"/>
          <w:bCs/>
          <w:color w:val="auto"/>
          <w:sz w:val="24"/>
          <w:szCs w:val="20"/>
          <w:highlight w:val="none"/>
        </w:rPr>
      </w:pPr>
    </w:p>
    <w:p>
      <w:pPr>
        <w:spacing w:beforeLines="50" w:after="50"/>
        <w:jc w:val="center"/>
        <w:rPr>
          <w:rFonts w:ascii="宋体" w:hAnsi="宋体" w:cs="宋体"/>
          <w:b/>
          <w:color w:val="auto"/>
          <w:sz w:val="48"/>
          <w:szCs w:val="48"/>
          <w:highlight w:val="none"/>
        </w:rPr>
      </w:pPr>
    </w:p>
    <w:p>
      <w:pPr>
        <w:spacing w:beforeLines="50" w:after="50"/>
        <w:jc w:val="center"/>
        <w:rPr>
          <w:rFonts w:ascii="宋体" w:hAnsi="宋体" w:cs="宋体"/>
          <w:b/>
          <w:color w:val="auto"/>
          <w:sz w:val="48"/>
          <w:szCs w:val="48"/>
          <w:highlight w:val="none"/>
        </w:rPr>
      </w:pPr>
      <w:r>
        <w:rPr>
          <w:rFonts w:hint="eastAsia" w:ascii="宋体" w:hAnsi="宋体" w:cs="宋体"/>
          <w:b/>
          <w:color w:val="auto"/>
          <w:sz w:val="48"/>
          <w:szCs w:val="48"/>
          <w:highlight w:val="none"/>
        </w:rPr>
        <w:t>响  应  文  件</w:t>
      </w: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32"/>
          <w:szCs w:val="32"/>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pPr>
        <w:spacing w:beforeLines="50" w:after="50"/>
        <w:ind w:firstLine="420" w:firstLineChars="150"/>
        <w:rPr>
          <w:rFonts w:ascii="宋体" w:hAnsi="宋体" w:cs="宋体"/>
          <w:bCs/>
          <w:color w:val="auto"/>
          <w:sz w:val="28"/>
          <w:szCs w:val="28"/>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pPr>
        <w:spacing w:beforeLines="50" w:after="50"/>
        <w:ind w:firstLine="420" w:firstLineChars="150"/>
        <w:rPr>
          <w:rFonts w:ascii="宋体" w:hAnsi="宋体" w:cs="宋体"/>
          <w:bCs/>
          <w:color w:val="auto"/>
          <w:sz w:val="28"/>
          <w:szCs w:val="28"/>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pPr>
        <w:spacing w:beforeLines="50" w:after="50"/>
        <w:rPr>
          <w:rFonts w:ascii="宋体" w:hAnsi="宋体" w:cs="宋体"/>
          <w:bCs/>
          <w:color w:val="auto"/>
          <w:sz w:val="28"/>
          <w:szCs w:val="28"/>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pPr>
        <w:spacing w:beforeLines="50" w:after="50"/>
        <w:rPr>
          <w:rFonts w:ascii="宋体" w:hAnsi="宋体" w:cs="宋体"/>
          <w:bCs/>
          <w:color w:val="auto"/>
          <w:sz w:val="28"/>
          <w:szCs w:val="28"/>
          <w:highlight w:val="none"/>
        </w:rPr>
      </w:pPr>
    </w:p>
    <w:p>
      <w:pPr>
        <w:spacing w:beforeLines="50" w:after="50"/>
        <w:ind w:firstLine="420" w:firstLineChars="150"/>
        <w:jc w:val="center"/>
        <w:rPr>
          <w:rFonts w:ascii="宋体" w:hAnsi="宋体" w:cs="宋体"/>
          <w:bCs/>
          <w:color w:val="auto"/>
          <w:sz w:val="28"/>
          <w:szCs w:val="28"/>
          <w:highlight w:val="none"/>
        </w:rPr>
      </w:pPr>
      <w:r>
        <w:rPr>
          <w:rFonts w:hint="eastAsia" w:ascii="宋体" w:hAnsi="宋体" w:cs="宋体"/>
          <w:bCs/>
          <w:color w:val="auto"/>
          <w:sz w:val="28"/>
          <w:szCs w:val="28"/>
          <w:highlight w:val="none"/>
        </w:rPr>
        <w:t>首次响应文件提交截止时间前不得解密</w:t>
      </w:r>
    </w:p>
    <w:p>
      <w:pPr>
        <w:spacing w:beforeLines="50" w:after="50"/>
        <w:ind w:firstLine="4760" w:firstLineChars="1700"/>
        <w:jc w:val="center"/>
        <w:rPr>
          <w:rFonts w:ascii="宋体" w:hAnsi="宋体" w:cs="宋体"/>
          <w:bCs/>
          <w:color w:val="auto"/>
          <w:sz w:val="28"/>
          <w:szCs w:val="28"/>
          <w:highlight w:val="none"/>
        </w:rPr>
      </w:pPr>
    </w:p>
    <w:p>
      <w:pPr>
        <w:spacing w:beforeLines="50" w:after="50"/>
        <w:ind w:firstLine="645"/>
        <w:jc w:val="center"/>
        <w:rPr>
          <w:rFonts w:ascii="宋体" w:hAnsi="宋体" w:cs="宋体"/>
          <w:bCs/>
          <w:color w:val="auto"/>
          <w:sz w:val="28"/>
          <w:szCs w:val="28"/>
          <w:highlight w:val="none"/>
        </w:rPr>
      </w:pPr>
      <w:r>
        <w:rPr>
          <w:rFonts w:hint="eastAsia" w:ascii="宋体" w:hAnsi="宋体" w:cs="宋体"/>
          <w:bCs/>
          <w:color w:val="auto"/>
          <w:sz w:val="28"/>
          <w:szCs w:val="28"/>
          <w:highlight w:val="none"/>
        </w:rPr>
        <w:t>年    月    日</w:t>
      </w:r>
    </w:p>
    <w:p>
      <w:pPr>
        <w:spacing w:beforeLines="50" w:after="50"/>
        <w:ind w:firstLine="645"/>
        <w:jc w:val="center"/>
        <w:rPr>
          <w:rFonts w:ascii="宋体" w:hAnsi="宋体" w:cs="宋体"/>
          <w:bCs/>
          <w:color w:val="auto"/>
          <w:sz w:val="28"/>
          <w:szCs w:val="28"/>
          <w:highlight w:val="none"/>
        </w:rPr>
      </w:pPr>
    </w:p>
    <w:p>
      <w:pPr>
        <w:spacing w:beforeLines="50" w:after="50"/>
        <w:ind w:firstLine="645"/>
        <w:jc w:val="center"/>
        <w:rPr>
          <w:rFonts w:ascii="宋体" w:hAnsi="宋体" w:cs="宋体"/>
          <w:bCs/>
          <w:color w:val="auto"/>
          <w:sz w:val="28"/>
          <w:szCs w:val="28"/>
          <w:highlight w:val="none"/>
        </w:rPr>
      </w:pPr>
      <w:r>
        <w:rPr>
          <w:rFonts w:ascii="宋体" w:hAnsi="宋体" w:cs="宋体"/>
          <w:bCs/>
          <w:color w:val="auto"/>
          <w:sz w:val="28"/>
          <w:szCs w:val="28"/>
          <w:highlight w:val="none"/>
        </w:rPr>
        <w:br w:type="page"/>
      </w:r>
    </w:p>
    <w:p>
      <w:pPr>
        <w:spacing w:beforeLines="50" w:after="50"/>
        <w:rPr>
          <w:rFonts w:ascii="宋体" w:hAnsi="宋体" w:cs="宋体"/>
          <w:color w:val="auto"/>
          <w:sz w:val="24"/>
          <w:szCs w:val="20"/>
          <w:highlight w:val="none"/>
        </w:rPr>
      </w:pPr>
      <w:bookmarkStart w:id="90" w:name="_Toc80205939"/>
      <w:bookmarkStart w:id="91" w:name="_Toc8406"/>
    </w:p>
    <w:p>
      <w:pPr>
        <w:pStyle w:val="3"/>
        <w:jc w:val="center"/>
        <w:rPr>
          <w:rFonts w:ascii="宋体" w:hAnsi="宋体" w:cs="宋体"/>
          <w:bCs w:val="0"/>
          <w:color w:val="auto"/>
          <w:highlight w:val="none"/>
        </w:rPr>
      </w:pPr>
      <w:r>
        <w:rPr>
          <w:rFonts w:hint="eastAsia" w:ascii="宋体" w:hAnsi="宋体" w:cs="宋体"/>
          <w:bCs w:val="0"/>
          <w:color w:val="auto"/>
          <w:highlight w:val="none"/>
        </w:rPr>
        <w:t>第二节 资格证明文件格式</w:t>
      </w:r>
      <w:bookmarkEnd w:id="90"/>
      <w:bookmarkEnd w:id="91"/>
    </w:p>
    <w:p>
      <w:pPr>
        <w:spacing w:beforeLines="50" w:after="50"/>
        <w:jc w:val="right"/>
        <w:rPr>
          <w:rFonts w:ascii="宋体" w:hAnsi="宋体" w:cs="宋体"/>
          <w:bCs/>
          <w:color w:val="auto"/>
          <w:sz w:val="28"/>
          <w:szCs w:val="28"/>
          <w:highlight w:val="none"/>
        </w:rPr>
      </w:pPr>
      <w:r>
        <w:rPr>
          <w:rFonts w:hint="eastAsia" w:ascii="宋体" w:hAnsi="宋体" w:cs="宋体"/>
          <w:bCs/>
          <w:color w:val="auto"/>
          <w:sz w:val="28"/>
          <w:szCs w:val="28"/>
          <w:highlight w:val="none"/>
        </w:rPr>
        <w:t>全流程电子文件</w:t>
      </w:r>
    </w:p>
    <w:p>
      <w:pPr>
        <w:spacing w:beforeLines="50" w:after="50"/>
        <w:rPr>
          <w:rFonts w:ascii="宋体" w:hAnsi="宋体" w:cs="宋体"/>
          <w:color w:val="auto"/>
          <w:sz w:val="24"/>
          <w:szCs w:val="20"/>
          <w:highlight w:val="none"/>
        </w:rPr>
      </w:pPr>
    </w:p>
    <w:p>
      <w:pPr>
        <w:spacing w:beforeLines="50" w:after="50"/>
        <w:rPr>
          <w:rFonts w:ascii="宋体" w:hAnsi="宋体" w:cs="宋体"/>
          <w:color w:val="auto"/>
          <w:sz w:val="24"/>
          <w:szCs w:val="20"/>
          <w:highlight w:val="none"/>
        </w:rPr>
      </w:pPr>
    </w:p>
    <w:p>
      <w:pPr>
        <w:spacing w:beforeLines="50" w:after="50"/>
        <w:jc w:val="center"/>
        <w:rPr>
          <w:rFonts w:ascii="宋体" w:hAnsi="宋体" w:cs="宋体"/>
          <w:b/>
          <w:color w:val="auto"/>
          <w:sz w:val="48"/>
          <w:szCs w:val="48"/>
          <w:highlight w:val="none"/>
        </w:rPr>
      </w:pPr>
      <w:r>
        <w:rPr>
          <w:rFonts w:hint="eastAsia" w:ascii="宋体" w:hAnsi="宋体" w:cs="宋体"/>
          <w:b/>
          <w:color w:val="auto"/>
          <w:sz w:val="48"/>
          <w:szCs w:val="48"/>
          <w:highlight w:val="none"/>
        </w:rPr>
        <w:t>资 格 证 明 文 件</w:t>
      </w: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pPr>
        <w:spacing w:beforeLines="50" w:after="50"/>
        <w:ind w:firstLine="420" w:firstLineChars="150"/>
        <w:rPr>
          <w:rFonts w:ascii="宋体" w:hAnsi="宋体" w:cs="宋体"/>
          <w:bCs/>
          <w:color w:val="auto"/>
          <w:sz w:val="28"/>
          <w:szCs w:val="28"/>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pPr>
        <w:spacing w:beforeLines="50" w:after="50"/>
        <w:ind w:firstLine="420" w:firstLineChars="150"/>
        <w:rPr>
          <w:rFonts w:ascii="宋体" w:hAnsi="宋体" w:cs="宋体"/>
          <w:bCs/>
          <w:color w:val="auto"/>
          <w:sz w:val="28"/>
          <w:szCs w:val="28"/>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pPr>
        <w:spacing w:beforeLines="50" w:after="50"/>
        <w:rPr>
          <w:rFonts w:ascii="宋体" w:hAnsi="宋体" w:cs="宋体"/>
          <w:bCs/>
          <w:color w:val="auto"/>
          <w:sz w:val="28"/>
          <w:szCs w:val="28"/>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pPr>
        <w:pStyle w:val="7"/>
        <w:spacing w:before="50" w:after="50"/>
        <w:ind w:firstLine="720" w:firstLineChars="225"/>
        <w:rPr>
          <w:rFonts w:ascii="宋体" w:hAnsi="宋体" w:cs="宋体"/>
          <w:bCs/>
          <w:color w:val="auto"/>
          <w:sz w:val="32"/>
          <w:szCs w:val="32"/>
          <w:highlight w:val="none"/>
        </w:rPr>
      </w:pPr>
    </w:p>
    <w:p>
      <w:pPr>
        <w:pStyle w:val="7"/>
        <w:spacing w:before="50" w:after="50"/>
        <w:ind w:firstLine="720" w:firstLineChars="225"/>
        <w:rPr>
          <w:rFonts w:ascii="宋体" w:hAnsi="宋体" w:cs="宋体"/>
          <w:bCs/>
          <w:color w:val="auto"/>
          <w:sz w:val="32"/>
          <w:szCs w:val="32"/>
          <w:highlight w:val="none"/>
        </w:rPr>
      </w:pPr>
    </w:p>
    <w:p>
      <w:pPr>
        <w:pStyle w:val="7"/>
        <w:spacing w:before="50" w:after="50"/>
        <w:ind w:firstLine="1280" w:firstLineChars="400"/>
        <w:rPr>
          <w:rFonts w:ascii="宋体" w:hAnsi="宋体" w:cs="宋体"/>
          <w:bCs/>
          <w:color w:val="auto"/>
          <w:sz w:val="32"/>
          <w:szCs w:val="32"/>
          <w:highlight w:val="none"/>
        </w:rPr>
      </w:pPr>
    </w:p>
    <w:p>
      <w:pPr>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pPr>
        <w:spacing w:beforeLines="50" w:after="50" w:line="360" w:lineRule="auto"/>
        <w:jc w:val="center"/>
        <w:rPr>
          <w:rFonts w:ascii="宋体" w:hAnsi="宋体" w:cs="宋体"/>
          <w:b/>
          <w:color w:val="auto"/>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r>
        <w:rPr>
          <w:rFonts w:hint="eastAsia" w:ascii="宋体" w:hAnsi="宋体" w:cs="宋体"/>
          <w:b/>
          <w:color w:val="auto"/>
          <w:sz w:val="32"/>
          <w:szCs w:val="32"/>
          <w:highlight w:val="none"/>
        </w:rPr>
        <w:t>资格证明文件目录</w:t>
      </w:r>
    </w:p>
    <w:p>
      <w:pPr>
        <w:spacing w:line="360" w:lineRule="auto"/>
        <w:rPr>
          <w:rFonts w:ascii="宋体" w:hAnsi="宋体" w:cs="宋体"/>
          <w:color w:val="auto"/>
          <w:sz w:val="24"/>
          <w:highlight w:val="none"/>
        </w:rPr>
      </w:pPr>
    </w:p>
    <w:p>
      <w:pPr>
        <w:spacing w:beforeLines="50" w:after="50" w:line="360" w:lineRule="auto"/>
        <w:jc w:val="center"/>
        <w:rPr>
          <w:rFonts w:ascii="宋体" w:hAnsi="宋体" w:cs="宋体"/>
          <w:color w:val="auto"/>
          <w:sz w:val="24"/>
          <w:highlight w:val="none"/>
        </w:rPr>
      </w:pPr>
      <w:r>
        <w:rPr>
          <w:rFonts w:hint="eastAsia" w:ascii="宋体" w:hAnsi="宋体" w:cs="宋体"/>
          <w:color w:val="auto"/>
          <w:sz w:val="24"/>
          <w:highlight w:val="none"/>
        </w:rPr>
        <w:t>根据竞争性磋商文件规定及供应商提供的材料自行编写目录（部分格式后附）。</w:t>
      </w:r>
    </w:p>
    <w:p>
      <w:pPr>
        <w:spacing w:beforeLines="50" w:after="50" w:line="360" w:lineRule="auto"/>
        <w:ind w:left="142" w:firstLine="420" w:firstLineChars="200"/>
        <w:jc w:val="left"/>
        <w:rPr>
          <w:rFonts w:ascii="宋体" w:hAnsi="宋体" w:cs="宋体"/>
          <w:color w:val="auto"/>
          <w:szCs w:val="21"/>
          <w:highlight w:val="none"/>
        </w:rPr>
      </w:pPr>
    </w:p>
    <w:p>
      <w:pPr>
        <w:spacing w:line="300" w:lineRule="auto"/>
        <w:rPr>
          <w:rFonts w:ascii="宋体" w:hAnsi="宋体" w:cs="宋体"/>
          <w:color w:val="auto"/>
          <w:szCs w:val="21"/>
          <w:highlight w:val="none"/>
        </w:rPr>
      </w:pPr>
    </w:p>
    <w:p>
      <w:pPr>
        <w:spacing w:line="300" w:lineRule="auto"/>
        <w:rPr>
          <w:rFonts w:ascii="宋体" w:hAnsi="宋体" w:cs="宋体"/>
          <w:color w:val="auto"/>
          <w:szCs w:val="21"/>
          <w:highlight w:val="none"/>
        </w:rPr>
      </w:pPr>
    </w:p>
    <w:p>
      <w:pPr>
        <w:spacing w:line="300" w:lineRule="auto"/>
        <w:rPr>
          <w:rFonts w:ascii="宋体" w:hAnsi="宋体" w:cs="宋体"/>
          <w:color w:val="auto"/>
          <w:szCs w:val="21"/>
          <w:highlight w:val="none"/>
        </w:rPr>
      </w:pPr>
    </w:p>
    <w:p>
      <w:pPr>
        <w:spacing w:line="300" w:lineRule="auto"/>
        <w:rPr>
          <w:rFonts w:ascii="宋体" w:hAnsi="宋体" w:cs="宋体"/>
          <w:color w:val="auto"/>
          <w:szCs w:val="21"/>
          <w:highlight w:val="none"/>
        </w:rPr>
      </w:pPr>
    </w:p>
    <w:p>
      <w:pPr>
        <w:spacing w:line="300" w:lineRule="auto"/>
        <w:rPr>
          <w:rFonts w:ascii="宋体" w:hAnsi="宋体" w:cs="宋体"/>
          <w:color w:val="auto"/>
          <w:szCs w:val="21"/>
          <w:highlight w:val="none"/>
        </w:rPr>
      </w:pPr>
    </w:p>
    <w:p>
      <w:pPr>
        <w:spacing w:line="300" w:lineRule="auto"/>
        <w:rPr>
          <w:rFonts w:ascii="宋体" w:hAnsi="宋体" w:cs="宋体"/>
          <w:color w:val="auto"/>
          <w:szCs w:val="21"/>
          <w:highlight w:val="none"/>
        </w:rPr>
      </w:pPr>
    </w:p>
    <w:p>
      <w:pPr>
        <w:spacing w:line="300" w:lineRule="auto"/>
        <w:rPr>
          <w:rFonts w:ascii="宋体" w:hAnsi="宋体" w:cs="宋体"/>
          <w:color w:val="auto"/>
          <w:szCs w:val="21"/>
          <w:highlight w:val="none"/>
        </w:rPr>
      </w:pPr>
    </w:p>
    <w:p>
      <w:pPr>
        <w:spacing w:line="300" w:lineRule="auto"/>
        <w:rPr>
          <w:rFonts w:ascii="宋体" w:hAnsi="宋体" w:cs="宋体"/>
          <w:color w:val="auto"/>
          <w:szCs w:val="21"/>
          <w:highlight w:val="none"/>
        </w:rPr>
      </w:pPr>
    </w:p>
    <w:p>
      <w:pPr>
        <w:spacing w:line="300" w:lineRule="auto"/>
        <w:rPr>
          <w:rFonts w:ascii="宋体" w:hAnsi="宋体" w:cs="宋体"/>
          <w:color w:val="auto"/>
          <w:szCs w:val="21"/>
          <w:highlight w:val="none"/>
        </w:rPr>
      </w:pPr>
    </w:p>
    <w:p>
      <w:pPr>
        <w:spacing w:line="360" w:lineRule="auto"/>
        <w:rPr>
          <w:rFonts w:ascii="宋体" w:hAnsi="宋体" w:cs="宋体"/>
          <w:color w:val="auto"/>
          <w:highlight w:val="none"/>
        </w:rPr>
      </w:pPr>
      <w:r>
        <w:rPr>
          <w:rFonts w:hint="eastAsia" w:ascii="宋体" w:hAnsi="宋体" w:cs="宋体"/>
          <w:color w:val="auto"/>
          <w:highlight w:val="none"/>
        </w:rPr>
        <w:br w:type="page"/>
      </w:r>
    </w:p>
    <w:p>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一、供应商有效的营业执照复印件</w:t>
      </w:r>
    </w:p>
    <w:p>
      <w:pPr>
        <w:spacing w:line="360" w:lineRule="auto"/>
        <w:ind w:firstLine="602" w:firstLineChars="200"/>
        <w:rPr>
          <w:rFonts w:ascii="宋体" w:hAnsi="宋体" w:cs="宋体"/>
          <w:b/>
          <w:color w:val="auto"/>
          <w:sz w:val="30"/>
          <w:szCs w:val="30"/>
          <w:highlight w:val="none"/>
        </w:rPr>
      </w:pPr>
    </w:p>
    <w:p>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pPr>
        <w:spacing w:beforeLines="50" w:after="50"/>
        <w:rPr>
          <w:rFonts w:ascii="宋体" w:hAnsi="宋体" w:cs="宋体"/>
          <w:color w:val="auto"/>
          <w:sz w:val="24"/>
          <w:szCs w:val="20"/>
          <w:highlight w:val="none"/>
        </w:rPr>
      </w:pPr>
    </w:p>
    <w:p>
      <w:pPr>
        <w:spacing w:line="360" w:lineRule="auto"/>
        <w:ind w:firstLine="602" w:firstLineChars="200"/>
        <w:rPr>
          <w:rFonts w:ascii="宋体" w:hAnsi="宋体" w:cs="宋体"/>
          <w:b/>
          <w:color w:val="auto"/>
          <w:sz w:val="30"/>
          <w:szCs w:val="30"/>
          <w:highlight w:val="none"/>
        </w:rPr>
      </w:pPr>
    </w:p>
    <w:p>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二、供应商依法缴纳税收的相关材料</w:t>
      </w:r>
    </w:p>
    <w:p>
      <w:pPr>
        <w:spacing w:line="360" w:lineRule="auto"/>
        <w:ind w:firstLine="602" w:firstLineChars="200"/>
        <w:rPr>
          <w:rFonts w:ascii="宋体" w:hAnsi="宋体" w:cs="宋体"/>
          <w:b/>
          <w:color w:val="auto"/>
          <w:sz w:val="30"/>
          <w:szCs w:val="30"/>
          <w:highlight w:val="none"/>
        </w:rPr>
      </w:pPr>
    </w:p>
    <w:p>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pPr>
        <w:spacing w:beforeLines="50" w:after="50"/>
        <w:rPr>
          <w:rFonts w:ascii="宋体" w:hAnsi="宋体" w:cs="宋体"/>
          <w:color w:val="auto"/>
          <w:sz w:val="24"/>
          <w:szCs w:val="20"/>
          <w:highlight w:val="none"/>
        </w:rPr>
      </w:pPr>
    </w:p>
    <w:p>
      <w:pPr>
        <w:spacing w:line="360" w:lineRule="auto"/>
        <w:ind w:firstLine="602" w:firstLineChars="200"/>
        <w:rPr>
          <w:rFonts w:ascii="宋体" w:hAnsi="宋体" w:cs="宋体"/>
          <w:b/>
          <w:color w:val="auto"/>
          <w:sz w:val="30"/>
          <w:szCs w:val="30"/>
          <w:highlight w:val="none"/>
        </w:rPr>
      </w:pPr>
    </w:p>
    <w:p>
      <w:pPr>
        <w:spacing w:line="300" w:lineRule="auto"/>
        <w:rPr>
          <w:rFonts w:ascii="宋体" w:hAnsi="宋体" w:cs="宋体"/>
          <w:b/>
          <w:color w:val="auto"/>
          <w:sz w:val="30"/>
          <w:szCs w:val="30"/>
          <w:highlight w:val="none"/>
        </w:rPr>
      </w:pPr>
      <w:r>
        <w:rPr>
          <w:rFonts w:hint="eastAsia" w:ascii="宋体" w:hAnsi="宋体" w:cs="宋体"/>
          <w:b/>
          <w:color w:val="auto"/>
          <w:sz w:val="30"/>
          <w:szCs w:val="30"/>
          <w:highlight w:val="none"/>
        </w:rPr>
        <w:t>三、供应商依法缴纳社会保障资金的相关材料</w:t>
      </w:r>
    </w:p>
    <w:p>
      <w:pPr>
        <w:spacing w:line="360" w:lineRule="auto"/>
        <w:ind w:firstLine="602" w:firstLineChars="200"/>
        <w:rPr>
          <w:rFonts w:ascii="宋体" w:hAnsi="宋体" w:cs="宋体"/>
          <w:b/>
          <w:color w:val="auto"/>
          <w:sz w:val="30"/>
          <w:szCs w:val="30"/>
          <w:highlight w:val="none"/>
        </w:rPr>
      </w:pPr>
    </w:p>
    <w:p>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pPr>
        <w:spacing w:beforeLines="50" w:after="50"/>
        <w:rPr>
          <w:rFonts w:ascii="宋体" w:hAnsi="宋体" w:cs="宋体"/>
          <w:color w:val="auto"/>
          <w:sz w:val="24"/>
          <w:szCs w:val="20"/>
          <w:highlight w:val="none"/>
        </w:rPr>
      </w:pPr>
      <w:r>
        <w:rPr>
          <w:rFonts w:hint="eastAsia" w:ascii="宋体" w:hAnsi="宋体" w:cs="宋体"/>
          <w:color w:val="auto"/>
          <w:szCs w:val="21"/>
          <w:highlight w:val="none"/>
        </w:rPr>
        <w:t xml:space="preserve"> </w:t>
      </w:r>
    </w:p>
    <w:p>
      <w:pPr>
        <w:spacing w:line="360" w:lineRule="auto"/>
        <w:ind w:firstLine="602" w:firstLineChars="200"/>
        <w:rPr>
          <w:rFonts w:ascii="宋体" w:hAnsi="宋体" w:cs="宋体"/>
          <w:b/>
          <w:color w:val="auto"/>
          <w:sz w:val="30"/>
          <w:szCs w:val="30"/>
          <w:highlight w:val="none"/>
        </w:rPr>
      </w:pPr>
    </w:p>
    <w:p>
      <w:pPr>
        <w:spacing w:line="300" w:lineRule="auto"/>
        <w:rPr>
          <w:rFonts w:ascii="宋体" w:hAnsi="宋体" w:cs="宋体"/>
          <w:b/>
          <w:color w:val="auto"/>
          <w:sz w:val="30"/>
          <w:szCs w:val="30"/>
          <w:highlight w:val="none"/>
        </w:rPr>
      </w:pPr>
      <w:r>
        <w:rPr>
          <w:rFonts w:hint="eastAsia" w:ascii="宋体" w:hAnsi="宋体" w:cs="宋体"/>
          <w:b/>
          <w:color w:val="auto"/>
          <w:sz w:val="30"/>
          <w:szCs w:val="30"/>
          <w:highlight w:val="none"/>
        </w:rPr>
        <w:t>四、供应商财务状况报告</w:t>
      </w:r>
    </w:p>
    <w:p>
      <w:pPr>
        <w:spacing w:line="360" w:lineRule="auto"/>
        <w:ind w:firstLine="602" w:firstLineChars="200"/>
        <w:rPr>
          <w:rFonts w:ascii="宋体" w:hAnsi="宋体" w:cs="宋体"/>
          <w:b/>
          <w:color w:val="auto"/>
          <w:sz w:val="30"/>
          <w:szCs w:val="30"/>
          <w:highlight w:val="none"/>
        </w:rPr>
      </w:pPr>
    </w:p>
    <w:p>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pPr>
        <w:spacing w:line="300" w:lineRule="auto"/>
        <w:ind w:firstLine="596" w:firstLineChars="198"/>
        <w:rPr>
          <w:rFonts w:ascii="宋体" w:hAnsi="宋体" w:cs="宋体"/>
          <w:b/>
          <w:color w:val="auto"/>
          <w:sz w:val="30"/>
          <w:szCs w:val="30"/>
          <w:highlight w:val="none"/>
        </w:rPr>
      </w:pPr>
    </w:p>
    <w:p>
      <w:pPr>
        <w:spacing w:line="360" w:lineRule="auto"/>
        <w:contextualSpacing/>
        <w:rPr>
          <w:rFonts w:ascii="宋体" w:hAnsi="宋体" w:cs="宋体"/>
          <w:b/>
          <w:color w:val="auto"/>
          <w:sz w:val="30"/>
          <w:szCs w:val="30"/>
          <w:highlight w:val="none"/>
        </w:rPr>
      </w:pPr>
    </w:p>
    <w:p>
      <w:pPr>
        <w:spacing w:line="360" w:lineRule="auto"/>
        <w:contextualSpacing/>
        <w:rPr>
          <w:rFonts w:ascii="宋体" w:hAnsi="宋体" w:cs="宋体"/>
          <w:b/>
          <w:color w:val="auto"/>
          <w:sz w:val="30"/>
          <w:szCs w:val="30"/>
          <w:highlight w:val="none"/>
        </w:rPr>
      </w:pPr>
    </w:p>
    <w:p>
      <w:pPr>
        <w:spacing w:line="300" w:lineRule="auto"/>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pPr>
        <w:spacing w:line="300" w:lineRule="auto"/>
        <w:rPr>
          <w:rFonts w:ascii="宋体" w:hAnsi="宋体" w:cs="宋体"/>
          <w:b/>
          <w:color w:val="auto"/>
          <w:sz w:val="30"/>
          <w:szCs w:val="30"/>
          <w:highlight w:val="none"/>
        </w:rPr>
      </w:pPr>
      <w:r>
        <w:rPr>
          <w:rFonts w:hint="eastAsia" w:ascii="宋体" w:hAnsi="宋体" w:cs="宋体"/>
          <w:b/>
          <w:color w:val="auto"/>
          <w:sz w:val="30"/>
          <w:szCs w:val="30"/>
          <w:highlight w:val="none"/>
        </w:rPr>
        <w:t>五、供应商直接控股、管理关系信息表</w:t>
      </w:r>
    </w:p>
    <w:p>
      <w:pPr>
        <w:spacing w:line="360" w:lineRule="auto"/>
        <w:contextualSpacing/>
        <w:jc w:val="center"/>
        <w:rPr>
          <w:rFonts w:ascii="宋体" w:hAnsi="宋体" w:cs="宋体"/>
          <w:b/>
          <w:color w:val="auto"/>
          <w:sz w:val="30"/>
          <w:szCs w:val="30"/>
          <w:highlight w:val="none"/>
        </w:rPr>
      </w:pPr>
    </w:p>
    <w:p>
      <w:pPr>
        <w:spacing w:line="360" w:lineRule="auto"/>
        <w:contextualSpacing/>
        <w:jc w:val="center"/>
        <w:rPr>
          <w:rFonts w:ascii="宋体" w:hAnsi="宋体" w:cs="宋体"/>
          <w:b/>
          <w:color w:val="auto"/>
          <w:sz w:val="24"/>
          <w:highlight w:val="none"/>
        </w:rPr>
      </w:pPr>
      <w:r>
        <w:rPr>
          <w:rFonts w:hint="eastAsia" w:ascii="宋体" w:hAnsi="宋体" w:cs="宋体"/>
          <w:b/>
          <w:color w:val="auto"/>
          <w:sz w:val="30"/>
          <w:szCs w:val="30"/>
          <w:highlight w:val="none"/>
        </w:rPr>
        <w:t>供应商直接控股股东信息</w:t>
      </w: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r>
    </w:tbl>
    <w:p>
      <w:pPr>
        <w:spacing w:beforeLines="50"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pPr>
        <w:spacing w:line="360" w:lineRule="auto"/>
        <w:jc w:val="left"/>
        <w:rPr>
          <w:rFonts w:ascii="宋体" w:hAnsi="宋体" w:cs="宋体"/>
          <w:color w:val="auto"/>
          <w:sz w:val="24"/>
          <w:highlight w:val="none"/>
        </w:rPr>
      </w:pPr>
    </w:p>
    <w:p>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供应商直接管理关系信息表</w:t>
      </w:r>
    </w:p>
    <w:p>
      <w:pPr>
        <w:spacing w:line="360" w:lineRule="auto"/>
        <w:jc w:val="center"/>
        <w:rPr>
          <w:rFonts w:ascii="宋体" w:hAnsi="宋体" w:cs="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400" w:lineRule="exact"/>
              <w:contextualSpacing/>
              <w:jc w:val="center"/>
              <w:rPr>
                <w:rFonts w:ascii="宋体" w:hAnsi="宋体" w:cs="宋体"/>
                <w:color w:val="auto"/>
                <w:sz w:val="24"/>
                <w:highlight w:val="none"/>
              </w:rPr>
            </w:pPr>
          </w:p>
        </w:tc>
      </w:tr>
    </w:tbl>
    <w:p>
      <w:pPr>
        <w:spacing w:beforeLines="50"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2.本表所指的管理关系仅限于直接管理关系，不包括间接的管理关系。</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pPr>
        <w:spacing w:line="360" w:lineRule="auto"/>
        <w:contextualSpacing/>
        <w:jc w:val="left"/>
        <w:rPr>
          <w:rFonts w:ascii="宋体" w:hAnsi="宋体" w:cs="宋体"/>
          <w:color w:val="auto"/>
          <w:sz w:val="24"/>
          <w:highlight w:val="none"/>
        </w:rPr>
      </w:pPr>
    </w:p>
    <w:p>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pPr>
        <w:spacing w:line="32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p>
    <w:p>
      <w:pPr>
        <w:spacing w:line="320" w:lineRule="exact"/>
        <w:jc w:val="left"/>
        <w:rPr>
          <w:rFonts w:ascii="宋体" w:hAnsi="宋体" w:cs="宋体"/>
          <w:color w:val="auto"/>
          <w:sz w:val="28"/>
          <w:szCs w:val="28"/>
          <w:highlight w:val="none"/>
        </w:rPr>
      </w:pPr>
      <w:r>
        <w:rPr>
          <w:rFonts w:hint="eastAsia" w:ascii="宋体" w:hAnsi="宋体" w:cs="宋体"/>
          <w:b/>
          <w:color w:val="auto"/>
          <w:sz w:val="30"/>
          <w:szCs w:val="30"/>
          <w:highlight w:val="none"/>
        </w:rPr>
        <w:t>六、资格声明</w:t>
      </w:r>
    </w:p>
    <w:p>
      <w:pPr>
        <w:spacing w:line="320" w:lineRule="exact"/>
        <w:jc w:val="center"/>
        <w:rPr>
          <w:rFonts w:ascii="宋体" w:hAnsi="宋体" w:cs="宋体"/>
          <w:b/>
          <w:color w:val="auto"/>
          <w:sz w:val="32"/>
          <w:szCs w:val="32"/>
          <w:highlight w:val="none"/>
        </w:rPr>
      </w:pPr>
    </w:p>
    <w:p>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pPr>
        <w:spacing w:line="320" w:lineRule="exact"/>
        <w:jc w:val="center"/>
        <w:rPr>
          <w:rFonts w:ascii="宋体" w:hAnsi="宋体" w:cs="宋体"/>
          <w:color w:val="auto"/>
          <w:sz w:val="24"/>
          <w:szCs w:val="20"/>
          <w:highlight w:val="none"/>
        </w:rPr>
      </w:pP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（4）响应磋商文件规定的磋商有效期。</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7.与本磋商有关的一切正式往来信函请寄：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邮政编号：</w:t>
      </w:r>
      <w:r>
        <w:rPr>
          <w:rFonts w:hint="eastAsia" w:ascii="宋体" w:hAnsi="宋体" w:cs="宋体"/>
          <w:color w:val="auto"/>
          <w:sz w:val="24"/>
          <w:highlight w:val="none"/>
          <w:u w:val="single"/>
        </w:rPr>
        <w:t xml:space="preserve">        </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pP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特此承诺。</w:t>
      </w:r>
    </w:p>
    <w:p>
      <w:pP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pPr>
        <w:tabs>
          <w:tab w:val="left" w:pos="939"/>
        </w:tabs>
        <w:spacing w:line="360" w:lineRule="auto"/>
        <w:ind w:firstLine="480" w:firstLineChars="200"/>
        <w:contextualSpacing/>
        <w:rPr>
          <w:rFonts w:ascii="宋体" w:hAnsi="宋体" w:cs="宋体"/>
          <w:color w:val="auto"/>
          <w:sz w:val="24"/>
          <w:highlight w:val="none"/>
        </w:rPr>
      </w:pPr>
    </w:p>
    <w:p>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pPr>
        <w:autoSpaceDE w:val="0"/>
        <w:autoSpaceDN w:val="0"/>
        <w:spacing w:line="360" w:lineRule="auto"/>
        <w:ind w:firstLine="6120" w:firstLineChars="2550"/>
        <w:rPr>
          <w:rFonts w:ascii="宋体" w:hAnsi="宋体" w:cs="宋体"/>
          <w:color w:val="auto"/>
          <w:sz w:val="24"/>
          <w:highlight w:val="none"/>
          <w:lang w:val="zh-CN"/>
        </w:rPr>
      </w:pPr>
      <w:r>
        <w:rPr>
          <w:rFonts w:hint="eastAsia" w:ascii="宋体" w:hAnsi="宋体" w:cs="宋体"/>
          <w:color w:val="auto"/>
          <w:sz w:val="24"/>
          <w:highlight w:val="none"/>
          <w:lang w:val="zh-CN"/>
        </w:rPr>
        <w:t xml:space="preserve">日期：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年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月   日</w:t>
      </w:r>
    </w:p>
    <w:p>
      <w:pPr>
        <w:autoSpaceDE w:val="0"/>
        <w:autoSpaceDN w:val="0"/>
        <w:spacing w:line="360" w:lineRule="auto"/>
        <w:ind w:firstLine="6120" w:firstLineChars="2550"/>
        <w:rPr>
          <w:rFonts w:ascii="宋体" w:hAnsi="宋体" w:cs="宋体"/>
          <w:color w:val="auto"/>
          <w:sz w:val="24"/>
          <w:highlight w:val="none"/>
          <w:lang w:val="zh-CN"/>
        </w:rPr>
      </w:pPr>
    </w:p>
    <w:p>
      <w:pPr>
        <w:autoSpaceDE w:val="0"/>
        <w:autoSpaceDN w:val="0"/>
        <w:spacing w:line="360" w:lineRule="auto"/>
        <w:ind w:firstLine="6120" w:firstLineChars="2550"/>
        <w:rPr>
          <w:rFonts w:ascii="宋体" w:hAnsi="宋体" w:cs="宋体"/>
          <w:color w:val="auto"/>
          <w:sz w:val="24"/>
          <w:highlight w:val="none"/>
        </w:rPr>
      </w:pPr>
      <w:r>
        <w:rPr>
          <w:rFonts w:ascii="宋体" w:hAnsi="宋体" w:cs="宋体"/>
          <w:color w:val="auto"/>
          <w:sz w:val="24"/>
          <w:highlight w:val="none"/>
        </w:rPr>
        <w:br w:type="page"/>
      </w:r>
    </w:p>
    <w:p>
      <w:pPr>
        <w:autoSpaceDE w:val="0"/>
        <w:autoSpaceDN w:val="0"/>
        <w:spacing w:line="360" w:lineRule="auto"/>
        <w:ind w:firstLine="6120" w:firstLineChars="2550"/>
        <w:rPr>
          <w:rFonts w:ascii="宋体" w:hAnsi="宋体" w:cs="宋体"/>
          <w:color w:val="auto"/>
          <w:sz w:val="24"/>
          <w:highlight w:val="none"/>
          <w:lang w:val="zh-CN"/>
        </w:rPr>
      </w:pPr>
    </w:p>
    <w:p>
      <w:pPr>
        <w:pStyle w:val="99"/>
        <w:spacing w:beforeLines="50" w:line="360" w:lineRule="auto"/>
        <w:ind w:firstLine="0" w:firstLineChars="0"/>
        <w:rPr>
          <w:rFonts w:ascii="宋体" w:hAnsi="宋体" w:eastAsia="宋体" w:cs="宋体"/>
          <w:b/>
          <w:color w:val="auto"/>
          <w:spacing w:val="0"/>
          <w:sz w:val="30"/>
          <w:szCs w:val="30"/>
          <w:highlight w:val="none"/>
        </w:rPr>
      </w:pPr>
      <w:bookmarkStart w:id="92" w:name="_Toc80205940"/>
      <w:r>
        <w:rPr>
          <w:rFonts w:hint="eastAsia" w:ascii="宋体" w:hAnsi="宋体" w:eastAsia="宋体" w:cs="宋体"/>
          <w:b/>
          <w:color w:val="auto"/>
          <w:spacing w:val="0"/>
          <w:sz w:val="30"/>
          <w:szCs w:val="30"/>
          <w:highlight w:val="none"/>
        </w:rPr>
        <w:t>七、建设工程项目管理承诺书</w:t>
      </w:r>
    </w:p>
    <w:p>
      <w:pPr>
        <w:spacing w:line="360" w:lineRule="auto"/>
        <w:jc w:val="center"/>
        <w:rPr>
          <w:rFonts w:ascii="宋体" w:hAnsi="宋体" w:cs="宋体"/>
          <w:color w:val="auto"/>
          <w:sz w:val="24"/>
          <w:highlight w:val="none"/>
        </w:rPr>
      </w:pPr>
      <w:r>
        <w:rPr>
          <w:rFonts w:hint="eastAsia" w:ascii="宋体" w:hAnsi="宋体" w:cs="宋体"/>
          <w:b/>
          <w:color w:val="auto"/>
          <w:sz w:val="30"/>
          <w:szCs w:val="30"/>
          <w:highlight w:val="none"/>
        </w:rPr>
        <w:t>建设工程项目管理承诺书</w:t>
      </w:r>
    </w:p>
    <w:p>
      <w:pPr>
        <w:spacing w:line="5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（采购人名称）</w:t>
      </w:r>
      <w:r>
        <w:rPr>
          <w:rFonts w:hint="eastAsia" w:ascii="宋体" w:hAnsi="宋体" w:cs="宋体"/>
          <w:color w:val="auto"/>
          <w:sz w:val="24"/>
          <w:highlight w:val="none"/>
        </w:rPr>
        <w:t>：</w:t>
      </w:r>
    </w:p>
    <w:p>
      <w:pPr>
        <w:spacing w:line="520" w:lineRule="exact"/>
        <w:ind w:left="-10" w:firstLine="520" w:firstLineChars="217"/>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MingLiU_HKSCS" w:hAnsi="MingLiU_HKSCS" w:eastAsia="MingLiU_HKSCS" w:cs="MingLiU_HKSCS"/>
          <w:color w:val="auto"/>
          <w:sz w:val="24"/>
          <w:highlight w:val="none"/>
          <w:u w:val="single"/>
        </w:rPr>
        <w:t></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项目的投标方，根据国家、自治区相关文件规定，我方在此向采购人承诺：</w:t>
      </w:r>
    </w:p>
    <w:p>
      <w:pPr>
        <w:spacing w:line="520" w:lineRule="exact"/>
        <w:ind w:left="-10" w:firstLine="520" w:firstLineChars="217"/>
        <w:rPr>
          <w:rFonts w:ascii="宋体" w:hAnsi="宋体" w:cs="宋体"/>
          <w:color w:val="auto"/>
          <w:sz w:val="24"/>
          <w:highlight w:val="none"/>
        </w:rPr>
      </w:pPr>
      <w:r>
        <w:rPr>
          <w:rFonts w:hint="eastAsia" w:ascii="宋体" w:hAnsi="宋体" w:cs="宋体"/>
          <w:color w:val="auto"/>
          <w:sz w:val="24"/>
          <w:highlight w:val="none"/>
        </w:rPr>
        <w:t>1、一旦中标，我方保证按照政府相关部门的规定，在项目开工前设农民工工资支付专用账户。严格按照《保障农民工工资支付条例》规定，存储工资保证金，专项用于支付本工程提供劳动的农民工被拖欠的工资。按照与农民工依法约定的工资支付周期和具体支付日期支付工资，保证每月至少向农民工足额支付一次工资。</w:t>
      </w:r>
    </w:p>
    <w:p>
      <w:pPr>
        <w:spacing w:line="520" w:lineRule="exact"/>
        <w:ind w:left="-10" w:firstLine="520" w:firstLineChars="217"/>
        <w:rPr>
          <w:rFonts w:ascii="宋体" w:hAnsi="宋体" w:cs="宋体"/>
          <w:color w:val="auto"/>
          <w:sz w:val="24"/>
          <w:highlight w:val="none"/>
        </w:rPr>
      </w:pPr>
      <w:r>
        <w:rPr>
          <w:rFonts w:hint="eastAsia" w:ascii="宋体" w:hAnsi="宋体" w:cs="宋体"/>
          <w:color w:val="auto"/>
          <w:sz w:val="24"/>
          <w:highlight w:val="none"/>
        </w:rPr>
        <w:t>2.一旦中标，我方保证在施工过程中，严格执行《广西壮族自治区建筑工程安全防护、文明施工措施费及使用管理细则》（桂建质【2015】16号）的有关规定，确保建设工程各项安全防护、文明施工措施落实到位。如我方在该项目的承包中出现未按桂建质【2015】16号文规定执行的情形，我方愿意按照相关规定接受建设单位及有关主管部门的处罚。</w:t>
      </w:r>
    </w:p>
    <w:p>
      <w:pPr>
        <w:spacing w:line="520" w:lineRule="exact"/>
        <w:ind w:left="-2" w:leftChars="-1" w:firstLine="513" w:firstLineChars="214"/>
        <w:rPr>
          <w:rFonts w:ascii="宋体" w:hAnsi="宋体" w:cs="宋体"/>
          <w:color w:val="auto"/>
          <w:sz w:val="24"/>
          <w:highlight w:val="none"/>
        </w:rPr>
      </w:pPr>
      <w:r>
        <w:rPr>
          <w:rFonts w:hint="eastAsia" w:ascii="宋体" w:hAnsi="宋体" w:cs="宋体"/>
          <w:color w:val="auto"/>
          <w:sz w:val="24"/>
          <w:highlight w:val="none"/>
        </w:rPr>
        <w:t>3.一旦中标，我方保证在施工过程中，严格执行散装水泥和预拌混凝土（或商品混凝土）管理的有关规定，确保建设工程按规定使用散装水泥和预拌混凝土。如我方在该项目的承包中出现未按规定执行的情形，我方愿意按照相关规定接受建设单位及有关主管部门的处罚。</w:t>
      </w:r>
    </w:p>
    <w:p>
      <w:pPr>
        <w:spacing w:line="520" w:lineRule="exact"/>
        <w:ind w:left="-10" w:firstLine="520" w:firstLineChars="217"/>
        <w:rPr>
          <w:rFonts w:ascii="宋体" w:hAnsi="宋体" w:cs="宋体"/>
          <w:color w:val="auto"/>
          <w:highlight w:val="none"/>
        </w:rPr>
      </w:pPr>
      <w:r>
        <w:rPr>
          <w:rFonts w:hint="eastAsia" w:ascii="宋体" w:hAnsi="宋体" w:cs="宋体"/>
          <w:color w:val="auto"/>
          <w:sz w:val="24"/>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pPr>
        <w:autoSpaceDE w:val="0"/>
        <w:autoSpaceDN w:val="0"/>
        <w:spacing w:line="360" w:lineRule="auto"/>
        <w:ind w:left="4365" w:leftChars="1850" w:hanging="480" w:hangingChars="200"/>
        <w:rPr>
          <w:rFonts w:ascii="宋体" w:hAnsi="宋体" w:cs="宋体"/>
          <w:color w:val="auto"/>
          <w:sz w:val="24"/>
          <w:highlight w:val="none"/>
        </w:rPr>
      </w:pPr>
    </w:p>
    <w:p>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pPr>
        <w:autoSpaceDE w:val="0"/>
        <w:autoSpaceDN w:val="0"/>
        <w:spacing w:line="360" w:lineRule="auto"/>
        <w:ind w:firstLine="6120" w:firstLineChars="2550"/>
        <w:rPr>
          <w:rFonts w:hint="eastAsia" w:ascii="宋体" w:hAnsi="宋体" w:cs="宋体"/>
          <w:color w:val="auto"/>
          <w:sz w:val="24"/>
          <w:highlight w:val="none"/>
          <w:lang w:val="zh-CN"/>
        </w:rPr>
      </w:pPr>
      <w:r>
        <w:rPr>
          <w:rFonts w:hint="eastAsia" w:ascii="宋体" w:hAnsi="宋体" w:cs="宋体"/>
          <w:color w:val="auto"/>
          <w:sz w:val="24"/>
          <w:highlight w:val="none"/>
          <w:lang w:val="zh-CN"/>
        </w:rPr>
        <w:t>日期：  年  月   日</w:t>
      </w:r>
    </w:p>
    <w:p>
      <w:pPr>
        <w:autoSpaceDE w:val="0"/>
        <w:autoSpaceDN w:val="0"/>
        <w:spacing w:line="360" w:lineRule="auto"/>
        <w:ind w:firstLine="6120" w:firstLineChars="2550"/>
        <w:rPr>
          <w:rFonts w:hint="eastAsia" w:ascii="宋体" w:hAnsi="宋体" w:cs="宋体"/>
          <w:color w:val="auto"/>
          <w:sz w:val="24"/>
          <w:highlight w:val="none"/>
          <w:lang w:val="zh-CN"/>
        </w:rPr>
      </w:pPr>
    </w:p>
    <w:p>
      <w:pP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br w:type="page"/>
      </w:r>
    </w:p>
    <w:p>
      <w:pPr>
        <w:pStyle w:val="99"/>
        <w:spacing w:beforeLines="50" w:line="360" w:lineRule="auto"/>
        <w:ind w:firstLine="0" w:firstLineChars="0"/>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八、本项目为专门面向中小企业项目，供应商应为中型企业或小型企业或微型企业或监狱企业或残疾人福利性单位；</w:t>
      </w:r>
    </w:p>
    <w:p>
      <w:pPr>
        <w:pStyle w:val="99"/>
        <w:spacing w:line="360" w:lineRule="auto"/>
        <w:ind w:firstLine="0" w:firstLineChars="0"/>
        <w:jc w:val="center"/>
        <w:rPr>
          <w:rFonts w:hint="eastAsia" w:ascii="仿宋" w:hAnsi="仿宋" w:eastAsia="仿宋" w:cs="仿宋"/>
          <w:b/>
          <w:kern w:val="0"/>
          <w:sz w:val="30"/>
          <w:szCs w:val="30"/>
          <w:highlight w:val="none"/>
        </w:rPr>
      </w:pPr>
    </w:p>
    <w:p>
      <w:pPr>
        <w:spacing w:line="300" w:lineRule="auto"/>
        <w:jc w:val="center"/>
        <w:rPr>
          <w:rFonts w:hint="eastAsia" w:ascii="宋体" w:hAnsi="宋体" w:eastAsia="宋体" w:cs="宋体"/>
          <w:b/>
          <w:color w:val="auto"/>
          <w:spacing w:val="0"/>
          <w:kern w:val="2"/>
          <w:sz w:val="30"/>
          <w:szCs w:val="30"/>
          <w:highlight w:val="none"/>
          <w:lang w:val="en-US" w:eastAsia="zh-CN" w:bidi="ar-SA"/>
        </w:rPr>
      </w:pPr>
      <w:r>
        <w:rPr>
          <w:rFonts w:hint="eastAsia" w:ascii="宋体" w:hAnsi="宋体" w:eastAsia="宋体" w:cs="宋体"/>
          <w:b/>
          <w:color w:val="auto"/>
          <w:spacing w:val="0"/>
          <w:kern w:val="2"/>
          <w:sz w:val="30"/>
          <w:szCs w:val="30"/>
          <w:highlight w:val="none"/>
          <w:lang w:val="en-US" w:eastAsia="zh-CN" w:bidi="ar-SA"/>
        </w:rPr>
        <w:t>中小企业声明函（工程）</w:t>
      </w:r>
    </w:p>
    <w:p>
      <w:pPr>
        <w:spacing w:line="520" w:lineRule="exact"/>
        <w:ind w:left="-10" w:firstLine="520" w:firstLineChars="217"/>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（单位名称）的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（项目名称）采购活动，工程全部由符合政策要求的中小企业承接。相关企业（含联合体中的中小企业、签订分包意向协议的中小企业）的具体情况如下：</w:t>
      </w:r>
    </w:p>
    <w:p>
      <w:pPr>
        <w:spacing w:line="520" w:lineRule="exact"/>
        <w:ind w:left="-10" w:firstLine="520" w:firstLineChars="217"/>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；承接企业为（企业名称），从业人员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pPr>
        <w:spacing w:line="520" w:lineRule="exact"/>
        <w:ind w:left="-10" w:firstLine="520" w:firstLineChars="217"/>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；承接企业为（企业名称），从业人员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pPr>
        <w:spacing w:line="520" w:lineRule="exact"/>
        <w:ind w:left="-10" w:firstLine="520" w:firstLineChars="21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spacing w:line="520" w:lineRule="exact"/>
        <w:ind w:left="-10" w:firstLine="520" w:firstLineChars="217"/>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pPr>
        <w:spacing w:line="520" w:lineRule="exact"/>
        <w:ind w:left="-10" w:firstLine="520" w:firstLineChars="217"/>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pPr>
        <w:spacing w:line="520" w:lineRule="exact"/>
        <w:ind w:left="-10" w:firstLine="520" w:firstLineChars="217"/>
        <w:rPr>
          <w:rFonts w:hint="eastAsia" w:ascii="宋体" w:hAnsi="宋体" w:eastAsia="宋体" w:cs="宋体"/>
          <w:color w:val="auto"/>
          <w:sz w:val="24"/>
          <w:highlight w:val="none"/>
        </w:rPr>
      </w:pPr>
    </w:p>
    <w:p>
      <w:pPr>
        <w:spacing w:line="520" w:lineRule="exact"/>
        <w:ind w:left="-10" w:firstLine="520" w:firstLineChars="217"/>
        <w:rPr>
          <w:rFonts w:hint="eastAsia" w:ascii="宋体" w:hAnsi="宋体" w:eastAsia="宋体" w:cs="宋体"/>
          <w:color w:val="auto"/>
          <w:sz w:val="24"/>
          <w:highlight w:val="none"/>
        </w:rPr>
      </w:pPr>
    </w:p>
    <w:p>
      <w:pPr>
        <w:spacing w:line="520" w:lineRule="exact"/>
        <w:ind w:left="-10" w:firstLine="520" w:firstLineChars="2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pPr>
        <w:spacing w:line="520" w:lineRule="exact"/>
        <w:ind w:left="-10" w:firstLine="520" w:firstLineChars="217"/>
        <w:jc w:val="righ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pPr>
        <w:pStyle w:val="13"/>
        <w:spacing w:after="0" w:line="360" w:lineRule="auto"/>
        <w:ind w:left="3960" w:right="1808"/>
        <w:contextualSpacing/>
        <w:rPr>
          <w:rFonts w:hint="eastAsia" w:ascii="仿宋" w:hAnsi="仿宋" w:eastAsia="仿宋" w:cs="仿宋"/>
          <w:highlight w:val="none"/>
        </w:rPr>
      </w:pPr>
    </w:p>
    <w:p>
      <w:pPr>
        <w:spacing w:line="360" w:lineRule="auto"/>
        <w:ind w:firstLine="480" w:firstLineChars="200"/>
        <w:contextualSpacing/>
        <w:jc w:val="left"/>
        <w:rPr>
          <w:rFonts w:hint="eastAsia" w:ascii="仿宋" w:hAnsi="仿宋" w:eastAsia="仿宋" w:cs="仿宋"/>
          <w:sz w:val="24"/>
          <w:highlight w:val="none"/>
        </w:rPr>
        <w:sectPr>
          <w:footerReference r:id="rId4" w:type="default"/>
          <w:pgSz w:w="11911" w:h="16838"/>
          <w:pgMar w:top="850" w:right="1417" w:bottom="680" w:left="1417" w:header="720" w:footer="720" w:gutter="0"/>
          <w:pgNumType w:fmt="decimal" w:start="1"/>
          <w:cols w:space="720" w:num="1"/>
        </w:sect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300" w:lineRule="auto"/>
        <w:jc w:val="center"/>
        <w:rPr>
          <w:rFonts w:hint="eastAsia" w:ascii="宋体" w:hAnsi="宋体" w:eastAsia="宋体" w:cs="宋体"/>
          <w:b/>
          <w:color w:val="auto"/>
          <w:spacing w:val="0"/>
          <w:kern w:val="2"/>
          <w:sz w:val="30"/>
          <w:szCs w:val="30"/>
          <w:highlight w:val="none"/>
          <w:lang w:val="en-US" w:eastAsia="zh-CN" w:bidi="ar-SA"/>
        </w:rPr>
      </w:pPr>
      <w:r>
        <w:rPr>
          <w:rFonts w:hint="eastAsia" w:ascii="宋体" w:hAnsi="宋体" w:eastAsia="宋体" w:cs="宋体"/>
          <w:b/>
          <w:color w:val="auto"/>
          <w:spacing w:val="0"/>
          <w:kern w:val="2"/>
          <w:sz w:val="30"/>
          <w:szCs w:val="30"/>
          <w:highlight w:val="none"/>
          <w:lang w:val="en-US" w:eastAsia="zh-CN" w:bidi="ar-SA"/>
        </w:rPr>
        <w:t>残疾人福利性单位声明函</w:t>
      </w:r>
    </w:p>
    <w:p>
      <w:pPr>
        <w:spacing w:line="520" w:lineRule="exact"/>
        <w:rPr>
          <w:rFonts w:hint="eastAsia" w:ascii="仿宋" w:hAnsi="仿宋" w:eastAsia="仿宋" w:cs="仿宋"/>
          <w:sz w:val="32"/>
          <w:szCs w:val="32"/>
          <w:highlight w:val="none"/>
        </w:rPr>
      </w:pP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仿宋" w:hAnsi="仿宋" w:eastAsia="仿宋" w:cs="仿宋"/>
          <w:sz w:val="24"/>
          <w:highlight w:val="none"/>
        </w:rPr>
        <w:t>本</w:t>
      </w:r>
      <w:r>
        <w:rPr>
          <w:rFonts w:hint="eastAsia" w:ascii="宋体" w:hAnsi="宋体" w:eastAsia="宋体" w:cs="宋体"/>
          <w:color w:val="auto"/>
          <w:sz w:val="24"/>
          <w:highlight w:val="none"/>
        </w:rPr>
        <w:t>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360" w:lineRule="auto"/>
        <w:ind w:firstLine="480" w:firstLineChars="200"/>
        <w:contextualSpacing/>
        <w:jc w:val="left"/>
        <w:rPr>
          <w:rFonts w:hint="eastAsia" w:ascii="宋体" w:hAnsi="宋体" w:eastAsia="宋体" w:cs="宋体"/>
          <w:color w:val="auto"/>
          <w:sz w:val="24"/>
          <w:highlight w:val="none"/>
        </w:rPr>
      </w:pPr>
    </w:p>
    <w:p>
      <w:pPr>
        <w:spacing w:line="360" w:lineRule="auto"/>
        <w:ind w:firstLine="480" w:firstLineChars="200"/>
        <w:contextualSpacing/>
        <w:jc w:val="left"/>
        <w:rPr>
          <w:rFonts w:hint="eastAsia" w:ascii="宋体" w:hAnsi="宋体" w:eastAsia="宋体" w:cs="宋体"/>
          <w:color w:val="auto"/>
          <w:sz w:val="24"/>
          <w:highlight w:val="none"/>
        </w:rPr>
      </w:pPr>
    </w:p>
    <w:p>
      <w:pPr>
        <w:spacing w:line="360" w:lineRule="auto"/>
        <w:ind w:firstLine="480" w:firstLineChars="200"/>
        <w:contextualSpacing/>
        <w:jc w:val="left"/>
        <w:rPr>
          <w:rFonts w:hint="eastAsia" w:ascii="宋体" w:hAnsi="宋体" w:eastAsia="宋体" w:cs="宋体"/>
          <w:color w:val="auto"/>
          <w:sz w:val="24"/>
          <w:highlight w:val="none"/>
        </w:rPr>
      </w:pPr>
    </w:p>
    <w:p>
      <w:pPr>
        <w:spacing w:line="360" w:lineRule="auto"/>
        <w:ind w:firstLine="480" w:firstLineChars="20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pPr>
        <w:spacing w:line="360" w:lineRule="auto"/>
        <w:ind w:firstLine="480" w:firstLineChars="20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spacing w:line="360" w:lineRule="auto"/>
        <w:ind w:firstLine="480" w:firstLineChars="200"/>
        <w:contextualSpacing/>
        <w:jc w:val="left"/>
        <w:rPr>
          <w:rFonts w:hint="eastAsia" w:ascii="宋体" w:hAnsi="宋体" w:eastAsia="宋体" w:cs="宋体"/>
          <w:color w:val="auto"/>
          <w:sz w:val="24"/>
          <w:highlight w:val="none"/>
        </w:rPr>
      </w:pPr>
    </w:p>
    <w:p>
      <w:pPr>
        <w:spacing w:line="360" w:lineRule="auto"/>
        <w:ind w:firstLine="480" w:firstLineChars="200"/>
        <w:contextualSpacing/>
        <w:jc w:val="left"/>
        <w:rPr>
          <w:rFonts w:hint="eastAsia" w:ascii="宋体" w:hAnsi="宋体" w:eastAsia="宋体" w:cs="宋体"/>
          <w:color w:val="auto"/>
          <w:sz w:val="24"/>
          <w:highlight w:val="none"/>
        </w:rPr>
      </w:pPr>
    </w:p>
    <w:p>
      <w:pPr>
        <w:spacing w:line="360" w:lineRule="auto"/>
        <w:ind w:firstLine="480" w:firstLineChars="200"/>
        <w:contextualSpacing/>
        <w:jc w:val="left"/>
        <w:rPr>
          <w:rFonts w:hint="eastAsia" w:ascii="宋体" w:hAnsi="宋体" w:eastAsia="宋体" w:cs="宋体"/>
          <w:color w:val="auto"/>
          <w:sz w:val="24"/>
          <w:highlight w:val="none"/>
        </w:rPr>
      </w:pP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pacing w:line="520" w:lineRule="exact"/>
        <w:jc w:val="center"/>
        <w:rPr>
          <w:rFonts w:hint="eastAsia" w:ascii="仿宋" w:hAnsi="仿宋" w:eastAsia="仿宋" w:cs="仿宋"/>
          <w:sz w:val="24"/>
          <w:highlight w:val="none"/>
        </w:rPr>
      </w:pPr>
    </w:p>
    <w:p>
      <w:pPr>
        <w:spacing w:line="520" w:lineRule="exact"/>
        <w:jc w:val="center"/>
        <w:rPr>
          <w:rFonts w:hint="eastAsia" w:ascii="仿宋" w:hAnsi="仿宋" w:eastAsia="仿宋" w:cs="仿宋"/>
          <w:sz w:val="24"/>
          <w:highlight w:val="none"/>
        </w:rPr>
      </w:pPr>
    </w:p>
    <w:p>
      <w:pPr>
        <w:spacing w:line="520" w:lineRule="exact"/>
        <w:jc w:val="center"/>
        <w:rPr>
          <w:rFonts w:hint="eastAsia" w:ascii="仿宋" w:hAnsi="仿宋" w:eastAsia="仿宋" w:cs="仿宋"/>
          <w:sz w:val="24"/>
          <w:highlight w:val="none"/>
        </w:rPr>
      </w:pPr>
    </w:p>
    <w:p>
      <w:pPr>
        <w:spacing w:line="520" w:lineRule="exact"/>
        <w:jc w:val="center"/>
        <w:rPr>
          <w:rFonts w:hint="eastAsia" w:ascii="仿宋" w:hAnsi="仿宋" w:eastAsia="仿宋" w:cs="仿宋"/>
          <w:sz w:val="24"/>
          <w:highlight w:val="none"/>
        </w:rPr>
      </w:pPr>
    </w:p>
    <w:p>
      <w:pPr>
        <w:spacing w:line="520" w:lineRule="exact"/>
        <w:jc w:val="center"/>
        <w:rPr>
          <w:rFonts w:hint="eastAsia" w:ascii="仿宋" w:hAnsi="仿宋" w:eastAsia="仿宋" w:cs="仿宋"/>
          <w:sz w:val="24"/>
          <w:highlight w:val="none"/>
        </w:rPr>
      </w:pPr>
    </w:p>
    <w:p>
      <w:pPr>
        <w:spacing w:line="520" w:lineRule="exact"/>
        <w:jc w:val="center"/>
        <w:rPr>
          <w:rFonts w:hint="eastAsia" w:ascii="仿宋" w:hAnsi="仿宋" w:eastAsia="仿宋" w:cs="仿宋"/>
          <w:sz w:val="24"/>
          <w:highlight w:val="none"/>
        </w:rPr>
      </w:pPr>
    </w:p>
    <w:p>
      <w:pPr>
        <w:spacing w:line="520" w:lineRule="exact"/>
        <w:jc w:val="center"/>
        <w:rPr>
          <w:rFonts w:hint="eastAsia" w:ascii="仿宋" w:hAnsi="仿宋" w:eastAsia="仿宋" w:cs="仿宋"/>
          <w:sz w:val="24"/>
          <w:highlight w:val="none"/>
        </w:rPr>
      </w:pPr>
    </w:p>
    <w:p>
      <w:pPr>
        <w:spacing w:line="52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r>
        <w:rPr>
          <w:rFonts w:hint="eastAsia" w:ascii="宋体" w:hAnsi="宋体" w:eastAsia="宋体" w:cs="宋体"/>
          <w:b/>
          <w:color w:val="auto"/>
          <w:spacing w:val="0"/>
          <w:kern w:val="2"/>
          <w:sz w:val="30"/>
          <w:szCs w:val="30"/>
          <w:highlight w:val="none"/>
          <w:lang w:val="en-US" w:eastAsia="zh-CN" w:bidi="ar-SA"/>
        </w:rPr>
        <w:t>监狱企业证明</w:t>
      </w:r>
    </w:p>
    <w:p>
      <w:pPr>
        <w:spacing w:line="520" w:lineRule="exact"/>
        <w:ind w:firstLine="480" w:firstLineChars="200"/>
        <w:jc w:val="left"/>
        <w:rPr>
          <w:rFonts w:hint="eastAsia" w:ascii="仿宋" w:hAnsi="仿宋" w:eastAsia="仿宋" w:cs="仿宋"/>
          <w:sz w:val="24"/>
          <w:highlight w:val="none"/>
        </w:rPr>
      </w:pP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pPr>
        <w:spacing w:line="360" w:lineRule="auto"/>
        <w:ind w:firstLine="480" w:firstLineChars="200"/>
        <w:contextualSpacing/>
        <w:jc w:val="left"/>
        <w:rPr>
          <w:rFonts w:hint="eastAsia" w:ascii="宋体" w:hAnsi="宋体" w:eastAsia="宋体" w:cs="宋体"/>
          <w:color w:val="auto"/>
          <w:sz w:val="24"/>
          <w:highlight w:val="none"/>
        </w:rPr>
      </w:pPr>
    </w:p>
    <w:p>
      <w:pPr>
        <w:spacing w:line="360" w:lineRule="auto"/>
        <w:ind w:firstLine="480" w:firstLineChars="200"/>
        <w:contextualSpacing/>
        <w:jc w:val="right"/>
        <w:rPr>
          <w:rFonts w:hint="eastAsia" w:ascii="宋体" w:hAnsi="宋体" w:eastAsia="宋体" w:cs="宋体"/>
          <w:color w:val="auto"/>
          <w:sz w:val="24"/>
          <w:highlight w:val="none"/>
        </w:rPr>
      </w:pPr>
    </w:p>
    <w:p>
      <w:pPr>
        <w:spacing w:line="360" w:lineRule="auto"/>
        <w:ind w:firstLine="480" w:firstLineChars="20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pPr>
        <w:spacing w:line="360" w:lineRule="auto"/>
        <w:ind w:firstLine="480" w:firstLineChars="200"/>
        <w:contextualSpacing/>
        <w:jc w:val="right"/>
        <w:rPr>
          <w:rFonts w:ascii="宋体" w:hAnsi="宋体" w:cs="宋体"/>
          <w:color w:val="auto"/>
          <w:sz w:val="24"/>
          <w:highlight w:val="none"/>
        </w:rPr>
      </w:pPr>
      <w:r>
        <w:rPr>
          <w:rFonts w:hint="eastAsia" w:ascii="宋体" w:hAnsi="宋体" w:eastAsia="宋体" w:cs="宋体"/>
          <w:color w:val="auto"/>
          <w:sz w:val="24"/>
          <w:highlight w:val="none"/>
        </w:rPr>
        <w:t>日  期：     年   月   日</w:t>
      </w:r>
      <w:r>
        <w:rPr>
          <w:rFonts w:ascii="宋体" w:hAnsi="宋体" w:cs="宋体"/>
          <w:color w:val="auto"/>
          <w:sz w:val="24"/>
          <w:highlight w:val="none"/>
        </w:rPr>
        <w:br w:type="page"/>
      </w:r>
    </w:p>
    <w:p>
      <w:pPr>
        <w:pStyle w:val="99"/>
        <w:spacing w:line="400" w:lineRule="exact"/>
        <w:ind w:firstLine="0" w:firstLineChars="0"/>
        <w:rPr>
          <w:rFonts w:hint="eastAsia" w:ascii="宋体" w:hAnsi="宋体" w:eastAsia="宋体" w:cs="宋体"/>
          <w:b/>
          <w:color w:val="auto"/>
          <w:spacing w:val="0"/>
          <w:sz w:val="30"/>
          <w:szCs w:val="30"/>
          <w:highlight w:val="none"/>
          <w:lang w:eastAsia="zh-CN"/>
        </w:rPr>
      </w:pPr>
      <w:r>
        <w:rPr>
          <w:rFonts w:hint="eastAsia" w:ascii="宋体" w:hAnsi="宋体" w:eastAsia="宋体" w:cs="宋体"/>
          <w:b/>
          <w:color w:val="auto"/>
          <w:spacing w:val="0"/>
          <w:sz w:val="30"/>
          <w:szCs w:val="30"/>
          <w:highlight w:val="none"/>
          <w:lang w:val="en-US" w:eastAsia="zh-CN"/>
        </w:rPr>
        <w:t>九</w:t>
      </w:r>
      <w:r>
        <w:rPr>
          <w:rFonts w:hint="eastAsia" w:ascii="宋体" w:hAnsi="宋体" w:eastAsia="宋体" w:cs="宋体"/>
          <w:b/>
          <w:color w:val="auto"/>
          <w:spacing w:val="0"/>
          <w:sz w:val="30"/>
          <w:szCs w:val="30"/>
          <w:highlight w:val="none"/>
        </w:rPr>
        <w:t>、具备建筑工程总承包二级（含）以上资质，并在人员、设备、资金等方面具备相应的施工能力。</w:t>
      </w:r>
    </w:p>
    <w:p>
      <w:pPr>
        <w:pStyle w:val="99"/>
        <w:spacing w:line="360" w:lineRule="auto"/>
        <w:ind w:firstLine="0" w:firstLineChars="0"/>
        <w:jc w:val="center"/>
        <w:rPr>
          <w:rFonts w:ascii="宋体" w:hAnsi="宋体" w:eastAsia="宋体" w:cs="宋体"/>
          <w:b/>
          <w:color w:val="auto"/>
          <w:spacing w:val="0"/>
          <w:sz w:val="30"/>
          <w:szCs w:val="30"/>
          <w:highlight w:val="none"/>
          <w:lang w:val="zh-CN"/>
        </w:rPr>
      </w:pPr>
    </w:p>
    <w:p>
      <w:pPr>
        <w:autoSpaceDE w:val="0"/>
        <w:autoSpaceDN w:val="0"/>
        <w:spacing w:line="360" w:lineRule="auto"/>
        <w:ind w:left="4365" w:leftChars="1850" w:hanging="480" w:hangingChars="200"/>
        <w:rPr>
          <w:rFonts w:ascii="宋体" w:hAnsi="宋体" w:cs="宋体"/>
          <w:color w:val="auto"/>
          <w:sz w:val="24"/>
          <w:highlight w:val="none"/>
        </w:rPr>
      </w:pPr>
    </w:p>
    <w:p>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pPr>
        <w:pStyle w:val="99"/>
        <w:spacing w:line="400" w:lineRule="exact"/>
        <w:ind w:firstLine="0" w:firstLineChars="0"/>
        <w:rPr>
          <w:rFonts w:ascii="宋体" w:hAnsi="宋体" w:eastAsia="宋体" w:cs="宋体"/>
          <w:b/>
          <w:color w:val="auto"/>
          <w:spacing w:val="0"/>
          <w:sz w:val="30"/>
          <w:szCs w:val="30"/>
          <w:highlight w:val="none"/>
        </w:rPr>
      </w:pPr>
    </w:p>
    <w:p>
      <w:pPr>
        <w:pStyle w:val="99"/>
        <w:spacing w:line="400" w:lineRule="exact"/>
        <w:ind w:firstLine="0" w:firstLineChars="0"/>
        <w:rPr>
          <w:rFonts w:ascii="宋体" w:hAnsi="宋体" w:eastAsia="宋体" w:cs="宋体"/>
          <w:b/>
          <w:color w:val="auto"/>
          <w:spacing w:val="0"/>
          <w:sz w:val="30"/>
          <w:szCs w:val="30"/>
          <w:highlight w:val="none"/>
        </w:rPr>
      </w:pPr>
    </w:p>
    <w:p>
      <w:pPr>
        <w:pStyle w:val="99"/>
        <w:spacing w:line="400" w:lineRule="exact"/>
        <w:ind w:firstLine="0" w:firstLineChars="0"/>
        <w:rPr>
          <w:rFonts w:ascii="宋体" w:hAnsi="宋体" w:eastAsia="宋体" w:cs="宋体"/>
          <w:b/>
          <w:color w:val="auto"/>
          <w:spacing w:val="0"/>
          <w:sz w:val="30"/>
          <w:szCs w:val="30"/>
          <w:highlight w:val="none"/>
          <w:lang w:val="zh-CN"/>
        </w:rPr>
      </w:pPr>
      <w:r>
        <w:rPr>
          <w:rFonts w:hint="eastAsia" w:ascii="宋体" w:hAnsi="宋体" w:eastAsia="宋体" w:cs="宋体"/>
          <w:b/>
          <w:color w:val="auto"/>
          <w:spacing w:val="0"/>
          <w:sz w:val="30"/>
          <w:szCs w:val="30"/>
          <w:highlight w:val="none"/>
          <w:lang w:val="en-US" w:eastAsia="zh-CN"/>
        </w:rPr>
        <w:t>十</w:t>
      </w:r>
      <w:r>
        <w:rPr>
          <w:rFonts w:hint="eastAsia" w:ascii="宋体" w:hAnsi="宋体" w:eastAsia="宋体" w:cs="宋体"/>
          <w:b/>
          <w:color w:val="auto"/>
          <w:spacing w:val="0"/>
          <w:sz w:val="30"/>
          <w:szCs w:val="30"/>
          <w:highlight w:val="none"/>
        </w:rPr>
        <w:t>、拟投入本项目项目经理</w:t>
      </w:r>
      <w:r>
        <w:rPr>
          <w:rFonts w:hint="eastAsia" w:ascii="宋体" w:hAnsi="宋体" w:eastAsia="宋体" w:cs="宋体"/>
          <w:b/>
          <w:color w:val="auto"/>
          <w:spacing w:val="0"/>
          <w:sz w:val="30"/>
          <w:szCs w:val="30"/>
          <w:highlight w:val="none"/>
          <w:lang w:eastAsia="zh-CN"/>
        </w:rPr>
        <w:t>具备</w:t>
      </w:r>
      <w:r>
        <w:rPr>
          <w:rFonts w:hint="eastAsia" w:ascii="宋体" w:hAnsi="宋体" w:eastAsia="宋体" w:cs="宋体"/>
          <w:b/>
          <w:color w:val="auto"/>
          <w:spacing w:val="0"/>
          <w:sz w:val="30"/>
          <w:szCs w:val="30"/>
          <w:highlight w:val="none"/>
          <w:lang w:val="en-US" w:eastAsia="zh-CN"/>
        </w:rPr>
        <w:t>建筑工程专业二级以上（含本级）注册建造师执业资格</w:t>
      </w:r>
      <w:r>
        <w:rPr>
          <w:rFonts w:hint="eastAsia" w:ascii="宋体" w:hAnsi="宋体" w:eastAsia="宋体" w:cs="宋体"/>
          <w:b/>
          <w:color w:val="auto"/>
          <w:spacing w:val="0"/>
          <w:sz w:val="30"/>
          <w:szCs w:val="30"/>
          <w:highlight w:val="none"/>
        </w:rPr>
        <w:t>、有效的安全生产考核合格证书（B类）复印件以及供应商单位为该项目经理于响应文件递交截止时间前三个月</w:t>
      </w:r>
      <w:r>
        <w:rPr>
          <w:rFonts w:hint="eastAsia" w:ascii="宋体" w:hAnsi="宋体" w:eastAsia="宋体" w:cs="宋体"/>
          <w:b/>
          <w:color w:val="auto"/>
          <w:spacing w:val="0"/>
          <w:sz w:val="30"/>
          <w:szCs w:val="30"/>
          <w:highlight w:val="none"/>
          <w:lang w:val="en-US" w:eastAsia="zh-CN"/>
        </w:rPr>
        <w:t>任意一个月</w:t>
      </w:r>
      <w:r>
        <w:rPr>
          <w:rFonts w:hint="eastAsia" w:ascii="宋体" w:hAnsi="宋体" w:eastAsia="宋体" w:cs="宋体"/>
          <w:b/>
          <w:color w:val="auto"/>
          <w:spacing w:val="0"/>
          <w:sz w:val="30"/>
          <w:szCs w:val="30"/>
          <w:highlight w:val="none"/>
        </w:rPr>
        <w:t>依法缴纳社会保险的证明材料及相关材料的复印件</w:t>
      </w:r>
    </w:p>
    <w:p>
      <w:pPr>
        <w:autoSpaceDE w:val="0"/>
        <w:autoSpaceDN w:val="0"/>
        <w:spacing w:line="360" w:lineRule="auto"/>
        <w:ind w:firstLine="6120" w:firstLineChars="2550"/>
        <w:rPr>
          <w:rFonts w:ascii="宋体" w:hAnsi="宋体" w:cs="宋体"/>
          <w:color w:val="auto"/>
          <w:sz w:val="24"/>
          <w:highlight w:val="none"/>
          <w:lang w:val="zh-CN"/>
        </w:rPr>
      </w:pPr>
    </w:p>
    <w:p>
      <w:pPr>
        <w:autoSpaceDE w:val="0"/>
        <w:autoSpaceDN w:val="0"/>
        <w:spacing w:line="360" w:lineRule="auto"/>
        <w:ind w:left="4365" w:leftChars="1850" w:hanging="480" w:hangingChars="200"/>
        <w:rPr>
          <w:rFonts w:ascii="宋体" w:hAnsi="宋体" w:cs="宋体"/>
          <w:color w:val="auto"/>
          <w:sz w:val="24"/>
          <w:highlight w:val="none"/>
        </w:rPr>
      </w:pPr>
    </w:p>
    <w:p>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pPr>
        <w:autoSpaceDE w:val="0"/>
        <w:autoSpaceDN w:val="0"/>
        <w:spacing w:line="400" w:lineRule="exact"/>
        <w:jc w:val="left"/>
        <w:rPr>
          <w:rFonts w:ascii="宋体" w:hAnsi="宋体" w:cs="宋体"/>
          <w:b/>
          <w:color w:val="auto"/>
          <w:sz w:val="30"/>
          <w:szCs w:val="30"/>
          <w:highlight w:val="none"/>
        </w:rPr>
      </w:pPr>
    </w:p>
    <w:p>
      <w:pPr>
        <w:autoSpaceDE w:val="0"/>
        <w:autoSpaceDN w:val="0"/>
        <w:spacing w:line="400" w:lineRule="exact"/>
        <w:jc w:val="left"/>
        <w:rPr>
          <w:rFonts w:ascii="宋体" w:hAnsi="宋体" w:cs="宋体"/>
          <w:b/>
          <w:color w:val="auto"/>
          <w:sz w:val="30"/>
          <w:szCs w:val="30"/>
          <w:highlight w:val="none"/>
        </w:rPr>
      </w:pPr>
    </w:p>
    <w:p>
      <w:pPr>
        <w:pStyle w:val="99"/>
        <w:spacing w:line="400" w:lineRule="exact"/>
        <w:ind w:firstLine="0" w:firstLineChars="0"/>
        <w:rPr>
          <w:rFonts w:ascii="宋体" w:hAnsi="宋体" w:eastAsia="宋体" w:cs="宋体"/>
          <w:b/>
          <w:color w:val="auto"/>
          <w:spacing w:val="0"/>
          <w:sz w:val="30"/>
          <w:szCs w:val="30"/>
          <w:highlight w:val="none"/>
          <w:lang w:val="zh-CN"/>
        </w:rPr>
      </w:pPr>
      <w:r>
        <w:rPr>
          <w:rFonts w:hint="eastAsia" w:ascii="宋体" w:hAnsi="宋体" w:eastAsia="宋体" w:cs="宋体"/>
          <w:b/>
          <w:color w:val="auto"/>
          <w:spacing w:val="0"/>
          <w:sz w:val="30"/>
          <w:szCs w:val="30"/>
          <w:highlight w:val="none"/>
          <w:lang w:val="en-US" w:eastAsia="zh-CN"/>
        </w:rPr>
        <w:t>十一</w:t>
      </w:r>
      <w:r>
        <w:rPr>
          <w:rFonts w:hint="eastAsia" w:ascii="宋体" w:hAnsi="宋体" w:eastAsia="宋体" w:cs="宋体"/>
          <w:b/>
          <w:color w:val="auto"/>
          <w:spacing w:val="0"/>
          <w:sz w:val="30"/>
          <w:szCs w:val="30"/>
          <w:highlight w:val="none"/>
        </w:rPr>
        <w:t>、拟投入本项目的专职安全生产管理人员的安全生产考核合格证书（C类）复印件及供应商单位为该专职安全生产管理人员于于响应文件递交截止时间前三个月任意一个月依法缴纳社会保险的证明材料及相关材料的复印件</w:t>
      </w:r>
    </w:p>
    <w:p>
      <w:pPr>
        <w:autoSpaceDE w:val="0"/>
        <w:autoSpaceDN w:val="0"/>
        <w:spacing w:line="360" w:lineRule="auto"/>
        <w:ind w:firstLine="6120" w:firstLineChars="2550"/>
        <w:rPr>
          <w:rFonts w:ascii="宋体" w:hAnsi="宋体" w:cs="宋体"/>
          <w:color w:val="auto"/>
          <w:sz w:val="24"/>
          <w:highlight w:val="none"/>
          <w:lang w:val="zh-CN"/>
        </w:rPr>
      </w:pPr>
    </w:p>
    <w:p>
      <w:pPr>
        <w:autoSpaceDE w:val="0"/>
        <w:autoSpaceDN w:val="0"/>
        <w:spacing w:line="360" w:lineRule="auto"/>
        <w:ind w:left="4365" w:leftChars="1850" w:hanging="480" w:hangingChars="200"/>
        <w:rPr>
          <w:rFonts w:ascii="宋体" w:hAnsi="宋体" w:cs="宋体"/>
          <w:color w:val="auto"/>
          <w:sz w:val="24"/>
          <w:highlight w:val="none"/>
        </w:rPr>
      </w:pPr>
    </w:p>
    <w:p>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pPr>
        <w:widowControl/>
        <w:jc w:val="left"/>
        <w:rPr>
          <w:rFonts w:ascii="宋体" w:hAnsi="宋体" w:cs="宋体"/>
          <w:color w:val="auto"/>
          <w:sz w:val="24"/>
          <w:szCs w:val="18"/>
          <w:highlight w:val="none"/>
          <w:lang w:val="zh-CN"/>
        </w:rPr>
      </w:pPr>
    </w:p>
    <w:p>
      <w:pPr>
        <w:pStyle w:val="21"/>
        <w:snapToGrid/>
        <w:rPr>
          <w:rFonts w:ascii="宋体" w:hAnsi="宋体" w:cs="宋体"/>
          <w:color w:val="auto"/>
          <w:kern w:val="2"/>
          <w:sz w:val="24"/>
          <w:highlight w:val="none"/>
          <w:lang w:val="zh-CN"/>
        </w:rPr>
      </w:pPr>
    </w:p>
    <w:p>
      <w:pPr>
        <w:pStyle w:val="99"/>
        <w:spacing w:line="400" w:lineRule="exact"/>
        <w:ind w:firstLine="0" w:firstLineChars="0"/>
        <w:rPr>
          <w:rFonts w:ascii="宋体" w:hAnsi="宋体" w:cs="宋体"/>
          <w:color w:val="auto"/>
          <w:highlight w:val="none"/>
        </w:rPr>
      </w:pPr>
      <w:r>
        <w:rPr>
          <w:rFonts w:hint="eastAsia" w:ascii="宋体" w:hAnsi="宋体" w:eastAsia="宋体" w:cs="宋体"/>
          <w:b/>
          <w:color w:val="auto"/>
          <w:spacing w:val="0"/>
          <w:sz w:val="30"/>
          <w:szCs w:val="30"/>
          <w:highlight w:val="none"/>
          <w:lang w:val="en-US" w:eastAsia="zh-CN"/>
        </w:rPr>
        <w:t>十二</w:t>
      </w:r>
      <w:r>
        <w:rPr>
          <w:rFonts w:hint="eastAsia" w:ascii="宋体" w:hAnsi="宋体" w:eastAsia="宋体" w:cs="宋体"/>
          <w:b/>
          <w:color w:val="auto"/>
          <w:spacing w:val="0"/>
          <w:sz w:val="30"/>
          <w:szCs w:val="30"/>
          <w:highlight w:val="none"/>
        </w:rPr>
        <w:t>、除磋商文件规定必须提供以外，供应商认为需要提供的其他证明材料</w:t>
      </w:r>
      <w:r>
        <w:rPr>
          <w:rFonts w:hint="eastAsia" w:ascii="宋体" w:hAnsi="宋体" w:eastAsia="宋体" w:cs="宋体"/>
          <w:b/>
          <w:color w:val="auto"/>
          <w:spacing w:val="0"/>
          <w:sz w:val="30"/>
          <w:szCs w:val="30"/>
          <w:highlight w:val="none"/>
          <w:lang w:eastAsia="zh-CN"/>
        </w:rPr>
        <w:t>。</w:t>
      </w:r>
    </w:p>
    <w:p>
      <w:pPr>
        <w:rPr>
          <w:rFonts w:hint="eastAsia" w:ascii="宋体" w:hAnsi="宋体" w:cs="宋体"/>
          <w:color w:val="auto"/>
          <w:highlight w:val="none"/>
        </w:rPr>
      </w:pPr>
      <w:bookmarkStart w:id="93" w:name="_Toc32504"/>
      <w:r>
        <w:rPr>
          <w:rFonts w:hint="eastAsia" w:ascii="宋体" w:hAnsi="宋体" w:cs="宋体"/>
          <w:color w:val="auto"/>
          <w:highlight w:val="none"/>
        </w:rPr>
        <w:br w:type="page"/>
      </w:r>
    </w:p>
    <w:p>
      <w:pPr>
        <w:pStyle w:val="3"/>
        <w:spacing w:before="0" w:after="0" w:line="360" w:lineRule="auto"/>
        <w:jc w:val="center"/>
        <w:rPr>
          <w:rFonts w:ascii="宋体" w:hAnsi="宋体" w:cs="宋体"/>
          <w:color w:val="auto"/>
          <w:highlight w:val="none"/>
        </w:rPr>
      </w:pPr>
      <w:r>
        <w:rPr>
          <w:rFonts w:hint="eastAsia" w:ascii="宋体" w:hAnsi="宋体" w:cs="宋体"/>
          <w:color w:val="auto"/>
          <w:highlight w:val="none"/>
        </w:rPr>
        <w:t>第三节 商务技术文件格式</w:t>
      </w:r>
      <w:bookmarkEnd w:id="92"/>
      <w:bookmarkEnd w:id="93"/>
    </w:p>
    <w:p>
      <w:pPr>
        <w:spacing w:beforeLines="50" w:after="50"/>
        <w:rPr>
          <w:rFonts w:ascii="宋体" w:hAnsi="宋体" w:cs="宋体"/>
          <w:color w:val="auto"/>
          <w:sz w:val="24"/>
          <w:highlight w:val="none"/>
        </w:rPr>
      </w:pPr>
      <w:r>
        <w:rPr>
          <w:rFonts w:hint="eastAsia" w:ascii="宋体" w:hAnsi="宋体" w:cs="宋体"/>
          <w:color w:val="auto"/>
          <w:sz w:val="24"/>
          <w:highlight w:val="none"/>
        </w:rPr>
        <w:t xml:space="preserve">  </w:t>
      </w:r>
    </w:p>
    <w:p>
      <w:pPr>
        <w:spacing w:beforeLines="50" w:after="50"/>
        <w:jc w:val="right"/>
        <w:rPr>
          <w:rFonts w:ascii="宋体" w:hAnsi="宋体" w:cs="宋体"/>
          <w:bCs/>
          <w:color w:val="auto"/>
          <w:sz w:val="28"/>
          <w:szCs w:val="28"/>
          <w:highlight w:val="none"/>
        </w:rPr>
      </w:pPr>
      <w:r>
        <w:rPr>
          <w:rFonts w:hint="eastAsia" w:ascii="宋体" w:hAnsi="宋体" w:cs="宋体"/>
          <w:bCs/>
          <w:color w:val="auto"/>
          <w:sz w:val="28"/>
          <w:szCs w:val="28"/>
          <w:highlight w:val="none"/>
        </w:rPr>
        <w:t>全流程电子文件</w:t>
      </w:r>
    </w:p>
    <w:p>
      <w:pPr>
        <w:spacing w:beforeLines="50" w:after="50"/>
        <w:rPr>
          <w:rFonts w:ascii="宋体" w:hAnsi="宋体" w:cs="宋体"/>
          <w:color w:val="auto"/>
          <w:sz w:val="24"/>
          <w:szCs w:val="20"/>
          <w:highlight w:val="none"/>
        </w:rPr>
      </w:pPr>
    </w:p>
    <w:p>
      <w:pPr>
        <w:spacing w:beforeLines="50" w:after="50"/>
        <w:rPr>
          <w:rFonts w:ascii="宋体" w:hAnsi="宋体" w:cs="宋体"/>
          <w:color w:val="auto"/>
          <w:sz w:val="24"/>
          <w:szCs w:val="20"/>
          <w:highlight w:val="none"/>
        </w:rPr>
      </w:pPr>
    </w:p>
    <w:p>
      <w:pPr>
        <w:spacing w:beforeLines="50" w:after="50"/>
        <w:rPr>
          <w:rFonts w:ascii="宋体" w:hAnsi="宋体" w:cs="宋体"/>
          <w:color w:val="auto"/>
          <w:sz w:val="24"/>
          <w:szCs w:val="20"/>
          <w:highlight w:val="none"/>
        </w:rPr>
      </w:pPr>
    </w:p>
    <w:p>
      <w:pPr>
        <w:spacing w:beforeLines="50" w:after="50"/>
        <w:jc w:val="center"/>
        <w:rPr>
          <w:rFonts w:ascii="宋体" w:hAnsi="宋体" w:cs="宋体"/>
          <w:b/>
          <w:color w:val="auto"/>
          <w:sz w:val="48"/>
          <w:szCs w:val="48"/>
          <w:highlight w:val="none"/>
        </w:rPr>
      </w:pPr>
      <w:r>
        <w:rPr>
          <w:rFonts w:hint="eastAsia" w:ascii="宋体" w:hAnsi="宋体" w:cs="宋体"/>
          <w:b/>
          <w:color w:val="auto"/>
          <w:sz w:val="48"/>
          <w:szCs w:val="48"/>
          <w:highlight w:val="none"/>
        </w:rPr>
        <w:t>商 务 技 术 文 件</w:t>
      </w: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pPr>
        <w:spacing w:beforeLines="50" w:after="50"/>
        <w:ind w:firstLine="420" w:firstLineChars="150"/>
        <w:rPr>
          <w:rFonts w:ascii="宋体" w:hAnsi="宋体" w:cs="宋体"/>
          <w:bCs/>
          <w:color w:val="auto"/>
          <w:sz w:val="28"/>
          <w:szCs w:val="28"/>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pPr>
        <w:spacing w:beforeLines="50" w:after="50"/>
        <w:ind w:firstLine="420" w:firstLineChars="150"/>
        <w:rPr>
          <w:rFonts w:ascii="宋体" w:hAnsi="宋体" w:cs="宋体"/>
          <w:bCs/>
          <w:color w:val="auto"/>
          <w:sz w:val="28"/>
          <w:szCs w:val="28"/>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pPr>
        <w:spacing w:beforeLines="50" w:after="50"/>
        <w:rPr>
          <w:rFonts w:ascii="宋体" w:hAnsi="宋体" w:cs="宋体"/>
          <w:bCs/>
          <w:color w:val="auto"/>
          <w:sz w:val="28"/>
          <w:szCs w:val="28"/>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pPr>
        <w:pStyle w:val="7"/>
        <w:spacing w:before="50" w:after="50"/>
        <w:ind w:firstLine="720" w:firstLineChars="225"/>
        <w:rPr>
          <w:rFonts w:ascii="宋体" w:hAnsi="宋体" w:cs="宋体"/>
          <w:bCs/>
          <w:color w:val="auto"/>
          <w:sz w:val="32"/>
          <w:szCs w:val="32"/>
          <w:highlight w:val="none"/>
        </w:rPr>
      </w:pPr>
    </w:p>
    <w:p>
      <w:pPr>
        <w:pStyle w:val="7"/>
        <w:spacing w:before="50" w:after="50"/>
        <w:ind w:firstLine="720" w:firstLineChars="225"/>
        <w:rPr>
          <w:rFonts w:ascii="宋体" w:hAnsi="宋体" w:cs="宋体"/>
          <w:bCs/>
          <w:color w:val="auto"/>
          <w:sz w:val="32"/>
          <w:szCs w:val="32"/>
          <w:highlight w:val="none"/>
        </w:rPr>
      </w:pPr>
    </w:p>
    <w:p>
      <w:pPr>
        <w:pStyle w:val="7"/>
        <w:spacing w:before="50" w:after="50"/>
        <w:ind w:firstLine="1280" w:firstLineChars="400"/>
        <w:rPr>
          <w:rFonts w:ascii="宋体" w:hAnsi="宋体" w:cs="宋体"/>
          <w:bCs/>
          <w:color w:val="auto"/>
          <w:sz w:val="32"/>
          <w:szCs w:val="32"/>
          <w:highlight w:val="none"/>
        </w:rPr>
      </w:pPr>
    </w:p>
    <w:p>
      <w:pPr>
        <w:spacing w:beforeLines="50" w:after="5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pPr>
        <w:widowControl/>
        <w:jc w:val="left"/>
        <w:rPr>
          <w:rFonts w:ascii="宋体" w:hAnsi="宋体" w:cs="宋体"/>
          <w:b/>
          <w:color w:val="auto"/>
          <w:sz w:val="28"/>
          <w:szCs w:val="28"/>
          <w:highlight w:val="none"/>
        </w:rPr>
      </w:pPr>
      <w:r>
        <w:rPr>
          <w:rFonts w:ascii="宋体" w:hAnsi="宋体" w:cs="宋体"/>
          <w:color w:val="auto"/>
          <w:sz w:val="28"/>
          <w:szCs w:val="28"/>
          <w:highlight w:val="none"/>
        </w:rPr>
        <w:br w:type="page"/>
      </w: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商务技术文件目录</w:t>
      </w:r>
    </w:p>
    <w:p>
      <w:pPr>
        <w:jc w:val="center"/>
        <w:rPr>
          <w:rFonts w:ascii="宋体" w:hAnsi="宋体" w:cs="宋体"/>
          <w:b/>
          <w:color w:val="auto"/>
          <w:sz w:val="28"/>
          <w:szCs w:val="28"/>
          <w:highlight w:val="none"/>
        </w:rPr>
      </w:pPr>
    </w:p>
    <w:p>
      <w:pPr>
        <w:spacing w:beforeLines="50" w:after="50" w:line="360" w:lineRule="auto"/>
        <w:jc w:val="center"/>
        <w:rPr>
          <w:rFonts w:ascii="宋体" w:hAnsi="宋体" w:cs="宋体"/>
          <w:color w:val="auto"/>
          <w:sz w:val="24"/>
          <w:highlight w:val="none"/>
        </w:rPr>
      </w:pPr>
      <w:r>
        <w:rPr>
          <w:rFonts w:hint="eastAsia" w:ascii="宋体" w:hAnsi="宋体" w:cs="宋体"/>
          <w:color w:val="auto"/>
          <w:sz w:val="24"/>
          <w:highlight w:val="none"/>
        </w:rPr>
        <w:t>根据竞争性磋商文件规定及供应商提供的材料自行编写目录（部分格式后附）。</w:t>
      </w:r>
    </w:p>
    <w:p>
      <w:pPr>
        <w:spacing w:line="400" w:lineRule="exact"/>
        <w:rPr>
          <w:rFonts w:ascii="宋体" w:hAnsi="宋体" w:cs="宋体"/>
          <w:color w:val="auto"/>
          <w:sz w:val="32"/>
          <w:szCs w:val="32"/>
          <w:highlight w:val="none"/>
        </w:rPr>
      </w:pPr>
    </w:p>
    <w:p>
      <w:pPr>
        <w:spacing w:line="520" w:lineRule="exact"/>
        <w:rPr>
          <w:rFonts w:ascii="宋体" w:hAnsi="宋体" w:cs="宋体"/>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一、无串通竞标行为的承诺函</w:t>
      </w:r>
    </w:p>
    <w:p>
      <w:pPr>
        <w:spacing w:line="520" w:lineRule="exact"/>
        <w:jc w:val="center"/>
        <w:rPr>
          <w:rFonts w:ascii="宋体" w:hAnsi="宋体" w:cs="宋体"/>
          <w:color w:val="auto"/>
          <w:sz w:val="44"/>
          <w:szCs w:val="44"/>
          <w:highlight w:val="none"/>
        </w:rPr>
      </w:pPr>
    </w:p>
    <w:p>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无串通竞标行为的承诺函</w:t>
      </w:r>
    </w:p>
    <w:p>
      <w:pPr>
        <w:spacing w:line="520" w:lineRule="exact"/>
        <w:ind w:firstLine="640" w:firstLineChars="200"/>
        <w:rPr>
          <w:rFonts w:ascii="宋体" w:hAnsi="宋体" w:cs="宋体"/>
          <w:color w:val="auto"/>
          <w:sz w:val="32"/>
          <w:szCs w:val="32"/>
          <w:highlight w:val="none"/>
        </w:rPr>
      </w:pPr>
    </w:p>
    <w:p>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4.不同供应商的响应文件异常一致或者响应报价呈规律性差异；</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3.供应商之间协商报价、技术方案等响应文件的实质性内容；</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pPr>
        <w:spacing w:line="360" w:lineRule="auto"/>
        <w:ind w:firstLine="480" w:firstLineChars="200"/>
        <w:contextualSpacing/>
        <w:rPr>
          <w:rFonts w:ascii="宋体" w:hAnsi="宋体" w:cs="宋体"/>
          <w:color w:val="auto"/>
          <w:sz w:val="24"/>
          <w:highlight w:val="none"/>
        </w:rPr>
      </w:pPr>
    </w:p>
    <w:p>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pPr>
        <w:autoSpaceDE w:val="0"/>
        <w:autoSpaceDN w:val="0"/>
        <w:spacing w:line="360" w:lineRule="auto"/>
        <w:ind w:left="4335" w:leftChars="1950" w:hanging="240" w:hangingChars="100"/>
        <w:rPr>
          <w:rFonts w:ascii="宋体" w:hAnsi="宋体" w:cs="宋体"/>
          <w:color w:val="auto"/>
          <w:sz w:val="24"/>
          <w:highlight w:val="none"/>
        </w:rPr>
      </w:pPr>
      <w:r>
        <w:rPr>
          <w:rFonts w:hint="eastAsia" w:ascii="宋体" w:hAnsi="宋体" w:cs="宋体"/>
          <w:color w:val="auto"/>
          <w:sz w:val="24"/>
          <w:highlight w:val="none"/>
        </w:rPr>
        <w:t>供应商名称（电子签章）：</w:t>
      </w:r>
    </w:p>
    <w:p>
      <w:pPr>
        <w:spacing w:line="520" w:lineRule="exact"/>
        <w:jc w:val="right"/>
        <w:rPr>
          <w:rFonts w:ascii="宋体" w:hAnsi="宋体" w:cs="宋体"/>
          <w:color w:val="auto"/>
          <w:sz w:val="24"/>
          <w:highlight w:val="none"/>
          <w:lang w:val="zh-CN"/>
        </w:rPr>
      </w:pPr>
      <w:r>
        <w:rPr>
          <w:rFonts w:hint="eastAsia" w:ascii="宋体" w:hAnsi="宋体" w:cs="宋体"/>
          <w:color w:val="auto"/>
          <w:sz w:val="24"/>
          <w:highlight w:val="none"/>
          <w:lang w:val="zh-CN"/>
        </w:rPr>
        <w:t>日期：  年  月   日</w:t>
      </w:r>
    </w:p>
    <w:p>
      <w:pPr>
        <w:spacing w:line="520" w:lineRule="exact"/>
        <w:jc w:val="left"/>
        <w:rPr>
          <w:rFonts w:ascii="宋体" w:hAnsi="宋体" w:cs="宋体"/>
          <w:bCs/>
          <w:color w:val="auto"/>
          <w:sz w:val="44"/>
          <w:szCs w:val="44"/>
          <w:highlight w:val="none"/>
        </w:rPr>
      </w:pPr>
      <w:r>
        <w:rPr>
          <w:rFonts w:hint="eastAsia" w:ascii="宋体" w:hAnsi="宋体" w:cs="宋体"/>
          <w:color w:val="auto"/>
          <w:sz w:val="24"/>
          <w:highlight w:val="none"/>
          <w:lang w:val="zh-CN"/>
        </w:rPr>
        <w:br w:type="page"/>
      </w:r>
      <w:r>
        <w:rPr>
          <w:rFonts w:hint="eastAsia" w:ascii="宋体" w:hAnsi="宋体" w:cs="宋体"/>
          <w:b/>
          <w:color w:val="auto"/>
          <w:sz w:val="30"/>
          <w:szCs w:val="30"/>
          <w:highlight w:val="none"/>
        </w:rPr>
        <w:t>二、法定代表人身份证明书及法定代表人有效身份证正反面复印件</w:t>
      </w:r>
    </w:p>
    <w:p>
      <w:pPr>
        <w:spacing w:line="520" w:lineRule="exact"/>
        <w:jc w:val="center"/>
        <w:rPr>
          <w:rFonts w:ascii="宋体" w:hAnsi="宋体" w:cs="宋体"/>
          <w:bCs/>
          <w:color w:val="auto"/>
          <w:sz w:val="44"/>
          <w:szCs w:val="44"/>
          <w:highlight w:val="none"/>
        </w:rPr>
      </w:pPr>
    </w:p>
    <w:p>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法定代表人证明书</w:t>
      </w:r>
    </w:p>
    <w:p>
      <w:pPr>
        <w:spacing w:line="360" w:lineRule="auto"/>
        <w:ind w:left="540"/>
        <w:contextualSpacing/>
        <w:rPr>
          <w:rFonts w:ascii="宋体" w:hAnsi="宋体" w:cs="宋体"/>
          <w:color w:val="auto"/>
          <w:sz w:val="32"/>
          <w:szCs w:val="32"/>
          <w:highlight w:val="none"/>
        </w:rPr>
      </w:pPr>
    </w:p>
    <w:p>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pPr>
        <w:spacing w:line="700" w:lineRule="exact"/>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的法定代表人。</w:t>
      </w:r>
    </w:p>
    <w:p>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ind w:left="540"/>
        <w:contextualSpacing/>
        <w:rPr>
          <w:rFonts w:ascii="宋体" w:hAnsi="宋体" w:cs="宋体"/>
          <w:color w:val="auto"/>
          <w:sz w:val="24"/>
          <w:highlight w:val="none"/>
        </w:rPr>
      </w:pP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pPr>
        <w:spacing w:line="360" w:lineRule="auto"/>
        <w:ind w:left="540"/>
        <w:contextualSpacing/>
        <w:rPr>
          <w:rFonts w:ascii="宋体" w:hAnsi="宋体" w:cs="宋体"/>
          <w:color w:val="auto"/>
          <w:sz w:val="24"/>
          <w:highlight w:val="none"/>
        </w:rPr>
      </w:pPr>
    </w:p>
    <w:p>
      <w:pPr>
        <w:spacing w:line="360" w:lineRule="auto"/>
        <w:ind w:left="540"/>
        <w:contextualSpacing/>
        <w:rPr>
          <w:rFonts w:ascii="宋体" w:hAnsi="宋体" w:cs="宋体"/>
          <w:color w:val="auto"/>
          <w:highlight w:val="none"/>
        </w:rPr>
      </w:pPr>
    </w:p>
    <w:p>
      <w:pPr>
        <w:autoSpaceDE w:val="0"/>
        <w:autoSpaceDN w:val="0"/>
        <w:spacing w:line="360" w:lineRule="auto"/>
        <w:ind w:left="4335" w:leftChars="1950" w:hanging="240" w:hangingChars="100"/>
        <w:rPr>
          <w:rFonts w:ascii="宋体" w:hAnsi="宋体" w:cs="宋体"/>
          <w:color w:val="auto"/>
          <w:sz w:val="24"/>
          <w:highlight w:val="none"/>
        </w:rPr>
      </w:pPr>
      <w:r>
        <w:rPr>
          <w:rFonts w:hint="eastAsia" w:ascii="宋体" w:hAnsi="宋体" w:cs="宋体"/>
          <w:color w:val="auto"/>
          <w:sz w:val="24"/>
          <w:highlight w:val="none"/>
        </w:rPr>
        <w:t>供应商名称（电子签章）：</w:t>
      </w:r>
    </w:p>
    <w:p>
      <w:pPr>
        <w:spacing w:line="360" w:lineRule="auto"/>
        <w:contextualSpacing/>
        <w:jc w:val="center"/>
        <w:rPr>
          <w:rFonts w:ascii="宋体" w:hAnsi="宋体" w:cs="宋体"/>
          <w:b/>
          <w:color w:val="auto"/>
          <w:sz w:val="24"/>
          <w:highlight w:val="none"/>
        </w:rPr>
      </w:pPr>
      <w:r>
        <w:rPr>
          <w:rFonts w:hint="eastAsia" w:ascii="宋体" w:hAnsi="宋体" w:cs="宋体"/>
          <w:color w:val="auto"/>
          <w:sz w:val="24"/>
          <w:highlight w:val="none"/>
          <w:lang w:val="zh-CN"/>
        </w:rPr>
        <w:t xml:space="preserve">                                                   日期：  年  月   日</w:t>
      </w:r>
    </w:p>
    <w:p>
      <w:pPr>
        <w:spacing w:line="360" w:lineRule="auto"/>
        <w:contextualSpacing/>
        <w:jc w:val="left"/>
        <w:rPr>
          <w:rFonts w:ascii="宋体" w:hAnsi="宋体" w:cs="宋体"/>
          <w:color w:val="auto"/>
          <w:sz w:val="24"/>
          <w:highlight w:val="none"/>
        </w:rPr>
      </w:pPr>
    </w:p>
    <w:p>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0" w:firstLineChars="200"/>
        <w:contextualSpacing/>
        <w:jc w:val="left"/>
        <w:rPr>
          <w:rFonts w:ascii="宋体" w:hAnsi="宋体" w:cs="宋体"/>
          <w:color w:val="auto"/>
          <w:sz w:val="24"/>
          <w:highlight w:val="none"/>
        </w:rPr>
      </w:pPr>
      <w:r>
        <w:rPr>
          <w:rFonts w:ascii="宋体" w:hAnsi="宋体" w:cs="宋体"/>
          <w:color w:val="auto"/>
          <w:sz w:val="24"/>
          <w:highlight w:val="none"/>
        </w:rPr>
        <w:br w:type="page"/>
      </w:r>
    </w:p>
    <w:tbl>
      <w:tblPr>
        <w:tblStyle w:val="3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jc w:val="center"/>
        </w:trPr>
        <w:tc>
          <w:tcPr>
            <w:tcW w:w="8628" w:type="dxa"/>
          </w:tcPr>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法定代表身份证复印件粘贴处（正、反面）</w:t>
            </w:r>
          </w:p>
        </w:tc>
      </w:tr>
    </w:tbl>
    <w:p>
      <w:pPr>
        <w:spacing w:line="360" w:lineRule="auto"/>
        <w:contextualSpacing/>
        <w:jc w:val="left"/>
        <w:rPr>
          <w:rFonts w:ascii="宋体" w:hAnsi="宋体" w:cs="宋体"/>
          <w:b/>
          <w:color w:val="auto"/>
          <w:sz w:val="24"/>
          <w:highlight w:val="none"/>
        </w:rPr>
      </w:pPr>
    </w:p>
    <w:p>
      <w:pPr>
        <w:spacing w:beforeLines="50"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附件：</w:t>
      </w:r>
    </w:p>
    <w:p>
      <w:pPr>
        <w:spacing w:beforeLines="50" w:line="360" w:lineRule="auto"/>
        <w:ind w:firstLine="482" w:firstLineChars="200"/>
        <w:contextualSpacing/>
        <w:jc w:val="left"/>
        <w:rPr>
          <w:rFonts w:ascii="宋体" w:hAnsi="宋体" w:cs="宋体"/>
          <w:b/>
          <w:color w:val="auto"/>
          <w:sz w:val="24"/>
          <w:highlight w:val="none"/>
        </w:rPr>
      </w:pPr>
    </w:p>
    <w:p>
      <w:pPr>
        <w:spacing w:beforeLines="50" w:line="360" w:lineRule="auto"/>
        <w:ind w:firstLine="880" w:firstLineChars="200"/>
        <w:contextualSpacing/>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三、法定代表人授权委托书及委托代理人有效身份证正反面复印件</w:t>
      </w:r>
    </w:p>
    <w:p>
      <w:pPr>
        <w:spacing w:line="500" w:lineRule="exact"/>
        <w:jc w:val="center"/>
        <w:rPr>
          <w:rFonts w:ascii="宋体" w:hAnsi="宋体" w:cs="宋体"/>
          <w:color w:val="auto"/>
          <w:sz w:val="44"/>
          <w:szCs w:val="44"/>
          <w:highlight w:val="none"/>
        </w:rPr>
      </w:pPr>
    </w:p>
    <w:p>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授权委托书（非联合体竞标格式）</w:t>
      </w:r>
    </w:p>
    <w:p>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pPr>
        <w:spacing w:line="520" w:lineRule="exact"/>
        <w:rPr>
          <w:rFonts w:ascii="宋体" w:hAnsi="宋体" w:cs="宋体"/>
          <w:color w:val="auto"/>
          <w:sz w:val="32"/>
          <w:szCs w:val="32"/>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供应商名称（电子签章）：</w:t>
      </w:r>
    </w:p>
    <w:p>
      <w:pPr>
        <w:spacing w:line="360" w:lineRule="auto"/>
        <w:contextualSpacing/>
        <w:jc w:val="center"/>
        <w:rPr>
          <w:rFonts w:ascii="宋体" w:hAnsi="宋体" w:cs="宋体"/>
          <w:b/>
          <w:color w:val="auto"/>
          <w:sz w:val="24"/>
          <w:highlight w:val="none"/>
        </w:rPr>
      </w:pPr>
      <w:r>
        <w:rPr>
          <w:rFonts w:hint="eastAsia" w:ascii="宋体" w:hAnsi="宋体" w:cs="宋体"/>
          <w:color w:val="auto"/>
          <w:sz w:val="24"/>
          <w:highlight w:val="none"/>
          <w:lang w:val="zh-CN"/>
        </w:rPr>
        <w:t xml:space="preserve">                                                   日期：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年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 月   日</w:t>
      </w:r>
    </w:p>
    <w:p>
      <w:pPr>
        <w:spacing w:line="360" w:lineRule="auto"/>
        <w:rPr>
          <w:rFonts w:ascii="宋体" w:hAnsi="宋体" w:cs="宋体"/>
          <w:color w:val="auto"/>
          <w:sz w:val="24"/>
          <w:highlight w:val="none"/>
        </w:rPr>
      </w:pPr>
    </w:p>
    <w:p>
      <w:pPr>
        <w:rPr>
          <w:rFonts w:ascii="宋体" w:hAnsi="宋体" w:cs="宋体"/>
          <w:color w:val="auto"/>
          <w:szCs w:val="21"/>
          <w:highlight w:val="none"/>
        </w:rPr>
      </w:pPr>
      <w:r>
        <w:rPr>
          <w:rFonts w:hint="eastAsia" w:ascii="宋体" w:hAnsi="宋体" w:cs="宋体"/>
          <w:color w:val="auto"/>
          <w:szCs w:val="21"/>
          <w:highlight w:val="none"/>
        </w:rPr>
        <w:t>注：1.法定代表人必须在授权委托书上亲笔签字或盖章，委托代理人必须在授权委托书上亲笔签字，</w:t>
      </w:r>
      <w:r>
        <w:rPr>
          <w:rFonts w:hint="eastAsia" w:ascii="宋体" w:hAnsi="宋体" w:cs="宋体"/>
          <w:b/>
          <w:color w:val="auto"/>
          <w:szCs w:val="21"/>
          <w:highlight w:val="none"/>
        </w:rPr>
        <w:t>否则其响应文件按无效响应处理。</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3.法人、其他组织竞标时“我方”是指“我单位”，自然人竞标时“我方”是指“本人”。</w:t>
      </w:r>
    </w:p>
    <w:p>
      <w:pPr>
        <w:jc w:val="center"/>
        <w:rPr>
          <w:rFonts w:ascii="宋体" w:hAnsi="宋体" w:cs="宋体"/>
          <w:b/>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授权委托书（联合体竞标格式）</w:t>
      </w:r>
    </w:p>
    <w:p>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pPr>
        <w:spacing w:line="500" w:lineRule="exact"/>
        <w:jc w:val="center"/>
        <w:rPr>
          <w:rFonts w:ascii="宋体" w:hAnsi="宋体" w:cs="宋体"/>
          <w:color w:val="auto"/>
          <w:sz w:val="44"/>
          <w:szCs w:val="44"/>
          <w:highlight w:val="none"/>
        </w:rPr>
      </w:pPr>
    </w:p>
    <w:p>
      <w:pPr>
        <w:spacing w:line="500" w:lineRule="exact"/>
        <w:jc w:val="center"/>
        <w:rPr>
          <w:rFonts w:ascii="宋体" w:hAnsi="宋体" w:cs="宋体"/>
          <w:color w:val="auto"/>
          <w:sz w:val="32"/>
          <w:szCs w:val="32"/>
          <w:highlight w:val="none"/>
        </w:rPr>
      </w:pP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pPr>
        <w:spacing w:line="360" w:lineRule="auto"/>
        <w:rPr>
          <w:rFonts w:ascii="宋体" w:hAnsi="宋体" w:cs="宋体"/>
          <w:color w:val="auto"/>
          <w:sz w:val="24"/>
          <w:highlight w:val="none"/>
        </w:rPr>
      </w:pPr>
    </w:p>
    <w:p>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pPr>
        <w:spacing w:line="360" w:lineRule="auto"/>
        <w:ind w:firstLine="420" w:firstLineChars="200"/>
        <w:jc w:val="left"/>
        <w:rPr>
          <w:rFonts w:ascii="宋体" w:hAnsi="宋体" w:cs="宋体"/>
          <w:b/>
          <w:color w:val="auto"/>
          <w:sz w:val="30"/>
          <w:szCs w:val="30"/>
          <w:highlight w:val="none"/>
        </w:rPr>
      </w:pPr>
      <w:r>
        <w:rPr>
          <w:rFonts w:ascii="宋体" w:hAnsi="宋体" w:cs="宋体"/>
          <w:color w:val="auto"/>
          <w:szCs w:val="21"/>
          <w:highlight w:val="none"/>
        </w:rPr>
        <w:br w:type="page"/>
      </w:r>
    </w:p>
    <w:p>
      <w:pPr>
        <w:spacing w:beforeLines="50"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四、磋商保证金提交凭证</w:t>
      </w:r>
    </w:p>
    <w:p>
      <w:pPr>
        <w:autoSpaceDE w:val="0"/>
        <w:autoSpaceDN w:val="0"/>
        <w:spacing w:line="360" w:lineRule="auto"/>
        <w:ind w:left="4335" w:leftChars="1950" w:hanging="240" w:hangingChars="100"/>
        <w:rPr>
          <w:rFonts w:hint="eastAsia" w:ascii="宋体" w:hAnsi="宋体" w:cs="宋体"/>
          <w:color w:val="auto"/>
          <w:sz w:val="24"/>
          <w:highlight w:val="none"/>
        </w:rPr>
      </w:pPr>
    </w:p>
    <w:p>
      <w:pPr>
        <w:autoSpaceDE w:val="0"/>
        <w:autoSpaceDN w:val="0"/>
        <w:spacing w:line="360" w:lineRule="auto"/>
        <w:ind w:left="4335" w:leftChars="1950" w:hanging="240" w:hangingChars="100"/>
        <w:rPr>
          <w:rFonts w:ascii="宋体" w:hAnsi="宋体" w:cs="宋体"/>
          <w:color w:val="auto"/>
          <w:sz w:val="24"/>
          <w:highlight w:val="none"/>
        </w:rPr>
      </w:pPr>
      <w:r>
        <w:rPr>
          <w:rFonts w:hint="eastAsia" w:ascii="宋体" w:hAnsi="宋体" w:cs="宋体"/>
          <w:color w:val="auto"/>
          <w:sz w:val="24"/>
          <w:highlight w:val="none"/>
        </w:rPr>
        <w:t>供应商名称（电子签章）：</w:t>
      </w:r>
    </w:p>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 xml:space="preserve">                                                   日期：  年  月   日</w:t>
      </w:r>
      <w:r>
        <w:rPr>
          <w:rFonts w:ascii="宋体" w:hAnsi="宋体" w:cs="宋体"/>
          <w:color w:val="auto"/>
          <w:sz w:val="24"/>
          <w:highlight w:val="none"/>
        </w:rPr>
        <w:br w:type="page"/>
      </w:r>
    </w:p>
    <w:p>
      <w:pPr>
        <w:spacing w:beforeLines="50" w:line="360" w:lineRule="auto"/>
        <w:rPr>
          <w:rFonts w:ascii="宋体" w:hAnsi="宋体" w:cs="宋体"/>
          <w:color w:val="auto"/>
          <w:sz w:val="24"/>
          <w:highlight w:val="none"/>
        </w:rPr>
      </w:pPr>
      <w:r>
        <w:rPr>
          <w:rFonts w:hint="eastAsia" w:ascii="宋体" w:hAnsi="宋体" w:cs="宋体"/>
          <w:b/>
          <w:color w:val="auto"/>
          <w:sz w:val="30"/>
          <w:szCs w:val="30"/>
          <w:highlight w:val="none"/>
        </w:rPr>
        <w:t>五、供应商基本情况表</w:t>
      </w:r>
    </w:p>
    <w:p>
      <w:pPr>
        <w:spacing w:line="480" w:lineRule="auto"/>
        <w:jc w:val="center"/>
        <w:rPr>
          <w:rFonts w:ascii="宋体" w:hAnsi="宋体" w:cs="宋体"/>
          <w:color w:val="auto"/>
          <w:sz w:val="24"/>
          <w:highlight w:val="none"/>
        </w:rPr>
      </w:pPr>
      <w:r>
        <w:rPr>
          <w:rFonts w:hint="eastAsia" w:ascii="宋体" w:hAnsi="宋体" w:cs="宋体"/>
          <w:b/>
          <w:bCs/>
          <w:color w:val="auto"/>
          <w:sz w:val="28"/>
          <w:szCs w:val="28"/>
          <w:highlight w:val="none"/>
        </w:rPr>
        <w:t>供应商基本情况表</w:t>
      </w:r>
    </w:p>
    <w:tbl>
      <w:tblPr>
        <w:tblStyle w:val="30"/>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12"/>
        <w:gridCol w:w="1081"/>
        <w:gridCol w:w="1184"/>
        <w:gridCol w:w="112"/>
        <w:gridCol w:w="1246"/>
        <w:gridCol w:w="322"/>
        <w:gridCol w:w="765"/>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7341" w:type="dxa"/>
            <w:gridSpan w:val="8"/>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389" w:type="dxa"/>
            <w:gridSpan w:val="4"/>
            <w:vAlign w:val="center"/>
          </w:tcPr>
          <w:p>
            <w:pPr>
              <w:jc w:val="center"/>
              <w:rPr>
                <w:rFonts w:ascii="宋体" w:hAnsi="宋体" w:cs="宋体"/>
                <w:color w:val="auto"/>
                <w:sz w:val="24"/>
                <w:highlight w:val="none"/>
              </w:rPr>
            </w:pPr>
          </w:p>
        </w:tc>
        <w:tc>
          <w:tcPr>
            <w:tcW w:w="12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706" w:type="dxa"/>
            <w:gridSpan w:val="3"/>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pPr>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101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377" w:type="dxa"/>
            <w:gridSpan w:val="3"/>
            <w:vAlign w:val="center"/>
          </w:tcPr>
          <w:p>
            <w:pPr>
              <w:jc w:val="center"/>
              <w:rPr>
                <w:rFonts w:ascii="宋体" w:hAnsi="宋体" w:cs="宋体"/>
                <w:color w:val="auto"/>
                <w:sz w:val="24"/>
                <w:highlight w:val="none"/>
              </w:rPr>
            </w:pPr>
          </w:p>
        </w:tc>
        <w:tc>
          <w:tcPr>
            <w:tcW w:w="12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电  话</w:t>
            </w:r>
          </w:p>
        </w:tc>
        <w:tc>
          <w:tcPr>
            <w:tcW w:w="2706" w:type="dxa"/>
            <w:gridSpan w:val="3"/>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pPr>
              <w:jc w:val="center"/>
              <w:rPr>
                <w:rFonts w:ascii="宋体" w:hAnsi="宋体" w:cs="宋体"/>
                <w:color w:val="auto"/>
                <w:sz w:val="24"/>
                <w:highlight w:val="none"/>
              </w:rPr>
            </w:pPr>
          </w:p>
        </w:tc>
        <w:tc>
          <w:tcPr>
            <w:tcW w:w="101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377" w:type="dxa"/>
            <w:gridSpan w:val="3"/>
            <w:vAlign w:val="center"/>
          </w:tcPr>
          <w:p>
            <w:pPr>
              <w:jc w:val="center"/>
              <w:rPr>
                <w:rFonts w:ascii="宋体" w:hAnsi="宋体" w:cs="宋体"/>
                <w:color w:val="auto"/>
                <w:sz w:val="24"/>
                <w:highlight w:val="none"/>
              </w:rPr>
            </w:pPr>
          </w:p>
        </w:tc>
        <w:tc>
          <w:tcPr>
            <w:tcW w:w="12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网  址</w:t>
            </w:r>
          </w:p>
        </w:tc>
        <w:tc>
          <w:tcPr>
            <w:tcW w:w="2706" w:type="dxa"/>
            <w:gridSpan w:val="3"/>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统一社会信用代码</w:t>
            </w:r>
          </w:p>
        </w:tc>
        <w:tc>
          <w:tcPr>
            <w:tcW w:w="7341" w:type="dxa"/>
            <w:gridSpan w:val="8"/>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01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姓名</w:t>
            </w:r>
          </w:p>
        </w:tc>
        <w:tc>
          <w:tcPr>
            <w:tcW w:w="3945" w:type="dxa"/>
            <w:gridSpan w:val="5"/>
            <w:vAlign w:val="center"/>
          </w:tcPr>
          <w:p>
            <w:pPr>
              <w:jc w:val="center"/>
              <w:rPr>
                <w:rFonts w:ascii="宋体" w:hAnsi="宋体" w:cs="宋体"/>
                <w:color w:val="auto"/>
                <w:sz w:val="24"/>
                <w:highlight w:val="none"/>
              </w:rPr>
            </w:pPr>
          </w:p>
        </w:tc>
        <w:tc>
          <w:tcPr>
            <w:tcW w:w="76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电话</w:t>
            </w:r>
          </w:p>
        </w:tc>
        <w:tc>
          <w:tcPr>
            <w:tcW w:w="1619"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01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姓名</w:t>
            </w:r>
          </w:p>
        </w:tc>
        <w:tc>
          <w:tcPr>
            <w:tcW w:w="1081" w:type="dxa"/>
            <w:vAlign w:val="center"/>
          </w:tcPr>
          <w:p>
            <w:pPr>
              <w:jc w:val="center"/>
              <w:rPr>
                <w:rFonts w:ascii="宋体" w:hAnsi="宋体" w:cs="宋体"/>
                <w:color w:val="auto"/>
                <w:sz w:val="24"/>
                <w:highlight w:val="none"/>
              </w:rPr>
            </w:pPr>
          </w:p>
        </w:tc>
        <w:tc>
          <w:tcPr>
            <w:tcW w:w="118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680" w:type="dxa"/>
            <w:gridSpan w:val="3"/>
            <w:vAlign w:val="center"/>
          </w:tcPr>
          <w:p>
            <w:pPr>
              <w:jc w:val="center"/>
              <w:rPr>
                <w:rFonts w:ascii="宋体" w:hAnsi="宋体" w:cs="宋体"/>
                <w:color w:val="auto"/>
                <w:sz w:val="24"/>
                <w:highlight w:val="none"/>
              </w:rPr>
            </w:pPr>
          </w:p>
        </w:tc>
        <w:tc>
          <w:tcPr>
            <w:tcW w:w="76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电话</w:t>
            </w:r>
          </w:p>
        </w:tc>
        <w:tc>
          <w:tcPr>
            <w:tcW w:w="1619"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成立时间</w:t>
            </w:r>
          </w:p>
        </w:tc>
        <w:tc>
          <w:tcPr>
            <w:tcW w:w="2093" w:type="dxa"/>
            <w:gridSpan w:val="2"/>
            <w:vAlign w:val="center"/>
          </w:tcPr>
          <w:p>
            <w:pPr>
              <w:jc w:val="center"/>
              <w:rPr>
                <w:rFonts w:ascii="宋体" w:hAnsi="宋体" w:cs="宋体"/>
                <w:color w:val="auto"/>
                <w:sz w:val="24"/>
                <w:highlight w:val="none"/>
              </w:rPr>
            </w:pPr>
          </w:p>
        </w:tc>
        <w:tc>
          <w:tcPr>
            <w:tcW w:w="5248" w:type="dxa"/>
            <w:gridSpan w:val="6"/>
            <w:vAlign w:val="center"/>
          </w:tcPr>
          <w:p>
            <w:pPr>
              <w:jc w:val="center"/>
              <w:rPr>
                <w:rFonts w:ascii="宋体" w:hAnsi="宋体" w:cs="宋体"/>
                <w:color w:val="auto"/>
                <w:sz w:val="24"/>
                <w:highlight w:val="none"/>
              </w:rPr>
            </w:pPr>
            <w:r>
              <w:rPr>
                <w:rFonts w:hint="eastAsia" w:ascii="宋体" w:hAnsi="宋体" w:cs="宋体"/>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2093" w:type="dxa"/>
            <w:gridSpan w:val="2"/>
            <w:vAlign w:val="center"/>
          </w:tcPr>
          <w:p>
            <w:pPr>
              <w:jc w:val="center"/>
              <w:rPr>
                <w:rFonts w:ascii="宋体" w:hAnsi="宋体" w:cs="宋体"/>
                <w:color w:val="auto"/>
                <w:sz w:val="24"/>
                <w:highlight w:val="none"/>
              </w:rPr>
            </w:pPr>
          </w:p>
        </w:tc>
        <w:tc>
          <w:tcPr>
            <w:tcW w:w="1184" w:type="dxa"/>
            <w:vMerge w:val="restart"/>
            <w:vAlign w:val="center"/>
          </w:tcPr>
          <w:p>
            <w:pPr>
              <w:jc w:val="center"/>
              <w:rPr>
                <w:rFonts w:ascii="宋体" w:hAnsi="宋体" w:cs="宋体"/>
                <w:color w:val="auto"/>
                <w:sz w:val="24"/>
                <w:highlight w:val="none"/>
              </w:rPr>
            </w:pPr>
            <w:r>
              <w:rPr>
                <w:rFonts w:hint="eastAsia" w:ascii="宋体" w:hAnsi="宋体" w:cs="宋体"/>
                <w:color w:val="auto"/>
                <w:sz w:val="24"/>
                <w:highlight w:val="none"/>
              </w:rPr>
              <w:t>其中</w:t>
            </w:r>
          </w:p>
        </w:tc>
        <w:tc>
          <w:tcPr>
            <w:tcW w:w="1680" w:type="dxa"/>
            <w:gridSpan w:val="3"/>
            <w:vAlign w:val="center"/>
          </w:tcPr>
          <w:p>
            <w:pPr>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2384" w:type="dxa"/>
            <w:gridSpan w:val="2"/>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安全生产许可证号</w:t>
            </w:r>
          </w:p>
        </w:tc>
        <w:tc>
          <w:tcPr>
            <w:tcW w:w="2093" w:type="dxa"/>
            <w:gridSpan w:val="2"/>
            <w:vAlign w:val="center"/>
          </w:tcPr>
          <w:p>
            <w:pPr>
              <w:jc w:val="center"/>
              <w:rPr>
                <w:rFonts w:ascii="宋体" w:hAnsi="宋体" w:cs="宋体"/>
                <w:color w:val="auto"/>
                <w:sz w:val="24"/>
                <w:highlight w:val="none"/>
              </w:rPr>
            </w:pPr>
          </w:p>
        </w:tc>
        <w:tc>
          <w:tcPr>
            <w:tcW w:w="1184" w:type="dxa"/>
            <w:vMerge w:val="continue"/>
            <w:vAlign w:val="center"/>
          </w:tcPr>
          <w:p>
            <w:pPr>
              <w:jc w:val="center"/>
              <w:rPr>
                <w:rFonts w:ascii="宋体" w:hAnsi="宋体" w:cs="宋体"/>
                <w:color w:val="auto"/>
                <w:sz w:val="24"/>
                <w:highlight w:val="none"/>
              </w:rPr>
            </w:pPr>
          </w:p>
        </w:tc>
        <w:tc>
          <w:tcPr>
            <w:tcW w:w="1680" w:type="dxa"/>
            <w:gridSpan w:val="3"/>
            <w:vAlign w:val="center"/>
          </w:tcPr>
          <w:p>
            <w:pPr>
              <w:jc w:val="center"/>
              <w:rPr>
                <w:rFonts w:ascii="宋体" w:hAnsi="宋体" w:cs="宋体"/>
                <w:color w:val="auto"/>
                <w:sz w:val="24"/>
                <w:highlight w:val="none"/>
              </w:rPr>
            </w:pPr>
            <w:r>
              <w:rPr>
                <w:rFonts w:hint="eastAsia" w:ascii="宋体" w:hAnsi="宋体" w:cs="宋体"/>
                <w:color w:val="auto"/>
                <w:sz w:val="24"/>
                <w:highlight w:val="none"/>
              </w:rPr>
              <w:t>高级职称人员</w:t>
            </w:r>
          </w:p>
        </w:tc>
        <w:tc>
          <w:tcPr>
            <w:tcW w:w="2384" w:type="dxa"/>
            <w:gridSpan w:val="2"/>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2093" w:type="dxa"/>
            <w:gridSpan w:val="2"/>
            <w:vAlign w:val="center"/>
          </w:tcPr>
          <w:p>
            <w:pPr>
              <w:jc w:val="center"/>
              <w:rPr>
                <w:rFonts w:ascii="宋体" w:hAnsi="宋体" w:cs="宋体"/>
                <w:color w:val="auto"/>
                <w:sz w:val="24"/>
                <w:highlight w:val="none"/>
              </w:rPr>
            </w:pPr>
          </w:p>
        </w:tc>
        <w:tc>
          <w:tcPr>
            <w:tcW w:w="1184" w:type="dxa"/>
            <w:vMerge w:val="continue"/>
            <w:vAlign w:val="center"/>
          </w:tcPr>
          <w:p>
            <w:pPr>
              <w:jc w:val="center"/>
              <w:rPr>
                <w:rFonts w:ascii="宋体" w:hAnsi="宋体" w:cs="宋体"/>
                <w:color w:val="auto"/>
                <w:sz w:val="24"/>
                <w:highlight w:val="none"/>
              </w:rPr>
            </w:pPr>
          </w:p>
        </w:tc>
        <w:tc>
          <w:tcPr>
            <w:tcW w:w="1680" w:type="dxa"/>
            <w:gridSpan w:val="3"/>
            <w:vAlign w:val="center"/>
          </w:tcPr>
          <w:p>
            <w:pPr>
              <w:jc w:val="center"/>
              <w:rPr>
                <w:rFonts w:ascii="宋体" w:hAnsi="宋体" w:cs="宋体"/>
                <w:color w:val="auto"/>
                <w:sz w:val="24"/>
                <w:highlight w:val="none"/>
              </w:rPr>
            </w:pPr>
            <w:r>
              <w:rPr>
                <w:rFonts w:hint="eastAsia" w:ascii="宋体" w:hAnsi="宋体" w:cs="宋体"/>
                <w:color w:val="auto"/>
                <w:sz w:val="24"/>
                <w:highlight w:val="none"/>
              </w:rPr>
              <w:t>中级职称人员</w:t>
            </w:r>
          </w:p>
        </w:tc>
        <w:tc>
          <w:tcPr>
            <w:tcW w:w="2384" w:type="dxa"/>
            <w:gridSpan w:val="2"/>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2093" w:type="dxa"/>
            <w:gridSpan w:val="2"/>
            <w:vAlign w:val="center"/>
          </w:tcPr>
          <w:p>
            <w:pPr>
              <w:jc w:val="center"/>
              <w:rPr>
                <w:rFonts w:ascii="宋体" w:hAnsi="宋体" w:cs="宋体"/>
                <w:color w:val="auto"/>
                <w:sz w:val="24"/>
                <w:highlight w:val="none"/>
              </w:rPr>
            </w:pPr>
          </w:p>
        </w:tc>
        <w:tc>
          <w:tcPr>
            <w:tcW w:w="1184" w:type="dxa"/>
            <w:vMerge w:val="continue"/>
            <w:vAlign w:val="center"/>
          </w:tcPr>
          <w:p>
            <w:pPr>
              <w:jc w:val="center"/>
              <w:rPr>
                <w:rFonts w:ascii="宋体" w:hAnsi="宋体" w:cs="宋体"/>
                <w:color w:val="auto"/>
                <w:sz w:val="24"/>
                <w:highlight w:val="none"/>
              </w:rPr>
            </w:pPr>
          </w:p>
        </w:tc>
        <w:tc>
          <w:tcPr>
            <w:tcW w:w="1680" w:type="dxa"/>
            <w:gridSpan w:val="3"/>
            <w:vAlign w:val="center"/>
          </w:tcPr>
          <w:p>
            <w:pPr>
              <w:jc w:val="center"/>
              <w:rPr>
                <w:rFonts w:ascii="宋体" w:hAnsi="宋体" w:cs="宋体"/>
                <w:color w:val="auto"/>
                <w:sz w:val="24"/>
                <w:highlight w:val="none"/>
              </w:rPr>
            </w:pPr>
            <w:r>
              <w:rPr>
                <w:rFonts w:hint="eastAsia" w:ascii="宋体" w:hAnsi="宋体" w:cs="宋体"/>
                <w:color w:val="auto"/>
                <w:sz w:val="24"/>
                <w:highlight w:val="none"/>
              </w:rPr>
              <w:t>初级职称人员</w:t>
            </w:r>
          </w:p>
        </w:tc>
        <w:tc>
          <w:tcPr>
            <w:tcW w:w="2384" w:type="dxa"/>
            <w:gridSpan w:val="2"/>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账号</w:t>
            </w:r>
          </w:p>
        </w:tc>
        <w:tc>
          <w:tcPr>
            <w:tcW w:w="2093" w:type="dxa"/>
            <w:gridSpan w:val="2"/>
            <w:vAlign w:val="center"/>
          </w:tcPr>
          <w:p>
            <w:pPr>
              <w:jc w:val="center"/>
              <w:rPr>
                <w:rFonts w:ascii="宋体" w:hAnsi="宋体" w:cs="宋体"/>
                <w:color w:val="auto"/>
                <w:sz w:val="24"/>
                <w:highlight w:val="none"/>
              </w:rPr>
            </w:pPr>
          </w:p>
        </w:tc>
        <w:tc>
          <w:tcPr>
            <w:tcW w:w="1184" w:type="dxa"/>
            <w:vMerge w:val="continue"/>
            <w:vAlign w:val="center"/>
          </w:tcPr>
          <w:p>
            <w:pPr>
              <w:jc w:val="center"/>
              <w:rPr>
                <w:rFonts w:ascii="宋体" w:hAnsi="宋体" w:cs="宋体"/>
                <w:color w:val="auto"/>
                <w:sz w:val="24"/>
                <w:highlight w:val="none"/>
              </w:rPr>
            </w:pPr>
          </w:p>
        </w:tc>
        <w:tc>
          <w:tcPr>
            <w:tcW w:w="1680" w:type="dxa"/>
            <w:gridSpan w:val="3"/>
            <w:vAlign w:val="center"/>
          </w:tcPr>
          <w:p>
            <w:pPr>
              <w:jc w:val="center"/>
              <w:rPr>
                <w:rFonts w:ascii="宋体" w:hAnsi="宋体" w:cs="宋体"/>
                <w:color w:val="auto"/>
                <w:sz w:val="24"/>
                <w:highlight w:val="none"/>
              </w:rPr>
            </w:pPr>
            <w:r>
              <w:rPr>
                <w:rFonts w:hint="eastAsia" w:ascii="宋体" w:hAnsi="宋体" w:cs="宋体"/>
                <w:color w:val="auto"/>
                <w:sz w:val="24"/>
                <w:highlight w:val="none"/>
              </w:rPr>
              <w:t>技  工</w:t>
            </w:r>
          </w:p>
        </w:tc>
        <w:tc>
          <w:tcPr>
            <w:tcW w:w="2384" w:type="dxa"/>
            <w:gridSpan w:val="2"/>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341" w:type="dxa"/>
            <w:gridSpan w:val="8"/>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7341" w:type="dxa"/>
            <w:gridSpan w:val="8"/>
            <w:vAlign w:val="center"/>
          </w:tcPr>
          <w:p>
            <w:pPr>
              <w:jc w:val="center"/>
              <w:rPr>
                <w:rFonts w:ascii="宋体" w:hAnsi="宋体" w:cs="宋体"/>
                <w:color w:val="auto"/>
                <w:sz w:val="24"/>
                <w:highlight w:val="none"/>
              </w:rPr>
            </w:pPr>
          </w:p>
        </w:tc>
      </w:tr>
    </w:tbl>
    <w:p>
      <w:pPr>
        <w:spacing w:line="360" w:lineRule="auto"/>
        <w:contextualSpacing/>
        <w:rPr>
          <w:rFonts w:ascii="宋体" w:hAnsi="宋体" w:cs="宋体"/>
          <w:color w:val="auto"/>
          <w:highlight w:val="none"/>
        </w:rPr>
      </w:pPr>
    </w:p>
    <w:p>
      <w:pPr>
        <w:pStyle w:val="21"/>
        <w:snapToGrid/>
        <w:rPr>
          <w:rFonts w:ascii="宋体" w:hAnsi="宋体" w:cs="宋体"/>
          <w:color w:val="auto"/>
          <w:kern w:val="2"/>
          <w:highlight w:val="none"/>
        </w:rPr>
      </w:pPr>
    </w:p>
    <w:p>
      <w:pPr>
        <w:autoSpaceDE w:val="0"/>
        <w:autoSpaceDN w:val="0"/>
        <w:spacing w:line="360" w:lineRule="auto"/>
        <w:ind w:left="4365" w:leftChars="1850" w:hanging="480" w:hangingChars="200"/>
        <w:rPr>
          <w:rFonts w:ascii="宋体" w:hAnsi="宋体" w:cs="宋体"/>
          <w:color w:val="auto"/>
          <w:sz w:val="24"/>
          <w:highlight w:val="none"/>
          <w:lang w:val="zh-CN"/>
        </w:rPr>
      </w:pPr>
      <w:r>
        <w:rPr>
          <w:rFonts w:hint="eastAsia" w:ascii="宋体" w:hAnsi="宋体" w:cs="宋体"/>
          <w:color w:val="auto"/>
          <w:sz w:val="24"/>
          <w:highlight w:val="none"/>
          <w:lang w:val="zh-CN"/>
        </w:rPr>
        <w:t>供应商名称（电子签章）：</w:t>
      </w:r>
    </w:p>
    <w:p>
      <w:pPr>
        <w:spacing w:line="50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pPr>
        <w:spacing w:line="500" w:lineRule="exact"/>
        <w:jc w:val="center"/>
        <w:rPr>
          <w:rFonts w:ascii="宋体" w:hAnsi="宋体" w:cs="宋体"/>
          <w:color w:val="auto"/>
          <w:sz w:val="24"/>
          <w:highlight w:val="none"/>
        </w:rPr>
      </w:pPr>
      <w:r>
        <w:rPr>
          <w:rFonts w:ascii="宋体" w:hAnsi="宋体" w:cs="宋体"/>
          <w:color w:val="auto"/>
          <w:sz w:val="24"/>
          <w:highlight w:val="none"/>
        </w:rPr>
        <w:br w:type="page"/>
      </w:r>
    </w:p>
    <w:p>
      <w:pPr>
        <w:spacing w:line="500" w:lineRule="exact"/>
        <w:jc w:val="center"/>
        <w:rPr>
          <w:rFonts w:ascii="宋体" w:hAnsi="宋体" w:cs="宋体"/>
          <w:b/>
          <w:color w:val="auto"/>
          <w:sz w:val="30"/>
          <w:szCs w:val="30"/>
          <w:highlight w:val="none"/>
        </w:rPr>
      </w:pPr>
      <w:bookmarkStart w:id="94" w:name="_Toc13089"/>
      <w:r>
        <w:rPr>
          <w:rFonts w:hint="eastAsia" w:ascii="宋体" w:hAnsi="宋体" w:cs="宋体"/>
          <w:b/>
          <w:color w:val="auto"/>
          <w:sz w:val="30"/>
          <w:szCs w:val="30"/>
          <w:highlight w:val="none"/>
        </w:rPr>
        <w:t>六、施工组织设计</w:t>
      </w:r>
      <w:bookmarkEnd w:id="94"/>
    </w:p>
    <w:p>
      <w:pPr>
        <w:rPr>
          <w:rFonts w:ascii="宋体" w:hAnsi="宋体" w:cs="宋体"/>
          <w:color w:val="auto"/>
          <w:highlight w:val="none"/>
        </w:rPr>
      </w:pPr>
    </w:p>
    <w:p>
      <w:pPr>
        <w:spacing w:line="4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施工组织设计</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2.施工组织设计除采用文字表述外可附下列图表，图表及格式要求附后。</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附表一  拟投入本工程的主要施工设备表</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附表二  拟配备本工程的试验和检测仪器设备表</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附表三  劳动力计划表</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附表四  计划开、竣工日期和施工进度网络图</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附表五  施工总平面图</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附表六  临时用地表</w:t>
      </w:r>
    </w:p>
    <w:p>
      <w:pPr>
        <w:spacing w:line="460" w:lineRule="exact"/>
        <w:ind w:firstLine="480" w:firstLineChars="200"/>
        <w:rPr>
          <w:rFonts w:ascii="宋体" w:hAnsi="宋体" w:cs="宋体"/>
          <w:color w:val="auto"/>
          <w:sz w:val="24"/>
          <w:highlight w:val="none"/>
        </w:rPr>
      </w:pPr>
    </w:p>
    <w:p>
      <w:pPr>
        <w:ind w:firstLine="482" w:firstLineChars="200"/>
        <w:rPr>
          <w:rFonts w:ascii="宋体" w:hAnsi="宋体" w:cs="宋体"/>
          <w:b/>
          <w:bCs/>
          <w:color w:val="auto"/>
          <w:szCs w:val="21"/>
          <w:highlight w:val="none"/>
        </w:rPr>
      </w:pPr>
      <w:r>
        <w:rPr>
          <w:rFonts w:hint="eastAsia" w:ascii="宋体" w:hAnsi="宋体" w:cs="宋体"/>
          <w:b/>
          <w:bCs/>
          <w:color w:val="auto"/>
          <w:sz w:val="24"/>
          <w:highlight w:val="none"/>
        </w:rPr>
        <w:t>附表一：拟投入本工程的主要施工设备表</w:t>
      </w:r>
    </w:p>
    <w:tbl>
      <w:tblPr>
        <w:tblStyle w:val="30"/>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86"/>
        <w:gridCol w:w="893"/>
        <w:gridCol w:w="743"/>
        <w:gridCol w:w="744"/>
        <w:gridCol w:w="893"/>
        <w:gridCol w:w="1190"/>
        <w:gridCol w:w="1041"/>
        <w:gridCol w:w="119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8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9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型号</w:t>
            </w:r>
          </w:p>
          <w:p>
            <w:pPr>
              <w:jc w:val="center"/>
              <w:rPr>
                <w:rFonts w:ascii="宋体" w:hAnsi="宋体" w:cs="宋体"/>
                <w:color w:val="auto"/>
                <w:sz w:val="24"/>
                <w:highlight w:val="none"/>
              </w:rPr>
            </w:pPr>
            <w:r>
              <w:rPr>
                <w:rFonts w:hint="eastAsia" w:ascii="宋体" w:hAnsi="宋体" w:cs="宋体"/>
                <w:color w:val="auto"/>
                <w:sz w:val="24"/>
                <w:highlight w:val="none"/>
              </w:rPr>
              <w:t>规格</w:t>
            </w:r>
          </w:p>
        </w:tc>
        <w:tc>
          <w:tcPr>
            <w:tcW w:w="74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74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国别</w:t>
            </w:r>
          </w:p>
          <w:p>
            <w:pPr>
              <w:jc w:val="center"/>
              <w:rPr>
                <w:rFonts w:ascii="宋体" w:hAnsi="宋体" w:cs="宋体"/>
                <w:color w:val="auto"/>
                <w:sz w:val="24"/>
                <w:highlight w:val="none"/>
              </w:rPr>
            </w:pPr>
            <w:r>
              <w:rPr>
                <w:rFonts w:hint="eastAsia" w:ascii="宋体" w:hAnsi="宋体" w:cs="宋体"/>
                <w:color w:val="auto"/>
                <w:sz w:val="24"/>
                <w:highlight w:val="none"/>
              </w:rPr>
              <w:t>产地</w:t>
            </w:r>
          </w:p>
        </w:tc>
        <w:tc>
          <w:tcPr>
            <w:tcW w:w="89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制造</w:t>
            </w:r>
          </w:p>
          <w:p>
            <w:pPr>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9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额定功率</w:t>
            </w:r>
          </w:p>
          <w:p>
            <w:pPr>
              <w:jc w:val="center"/>
              <w:rPr>
                <w:rFonts w:ascii="宋体" w:hAnsi="宋体" w:cs="宋体"/>
                <w:color w:val="auto"/>
                <w:sz w:val="24"/>
                <w:highlight w:val="none"/>
              </w:rPr>
            </w:pPr>
            <w:r>
              <w:rPr>
                <w:rFonts w:hint="eastAsia" w:ascii="宋体" w:hAnsi="宋体" w:cs="宋体"/>
                <w:color w:val="auto"/>
                <w:sz w:val="24"/>
                <w:highlight w:val="none"/>
              </w:rPr>
              <w:t>（KW）</w:t>
            </w:r>
          </w:p>
        </w:tc>
        <w:tc>
          <w:tcPr>
            <w:tcW w:w="104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生产</w:t>
            </w:r>
          </w:p>
          <w:p>
            <w:pPr>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9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用于施</w:t>
            </w:r>
          </w:p>
          <w:p>
            <w:pPr>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4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pPr>
              <w:spacing w:line="360" w:lineRule="auto"/>
              <w:rPr>
                <w:rFonts w:ascii="宋体" w:hAnsi="宋体" w:cs="宋体"/>
                <w:color w:val="auto"/>
                <w:sz w:val="24"/>
                <w:highlight w:val="none"/>
              </w:rPr>
            </w:pPr>
          </w:p>
        </w:tc>
        <w:tc>
          <w:tcPr>
            <w:tcW w:w="1286" w:type="dxa"/>
          </w:tcPr>
          <w:p>
            <w:pPr>
              <w:spacing w:line="360" w:lineRule="auto"/>
              <w:ind w:firstLine="480" w:firstLineChars="200"/>
              <w:rPr>
                <w:rFonts w:ascii="宋体" w:hAnsi="宋体" w:cs="宋体"/>
                <w:color w:val="auto"/>
                <w:sz w:val="24"/>
                <w:highlight w:val="none"/>
              </w:rPr>
            </w:pPr>
          </w:p>
        </w:tc>
        <w:tc>
          <w:tcPr>
            <w:tcW w:w="893" w:type="dxa"/>
          </w:tcPr>
          <w:p>
            <w:pPr>
              <w:spacing w:line="360" w:lineRule="auto"/>
              <w:rPr>
                <w:rFonts w:ascii="宋体" w:hAnsi="宋体" w:cs="宋体"/>
                <w:color w:val="auto"/>
                <w:sz w:val="24"/>
                <w:highlight w:val="none"/>
              </w:rPr>
            </w:pPr>
          </w:p>
        </w:tc>
        <w:tc>
          <w:tcPr>
            <w:tcW w:w="743" w:type="dxa"/>
          </w:tcPr>
          <w:p>
            <w:pPr>
              <w:spacing w:line="360" w:lineRule="auto"/>
              <w:rPr>
                <w:rFonts w:ascii="宋体" w:hAnsi="宋体" w:cs="宋体"/>
                <w:color w:val="auto"/>
                <w:sz w:val="24"/>
                <w:highlight w:val="none"/>
              </w:rPr>
            </w:pPr>
          </w:p>
        </w:tc>
        <w:tc>
          <w:tcPr>
            <w:tcW w:w="744" w:type="dxa"/>
          </w:tcPr>
          <w:p>
            <w:pPr>
              <w:spacing w:line="360" w:lineRule="auto"/>
              <w:rPr>
                <w:rFonts w:ascii="宋体" w:hAnsi="宋体" w:cs="宋体"/>
                <w:color w:val="auto"/>
                <w:sz w:val="24"/>
                <w:highlight w:val="none"/>
              </w:rPr>
            </w:pPr>
          </w:p>
        </w:tc>
        <w:tc>
          <w:tcPr>
            <w:tcW w:w="893" w:type="dxa"/>
          </w:tcPr>
          <w:p>
            <w:pPr>
              <w:spacing w:line="360" w:lineRule="auto"/>
              <w:rPr>
                <w:rFonts w:ascii="宋体" w:hAnsi="宋体" w:cs="宋体"/>
                <w:color w:val="auto"/>
                <w:sz w:val="24"/>
                <w:highlight w:val="none"/>
              </w:rPr>
            </w:pPr>
          </w:p>
        </w:tc>
        <w:tc>
          <w:tcPr>
            <w:tcW w:w="1190" w:type="dxa"/>
          </w:tcPr>
          <w:p>
            <w:pPr>
              <w:spacing w:line="360" w:lineRule="auto"/>
              <w:rPr>
                <w:rFonts w:ascii="宋体" w:hAnsi="宋体" w:cs="宋体"/>
                <w:color w:val="auto"/>
                <w:sz w:val="24"/>
                <w:highlight w:val="none"/>
              </w:rPr>
            </w:pPr>
          </w:p>
        </w:tc>
        <w:tc>
          <w:tcPr>
            <w:tcW w:w="1041" w:type="dxa"/>
          </w:tcPr>
          <w:p>
            <w:pPr>
              <w:spacing w:line="360" w:lineRule="auto"/>
              <w:rPr>
                <w:rFonts w:ascii="宋体" w:hAnsi="宋体" w:cs="宋体"/>
                <w:color w:val="auto"/>
                <w:sz w:val="24"/>
                <w:highlight w:val="none"/>
              </w:rPr>
            </w:pPr>
          </w:p>
        </w:tc>
        <w:tc>
          <w:tcPr>
            <w:tcW w:w="1190" w:type="dxa"/>
          </w:tcPr>
          <w:p>
            <w:pPr>
              <w:spacing w:line="360" w:lineRule="auto"/>
              <w:rPr>
                <w:rFonts w:ascii="宋体" w:hAnsi="宋体" w:cs="宋体"/>
                <w:color w:val="auto"/>
                <w:sz w:val="24"/>
                <w:highlight w:val="none"/>
              </w:rPr>
            </w:pPr>
          </w:p>
        </w:tc>
        <w:tc>
          <w:tcPr>
            <w:tcW w:w="1041" w:type="dxa"/>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pPr>
              <w:spacing w:line="360" w:lineRule="auto"/>
              <w:rPr>
                <w:rFonts w:ascii="宋体" w:hAnsi="宋体" w:cs="宋体"/>
                <w:color w:val="auto"/>
                <w:sz w:val="24"/>
                <w:highlight w:val="none"/>
              </w:rPr>
            </w:pPr>
          </w:p>
        </w:tc>
        <w:tc>
          <w:tcPr>
            <w:tcW w:w="1286" w:type="dxa"/>
          </w:tcPr>
          <w:p>
            <w:pPr>
              <w:spacing w:line="360" w:lineRule="auto"/>
              <w:rPr>
                <w:rFonts w:ascii="宋体" w:hAnsi="宋体" w:cs="宋体"/>
                <w:color w:val="auto"/>
                <w:sz w:val="24"/>
                <w:highlight w:val="none"/>
              </w:rPr>
            </w:pPr>
          </w:p>
        </w:tc>
        <w:tc>
          <w:tcPr>
            <w:tcW w:w="893" w:type="dxa"/>
          </w:tcPr>
          <w:p>
            <w:pPr>
              <w:spacing w:line="360" w:lineRule="auto"/>
              <w:rPr>
                <w:rFonts w:ascii="宋体" w:hAnsi="宋体" w:cs="宋体"/>
                <w:color w:val="auto"/>
                <w:sz w:val="24"/>
                <w:highlight w:val="none"/>
              </w:rPr>
            </w:pPr>
          </w:p>
        </w:tc>
        <w:tc>
          <w:tcPr>
            <w:tcW w:w="743" w:type="dxa"/>
          </w:tcPr>
          <w:p>
            <w:pPr>
              <w:spacing w:line="360" w:lineRule="auto"/>
              <w:rPr>
                <w:rFonts w:ascii="宋体" w:hAnsi="宋体" w:cs="宋体"/>
                <w:color w:val="auto"/>
                <w:sz w:val="24"/>
                <w:highlight w:val="none"/>
              </w:rPr>
            </w:pPr>
          </w:p>
        </w:tc>
        <w:tc>
          <w:tcPr>
            <w:tcW w:w="744" w:type="dxa"/>
          </w:tcPr>
          <w:p>
            <w:pPr>
              <w:spacing w:line="360" w:lineRule="auto"/>
              <w:rPr>
                <w:rFonts w:ascii="宋体" w:hAnsi="宋体" w:cs="宋体"/>
                <w:color w:val="auto"/>
                <w:sz w:val="24"/>
                <w:highlight w:val="none"/>
              </w:rPr>
            </w:pPr>
          </w:p>
        </w:tc>
        <w:tc>
          <w:tcPr>
            <w:tcW w:w="893" w:type="dxa"/>
          </w:tcPr>
          <w:p>
            <w:pPr>
              <w:spacing w:line="360" w:lineRule="auto"/>
              <w:rPr>
                <w:rFonts w:ascii="宋体" w:hAnsi="宋体" w:cs="宋体"/>
                <w:color w:val="auto"/>
                <w:sz w:val="24"/>
                <w:highlight w:val="none"/>
              </w:rPr>
            </w:pPr>
          </w:p>
        </w:tc>
        <w:tc>
          <w:tcPr>
            <w:tcW w:w="1190" w:type="dxa"/>
          </w:tcPr>
          <w:p>
            <w:pPr>
              <w:spacing w:line="360" w:lineRule="auto"/>
              <w:rPr>
                <w:rFonts w:ascii="宋体" w:hAnsi="宋体" w:cs="宋体"/>
                <w:color w:val="auto"/>
                <w:sz w:val="24"/>
                <w:highlight w:val="none"/>
              </w:rPr>
            </w:pPr>
          </w:p>
        </w:tc>
        <w:tc>
          <w:tcPr>
            <w:tcW w:w="1041" w:type="dxa"/>
          </w:tcPr>
          <w:p>
            <w:pPr>
              <w:spacing w:line="360" w:lineRule="auto"/>
              <w:rPr>
                <w:rFonts w:ascii="宋体" w:hAnsi="宋体" w:cs="宋体"/>
                <w:color w:val="auto"/>
                <w:sz w:val="24"/>
                <w:highlight w:val="none"/>
              </w:rPr>
            </w:pPr>
          </w:p>
        </w:tc>
        <w:tc>
          <w:tcPr>
            <w:tcW w:w="1190" w:type="dxa"/>
          </w:tcPr>
          <w:p>
            <w:pPr>
              <w:spacing w:line="360" w:lineRule="auto"/>
              <w:rPr>
                <w:rFonts w:ascii="宋体" w:hAnsi="宋体" w:cs="宋体"/>
                <w:color w:val="auto"/>
                <w:sz w:val="24"/>
                <w:highlight w:val="none"/>
              </w:rPr>
            </w:pPr>
          </w:p>
        </w:tc>
        <w:tc>
          <w:tcPr>
            <w:tcW w:w="1041" w:type="dxa"/>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pPr>
              <w:spacing w:line="360" w:lineRule="auto"/>
              <w:rPr>
                <w:rFonts w:ascii="宋体" w:hAnsi="宋体" w:cs="宋体"/>
                <w:color w:val="auto"/>
                <w:sz w:val="24"/>
                <w:highlight w:val="none"/>
              </w:rPr>
            </w:pPr>
          </w:p>
        </w:tc>
        <w:tc>
          <w:tcPr>
            <w:tcW w:w="1286" w:type="dxa"/>
          </w:tcPr>
          <w:p>
            <w:pPr>
              <w:spacing w:line="360" w:lineRule="auto"/>
              <w:rPr>
                <w:rFonts w:ascii="宋体" w:hAnsi="宋体" w:cs="宋体"/>
                <w:color w:val="auto"/>
                <w:sz w:val="24"/>
                <w:highlight w:val="none"/>
              </w:rPr>
            </w:pPr>
          </w:p>
        </w:tc>
        <w:tc>
          <w:tcPr>
            <w:tcW w:w="893" w:type="dxa"/>
          </w:tcPr>
          <w:p>
            <w:pPr>
              <w:spacing w:line="360" w:lineRule="auto"/>
              <w:rPr>
                <w:rFonts w:ascii="宋体" w:hAnsi="宋体" w:cs="宋体"/>
                <w:color w:val="auto"/>
                <w:sz w:val="24"/>
                <w:highlight w:val="none"/>
              </w:rPr>
            </w:pPr>
          </w:p>
        </w:tc>
        <w:tc>
          <w:tcPr>
            <w:tcW w:w="743" w:type="dxa"/>
          </w:tcPr>
          <w:p>
            <w:pPr>
              <w:spacing w:line="360" w:lineRule="auto"/>
              <w:rPr>
                <w:rFonts w:ascii="宋体" w:hAnsi="宋体" w:cs="宋体"/>
                <w:color w:val="auto"/>
                <w:sz w:val="24"/>
                <w:highlight w:val="none"/>
              </w:rPr>
            </w:pPr>
          </w:p>
        </w:tc>
        <w:tc>
          <w:tcPr>
            <w:tcW w:w="744" w:type="dxa"/>
          </w:tcPr>
          <w:p>
            <w:pPr>
              <w:spacing w:line="360" w:lineRule="auto"/>
              <w:rPr>
                <w:rFonts w:ascii="宋体" w:hAnsi="宋体" w:cs="宋体"/>
                <w:color w:val="auto"/>
                <w:sz w:val="24"/>
                <w:highlight w:val="none"/>
              </w:rPr>
            </w:pPr>
          </w:p>
        </w:tc>
        <w:tc>
          <w:tcPr>
            <w:tcW w:w="893" w:type="dxa"/>
          </w:tcPr>
          <w:p>
            <w:pPr>
              <w:spacing w:line="360" w:lineRule="auto"/>
              <w:rPr>
                <w:rFonts w:ascii="宋体" w:hAnsi="宋体" w:cs="宋体"/>
                <w:color w:val="auto"/>
                <w:sz w:val="24"/>
                <w:highlight w:val="none"/>
              </w:rPr>
            </w:pPr>
          </w:p>
        </w:tc>
        <w:tc>
          <w:tcPr>
            <w:tcW w:w="1190" w:type="dxa"/>
          </w:tcPr>
          <w:p>
            <w:pPr>
              <w:spacing w:line="360" w:lineRule="auto"/>
              <w:rPr>
                <w:rFonts w:ascii="宋体" w:hAnsi="宋体" w:cs="宋体"/>
                <w:color w:val="auto"/>
                <w:sz w:val="24"/>
                <w:highlight w:val="none"/>
              </w:rPr>
            </w:pPr>
          </w:p>
        </w:tc>
        <w:tc>
          <w:tcPr>
            <w:tcW w:w="1041" w:type="dxa"/>
          </w:tcPr>
          <w:p>
            <w:pPr>
              <w:spacing w:line="360" w:lineRule="auto"/>
              <w:rPr>
                <w:rFonts w:ascii="宋体" w:hAnsi="宋体" w:cs="宋体"/>
                <w:color w:val="auto"/>
                <w:sz w:val="24"/>
                <w:highlight w:val="none"/>
              </w:rPr>
            </w:pPr>
          </w:p>
        </w:tc>
        <w:tc>
          <w:tcPr>
            <w:tcW w:w="1190" w:type="dxa"/>
          </w:tcPr>
          <w:p>
            <w:pPr>
              <w:spacing w:line="360" w:lineRule="auto"/>
              <w:rPr>
                <w:rFonts w:ascii="宋体" w:hAnsi="宋体" w:cs="宋体"/>
                <w:color w:val="auto"/>
                <w:sz w:val="24"/>
                <w:highlight w:val="none"/>
              </w:rPr>
            </w:pPr>
          </w:p>
        </w:tc>
        <w:tc>
          <w:tcPr>
            <w:tcW w:w="1041" w:type="dxa"/>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pPr>
              <w:spacing w:line="360" w:lineRule="auto"/>
              <w:rPr>
                <w:rFonts w:ascii="宋体" w:hAnsi="宋体" w:cs="宋体"/>
                <w:color w:val="auto"/>
                <w:sz w:val="24"/>
                <w:highlight w:val="none"/>
              </w:rPr>
            </w:pPr>
          </w:p>
        </w:tc>
        <w:tc>
          <w:tcPr>
            <w:tcW w:w="1286" w:type="dxa"/>
          </w:tcPr>
          <w:p>
            <w:pPr>
              <w:spacing w:line="360" w:lineRule="auto"/>
              <w:rPr>
                <w:rFonts w:ascii="宋体" w:hAnsi="宋体" w:cs="宋体"/>
                <w:color w:val="auto"/>
                <w:sz w:val="24"/>
                <w:highlight w:val="none"/>
              </w:rPr>
            </w:pPr>
          </w:p>
        </w:tc>
        <w:tc>
          <w:tcPr>
            <w:tcW w:w="893" w:type="dxa"/>
          </w:tcPr>
          <w:p>
            <w:pPr>
              <w:spacing w:line="360" w:lineRule="auto"/>
              <w:rPr>
                <w:rFonts w:ascii="宋体" w:hAnsi="宋体" w:cs="宋体"/>
                <w:color w:val="auto"/>
                <w:sz w:val="24"/>
                <w:highlight w:val="none"/>
              </w:rPr>
            </w:pPr>
          </w:p>
        </w:tc>
        <w:tc>
          <w:tcPr>
            <w:tcW w:w="743" w:type="dxa"/>
          </w:tcPr>
          <w:p>
            <w:pPr>
              <w:spacing w:line="360" w:lineRule="auto"/>
              <w:rPr>
                <w:rFonts w:ascii="宋体" w:hAnsi="宋体" w:cs="宋体"/>
                <w:color w:val="auto"/>
                <w:sz w:val="24"/>
                <w:highlight w:val="none"/>
              </w:rPr>
            </w:pPr>
          </w:p>
        </w:tc>
        <w:tc>
          <w:tcPr>
            <w:tcW w:w="744" w:type="dxa"/>
          </w:tcPr>
          <w:p>
            <w:pPr>
              <w:spacing w:line="360" w:lineRule="auto"/>
              <w:rPr>
                <w:rFonts w:ascii="宋体" w:hAnsi="宋体" w:cs="宋体"/>
                <w:color w:val="auto"/>
                <w:sz w:val="24"/>
                <w:highlight w:val="none"/>
              </w:rPr>
            </w:pPr>
          </w:p>
        </w:tc>
        <w:tc>
          <w:tcPr>
            <w:tcW w:w="893" w:type="dxa"/>
          </w:tcPr>
          <w:p>
            <w:pPr>
              <w:spacing w:line="360" w:lineRule="auto"/>
              <w:rPr>
                <w:rFonts w:ascii="宋体" w:hAnsi="宋体" w:cs="宋体"/>
                <w:color w:val="auto"/>
                <w:sz w:val="24"/>
                <w:highlight w:val="none"/>
              </w:rPr>
            </w:pPr>
          </w:p>
        </w:tc>
        <w:tc>
          <w:tcPr>
            <w:tcW w:w="1190" w:type="dxa"/>
          </w:tcPr>
          <w:p>
            <w:pPr>
              <w:spacing w:line="360" w:lineRule="auto"/>
              <w:rPr>
                <w:rFonts w:ascii="宋体" w:hAnsi="宋体" w:cs="宋体"/>
                <w:color w:val="auto"/>
                <w:sz w:val="24"/>
                <w:highlight w:val="none"/>
              </w:rPr>
            </w:pPr>
          </w:p>
        </w:tc>
        <w:tc>
          <w:tcPr>
            <w:tcW w:w="1041" w:type="dxa"/>
          </w:tcPr>
          <w:p>
            <w:pPr>
              <w:spacing w:line="360" w:lineRule="auto"/>
              <w:rPr>
                <w:rFonts w:ascii="宋体" w:hAnsi="宋体" w:cs="宋体"/>
                <w:color w:val="auto"/>
                <w:sz w:val="24"/>
                <w:highlight w:val="none"/>
              </w:rPr>
            </w:pPr>
          </w:p>
        </w:tc>
        <w:tc>
          <w:tcPr>
            <w:tcW w:w="1190" w:type="dxa"/>
          </w:tcPr>
          <w:p>
            <w:pPr>
              <w:spacing w:line="360" w:lineRule="auto"/>
              <w:rPr>
                <w:rFonts w:ascii="宋体" w:hAnsi="宋体" w:cs="宋体"/>
                <w:color w:val="auto"/>
                <w:sz w:val="24"/>
                <w:highlight w:val="none"/>
              </w:rPr>
            </w:pPr>
          </w:p>
        </w:tc>
        <w:tc>
          <w:tcPr>
            <w:tcW w:w="1041" w:type="dxa"/>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pPr>
              <w:spacing w:line="360" w:lineRule="auto"/>
              <w:rPr>
                <w:rFonts w:ascii="宋体" w:hAnsi="宋体" w:cs="宋体"/>
                <w:color w:val="auto"/>
                <w:sz w:val="24"/>
                <w:highlight w:val="none"/>
              </w:rPr>
            </w:pPr>
          </w:p>
        </w:tc>
        <w:tc>
          <w:tcPr>
            <w:tcW w:w="1286" w:type="dxa"/>
          </w:tcPr>
          <w:p>
            <w:pPr>
              <w:spacing w:line="360" w:lineRule="auto"/>
              <w:rPr>
                <w:rFonts w:ascii="宋体" w:hAnsi="宋体" w:cs="宋体"/>
                <w:color w:val="auto"/>
                <w:sz w:val="24"/>
                <w:highlight w:val="none"/>
              </w:rPr>
            </w:pPr>
          </w:p>
        </w:tc>
        <w:tc>
          <w:tcPr>
            <w:tcW w:w="893" w:type="dxa"/>
          </w:tcPr>
          <w:p>
            <w:pPr>
              <w:spacing w:line="360" w:lineRule="auto"/>
              <w:rPr>
                <w:rFonts w:ascii="宋体" w:hAnsi="宋体" w:cs="宋体"/>
                <w:color w:val="auto"/>
                <w:sz w:val="24"/>
                <w:highlight w:val="none"/>
              </w:rPr>
            </w:pPr>
          </w:p>
        </w:tc>
        <w:tc>
          <w:tcPr>
            <w:tcW w:w="743" w:type="dxa"/>
          </w:tcPr>
          <w:p>
            <w:pPr>
              <w:spacing w:line="360" w:lineRule="auto"/>
              <w:rPr>
                <w:rFonts w:ascii="宋体" w:hAnsi="宋体" w:cs="宋体"/>
                <w:color w:val="auto"/>
                <w:sz w:val="24"/>
                <w:highlight w:val="none"/>
              </w:rPr>
            </w:pPr>
          </w:p>
        </w:tc>
        <w:tc>
          <w:tcPr>
            <w:tcW w:w="744" w:type="dxa"/>
          </w:tcPr>
          <w:p>
            <w:pPr>
              <w:spacing w:line="360" w:lineRule="auto"/>
              <w:rPr>
                <w:rFonts w:ascii="宋体" w:hAnsi="宋体" w:cs="宋体"/>
                <w:color w:val="auto"/>
                <w:sz w:val="24"/>
                <w:highlight w:val="none"/>
              </w:rPr>
            </w:pPr>
          </w:p>
        </w:tc>
        <w:tc>
          <w:tcPr>
            <w:tcW w:w="893" w:type="dxa"/>
          </w:tcPr>
          <w:p>
            <w:pPr>
              <w:spacing w:line="360" w:lineRule="auto"/>
              <w:rPr>
                <w:rFonts w:ascii="宋体" w:hAnsi="宋体" w:cs="宋体"/>
                <w:color w:val="auto"/>
                <w:sz w:val="24"/>
                <w:highlight w:val="none"/>
              </w:rPr>
            </w:pPr>
          </w:p>
        </w:tc>
        <w:tc>
          <w:tcPr>
            <w:tcW w:w="1190" w:type="dxa"/>
          </w:tcPr>
          <w:p>
            <w:pPr>
              <w:spacing w:line="360" w:lineRule="auto"/>
              <w:rPr>
                <w:rFonts w:ascii="宋体" w:hAnsi="宋体" w:cs="宋体"/>
                <w:color w:val="auto"/>
                <w:sz w:val="24"/>
                <w:highlight w:val="none"/>
              </w:rPr>
            </w:pPr>
          </w:p>
        </w:tc>
        <w:tc>
          <w:tcPr>
            <w:tcW w:w="1041" w:type="dxa"/>
          </w:tcPr>
          <w:p>
            <w:pPr>
              <w:spacing w:line="360" w:lineRule="auto"/>
              <w:rPr>
                <w:rFonts w:ascii="宋体" w:hAnsi="宋体" w:cs="宋体"/>
                <w:color w:val="auto"/>
                <w:sz w:val="24"/>
                <w:highlight w:val="none"/>
              </w:rPr>
            </w:pPr>
          </w:p>
        </w:tc>
        <w:tc>
          <w:tcPr>
            <w:tcW w:w="1190" w:type="dxa"/>
          </w:tcPr>
          <w:p>
            <w:pPr>
              <w:spacing w:line="360" w:lineRule="auto"/>
              <w:rPr>
                <w:rFonts w:ascii="宋体" w:hAnsi="宋体" w:cs="宋体"/>
                <w:color w:val="auto"/>
                <w:sz w:val="24"/>
                <w:highlight w:val="none"/>
              </w:rPr>
            </w:pPr>
          </w:p>
        </w:tc>
        <w:tc>
          <w:tcPr>
            <w:tcW w:w="1041" w:type="dxa"/>
          </w:tcPr>
          <w:p>
            <w:pPr>
              <w:spacing w:line="360" w:lineRule="auto"/>
              <w:rPr>
                <w:rFonts w:ascii="宋体" w:hAnsi="宋体" w:cs="宋体"/>
                <w:color w:val="auto"/>
                <w:sz w:val="24"/>
                <w:highlight w:val="none"/>
              </w:rPr>
            </w:pPr>
          </w:p>
        </w:tc>
      </w:tr>
    </w:tbl>
    <w:p>
      <w:pPr>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附表二：拟配备本工程的试验和检测仪器设备表</w:t>
      </w:r>
    </w:p>
    <w:tbl>
      <w:tblPr>
        <w:tblStyle w:val="3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55"/>
        <w:gridCol w:w="750"/>
        <w:gridCol w:w="705"/>
        <w:gridCol w:w="855"/>
        <w:gridCol w:w="1185"/>
        <w:gridCol w:w="1530"/>
        <w:gridCol w:w="1094"/>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75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75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型号</w:t>
            </w:r>
          </w:p>
          <w:p>
            <w:pPr>
              <w:jc w:val="center"/>
              <w:rPr>
                <w:rFonts w:ascii="宋体" w:hAnsi="宋体" w:cs="宋体"/>
                <w:color w:val="auto"/>
                <w:sz w:val="24"/>
                <w:highlight w:val="none"/>
              </w:rPr>
            </w:pPr>
            <w:r>
              <w:rPr>
                <w:rFonts w:hint="eastAsia" w:ascii="宋体" w:hAnsi="宋体" w:cs="宋体"/>
                <w:color w:val="auto"/>
                <w:sz w:val="24"/>
                <w:highlight w:val="none"/>
              </w:rPr>
              <w:t>规格</w:t>
            </w:r>
          </w:p>
        </w:tc>
        <w:tc>
          <w:tcPr>
            <w:tcW w:w="70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国别</w:t>
            </w:r>
          </w:p>
          <w:p>
            <w:pPr>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8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53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已使用</w:t>
            </w:r>
          </w:p>
          <w:p>
            <w:pPr>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09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用途</w:t>
            </w:r>
          </w:p>
        </w:tc>
        <w:tc>
          <w:tcPr>
            <w:tcW w:w="10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360" w:lineRule="auto"/>
              <w:ind w:firstLine="480" w:firstLineChars="200"/>
              <w:rPr>
                <w:rFonts w:ascii="宋体" w:hAnsi="宋体" w:cs="宋体"/>
                <w:color w:val="auto"/>
                <w:sz w:val="24"/>
                <w:highlight w:val="none"/>
              </w:rPr>
            </w:pPr>
          </w:p>
        </w:tc>
        <w:tc>
          <w:tcPr>
            <w:tcW w:w="1755" w:type="dxa"/>
            <w:vAlign w:val="center"/>
          </w:tcPr>
          <w:p>
            <w:pPr>
              <w:spacing w:line="360" w:lineRule="auto"/>
              <w:ind w:firstLine="480" w:firstLineChars="200"/>
              <w:rPr>
                <w:rFonts w:ascii="宋体" w:hAnsi="宋体" w:cs="宋体"/>
                <w:color w:val="auto"/>
                <w:sz w:val="24"/>
                <w:highlight w:val="none"/>
              </w:rPr>
            </w:pPr>
          </w:p>
        </w:tc>
        <w:tc>
          <w:tcPr>
            <w:tcW w:w="750" w:type="dxa"/>
            <w:vAlign w:val="center"/>
          </w:tcPr>
          <w:p>
            <w:pPr>
              <w:spacing w:line="360" w:lineRule="auto"/>
              <w:ind w:firstLine="480" w:firstLineChars="200"/>
              <w:rPr>
                <w:rFonts w:ascii="宋体" w:hAnsi="宋体" w:cs="宋体"/>
                <w:color w:val="auto"/>
                <w:sz w:val="24"/>
                <w:highlight w:val="none"/>
              </w:rPr>
            </w:pPr>
          </w:p>
        </w:tc>
        <w:tc>
          <w:tcPr>
            <w:tcW w:w="705" w:type="dxa"/>
            <w:vAlign w:val="center"/>
          </w:tcPr>
          <w:p>
            <w:pPr>
              <w:spacing w:line="360" w:lineRule="auto"/>
              <w:ind w:firstLine="480" w:firstLineChars="200"/>
              <w:rPr>
                <w:rFonts w:ascii="宋体" w:hAnsi="宋体" w:cs="宋体"/>
                <w:color w:val="auto"/>
                <w:sz w:val="24"/>
                <w:highlight w:val="none"/>
              </w:rPr>
            </w:pPr>
          </w:p>
        </w:tc>
        <w:tc>
          <w:tcPr>
            <w:tcW w:w="855" w:type="dxa"/>
            <w:vAlign w:val="center"/>
          </w:tcPr>
          <w:p>
            <w:pPr>
              <w:spacing w:line="360" w:lineRule="auto"/>
              <w:ind w:firstLine="480" w:firstLineChars="200"/>
              <w:rPr>
                <w:rFonts w:ascii="宋体" w:hAnsi="宋体" w:cs="宋体"/>
                <w:color w:val="auto"/>
                <w:sz w:val="24"/>
                <w:highlight w:val="none"/>
              </w:rPr>
            </w:pPr>
          </w:p>
        </w:tc>
        <w:tc>
          <w:tcPr>
            <w:tcW w:w="1185" w:type="dxa"/>
            <w:vAlign w:val="center"/>
          </w:tcPr>
          <w:p>
            <w:pPr>
              <w:spacing w:line="360" w:lineRule="auto"/>
              <w:ind w:firstLine="480" w:firstLineChars="200"/>
              <w:rPr>
                <w:rFonts w:ascii="宋体" w:hAnsi="宋体" w:cs="宋体"/>
                <w:color w:val="auto"/>
                <w:sz w:val="24"/>
                <w:highlight w:val="none"/>
              </w:rPr>
            </w:pPr>
          </w:p>
        </w:tc>
        <w:tc>
          <w:tcPr>
            <w:tcW w:w="1530" w:type="dxa"/>
            <w:vAlign w:val="center"/>
          </w:tcPr>
          <w:p>
            <w:pPr>
              <w:spacing w:line="360" w:lineRule="auto"/>
              <w:ind w:firstLine="480" w:firstLineChars="200"/>
              <w:rPr>
                <w:rFonts w:ascii="宋体" w:hAnsi="宋体" w:cs="宋体"/>
                <w:color w:val="auto"/>
                <w:sz w:val="24"/>
                <w:highlight w:val="none"/>
              </w:rPr>
            </w:pPr>
          </w:p>
        </w:tc>
        <w:tc>
          <w:tcPr>
            <w:tcW w:w="1094" w:type="dxa"/>
            <w:vAlign w:val="center"/>
          </w:tcPr>
          <w:p>
            <w:pPr>
              <w:spacing w:line="360" w:lineRule="auto"/>
              <w:ind w:firstLine="480" w:firstLineChars="200"/>
              <w:rPr>
                <w:rFonts w:ascii="宋体" w:hAnsi="宋体" w:cs="宋体"/>
                <w:color w:val="auto"/>
                <w:sz w:val="24"/>
                <w:highlight w:val="none"/>
              </w:rPr>
            </w:pPr>
          </w:p>
        </w:tc>
        <w:tc>
          <w:tcPr>
            <w:tcW w:w="1095" w:type="dxa"/>
            <w:vAlign w:val="center"/>
          </w:tcPr>
          <w:p>
            <w:pPr>
              <w:spacing w:line="360" w:lineRule="auto"/>
              <w:ind w:firstLine="480" w:firstLineChars="20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360" w:lineRule="auto"/>
              <w:ind w:firstLine="480" w:firstLineChars="200"/>
              <w:rPr>
                <w:rFonts w:ascii="宋体" w:hAnsi="宋体" w:cs="宋体"/>
                <w:color w:val="auto"/>
                <w:sz w:val="24"/>
                <w:highlight w:val="none"/>
              </w:rPr>
            </w:pPr>
          </w:p>
        </w:tc>
        <w:tc>
          <w:tcPr>
            <w:tcW w:w="1755" w:type="dxa"/>
            <w:vAlign w:val="center"/>
          </w:tcPr>
          <w:p>
            <w:pPr>
              <w:spacing w:line="360" w:lineRule="auto"/>
              <w:ind w:firstLine="480" w:firstLineChars="200"/>
              <w:rPr>
                <w:rFonts w:ascii="宋体" w:hAnsi="宋体" w:cs="宋体"/>
                <w:color w:val="auto"/>
                <w:sz w:val="24"/>
                <w:highlight w:val="none"/>
              </w:rPr>
            </w:pPr>
          </w:p>
        </w:tc>
        <w:tc>
          <w:tcPr>
            <w:tcW w:w="750" w:type="dxa"/>
            <w:vAlign w:val="center"/>
          </w:tcPr>
          <w:p>
            <w:pPr>
              <w:spacing w:line="360" w:lineRule="auto"/>
              <w:ind w:firstLine="480" w:firstLineChars="200"/>
              <w:rPr>
                <w:rFonts w:ascii="宋体" w:hAnsi="宋体" w:cs="宋体"/>
                <w:color w:val="auto"/>
                <w:sz w:val="24"/>
                <w:highlight w:val="none"/>
              </w:rPr>
            </w:pPr>
          </w:p>
        </w:tc>
        <w:tc>
          <w:tcPr>
            <w:tcW w:w="705" w:type="dxa"/>
            <w:vAlign w:val="center"/>
          </w:tcPr>
          <w:p>
            <w:pPr>
              <w:spacing w:line="360" w:lineRule="auto"/>
              <w:ind w:firstLine="480" w:firstLineChars="200"/>
              <w:rPr>
                <w:rFonts w:ascii="宋体" w:hAnsi="宋体" w:cs="宋体"/>
                <w:color w:val="auto"/>
                <w:sz w:val="24"/>
                <w:highlight w:val="none"/>
              </w:rPr>
            </w:pPr>
          </w:p>
        </w:tc>
        <w:tc>
          <w:tcPr>
            <w:tcW w:w="855" w:type="dxa"/>
            <w:vAlign w:val="center"/>
          </w:tcPr>
          <w:p>
            <w:pPr>
              <w:spacing w:line="360" w:lineRule="auto"/>
              <w:ind w:firstLine="480" w:firstLineChars="200"/>
              <w:rPr>
                <w:rFonts w:ascii="宋体" w:hAnsi="宋体" w:cs="宋体"/>
                <w:color w:val="auto"/>
                <w:sz w:val="24"/>
                <w:highlight w:val="none"/>
              </w:rPr>
            </w:pPr>
          </w:p>
        </w:tc>
        <w:tc>
          <w:tcPr>
            <w:tcW w:w="1185" w:type="dxa"/>
            <w:vAlign w:val="center"/>
          </w:tcPr>
          <w:p>
            <w:pPr>
              <w:spacing w:line="360" w:lineRule="auto"/>
              <w:ind w:firstLine="480" w:firstLineChars="200"/>
              <w:rPr>
                <w:rFonts w:ascii="宋体" w:hAnsi="宋体" w:cs="宋体"/>
                <w:color w:val="auto"/>
                <w:sz w:val="24"/>
                <w:highlight w:val="none"/>
              </w:rPr>
            </w:pPr>
          </w:p>
        </w:tc>
        <w:tc>
          <w:tcPr>
            <w:tcW w:w="1530" w:type="dxa"/>
            <w:vAlign w:val="center"/>
          </w:tcPr>
          <w:p>
            <w:pPr>
              <w:spacing w:line="360" w:lineRule="auto"/>
              <w:ind w:firstLine="480" w:firstLineChars="200"/>
              <w:rPr>
                <w:rFonts w:ascii="宋体" w:hAnsi="宋体" w:cs="宋体"/>
                <w:color w:val="auto"/>
                <w:sz w:val="24"/>
                <w:highlight w:val="none"/>
              </w:rPr>
            </w:pPr>
          </w:p>
        </w:tc>
        <w:tc>
          <w:tcPr>
            <w:tcW w:w="1094" w:type="dxa"/>
            <w:vAlign w:val="center"/>
          </w:tcPr>
          <w:p>
            <w:pPr>
              <w:spacing w:line="360" w:lineRule="auto"/>
              <w:ind w:firstLine="480" w:firstLineChars="200"/>
              <w:rPr>
                <w:rFonts w:ascii="宋体" w:hAnsi="宋体" w:cs="宋体"/>
                <w:color w:val="auto"/>
                <w:sz w:val="24"/>
                <w:highlight w:val="none"/>
              </w:rPr>
            </w:pPr>
          </w:p>
        </w:tc>
        <w:tc>
          <w:tcPr>
            <w:tcW w:w="1095" w:type="dxa"/>
            <w:vAlign w:val="center"/>
          </w:tcPr>
          <w:p>
            <w:pPr>
              <w:spacing w:line="360" w:lineRule="auto"/>
              <w:ind w:firstLine="480" w:firstLineChars="20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360" w:lineRule="auto"/>
              <w:ind w:firstLine="480" w:firstLineChars="200"/>
              <w:rPr>
                <w:rFonts w:ascii="宋体" w:hAnsi="宋体" w:cs="宋体"/>
                <w:color w:val="auto"/>
                <w:sz w:val="24"/>
                <w:highlight w:val="none"/>
              </w:rPr>
            </w:pPr>
          </w:p>
        </w:tc>
        <w:tc>
          <w:tcPr>
            <w:tcW w:w="1755" w:type="dxa"/>
            <w:vAlign w:val="center"/>
          </w:tcPr>
          <w:p>
            <w:pPr>
              <w:spacing w:line="360" w:lineRule="auto"/>
              <w:ind w:firstLine="480" w:firstLineChars="200"/>
              <w:rPr>
                <w:rFonts w:ascii="宋体" w:hAnsi="宋体" w:cs="宋体"/>
                <w:color w:val="auto"/>
                <w:sz w:val="24"/>
                <w:highlight w:val="none"/>
              </w:rPr>
            </w:pPr>
          </w:p>
        </w:tc>
        <w:tc>
          <w:tcPr>
            <w:tcW w:w="750" w:type="dxa"/>
            <w:vAlign w:val="center"/>
          </w:tcPr>
          <w:p>
            <w:pPr>
              <w:spacing w:line="360" w:lineRule="auto"/>
              <w:ind w:firstLine="480" w:firstLineChars="200"/>
              <w:rPr>
                <w:rFonts w:ascii="宋体" w:hAnsi="宋体" w:cs="宋体"/>
                <w:color w:val="auto"/>
                <w:sz w:val="24"/>
                <w:highlight w:val="none"/>
              </w:rPr>
            </w:pPr>
          </w:p>
        </w:tc>
        <w:tc>
          <w:tcPr>
            <w:tcW w:w="705" w:type="dxa"/>
            <w:vAlign w:val="center"/>
          </w:tcPr>
          <w:p>
            <w:pPr>
              <w:spacing w:line="360" w:lineRule="auto"/>
              <w:ind w:firstLine="480" w:firstLineChars="200"/>
              <w:rPr>
                <w:rFonts w:ascii="宋体" w:hAnsi="宋体" w:cs="宋体"/>
                <w:color w:val="auto"/>
                <w:sz w:val="24"/>
                <w:highlight w:val="none"/>
              </w:rPr>
            </w:pPr>
          </w:p>
        </w:tc>
        <w:tc>
          <w:tcPr>
            <w:tcW w:w="855" w:type="dxa"/>
            <w:vAlign w:val="center"/>
          </w:tcPr>
          <w:p>
            <w:pPr>
              <w:spacing w:line="360" w:lineRule="auto"/>
              <w:ind w:firstLine="480" w:firstLineChars="200"/>
              <w:rPr>
                <w:rFonts w:ascii="宋体" w:hAnsi="宋体" w:cs="宋体"/>
                <w:color w:val="auto"/>
                <w:sz w:val="24"/>
                <w:highlight w:val="none"/>
              </w:rPr>
            </w:pPr>
          </w:p>
        </w:tc>
        <w:tc>
          <w:tcPr>
            <w:tcW w:w="1185" w:type="dxa"/>
            <w:vAlign w:val="center"/>
          </w:tcPr>
          <w:p>
            <w:pPr>
              <w:spacing w:line="360" w:lineRule="auto"/>
              <w:ind w:firstLine="480" w:firstLineChars="200"/>
              <w:rPr>
                <w:rFonts w:ascii="宋体" w:hAnsi="宋体" w:cs="宋体"/>
                <w:color w:val="auto"/>
                <w:sz w:val="24"/>
                <w:highlight w:val="none"/>
              </w:rPr>
            </w:pPr>
          </w:p>
        </w:tc>
        <w:tc>
          <w:tcPr>
            <w:tcW w:w="1530" w:type="dxa"/>
            <w:vAlign w:val="center"/>
          </w:tcPr>
          <w:p>
            <w:pPr>
              <w:spacing w:line="360" w:lineRule="auto"/>
              <w:ind w:firstLine="480" w:firstLineChars="200"/>
              <w:rPr>
                <w:rFonts w:ascii="宋体" w:hAnsi="宋体" w:cs="宋体"/>
                <w:color w:val="auto"/>
                <w:sz w:val="24"/>
                <w:highlight w:val="none"/>
              </w:rPr>
            </w:pPr>
          </w:p>
        </w:tc>
        <w:tc>
          <w:tcPr>
            <w:tcW w:w="1094" w:type="dxa"/>
            <w:vAlign w:val="center"/>
          </w:tcPr>
          <w:p>
            <w:pPr>
              <w:spacing w:line="360" w:lineRule="auto"/>
              <w:ind w:firstLine="480" w:firstLineChars="200"/>
              <w:rPr>
                <w:rFonts w:ascii="宋体" w:hAnsi="宋体" w:cs="宋体"/>
                <w:color w:val="auto"/>
                <w:sz w:val="24"/>
                <w:highlight w:val="none"/>
              </w:rPr>
            </w:pPr>
          </w:p>
        </w:tc>
        <w:tc>
          <w:tcPr>
            <w:tcW w:w="1095" w:type="dxa"/>
            <w:vAlign w:val="center"/>
          </w:tcPr>
          <w:p>
            <w:pPr>
              <w:spacing w:line="360" w:lineRule="auto"/>
              <w:ind w:firstLine="480" w:firstLineChars="200"/>
              <w:rPr>
                <w:rFonts w:ascii="宋体" w:hAnsi="宋体" w:cs="宋体"/>
                <w:color w:val="auto"/>
                <w:sz w:val="24"/>
                <w:highlight w:val="none"/>
              </w:rPr>
            </w:pPr>
          </w:p>
        </w:tc>
      </w:tr>
    </w:tbl>
    <w:p>
      <w:pPr>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附表三：劳动力计划表</w:t>
      </w:r>
    </w:p>
    <w:p>
      <w:pPr>
        <w:ind w:firstLine="480" w:firstLineChars="200"/>
        <w:rPr>
          <w:rFonts w:ascii="宋体" w:hAnsi="宋体" w:cs="宋体"/>
          <w:color w:val="auto"/>
          <w:sz w:val="24"/>
          <w:highlight w:val="none"/>
        </w:rPr>
      </w:pPr>
    </w:p>
    <w:p>
      <w:pPr>
        <w:ind w:firstLine="480" w:firstLineChars="200"/>
        <w:rPr>
          <w:rFonts w:ascii="宋体" w:hAnsi="宋体" w:cs="宋体"/>
          <w:color w:val="auto"/>
          <w:sz w:val="24"/>
          <w:highlight w:val="none"/>
        </w:rPr>
      </w:pPr>
      <w:r>
        <w:rPr>
          <w:rFonts w:hint="eastAsia" w:ascii="宋体" w:hAnsi="宋体" w:cs="宋体"/>
          <w:color w:val="auto"/>
          <w:sz w:val="24"/>
          <w:highlight w:val="none"/>
        </w:rPr>
        <w:t>单位：人</w:t>
      </w:r>
    </w:p>
    <w:tbl>
      <w:tblPr>
        <w:tblStyle w:val="30"/>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06" w:type="dxa"/>
            <w:gridSpan w:val="7"/>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400" w:lineRule="exact"/>
              <w:jc w:val="center"/>
              <w:rPr>
                <w:rFonts w:ascii="宋体" w:hAnsi="宋体" w:cs="宋体"/>
                <w:color w:val="auto"/>
                <w:sz w:val="24"/>
                <w:highlight w:val="none"/>
              </w:rPr>
            </w:pPr>
          </w:p>
        </w:tc>
        <w:tc>
          <w:tcPr>
            <w:tcW w:w="961"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400" w:lineRule="exact"/>
              <w:jc w:val="center"/>
              <w:rPr>
                <w:rFonts w:ascii="宋体" w:hAnsi="宋体" w:cs="宋体"/>
                <w:color w:val="auto"/>
                <w:sz w:val="24"/>
                <w:highlight w:val="none"/>
              </w:rPr>
            </w:pPr>
          </w:p>
        </w:tc>
        <w:tc>
          <w:tcPr>
            <w:tcW w:w="961"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400" w:lineRule="exact"/>
              <w:jc w:val="center"/>
              <w:rPr>
                <w:rFonts w:ascii="宋体" w:hAnsi="宋体" w:cs="宋体"/>
                <w:color w:val="auto"/>
                <w:sz w:val="24"/>
                <w:highlight w:val="none"/>
              </w:rPr>
            </w:pPr>
          </w:p>
        </w:tc>
        <w:tc>
          <w:tcPr>
            <w:tcW w:w="961"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400" w:lineRule="exact"/>
              <w:jc w:val="center"/>
              <w:rPr>
                <w:rFonts w:ascii="宋体" w:hAnsi="宋体" w:cs="宋体"/>
                <w:color w:val="auto"/>
                <w:sz w:val="24"/>
                <w:highlight w:val="none"/>
              </w:rPr>
            </w:pPr>
          </w:p>
        </w:tc>
        <w:tc>
          <w:tcPr>
            <w:tcW w:w="961"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400" w:lineRule="exact"/>
              <w:jc w:val="center"/>
              <w:rPr>
                <w:rFonts w:ascii="宋体" w:hAnsi="宋体" w:cs="宋体"/>
                <w:color w:val="auto"/>
                <w:sz w:val="24"/>
                <w:highlight w:val="none"/>
              </w:rPr>
            </w:pPr>
          </w:p>
        </w:tc>
        <w:tc>
          <w:tcPr>
            <w:tcW w:w="961"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400" w:lineRule="exact"/>
              <w:jc w:val="center"/>
              <w:rPr>
                <w:rFonts w:ascii="宋体" w:hAnsi="宋体" w:cs="宋体"/>
                <w:color w:val="auto"/>
                <w:sz w:val="24"/>
                <w:highlight w:val="none"/>
              </w:rPr>
            </w:pPr>
          </w:p>
        </w:tc>
        <w:tc>
          <w:tcPr>
            <w:tcW w:w="961"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400" w:lineRule="exact"/>
              <w:jc w:val="center"/>
              <w:rPr>
                <w:rFonts w:ascii="宋体" w:hAnsi="宋体" w:cs="宋体"/>
                <w:color w:val="auto"/>
                <w:sz w:val="24"/>
                <w:highlight w:val="none"/>
              </w:rPr>
            </w:pPr>
          </w:p>
        </w:tc>
        <w:tc>
          <w:tcPr>
            <w:tcW w:w="961"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c>
          <w:tcPr>
            <w:tcW w:w="1257" w:type="dxa"/>
            <w:vAlign w:val="center"/>
          </w:tcPr>
          <w:p>
            <w:pPr>
              <w:spacing w:line="400" w:lineRule="exact"/>
              <w:jc w:val="center"/>
              <w:rPr>
                <w:rFonts w:ascii="宋体" w:hAnsi="宋体" w:cs="宋体"/>
                <w:color w:val="auto"/>
                <w:sz w:val="24"/>
                <w:highlight w:val="none"/>
              </w:rPr>
            </w:pPr>
          </w:p>
        </w:tc>
        <w:tc>
          <w:tcPr>
            <w:tcW w:w="1258" w:type="dxa"/>
            <w:vAlign w:val="center"/>
          </w:tcPr>
          <w:p>
            <w:pPr>
              <w:spacing w:line="400" w:lineRule="exact"/>
              <w:jc w:val="center"/>
              <w:rPr>
                <w:rFonts w:ascii="宋体" w:hAnsi="宋体" w:cs="宋体"/>
                <w:color w:val="auto"/>
                <w:sz w:val="24"/>
                <w:highlight w:val="none"/>
              </w:rPr>
            </w:pPr>
          </w:p>
        </w:tc>
      </w:tr>
    </w:tbl>
    <w:p>
      <w:pPr>
        <w:rPr>
          <w:rFonts w:ascii="宋体" w:hAnsi="宋体" w:cs="宋体"/>
          <w:color w:val="auto"/>
          <w:sz w:val="24"/>
          <w:highlight w:val="none"/>
        </w:rPr>
      </w:pPr>
    </w:p>
    <w:p>
      <w:pPr>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附表四：计划开、竣工日期和施工进度计划（网络图或横道图）</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1.供应商应提交施工进度计划，说明按采购文件要求的工期进行施工的各个关键日期。中标的供应商还应按合同条件有关条款的要求提交详细的施工进度计划。</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2.施工进度计划可采用网络图（或横道图）表示，说明计划开工日期和各分项工程各阶段的完工日期和分包合同签订的日期。</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3.施工进度计划应与施工组织设计相适应。</w:t>
      </w:r>
    </w:p>
    <w:p>
      <w:pPr>
        <w:spacing w:line="460" w:lineRule="exact"/>
        <w:ind w:firstLine="480" w:firstLineChars="200"/>
        <w:rPr>
          <w:rFonts w:ascii="宋体" w:hAnsi="宋体" w:cs="宋体"/>
          <w:color w:val="auto"/>
          <w:sz w:val="24"/>
          <w:highlight w:val="none"/>
        </w:rPr>
      </w:pPr>
    </w:p>
    <w:p>
      <w:pPr>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附表五：施工总平面图</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供应商应递交一份施工总平面图，绘出现场临时设施布置图表并附文字说明，说明临时设施、加工车间、现场办公、设备及仓储、供电、供水、卫生、生活、道路、消防等设施的情况和布置。</w:t>
      </w:r>
    </w:p>
    <w:p>
      <w:pPr>
        <w:rPr>
          <w:rFonts w:ascii="宋体" w:hAnsi="宋体" w:cs="宋体"/>
          <w:color w:val="auto"/>
          <w:sz w:val="24"/>
          <w:highlight w:val="none"/>
        </w:rPr>
      </w:pPr>
    </w:p>
    <w:p>
      <w:pPr>
        <w:rPr>
          <w:rFonts w:ascii="宋体" w:hAnsi="宋体" w:cs="宋体"/>
          <w:color w:val="auto"/>
          <w:sz w:val="24"/>
          <w:highlight w:val="none"/>
        </w:rPr>
      </w:pPr>
    </w:p>
    <w:p>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附表六：临时用地表</w:t>
      </w:r>
    </w:p>
    <w:tbl>
      <w:tblPr>
        <w:tblStyle w:val="3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5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5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5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pPr>
              <w:rPr>
                <w:rFonts w:ascii="宋体" w:hAnsi="宋体" w:cs="宋体"/>
                <w:color w:val="auto"/>
                <w:sz w:val="24"/>
                <w:highlight w:val="none"/>
              </w:rPr>
            </w:pPr>
          </w:p>
        </w:tc>
        <w:tc>
          <w:tcPr>
            <w:tcW w:w="2357" w:type="dxa"/>
          </w:tcPr>
          <w:p>
            <w:pPr>
              <w:rPr>
                <w:rFonts w:ascii="宋体" w:hAnsi="宋体" w:cs="宋体"/>
                <w:color w:val="auto"/>
                <w:sz w:val="24"/>
                <w:highlight w:val="none"/>
              </w:rPr>
            </w:pPr>
          </w:p>
        </w:tc>
        <w:tc>
          <w:tcPr>
            <w:tcW w:w="2356" w:type="dxa"/>
          </w:tcPr>
          <w:p>
            <w:pPr>
              <w:rPr>
                <w:rFonts w:ascii="宋体" w:hAnsi="宋体" w:cs="宋体"/>
                <w:color w:val="auto"/>
                <w:sz w:val="24"/>
                <w:highlight w:val="none"/>
              </w:rPr>
            </w:pPr>
          </w:p>
        </w:tc>
        <w:tc>
          <w:tcPr>
            <w:tcW w:w="2357" w:type="dxa"/>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pPr>
              <w:rPr>
                <w:rFonts w:ascii="宋体" w:hAnsi="宋体" w:cs="宋体"/>
                <w:color w:val="auto"/>
                <w:sz w:val="24"/>
                <w:highlight w:val="none"/>
              </w:rPr>
            </w:pPr>
          </w:p>
        </w:tc>
        <w:tc>
          <w:tcPr>
            <w:tcW w:w="2357" w:type="dxa"/>
          </w:tcPr>
          <w:p>
            <w:pPr>
              <w:rPr>
                <w:rFonts w:ascii="宋体" w:hAnsi="宋体" w:cs="宋体"/>
                <w:color w:val="auto"/>
                <w:sz w:val="24"/>
                <w:highlight w:val="none"/>
              </w:rPr>
            </w:pPr>
          </w:p>
        </w:tc>
        <w:tc>
          <w:tcPr>
            <w:tcW w:w="2356" w:type="dxa"/>
          </w:tcPr>
          <w:p>
            <w:pPr>
              <w:rPr>
                <w:rFonts w:ascii="宋体" w:hAnsi="宋体" w:cs="宋体"/>
                <w:color w:val="auto"/>
                <w:sz w:val="24"/>
                <w:highlight w:val="none"/>
              </w:rPr>
            </w:pPr>
          </w:p>
        </w:tc>
        <w:tc>
          <w:tcPr>
            <w:tcW w:w="2357" w:type="dxa"/>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pPr>
              <w:rPr>
                <w:rFonts w:ascii="宋体" w:hAnsi="宋体" w:cs="宋体"/>
                <w:color w:val="auto"/>
                <w:sz w:val="24"/>
                <w:highlight w:val="none"/>
              </w:rPr>
            </w:pPr>
          </w:p>
        </w:tc>
        <w:tc>
          <w:tcPr>
            <w:tcW w:w="2357" w:type="dxa"/>
          </w:tcPr>
          <w:p>
            <w:pPr>
              <w:rPr>
                <w:rFonts w:ascii="宋体" w:hAnsi="宋体" w:cs="宋体"/>
                <w:color w:val="auto"/>
                <w:sz w:val="24"/>
                <w:highlight w:val="none"/>
              </w:rPr>
            </w:pPr>
          </w:p>
        </w:tc>
        <w:tc>
          <w:tcPr>
            <w:tcW w:w="2356" w:type="dxa"/>
          </w:tcPr>
          <w:p>
            <w:pPr>
              <w:rPr>
                <w:rFonts w:ascii="宋体" w:hAnsi="宋体" w:cs="宋体"/>
                <w:color w:val="auto"/>
                <w:sz w:val="24"/>
                <w:highlight w:val="none"/>
              </w:rPr>
            </w:pPr>
          </w:p>
        </w:tc>
        <w:tc>
          <w:tcPr>
            <w:tcW w:w="2357" w:type="dxa"/>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pPr>
              <w:rPr>
                <w:rFonts w:ascii="宋体" w:hAnsi="宋体" w:cs="宋体"/>
                <w:color w:val="auto"/>
                <w:sz w:val="24"/>
                <w:highlight w:val="none"/>
              </w:rPr>
            </w:pPr>
          </w:p>
        </w:tc>
        <w:tc>
          <w:tcPr>
            <w:tcW w:w="2357" w:type="dxa"/>
          </w:tcPr>
          <w:p>
            <w:pPr>
              <w:rPr>
                <w:rFonts w:ascii="宋体" w:hAnsi="宋体" w:cs="宋体"/>
                <w:color w:val="auto"/>
                <w:sz w:val="24"/>
                <w:highlight w:val="none"/>
              </w:rPr>
            </w:pPr>
          </w:p>
        </w:tc>
        <w:tc>
          <w:tcPr>
            <w:tcW w:w="2356" w:type="dxa"/>
          </w:tcPr>
          <w:p>
            <w:pPr>
              <w:rPr>
                <w:rFonts w:ascii="宋体" w:hAnsi="宋体" w:cs="宋体"/>
                <w:color w:val="auto"/>
                <w:sz w:val="24"/>
                <w:highlight w:val="none"/>
              </w:rPr>
            </w:pPr>
          </w:p>
        </w:tc>
        <w:tc>
          <w:tcPr>
            <w:tcW w:w="2357" w:type="dxa"/>
          </w:tcPr>
          <w:p>
            <w:pPr>
              <w:rPr>
                <w:rFonts w:ascii="宋体" w:hAnsi="宋体" w:cs="宋体"/>
                <w:color w:val="auto"/>
                <w:sz w:val="24"/>
                <w:highlight w:val="none"/>
              </w:rPr>
            </w:pPr>
          </w:p>
        </w:tc>
      </w:tr>
    </w:tbl>
    <w:p>
      <w:pPr>
        <w:spacing w:line="500" w:lineRule="exact"/>
        <w:jc w:val="center"/>
        <w:rPr>
          <w:rFonts w:ascii="宋体" w:hAnsi="宋体" w:cs="宋体"/>
          <w:color w:val="auto"/>
          <w:sz w:val="24"/>
          <w:highlight w:val="none"/>
        </w:rPr>
      </w:pPr>
      <w:r>
        <w:rPr>
          <w:rFonts w:ascii="宋体" w:hAnsi="宋体" w:cs="宋体"/>
          <w:color w:val="auto"/>
          <w:sz w:val="24"/>
          <w:highlight w:val="none"/>
        </w:rPr>
        <w:br w:type="page"/>
      </w:r>
    </w:p>
    <w:p>
      <w:pPr>
        <w:keepNext/>
        <w:keepLines/>
        <w:rPr>
          <w:rFonts w:ascii="宋体" w:hAnsi="宋体" w:cs="宋体"/>
          <w:b/>
          <w:color w:val="auto"/>
          <w:sz w:val="30"/>
          <w:szCs w:val="30"/>
          <w:highlight w:val="none"/>
        </w:rPr>
      </w:pPr>
      <w:bookmarkStart w:id="95" w:name="_Toc205197563"/>
      <w:bookmarkStart w:id="96" w:name="_Toc202756645"/>
      <w:bookmarkStart w:id="97" w:name="_Toc202756562"/>
      <w:bookmarkStart w:id="98" w:name="_Toc192305147"/>
      <w:r>
        <w:rPr>
          <w:rFonts w:hint="eastAsia" w:ascii="宋体" w:hAnsi="宋体" w:cs="宋体"/>
          <w:b/>
          <w:color w:val="auto"/>
          <w:sz w:val="30"/>
          <w:szCs w:val="30"/>
          <w:highlight w:val="none"/>
        </w:rPr>
        <w:t>七</w:t>
      </w:r>
      <w:r>
        <w:rPr>
          <w:rFonts w:hint="eastAsia" w:ascii="宋体" w:hAnsi="宋体" w:cs="宋体"/>
          <w:b/>
          <w:color w:val="auto"/>
          <w:sz w:val="30"/>
          <w:szCs w:val="30"/>
          <w:highlight w:val="none"/>
          <w:lang w:val="zh-CN"/>
        </w:rPr>
        <w:t>、</w:t>
      </w:r>
      <w:r>
        <w:rPr>
          <w:rFonts w:hint="eastAsia" w:ascii="宋体" w:hAnsi="宋体" w:cs="宋体"/>
          <w:b/>
          <w:color w:val="auto"/>
          <w:sz w:val="30"/>
          <w:szCs w:val="30"/>
          <w:highlight w:val="none"/>
        </w:rPr>
        <w:t>项目管理机构</w:t>
      </w:r>
      <w:bookmarkEnd w:id="95"/>
      <w:bookmarkEnd w:id="96"/>
      <w:bookmarkEnd w:id="97"/>
      <w:bookmarkEnd w:id="98"/>
    </w:p>
    <w:p>
      <w:pPr>
        <w:jc w:val="center"/>
        <w:rPr>
          <w:rFonts w:ascii="宋体" w:hAnsi="宋体" w:cs="宋体"/>
          <w:b/>
          <w:bCs/>
          <w:color w:val="auto"/>
          <w:sz w:val="24"/>
          <w:highlight w:val="none"/>
        </w:rPr>
      </w:pPr>
    </w:p>
    <w:p>
      <w:pPr>
        <w:spacing w:afterLines="50"/>
        <w:jc w:val="center"/>
        <w:rPr>
          <w:rFonts w:ascii="宋体" w:hAnsi="宋体" w:cs="宋体"/>
          <w:bCs/>
          <w:color w:val="auto"/>
          <w:sz w:val="24"/>
          <w:highlight w:val="none"/>
        </w:rPr>
      </w:pPr>
      <w:r>
        <w:rPr>
          <w:rFonts w:hint="eastAsia" w:ascii="宋体" w:hAnsi="宋体" w:cs="宋体"/>
          <w:b/>
          <w:bCs/>
          <w:color w:val="auto"/>
          <w:sz w:val="24"/>
          <w:highlight w:val="none"/>
        </w:rPr>
        <w:t>拟投入本合同工程施工的项目管理机构组成表</w:t>
      </w:r>
    </w:p>
    <w:tbl>
      <w:tblPr>
        <w:tblStyle w:val="30"/>
        <w:tblW w:w="9690" w:type="dxa"/>
        <w:tblInd w:w="-375" w:type="dxa"/>
        <w:tblLayout w:type="fixed"/>
        <w:tblCellMar>
          <w:top w:w="0" w:type="dxa"/>
          <w:left w:w="0" w:type="dxa"/>
          <w:bottom w:w="0" w:type="dxa"/>
          <w:right w:w="0" w:type="dxa"/>
        </w:tblCellMar>
      </w:tblPr>
      <w:tblGrid>
        <w:gridCol w:w="675"/>
        <w:gridCol w:w="1335"/>
        <w:gridCol w:w="840"/>
        <w:gridCol w:w="795"/>
        <w:gridCol w:w="1107"/>
        <w:gridCol w:w="768"/>
        <w:gridCol w:w="750"/>
        <w:gridCol w:w="1440"/>
        <w:gridCol w:w="900"/>
        <w:gridCol w:w="1080"/>
      </w:tblGrid>
      <w:tr>
        <w:tblPrEx>
          <w:tblCellMar>
            <w:top w:w="0" w:type="dxa"/>
            <w:left w:w="0" w:type="dxa"/>
            <w:bottom w:w="0" w:type="dxa"/>
            <w:right w:w="0" w:type="dxa"/>
          </w:tblCellMar>
        </w:tblPrEx>
        <w:trPr>
          <w:trHeight w:val="601" w:hRule="atLeast"/>
        </w:trPr>
        <w:tc>
          <w:tcPr>
            <w:tcW w:w="6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岗位名称</w:t>
            </w:r>
          </w:p>
        </w:tc>
        <w:tc>
          <w:tcPr>
            <w:tcW w:w="8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79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性别</w:t>
            </w:r>
          </w:p>
        </w:tc>
        <w:tc>
          <w:tcPr>
            <w:tcW w:w="110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工作职责</w:t>
            </w:r>
          </w:p>
        </w:tc>
        <w:tc>
          <w:tcPr>
            <w:tcW w:w="7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专业</w:t>
            </w:r>
          </w:p>
        </w:tc>
        <w:tc>
          <w:tcPr>
            <w:tcW w:w="14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bCs/>
                <w:color w:val="auto"/>
                <w:sz w:val="24"/>
                <w:highlight w:val="none"/>
              </w:rPr>
              <w:t>相关证书名称及编号</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相关工作年限</w:t>
            </w: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工作简历</w:t>
            </w:r>
          </w:p>
        </w:tc>
      </w:tr>
      <w:tr>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r>
      <w:tr>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r>
      <w:tr>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106"/>
              <w:widowControl w:val="0"/>
              <w:overflowPunct/>
              <w:autoSpaceDE/>
              <w:autoSpaceDN/>
              <w:adjustRightInd/>
              <w:spacing w:before="0" w:line="240" w:lineRule="exact"/>
              <w:jc w:val="center"/>
              <w:textAlignment w:val="auto"/>
              <w:rPr>
                <w:rFonts w:ascii="宋体" w:hAnsi="宋体" w:cs="宋体"/>
                <w:color w:val="auto"/>
                <w:kern w:val="2"/>
                <w:szCs w:val="21"/>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r>
      <w:tr>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r>
      <w:tr>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r>
      <w:tr>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r>
      <w:tr>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r>
      <w:tr>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cs="宋体"/>
                <w:color w:val="auto"/>
                <w:sz w:val="24"/>
                <w:highlight w:val="none"/>
              </w:rPr>
            </w:pPr>
          </w:p>
        </w:tc>
      </w:tr>
    </w:tbl>
    <w:p>
      <w:pPr>
        <w:adjustRightInd w:val="0"/>
        <w:spacing w:line="400" w:lineRule="exact"/>
        <w:jc w:val="left"/>
        <w:rPr>
          <w:rFonts w:ascii="宋体" w:hAnsi="宋体" w:cs="宋体"/>
          <w:b/>
          <w:color w:val="auto"/>
          <w:sz w:val="24"/>
          <w:highlight w:val="none"/>
        </w:rPr>
      </w:pPr>
    </w:p>
    <w:p>
      <w:pPr>
        <w:adjustRightInd w:val="0"/>
        <w:spacing w:line="40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注：1.本表所列岗位的所有管理人员的情况均应如实填写。可按以上格式扩展为多页填写；</w:t>
      </w:r>
    </w:p>
    <w:p>
      <w:pPr>
        <w:adjustRightInd w:val="0"/>
        <w:spacing w:line="40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2.附拟投入本项目主要管理人员有效的资格证书或岗位证书、身份证等相关资料复印件，并加盖单位公章。</w:t>
      </w:r>
    </w:p>
    <w:p>
      <w:pPr>
        <w:adjustRightInd w:val="0"/>
        <w:spacing w:line="400" w:lineRule="exact"/>
        <w:jc w:val="left"/>
        <w:rPr>
          <w:rFonts w:ascii="宋体" w:hAnsi="宋体" w:cs="宋体"/>
          <w:color w:val="auto"/>
          <w:sz w:val="24"/>
          <w:highlight w:val="none"/>
        </w:rPr>
      </w:pPr>
    </w:p>
    <w:p>
      <w:pPr>
        <w:adjustRightInd w:val="0"/>
        <w:spacing w:line="400" w:lineRule="exact"/>
        <w:ind w:firstLine="3684" w:firstLineChars="1535"/>
        <w:jc w:val="left"/>
        <w:rPr>
          <w:rFonts w:ascii="宋体" w:hAnsi="宋体" w:cs="宋体"/>
          <w:color w:val="auto"/>
          <w:sz w:val="24"/>
          <w:highlight w:val="none"/>
        </w:rPr>
      </w:pPr>
      <w:r>
        <w:rPr>
          <w:rFonts w:hint="eastAsia" w:ascii="宋体" w:hAnsi="宋体" w:cs="宋体"/>
          <w:color w:val="auto"/>
          <w:sz w:val="24"/>
          <w:highlight w:val="none"/>
        </w:rPr>
        <w:t>供应商名称（电子签章）：</w:t>
      </w:r>
    </w:p>
    <w:p>
      <w:pPr>
        <w:adjustRightInd w:val="0"/>
        <w:spacing w:line="400" w:lineRule="exact"/>
        <w:ind w:firstLine="3684" w:firstLineChars="1535"/>
        <w:jc w:val="left"/>
        <w:rPr>
          <w:rFonts w:ascii="宋体" w:hAnsi="宋体" w:cs="宋体"/>
          <w:color w:val="auto"/>
          <w:sz w:val="24"/>
          <w:highlight w:val="none"/>
          <w:lang w:val="zh-CN"/>
        </w:rPr>
      </w:pPr>
      <w:r>
        <w:rPr>
          <w:rFonts w:hint="eastAsia" w:ascii="宋体" w:hAnsi="宋体" w:cs="宋体"/>
          <w:color w:val="auto"/>
          <w:sz w:val="24"/>
          <w:highlight w:val="none"/>
        </w:rPr>
        <w:t xml:space="preserve">日期：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pPr>
        <w:spacing w:line="500" w:lineRule="exact"/>
        <w:jc w:val="left"/>
        <w:rPr>
          <w:rFonts w:ascii="宋体" w:hAnsi="宋体" w:cs="宋体"/>
          <w:color w:val="auto"/>
          <w:sz w:val="24"/>
          <w:highlight w:val="none"/>
        </w:rPr>
      </w:pPr>
      <w:r>
        <w:rPr>
          <w:rFonts w:ascii="宋体" w:hAnsi="宋体" w:cs="宋体"/>
          <w:color w:val="auto"/>
          <w:sz w:val="24"/>
          <w:highlight w:val="none"/>
        </w:rPr>
        <w:br w:type="page"/>
      </w:r>
    </w:p>
    <w:p>
      <w:pPr>
        <w:pStyle w:val="5"/>
        <w:spacing w:before="0" w:after="0" w:line="240" w:lineRule="auto"/>
        <w:rPr>
          <w:rFonts w:ascii="宋体" w:hAnsi="宋体" w:eastAsia="宋体" w:cs="宋体"/>
          <w:color w:val="auto"/>
          <w:highlight w:val="none"/>
        </w:rPr>
      </w:pPr>
      <w:r>
        <w:rPr>
          <w:rFonts w:hint="eastAsia" w:ascii="宋体" w:hAnsi="宋体" w:eastAsia="宋体" w:cs="宋体"/>
          <w:color w:val="auto"/>
          <w:highlight w:val="none"/>
        </w:rPr>
        <w:t>八、供应商在近三年内承担过同类项目业绩（如有）</w:t>
      </w:r>
    </w:p>
    <w:p>
      <w:pPr>
        <w:rPr>
          <w:rFonts w:ascii="宋体" w:hAnsi="宋体" w:cs="宋体"/>
          <w:color w:val="auto"/>
          <w:highlight w:val="none"/>
        </w:rPr>
      </w:pPr>
    </w:p>
    <w:p>
      <w:pPr>
        <w:spacing w:afterLines="50"/>
        <w:jc w:val="center"/>
        <w:rPr>
          <w:rFonts w:ascii="宋体" w:hAnsi="宋体" w:cs="宋体"/>
          <w:b/>
          <w:bCs/>
          <w:color w:val="auto"/>
          <w:sz w:val="24"/>
          <w:highlight w:val="none"/>
        </w:rPr>
      </w:pPr>
      <w:r>
        <w:rPr>
          <w:rFonts w:hint="eastAsia" w:ascii="宋体" w:hAnsi="宋体" w:cs="宋体"/>
          <w:b/>
          <w:bCs/>
          <w:color w:val="auto"/>
          <w:sz w:val="24"/>
          <w:szCs w:val="22"/>
          <w:highlight w:val="none"/>
          <w:lang w:eastAsia="zh-CN"/>
        </w:rPr>
        <w:t>供应商在近三年内承担过同类项目业绩</w:t>
      </w:r>
      <w:r>
        <w:rPr>
          <w:rFonts w:hint="eastAsia" w:ascii="宋体" w:hAnsi="宋体" w:cs="宋体"/>
          <w:b/>
          <w:bCs/>
          <w:color w:val="auto"/>
          <w:sz w:val="24"/>
          <w:szCs w:val="22"/>
          <w:highlight w:val="none"/>
        </w:rPr>
        <w:t>表</w:t>
      </w:r>
    </w:p>
    <w:tbl>
      <w:tblPr>
        <w:tblStyle w:val="30"/>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90"/>
        <w:gridCol w:w="1575"/>
        <w:gridCol w:w="1374"/>
        <w:gridCol w:w="809"/>
        <w:gridCol w:w="1325"/>
        <w:gridCol w:w="1216"/>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2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9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157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工程名称及建设地点</w:t>
            </w:r>
          </w:p>
        </w:tc>
        <w:tc>
          <w:tcPr>
            <w:tcW w:w="137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结构类型</w:t>
            </w:r>
          </w:p>
        </w:tc>
        <w:tc>
          <w:tcPr>
            <w:tcW w:w="809"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建设</w:t>
            </w:r>
          </w:p>
          <w:p>
            <w:pPr>
              <w:jc w:val="center"/>
              <w:rPr>
                <w:rFonts w:ascii="宋体" w:hAnsi="宋体" w:cs="宋体"/>
                <w:color w:val="auto"/>
                <w:sz w:val="24"/>
                <w:highlight w:val="none"/>
              </w:rPr>
            </w:pPr>
            <w:r>
              <w:rPr>
                <w:rFonts w:hint="eastAsia" w:ascii="宋体" w:hAnsi="宋体" w:cs="宋体"/>
                <w:color w:val="auto"/>
                <w:sz w:val="24"/>
                <w:highlight w:val="none"/>
              </w:rPr>
              <w:t>规模</w:t>
            </w:r>
          </w:p>
        </w:tc>
        <w:tc>
          <w:tcPr>
            <w:tcW w:w="132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合同金额</w:t>
            </w:r>
          </w:p>
          <w:p>
            <w:pPr>
              <w:jc w:val="center"/>
              <w:rPr>
                <w:rFonts w:ascii="宋体" w:hAnsi="宋体" w:cs="宋体"/>
                <w:color w:val="auto"/>
                <w:sz w:val="24"/>
                <w:highlight w:val="none"/>
              </w:rPr>
            </w:pPr>
            <w:r>
              <w:rPr>
                <w:rFonts w:hint="eastAsia" w:ascii="宋体" w:hAnsi="宋体" w:cs="宋体"/>
                <w:color w:val="auto"/>
                <w:sz w:val="24"/>
                <w:highlight w:val="none"/>
              </w:rPr>
              <w:t>（万元）</w:t>
            </w:r>
          </w:p>
        </w:tc>
        <w:tc>
          <w:tcPr>
            <w:tcW w:w="121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竣工达到质量标准</w:t>
            </w:r>
          </w:p>
        </w:tc>
        <w:tc>
          <w:tcPr>
            <w:tcW w:w="96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开竣工日期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21" w:type="dxa"/>
            <w:vAlign w:val="center"/>
          </w:tcPr>
          <w:p>
            <w:pPr>
              <w:jc w:val="center"/>
              <w:rPr>
                <w:rFonts w:ascii="宋体" w:hAnsi="宋体" w:cs="宋体"/>
                <w:color w:val="auto"/>
                <w:sz w:val="24"/>
                <w:highlight w:val="none"/>
              </w:rPr>
            </w:pPr>
          </w:p>
        </w:tc>
        <w:tc>
          <w:tcPr>
            <w:tcW w:w="1590" w:type="dxa"/>
            <w:vAlign w:val="center"/>
          </w:tcPr>
          <w:p>
            <w:pPr>
              <w:jc w:val="center"/>
              <w:rPr>
                <w:rFonts w:ascii="宋体" w:hAnsi="宋体" w:cs="宋体"/>
                <w:color w:val="auto"/>
                <w:sz w:val="24"/>
                <w:highlight w:val="none"/>
              </w:rPr>
            </w:pPr>
          </w:p>
        </w:tc>
        <w:tc>
          <w:tcPr>
            <w:tcW w:w="1575" w:type="dxa"/>
            <w:vAlign w:val="center"/>
          </w:tcPr>
          <w:p>
            <w:pPr>
              <w:jc w:val="center"/>
              <w:rPr>
                <w:rFonts w:ascii="宋体" w:hAnsi="宋体" w:cs="宋体"/>
                <w:color w:val="auto"/>
                <w:sz w:val="24"/>
                <w:highlight w:val="none"/>
              </w:rPr>
            </w:pPr>
          </w:p>
        </w:tc>
        <w:tc>
          <w:tcPr>
            <w:tcW w:w="1374" w:type="dxa"/>
            <w:vAlign w:val="center"/>
          </w:tcPr>
          <w:p>
            <w:pPr>
              <w:jc w:val="center"/>
              <w:rPr>
                <w:rFonts w:ascii="宋体" w:hAnsi="宋体" w:cs="宋体"/>
                <w:color w:val="auto"/>
                <w:sz w:val="24"/>
                <w:highlight w:val="none"/>
              </w:rPr>
            </w:pPr>
          </w:p>
        </w:tc>
        <w:tc>
          <w:tcPr>
            <w:tcW w:w="809" w:type="dxa"/>
            <w:vAlign w:val="center"/>
          </w:tcPr>
          <w:p>
            <w:pPr>
              <w:jc w:val="center"/>
              <w:rPr>
                <w:rFonts w:ascii="宋体" w:hAnsi="宋体" w:cs="宋体"/>
                <w:color w:val="auto"/>
                <w:sz w:val="24"/>
                <w:highlight w:val="none"/>
              </w:rPr>
            </w:pPr>
          </w:p>
        </w:tc>
        <w:tc>
          <w:tcPr>
            <w:tcW w:w="1325" w:type="dxa"/>
            <w:vAlign w:val="center"/>
          </w:tcPr>
          <w:p>
            <w:pPr>
              <w:jc w:val="center"/>
              <w:rPr>
                <w:rFonts w:ascii="宋体" w:hAnsi="宋体" w:cs="宋体"/>
                <w:color w:val="auto"/>
                <w:sz w:val="24"/>
                <w:highlight w:val="none"/>
              </w:rPr>
            </w:pPr>
          </w:p>
        </w:tc>
        <w:tc>
          <w:tcPr>
            <w:tcW w:w="1216" w:type="dxa"/>
            <w:vAlign w:val="center"/>
          </w:tcPr>
          <w:p>
            <w:pPr>
              <w:jc w:val="center"/>
              <w:rPr>
                <w:rFonts w:ascii="宋体" w:hAnsi="宋体" w:cs="宋体"/>
                <w:color w:val="auto"/>
                <w:sz w:val="24"/>
                <w:highlight w:val="none"/>
              </w:rPr>
            </w:pPr>
          </w:p>
        </w:tc>
        <w:tc>
          <w:tcPr>
            <w:tcW w:w="961"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1" w:type="dxa"/>
            <w:vAlign w:val="center"/>
          </w:tcPr>
          <w:p>
            <w:pPr>
              <w:jc w:val="center"/>
              <w:rPr>
                <w:rFonts w:ascii="宋体" w:hAnsi="宋体" w:cs="宋体"/>
                <w:color w:val="auto"/>
                <w:sz w:val="24"/>
                <w:highlight w:val="none"/>
              </w:rPr>
            </w:pPr>
          </w:p>
        </w:tc>
        <w:tc>
          <w:tcPr>
            <w:tcW w:w="1590" w:type="dxa"/>
            <w:vAlign w:val="center"/>
          </w:tcPr>
          <w:p>
            <w:pPr>
              <w:jc w:val="center"/>
              <w:rPr>
                <w:rFonts w:ascii="宋体" w:hAnsi="宋体" w:cs="宋体"/>
                <w:color w:val="auto"/>
                <w:sz w:val="24"/>
                <w:highlight w:val="none"/>
              </w:rPr>
            </w:pPr>
          </w:p>
        </w:tc>
        <w:tc>
          <w:tcPr>
            <w:tcW w:w="1575" w:type="dxa"/>
            <w:vAlign w:val="center"/>
          </w:tcPr>
          <w:p>
            <w:pPr>
              <w:jc w:val="center"/>
              <w:rPr>
                <w:rFonts w:ascii="宋体" w:hAnsi="宋体" w:cs="宋体"/>
                <w:color w:val="auto"/>
                <w:sz w:val="24"/>
                <w:highlight w:val="none"/>
              </w:rPr>
            </w:pPr>
          </w:p>
        </w:tc>
        <w:tc>
          <w:tcPr>
            <w:tcW w:w="1374" w:type="dxa"/>
            <w:vAlign w:val="center"/>
          </w:tcPr>
          <w:p>
            <w:pPr>
              <w:jc w:val="center"/>
              <w:rPr>
                <w:rFonts w:ascii="宋体" w:hAnsi="宋体" w:cs="宋体"/>
                <w:color w:val="auto"/>
                <w:sz w:val="24"/>
                <w:highlight w:val="none"/>
              </w:rPr>
            </w:pPr>
          </w:p>
        </w:tc>
        <w:tc>
          <w:tcPr>
            <w:tcW w:w="809" w:type="dxa"/>
            <w:vAlign w:val="center"/>
          </w:tcPr>
          <w:p>
            <w:pPr>
              <w:jc w:val="center"/>
              <w:rPr>
                <w:rFonts w:ascii="宋体" w:hAnsi="宋体" w:cs="宋体"/>
                <w:color w:val="auto"/>
                <w:sz w:val="24"/>
                <w:highlight w:val="none"/>
              </w:rPr>
            </w:pPr>
          </w:p>
        </w:tc>
        <w:tc>
          <w:tcPr>
            <w:tcW w:w="1325" w:type="dxa"/>
            <w:vAlign w:val="center"/>
          </w:tcPr>
          <w:p>
            <w:pPr>
              <w:jc w:val="center"/>
              <w:rPr>
                <w:rFonts w:ascii="宋体" w:hAnsi="宋体" w:cs="宋体"/>
                <w:color w:val="auto"/>
                <w:sz w:val="24"/>
                <w:highlight w:val="none"/>
              </w:rPr>
            </w:pPr>
          </w:p>
        </w:tc>
        <w:tc>
          <w:tcPr>
            <w:tcW w:w="1216" w:type="dxa"/>
            <w:vAlign w:val="center"/>
          </w:tcPr>
          <w:p>
            <w:pPr>
              <w:jc w:val="center"/>
              <w:rPr>
                <w:rFonts w:ascii="宋体" w:hAnsi="宋体" w:cs="宋体"/>
                <w:color w:val="auto"/>
                <w:sz w:val="24"/>
                <w:highlight w:val="none"/>
              </w:rPr>
            </w:pPr>
          </w:p>
        </w:tc>
        <w:tc>
          <w:tcPr>
            <w:tcW w:w="961"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1" w:type="dxa"/>
            <w:vAlign w:val="center"/>
          </w:tcPr>
          <w:p>
            <w:pPr>
              <w:jc w:val="center"/>
              <w:rPr>
                <w:rFonts w:ascii="宋体" w:hAnsi="宋体" w:cs="宋体"/>
                <w:color w:val="auto"/>
                <w:sz w:val="24"/>
                <w:highlight w:val="none"/>
              </w:rPr>
            </w:pPr>
          </w:p>
        </w:tc>
        <w:tc>
          <w:tcPr>
            <w:tcW w:w="1590" w:type="dxa"/>
            <w:vAlign w:val="center"/>
          </w:tcPr>
          <w:p>
            <w:pPr>
              <w:jc w:val="center"/>
              <w:rPr>
                <w:rFonts w:ascii="宋体" w:hAnsi="宋体" w:cs="宋体"/>
                <w:color w:val="auto"/>
                <w:sz w:val="24"/>
                <w:highlight w:val="none"/>
              </w:rPr>
            </w:pPr>
          </w:p>
        </w:tc>
        <w:tc>
          <w:tcPr>
            <w:tcW w:w="1575" w:type="dxa"/>
            <w:vAlign w:val="center"/>
          </w:tcPr>
          <w:p>
            <w:pPr>
              <w:jc w:val="center"/>
              <w:rPr>
                <w:rFonts w:ascii="宋体" w:hAnsi="宋体" w:cs="宋体"/>
                <w:color w:val="auto"/>
                <w:sz w:val="24"/>
                <w:highlight w:val="none"/>
              </w:rPr>
            </w:pPr>
          </w:p>
        </w:tc>
        <w:tc>
          <w:tcPr>
            <w:tcW w:w="1374" w:type="dxa"/>
            <w:vAlign w:val="center"/>
          </w:tcPr>
          <w:p>
            <w:pPr>
              <w:jc w:val="center"/>
              <w:rPr>
                <w:rFonts w:ascii="宋体" w:hAnsi="宋体" w:cs="宋体"/>
                <w:color w:val="auto"/>
                <w:sz w:val="24"/>
                <w:highlight w:val="none"/>
              </w:rPr>
            </w:pPr>
          </w:p>
        </w:tc>
        <w:tc>
          <w:tcPr>
            <w:tcW w:w="809" w:type="dxa"/>
            <w:vAlign w:val="center"/>
          </w:tcPr>
          <w:p>
            <w:pPr>
              <w:jc w:val="center"/>
              <w:rPr>
                <w:rFonts w:ascii="宋体" w:hAnsi="宋体" w:cs="宋体"/>
                <w:color w:val="auto"/>
                <w:sz w:val="24"/>
                <w:highlight w:val="none"/>
              </w:rPr>
            </w:pPr>
          </w:p>
        </w:tc>
        <w:tc>
          <w:tcPr>
            <w:tcW w:w="1325" w:type="dxa"/>
            <w:vAlign w:val="center"/>
          </w:tcPr>
          <w:p>
            <w:pPr>
              <w:jc w:val="center"/>
              <w:rPr>
                <w:rFonts w:ascii="宋体" w:hAnsi="宋体" w:cs="宋体"/>
                <w:color w:val="auto"/>
                <w:sz w:val="24"/>
                <w:highlight w:val="none"/>
              </w:rPr>
            </w:pPr>
          </w:p>
        </w:tc>
        <w:tc>
          <w:tcPr>
            <w:tcW w:w="1216" w:type="dxa"/>
            <w:vAlign w:val="center"/>
          </w:tcPr>
          <w:p>
            <w:pPr>
              <w:jc w:val="center"/>
              <w:rPr>
                <w:rFonts w:ascii="宋体" w:hAnsi="宋体" w:cs="宋体"/>
                <w:color w:val="auto"/>
                <w:sz w:val="24"/>
                <w:highlight w:val="none"/>
              </w:rPr>
            </w:pPr>
          </w:p>
        </w:tc>
        <w:tc>
          <w:tcPr>
            <w:tcW w:w="961"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1" w:type="dxa"/>
            <w:vAlign w:val="center"/>
          </w:tcPr>
          <w:p>
            <w:pPr>
              <w:jc w:val="center"/>
              <w:rPr>
                <w:rFonts w:ascii="宋体" w:hAnsi="宋体" w:cs="宋体"/>
                <w:color w:val="auto"/>
                <w:sz w:val="24"/>
                <w:highlight w:val="none"/>
              </w:rPr>
            </w:pPr>
          </w:p>
        </w:tc>
        <w:tc>
          <w:tcPr>
            <w:tcW w:w="1590" w:type="dxa"/>
            <w:vAlign w:val="center"/>
          </w:tcPr>
          <w:p>
            <w:pPr>
              <w:jc w:val="center"/>
              <w:rPr>
                <w:rFonts w:ascii="宋体" w:hAnsi="宋体" w:cs="宋体"/>
                <w:color w:val="auto"/>
                <w:sz w:val="24"/>
                <w:highlight w:val="none"/>
              </w:rPr>
            </w:pPr>
          </w:p>
        </w:tc>
        <w:tc>
          <w:tcPr>
            <w:tcW w:w="1575" w:type="dxa"/>
            <w:vAlign w:val="center"/>
          </w:tcPr>
          <w:p>
            <w:pPr>
              <w:jc w:val="center"/>
              <w:rPr>
                <w:rFonts w:ascii="宋体" w:hAnsi="宋体" w:cs="宋体"/>
                <w:color w:val="auto"/>
                <w:sz w:val="24"/>
                <w:highlight w:val="none"/>
              </w:rPr>
            </w:pPr>
          </w:p>
        </w:tc>
        <w:tc>
          <w:tcPr>
            <w:tcW w:w="1374" w:type="dxa"/>
            <w:vAlign w:val="center"/>
          </w:tcPr>
          <w:p>
            <w:pPr>
              <w:jc w:val="center"/>
              <w:rPr>
                <w:rFonts w:ascii="宋体" w:hAnsi="宋体" w:cs="宋体"/>
                <w:color w:val="auto"/>
                <w:sz w:val="24"/>
                <w:highlight w:val="none"/>
              </w:rPr>
            </w:pPr>
          </w:p>
        </w:tc>
        <w:tc>
          <w:tcPr>
            <w:tcW w:w="809" w:type="dxa"/>
            <w:vAlign w:val="center"/>
          </w:tcPr>
          <w:p>
            <w:pPr>
              <w:jc w:val="center"/>
              <w:rPr>
                <w:rFonts w:ascii="宋体" w:hAnsi="宋体" w:cs="宋体"/>
                <w:color w:val="auto"/>
                <w:sz w:val="24"/>
                <w:highlight w:val="none"/>
              </w:rPr>
            </w:pPr>
          </w:p>
        </w:tc>
        <w:tc>
          <w:tcPr>
            <w:tcW w:w="1325" w:type="dxa"/>
            <w:vAlign w:val="center"/>
          </w:tcPr>
          <w:p>
            <w:pPr>
              <w:jc w:val="center"/>
              <w:rPr>
                <w:rFonts w:ascii="宋体" w:hAnsi="宋体" w:cs="宋体"/>
                <w:color w:val="auto"/>
                <w:sz w:val="24"/>
                <w:highlight w:val="none"/>
              </w:rPr>
            </w:pPr>
          </w:p>
        </w:tc>
        <w:tc>
          <w:tcPr>
            <w:tcW w:w="1216" w:type="dxa"/>
            <w:vAlign w:val="center"/>
          </w:tcPr>
          <w:p>
            <w:pPr>
              <w:jc w:val="center"/>
              <w:rPr>
                <w:rFonts w:ascii="宋体" w:hAnsi="宋体" w:cs="宋体"/>
                <w:color w:val="auto"/>
                <w:sz w:val="24"/>
                <w:highlight w:val="none"/>
              </w:rPr>
            </w:pPr>
          </w:p>
        </w:tc>
        <w:tc>
          <w:tcPr>
            <w:tcW w:w="961"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1" w:type="dxa"/>
            <w:vAlign w:val="center"/>
          </w:tcPr>
          <w:p>
            <w:pPr>
              <w:jc w:val="center"/>
              <w:rPr>
                <w:rFonts w:ascii="宋体" w:hAnsi="宋体" w:cs="宋体"/>
                <w:color w:val="auto"/>
                <w:sz w:val="24"/>
                <w:highlight w:val="none"/>
              </w:rPr>
            </w:pPr>
          </w:p>
        </w:tc>
        <w:tc>
          <w:tcPr>
            <w:tcW w:w="1590" w:type="dxa"/>
            <w:vAlign w:val="center"/>
          </w:tcPr>
          <w:p>
            <w:pPr>
              <w:jc w:val="center"/>
              <w:rPr>
                <w:rFonts w:ascii="宋体" w:hAnsi="宋体" w:cs="宋体"/>
                <w:color w:val="auto"/>
                <w:sz w:val="24"/>
                <w:highlight w:val="none"/>
              </w:rPr>
            </w:pPr>
          </w:p>
        </w:tc>
        <w:tc>
          <w:tcPr>
            <w:tcW w:w="1575" w:type="dxa"/>
            <w:vAlign w:val="center"/>
          </w:tcPr>
          <w:p>
            <w:pPr>
              <w:jc w:val="center"/>
              <w:rPr>
                <w:rFonts w:ascii="宋体" w:hAnsi="宋体" w:cs="宋体"/>
                <w:color w:val="auto"/>
                <w:sz w:val="24"/>
                <w:highlight w:val="none"/>
              </w:rPr>
            </w:pPr>
          </w:p>
        </w:tc>
        <w:tc>
          <w:tcPr>
            <w:tcW w:w="1374" w:type="dxa"/>
            <w:vAlign w:val="center"/>
          </w:tcPr>
          <w:p>
            <w:pPr>
              <w:jc w:val="center"/>
              <w:rPr>
                <w:rFonts w:ascii="宋体" w:hAnsi="宋体" w:cs="宋体"/>
                <w:color w:val="auto"/>
                <w:sz w:val="24"/>
                <w:highlight w:val="none"/>
              </w:rPr>
            </w:pPr>
          </w:p>
        </w:tc>
        <w:tc>
          <w:tcPr>
            <w:tcW w:w="809" w:type="dxa"/>
            <w:vAlign w:val="center"/>
          </w:tcPr>
          <w:p>
            <w:pPr>
              <w:jc w:val="center"/>
              <w:rPr>
                <w:rFonts w:ascii="宋体" w:hAnsi="宋体" w:cs="宋体"/>
                <w:color w:val="auto"/>
                <w:sz w:val="24"/>
                <w:highlight w:val="none"/>
              </w:rPr>
            </w:pPr>
          </w:p>
        </w:tc>
        <w:tc>
          <w:tcPr>
            <w:tcW w:w="1325" w:type="dxa"/>
            <w:vAlign w:val="center"/>
          </w:tcPr>
          <w:p>
            <w:pPr>
              <w:jc w:val="center"/>
              <w:rPr>
                <w:rFonts w:ascii="宋体" w:hAnsi="宋体" w:cs="宋体"/>
                <w:color w:val="auto"/>
                <w:sz w:val="24"/>
                <w:highlight w:val="none"/>
              </w:rPr>
            </w:pPr>
          </w:p>
        </w:tc>
        <w:tc>
          <w:tcPr>
            <w:tcW w:w="1216" w:type="dxa"/>
            <w:vAlign w:val="center"/>
          </w:tcPr>
          <w:p>
            <w:pPr>
              <w:jc w:val="center"/>
              <w:rPr>
                <w:rFonts w:ascii="宋体" w:hAnsi="宋体" w:cs="宋体"/>
                <w:color w:val="auto"/>
                <w:sz w:val="24"/>
                <w:highlight w:val="none"/>
              </w:rPr>
            </w:pPr>
          </w:p>
        </w:tc>
        <w:tc>
          <w:tcPr>
            <w:tcW w:w="961" w:type="dxa"/>
            <w:vAlign w:val="center"/>
          </w:tcPr>
          <w:p>
            <w:pPr>
              <w:jc w:val="center"/>
              <w:rPr>
                <w:rFonts w:ascii="宋体" w:hAnsi="宋体" w:cs="宋体"/>
                <w:color w:val="auto"/>
                <w:sz w:val="24"/>
                <w:highlight w:val="none"/>
              </w:rPr>
            </w:pPr>
          </w:p>
        </w:tc>
      </w:tr>
    </w:tbl>
    <w:p>
      <w:pPr>
        <w:pStyle w:val="18"/>
        <w:jc w:val="center"/>
        <w:rPr>
          <w:rFonts w:hAnsi="宋体" w:cs="宋体"/>
          <w:color w:val="auto"/>
          <w:kern w:val="2"/>
          <w:sz w:val="32"/>
          <w:highlight w:val="none"/>
        </w:rPr>
      </w:pPr>
    </w:p>
    <w:p>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注：</w:t>
      </w:r>
      <w:r>
        <w:rPr>
          <w:rFonts w:hint="eastAsia" w:ascii="宋体" w:hAnsi="宋体" w:cs="宋体"/>
          <w:b/>
          <w:color w:val="auto"/>
          <w:sz w:val="24"/>
          <w:highlight w:val="none"/>
        </w:rPr>
        <w:t>须提供中标通知书或施工合同或竣工验收报告复印件</w:t>
      </w:r>
      <w:r>
        <w:rPr>
          <w:rFonts w:hint="eastAsia" w:ascii="宋体" w:hAnsi="宋体" w:cs="宋体"/>
          <w:b/>
          <w:bCs/>
          <w:color w:val="auto"/>
          <w:sz w:val="24"/>
          <w:highlight w:val="none"/>
        </w:rPr>
        <w:t>，以及供应商认为需要增加的其他证明材料复印件，以上复印件均须加盖供应商单位公章。</w:t>
      </w:r>
    </w:p>
    <w:p>
      <w:pPr>
        <w:rPr>
          <w:rFonts w:ascii="宋体" w:hAnsi="宋体"/>
          <w:color w:val="auto"/>
          <w:highlight w:val="none"/>
          <w:lang w:val="zh-CN"/>
        </w:rPr>
      </w:pPr>
    </w:p>
    <w:p>
      <w:pPr>
        <w:rPr>
          <w:rFonts w:ascii="宋体" w:hAnsi="宋体"/>
          <w:color w:val="auto"/>
          <w:highlight w:val="none"/>
        </w:rPr>
      </w:pPr>
    </w:p>
    <w:p>
      <w:pPr>
        <w:adjustRightInd w:val="0"/>
        <w:spacing w:line="400" w:lineRule="exact"/>
        <w:jc w:val="left"/>
        <w:rPr>
          <w:rFonts w:ascii="宋体" w:hAnsi="宋体" w:cs="宋体"/>
          <w:color w:val="auto"/>
          <w:sz w:val="24"/>
          <w:highlight w:val="none"/>
        </w:rPr>
      </w:pPr>
    </w:p>
    <w:p>
      <w:pPr>
        <w:adjustRightInd w:val="0"/>
        <w:spacing w:line="400" w:lineRule="exact"/>
        <w:ind w:firstLine="3684" w:firstLineChars="1535"/>
        <w:jc w:val="left"/>
        <w:rPr>
          <w:rFonts w:ascii="宋体" w:hAnsi="宋体" w:cs="宋体"/>
          <w:color w:val="auto"/>
          <w:sz w:val="24"/>
          <w:highlight w:val="none"/>
        </w:rPr>
      </w:pPr>
      <w:r>
        <w:rPr>
          <w:rFonts w:hint="eastAsia" w:ascii="宋体" w:hAnsi="宋体" w:cs="宋体"/>
          <w:color w:val="auto"/>
          <w:sz w:val="24"/>
          <w:highlight w:val="none"/>
        </w:rPr>
        <w:t>供应商名称（电子签章）：</w:t>
      </w:r>
    </w:p>
    <w:p>
      <w:pPr>
        <w:adjustRightInd w:val="0"/>
        <w:spacing w:line="400" w:lineRule="exact"/>
        <w:ind w:firstLine="3684" w:firstLineChars="1535"/>
        <w:jc w:val="left"/>
        <w:rPr>
          <w:rFonts w:ascii="宋体" w:hAnsi="宋体" w:cs="宋体"/>
          <w:color w:val="auto"/>
          <w:sz w:val="24"/>
          <w:highlight w:val="none"/>
          <w:lang w:val="zh-CN"/>
        </w:rPr>
      </w:pPr>
      <w:r>
        <w:rPr>
          <w:rFonts w:hint="eastAsia" w:ascii="宋体" w:hAnsi="宋体" w:cs="宋体"/>
          <w:color w:val="auto"/>
          <w:sz w:val="24"/>
          <w:highlight w:val="none"/>
        </w:rPr>
        <w:t xml:space="preserve">日期：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pPr>
        <w:spacing w:line="500" w:lineRule="exact"/>
        <w:jc w:val="left"/>
        <w:rPr>
          <w:rFonts w:ascii="宋体" w:hAnsi="宋体" w:cs="宋体"/>
          <w:color w:val="auto"/>
          <w:sz w:val="24"/>
          <w:highlight w:val="none"/>
        </w:rPr>
      </w:pPr>
      <w:r>
        <w:rPr>
          <w:rFonts w:ascii="宋体" w:hAnsi="宋体" w:cs="宋体"/>
          <w:color w:val="auto"/>
          <w:sz w:val="24"/>
          <w:highlight w:val="none"/>
        </w:rPr>
        <w:br w:type="page"/>
      </w:r>
    </w:p>
    <w:p>
      <w:pPr>
        <w:pStyle w:val="3"/>
        <w:spacing w:before="0" w:after="0" w:line="360" w:lineRule="auto"/>
        <w:jc w:val="center"/>
        <w:rPr>
          <w:rFonts w:ascii="宋体" w:hAnsi="宋体" w:cs="宋体"/>
          <w:color w:val="auto"/>
          <w:highlight w:val="none"/>
        </w:rPr>
      </w:pPr>
      <w:bookmarkStart w:id="99" w:name="_Toc80205941"/>
      <w:bookmarkStart w:id="100" w:name="_Toc4530"/>
      <w:r>
        <w:rPr>
          <w:rFonts w:hint="eastAsia" w:ascii="宋体" w:hAnsi="宋体" w:cs="宋体"/>
          <w:color w:val="auto"/>
          <w:highlight w:val="none"/>
        </w:rPr>
        <w:t>第四节 报价文件格式</w:t>
      </w:r>
      <w:bookmarkEnd w:id="99"/>
      <w:bookmarkEnd w:id="100"/>
    </w:p>
    <w:p>
      <w:pPr>
        <w:spacing w:beforeLines="50" w:after="50"/>
        <w:rPr>
          <w:rFonts w:ascii="宋体" w:hAnsi="宋体" w:cs="宋体"/>
          <w:color w:val="auto"/>
          <w:sz w:val="24"/>
          <w:highlight w:val="none"/>
        </w:rPr>
      </w:pPr>
    </w:p>
    <w:p>
      <w:pPr>
        <w:spacing w:beforeLines="50" w:after="50"/>
        <w:jc w:val="right"/>
        <w:rPr>
          <w:rFonts w:ascii="宋体" w:hAnsi="宋体" w:cs="宋体"/>
          <w:bCs/>
          <w:color w:val="auto"/>
          <w:sz w:val="28"/>
          <w:szCs w:val="28"/>
          <w:highlight w:val="none"/>
        </w:rPr>
      </w:pPr>
      <w:r>
        <w:rPr>
          <w:rFonts w:hint="eastAsia" w:ascii="宋体" w:hAnsi="宋体" w:cs="宋体"/>
          <w:bCs/>
          <w:color w:val="auto"/>
          <w:sz w:val="28"/>
          <w:szCs w:val="28"/>
          <w:highlight w:val="none"/>
        </w:rPr>
        <w:t>全流程电子文件</w:t>
      </w:r>
    </w:p>
    <w:p>
      <w:pPr>
        <w:spacing w:beforeLines="50" w:after="50"/>
        <w:rPr>
          <w:rFonts w:ascii="宋体" w:hAnsi="宋体" w:cs="宋体"/>
          <w:color w:val="auto"/>
          <w:sz w:val="24"/>
          <w:szCs w:val="20"/>
          <w:highlight w:val="none"/>
        </w:rPr>
      </w:pPr>
    </w:p>
    <w:p>
      <w:pPr>
        <w:spacing w:beforeLines="50" w:after="50"/>
        <w:rPr>
          <w:rFonts w:ascii="宋体" w:hAnsi="宋体" w:cs="宋体"/>
          <w:color w:val="auto"/>
          <w:sz w:val="24"/>
          <w:szCs w:val="20"/>
          <w:highlight w:val="none"/>
        </w:rPr>
      </w:pPr>
    </w:p>
    <w:p>
      <w:pPr>
        <w:spacing w:beforeLines="50" w:after="50"/>
        <w:rPr>
          <w:rFonts w:ascii="宋体" w:hAnsi="宋体" w:cs="宋体"/>
          <w:color w:val="auto"/>
          <w:sz w:val="24"/>
          <w:szCs w:val="20"/>
          <w:highlight w:val="none"/>
        </w:rPr>
      </w:pPr>
    </w:p>
    <w:p>
      <w:pPr>
        <w:spacing w:beforeLines="50" w:after="50"/>
        <w:jc w:val="center"/>
        <w:rPr>
          <w:rFonts w:ascii="宋体" w:hAnsi="宋体" w:cs="宋体"/>
          <w:bCs/>
          <w:color w:val="auto"/>
          <w:sz w:val="48"/>
          <w:szCs w:val="48"/>
          <w:highlight w:val="none"/>
        </w:rPr>
      </w:pPr>
      <w:r>
        <w:rPr>
          <w:rFonts w:hint="eastAsia" w:ascii="宋体" w:hAnsi="宋体" w:cs="宋体"/>
          <w:b/>
          <w:color w:val="auto"/>
          <w:sz w:val="48"/>
          <w:szCs w:val="48"/>
          <w:highlight w:val="none"/>
        </w:rPr>
        <w:t>报 价 文 件</w:t>
      </w: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rPr>
          <w:rFonts w:ascii="宋体" w:hAnsi="宋体" w:cs="宋体"/>
          <w:bCs/>
          <w:color w:val="auto"/>
          <w:sz w:val="24"/>
          <w:szCs w:val="20"/>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pPr>
        <w:spacing w:beforeLines="50" w:after="50"/>
        <w:ind w:firstLine="420" w:firstLineChars="150"/>
        <w:rPr>
          <w:rFonts w:ascii="宋体" w:hAnsi="宋体" w:cs="宋体"/>
          <w:bCs/>
          <w:color w:val="auto"/>
          <w:sz w:val="28"/>
          <w:szCs w:val="28"/>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pPr>
        <w:spacing w:beforeLines="50" w:after="50"/>
        <w:ind w:firstLine="420" w:firstLineChars="150"/>
        <w:rPr>
          <w:rFonts w:ascii="宋体" w:hAnsi="宋体" w:cs="宋体"/>
          <w:bCs/>
          <w:color w:val="auto"/>
          <w:sz w:val="28"/>
          <w:szCs w:val="28"/>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pPr>
        <w:spacing w:beforeLines="50" w:after="50"/>
        <w:rPr>
          <w:rFonts w:ascii="宋体" w:hAnsi="宋体" w:cs="宋体"/>
          <w:bCs/>
          <w:color w:val="auto"/>
          <w:sz w:val="28"/>
          <w:szCs w:val="28"/>
          <w:highlight w:val="none"/>
        </w:rPr>
      </w:pPr>
    </w:p>
    <w:p>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pPr>
        <w:pStyle w:val="7"/>
        <w:spacing w:before="50" w:after="50"/>
        <w:ind w:firstLine="720" w:firstLineChars="225"/>
        <w:rPr>
          <w:rFonts w:ascii="宋体" w:hAnsi="宋体" w:cs="宋体"/>
          <w:bCs/>
          <w:color w:val="auto"/>
          <w:sz w:val="32"/>
          <w:szCs w:val="32"/>
          <w:highlight w:val="none"/>
        </w:rPr>
      </w:pPr>
    </w:p>
    <w:p>
      <w:pPr>
        <w:pStyle w:val="7"/>
        <w:spacing w:before="50" w:after="50"/>
        <w:ind w:firstLine="720" w:firstLineChars="225"/>
        <w:rPr>
          <w:rFonts w:ascii="宋体" w:hAnsi="宋体" w:cs="宋体"/>
          <w:bCs/>
          <w:color w:val="auto"/>
          <w:sz w:val="32"/>
          <w:szCs w:val="32"/>
          <w:highlight w:val="none"/>
        </w:rPr>
      </w:pPr>
    </w:p>
    <w:p>
      <w:pPr>
        <w:pStyle w:val="7"/>
        <w:spacing w:before="50" w:after="50"/>
        <w:ind w:firstLine="1280" w:firstLineChars="400"/>
        <w:rPr>
          <w:rFonts w:ascii="宋体" w:hAnsi="宋体" w:cs="宋体"/>
          <w:bCs/>
          <w:color w:val="auto"/>
          <w:sz w:val="32"/>
          <w:szCs w:val="32"/>
          <w:highlight w:val="none"/>
        </w:rPr>
      </w:pPr>
    </w:p>
    <w:p>
      <w:pPr>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pPr>
        <w:spacing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pPr>
        <w:rPr>
          <w:rFonts w:ascii="宋体" w:hAnsi="宋体" w:cs="宋体"/>
          <w:color w:val="auto"/>
          <w:highlight w:val="none"/>
        </w:rPr>
      </w:pPr>
    </w:p>
    <w:p>
      <w:pPr>
        <w:spacing w:beforeLines="50" w:after="50" w:line="360" w:lineRule="auto"/>
        <w:jc w:val="center"/>
        <w:rPr>
          <w:rFonts w:ascii="宋体" w:hAnsi="宋体" w:cs="宋体"/>
          <w:color w:val="auto"/>
          <w:sz w:val="24"/>
          <w:highlight w:val="none"/>
        </w:rPr>
      </w:pPr>
      <w:r>
        <w:rPr>
          <w:rFonts w:hint="eastAsia" w:ascii="宋体" w:hAnsi="宋体" w:cs="宋体"/>
          <w:color w:val="auto"/>
          <w:sz w:val="24"/>
          <w:highlight w:val="none"/>
        </w:rPr>
        <w:t>根据竞争性磋商文件规定及供应商提供的材料自行编写目录（部分格式后附）。</w:t>
      </w:r>
    </w:p>
    <w:p>
      <w:pPr>
        <w:spacing w:beforeLines="50" w:after="50" w:line="360" w:lineRule="auto"/>
        <w:ind w:left="142" w:firstLine="640" w:firstLineChars="200"/>
        <w:jc w:val="left"/>
        <w:rPr>
          <w:rFonts w:ascii="宋体" w:hAnsi="宋体" w:cs="宋体"/>
          <w:color w:val="auto"/>
          <w:sz w:val="32"/>
          <w:szCs w:val="32"/>
          <w:highlight w:val="none"/>
        </w:rPr>
      </w:pPr>
    </w:p>
    <w:p>
      <w:pPr>
        <w:spacing w:beforeLines="50" w:after="50"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一、报价函</w:t>
      </w:r>
    </w:p>
    <w:p>
      <w:pPr>
        <w:pStyle w:val="103"/>
        <w:spacing w:line="360" w:lineRule="auto"/>
        <w:rPr>
          <w:rFonts w:ascii="宋体" w:hAnsi="宋体" w:eastAsia="宋体" w:cs="宋体"/>
          <w:b/>
          <w:bCs/>
          <w:color w:val="auto"/>
          <w:spacing w:val="0"/>
          <w:sz w:val="30"/>
          <w:szCs w:val="30"/>
          <w:highlight w:val="none"/>
        </w:rPr>
      </w:pPr>
      <w:bookmarkStart w:id="101" w:name="_Toc498082657"/>
      <w:r>
        <w:rPr>
          <w:rFonts w:hint="eastAsia" w:ascii="宋体" w:hAnsi="宋体" w:eastAsia="宋体" w:cs="宋体"/>
          <w:b/>
          <w:bCs/>
          <w:color w:val="auto"/>
          <w:spacing w:val="0"/>
          <w:sz w:val="30"/>
          <w:szCs w:val="30"/>
          <w:highlight w:val="none"/>
        </w:rPr>
        <w:t>报价函</w:t>
      </w:r>
      <w:bookmarkEnd w:id="101"/>
    </w:p>
    <w:p>
      <w:pPr>
        <w:pStyle w:val="103"/>
        <w:spacing w:line="360" w:lineRule="auto"/>
        <w:jc w:val="both"/>
        <w:rPr>
          <w:rFonts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致</w:t>
      </w:r>
      <w:r>
        <w:rPr>
          <w:rFonts w:hint="eastAsia" w:ascii="宋体" w:hAnsi="宋体" w:eastAsia="宋体" w:cs="宋体"/>
          <w:b/>
          <w:bCs/>
          <w:color w:val="auto"/>
          <w:spacing w:val="0"/>
          <w:sz w:val="24"/>
          <w:highlight w:val="none"/>
          <w:lang w:eastAsia="zh-CN"/>
        </w:rPr>
        <w:t xml:space="preserve"> </w:t>
      </w:r>
      <w:r>
        <w:rPr>
          <w:rFonts w:hint="eastAsia" w:ascii="宋体" w:hAnsi="宋体" w:eastAsia="宋体" w:cs="宋体"/>
          <w:b/>
          <w:bCs/>
          <w:color w:val="auto"/>
          <w:spacing w:val="0"/>
          <w:sz w:val="24"/>
          <w:highlight w:val="none"/>
          <w:lang w:val="en-US" w:eastAsia="zh-CN"/>
        </w:rPr>
        <w:t>广西恒辉工程咨询</w:t>
      </w:r>
      <w:r>
        <w:rPr>
          <w:rFonts w:hint="eastAsia" w:ascii="宋体" w:hAnsi="宋体" w:eastAsia="宋体" w:cs="宋体"/>
          <w:b/>
          <w:bCs/>
          <w:color w:val="auto"/>
          <w:spacing w:val="0"/>
          <w:sz w:val="24"/>
          <w:highlight w:val="none"/>
          <w:lang w:eastAsia="zh-CN"/>
        </w:rPr>
        <w:t>有限公司</w:t>
      </w:r>
      <w:r>
        <w:rPr>
          <w:rFonts w:hint="eastAsia" w:ascii="宋体" w:hAnsi="宋体" w:eastAsia="宋体" w:cs="宋体"/>
          <w:b/>
          <w:bCs/>
          <w:color w:val="auto"/>
          <w:spacing w:val="0"/>
          <w:sz w:val="24"/>
          <w:highlight w:val="none"/>
        </w:rPr>
        <w:t>：</w:t>
      </w:r>
    </w:p>
    <w:p>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1.根据你方项目项目编号为</w:t>
      </w:r>
      <w:r>
        <w:rPr>
          <w:rFonts w:hint="eastAsia" w:ascii="宋体" w:hAnsi="宋体" w:cs="宋体"/>
          <w:color w:val="auto"/>
          <w:sz w:val="24"/>
          <w:highlight w:val="none"/>
          <w:u w:val="single"/>
        </w:rPr>
        <w:t xml:space="preserve">            （项目编号）</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竞争性磋商文件，遵照《中华人民共和国政府采购法》等有关规定，研究上述竞争性磋商文件的供应商须知、合同条款、图纸、工程建设标准和工程量清单及其他有关文件后，我方愿以人民币（大写）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元）的报价并按上述图纸、合同条款、工程建设标准和工程量清单（如有时）的条件要求承包上述工程的施工、竣工，并承担任何质量缺陷保修责任。我方保证工程质量达到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等级。</w:t>
      </w:r>
    </w:p>
    <w:p>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2.我方已详细审核全部竞争性磋商文件，包括修改文件（如有时）及有关附件。</w:t>
      </w:r>
    </w:p>
    <w:p>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3.我方承认报价函附录是我方报价函的组成部分。</w:t>
      </w:r>
    </w:p>
    <w:p>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4.一旦我方成交，我方保证按合同书中规定的工期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日历天内完成并移交全部工程。</w:t>
      </w:r>
    </w:p>
    <w:p>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5.我方同意所提交的响应文件在竞争性磋商文件的“供应商须知”中规定的磋商有效期内有效，在此期间内如果成交，我方将受此约束。</w:t>
      </w:r>
    </w:p>
    <w:p>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6.除非另外达成协议并生效，你方的成交通知书和本响应文件将成为约束双方的合同文件的组成部分。</w:t>
      </w:r>
    </w:p>
    <w:p>
      <w:pPr>
        <w:spacing w:line="360" w:lineRule="auto"/>
        <w:rPr>
          <w:rFonts w:ascii="宋体" w:hAnsi="宋体" w:cs="宋体"/>
          <w:color w:val="auto"/>
          <w:sz w:val="24"/>
          <w:highlight w:val="none"/>
        </w:rPr>
      </w:pPr>
    </w:p>
    <w:p>
      <w:pPr>
        <w:spacing w:line="360" w:lineRule="auto"/>
        <w:ind w:firstLine="1200" w:firstLineChars="500"/>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（盖单位章）</w:t>
      </w:r>
    </w:p>
    <w:p>
      <w:pPr>
        <w:spacing w:line="360" w:lineRule="auto"/>
        <w:ind w:firstLine="1200" w:firstLineChars="500"/>
        <w:rPr>
          <w:rFonts w:ascii="宋体" w:hAnsi="宋体" w:cs="宋体"/>
          <w:color w:val="auto"/>
          <w:sz w:val="24"/>
          <w:highlight w:val="none"/>
          <w:u w:val="single"/>
        </w:rPr>
      </w:pPr>
      <w:r>
        <w:rPr>
          <w:rFonts w:hint="eastAsia" w:ascii="宋体" w:hAnsi="宋体" w:cs="宋体"/>
          <w:color w:val="auto"/>
          <w:sz w:val="24"/>
          <w:highlight w:val="none"/>
        </w:rPr>
        <w:t>单位地址：</w:t>
      </w:r>
      <w:r>
        <w:rPr>
          <w:rFonts w:hint="eastAsia" w:ascii="宋体" w:hAnsi="宋体" w:cs="宋体"/>
          <w:color w:val="auto"/>
          <w:sz w:val="24"/>
          <w:highlight w:val="none"/>
          <w:u w:val="single"/>
        </w:rPr>
        <w:t xml:space="preserve">                                        </w:t>
      </w:r>
    </w:p>
    <w:p>
      <w:pPr>
        <w:spacing w:line="360" w:lineRule="auto"/>
        <w:ind w:firstLine="1200" w:firstLineChars="500"/>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（签字或盖章）</w:t>
      </w:r>
    </w:p>
    <w:p>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开户银行名称：</w:t>
      </w:r>
      <w:r>
        <w:rPr>
          <w:rFonts w:hint="eastAsia" w:ascii="宋体" w:hAnsi="宋体" w:cs="宋体"/>
          <w:color w:val="auto"/>
          <w:sz w:val="24"/>
          <w:highlight w:val="none"/>
          <w:u w:val="single"/>
        </w:rPr>
        <w:t xml:space="preserve">                                    </w:t>
      </w:r>
    </w:p>
    <w:p>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开户银行账号：</w:t>
      </w:r>
      <w:r>
        <w:rPr>
          <w:rFonts w:hint="eastAsia" w:ascii="宋体" w:hAnsi="宋体" w:cs="宋体"/>
          <w:color w:val="auto"/>
          <w:sz w:val="24"/>
          <w:highlight w:val="none"/>
          <w:u w:val="single"/>
        </w:rPr>
        <w:t xml:space="preserve">                                    </w:t>
      </w:r>
    </w:p>
    <w:p>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开户银行地址：</w:t>
      </w:r>
      <w:r>
        <w:rPr>
          <w:rFonts w:hint="eastAsia" w:ascii="宋体" w:hAnsi="宋体" w:cs="宋体"/>
          <w:color w:val="auto"/>
          <w:sz w:val="24"/>
          <w:highlight w:val="none"/>
          <w:u w:val="single"/>
        </w:rPr>
        <w:t xml:space="preserve">                                    </w:t>
      </w:r>
    </w:p>
    <w:p>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开户银行电话：</w:t>
      </w:r>
      <w:r>
        <w:rPr>
          <w:rFonts w:hint="eastAsia" w:ascii="宋体" w:hAnsi="宋体" w:cs="宋体"/>
          <w:color w:val="auto"/>
          <w:sz w:val="24"/>
          <w:highlight w:val="none"/>
          <w:u w:val="single"/>
        </w:rPr>
        <w:t xml:space="preserve">                                    </w:t>
      </w:r>
    </w:p>
    <w:p>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ascii="宋体" w:hAnsi="宋体" w:cs="宋体"/>
          <w:b/>
          <w:color w:val="auto"/>
          <w:sz w:val="24"/>
          <w:highlight w:val="none"/>
          <w:lang w:val="zh-CN"/>
        </w:rPr>
      </w:pPr>
      <w:r>
        <w:rPr>
          <w:rFonts w:hint="eastAsia" w:ascii="宋体" w:hAnsi="宋体" w:cs="宋体"/>
          <w:color w:val="auto"/>
          <w:sz w:val="24"/>
          <w:highlight w:val="none"/>
        </w:rPr>
        <w:br w:type="page"/>
      </w:r>
      <w:r>
        <w:rPr>
          <w:rFonts w:hint="eastAsia" w:ascii="宋体" w:hAnsi="宋体" w:cs="宋体"/>
          <w:color w:val="auto"/>
          <w:sz w:val="24"/>
          <w:highlight w:val="none"/>
        </w:rPr>
        <w:t xml:space="preserve">       </w:t>
      </w:r>
    </w:p>
    <w:p>
      <w:pPr>
        <w:pStyle w:val="99"/>
        <w:spacing w:line="360" w:lineRule="auto"/>
        <w:ind w:firstLine="0" w:firstLineChars="0"/>
        <w:rPr>
          <w:rFonts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二、报价函附录</w:t>
      </w:r>
    </w:p>
    <w:p>
      <w:pPr>
        <w:pStyle w:val="99"/>
        <w:spacing w:line="360" w:lineRule="auto"/>
        <w:ind w:firstLine="0" w:firstLineChars="0"/>
        <w:jc w:val="center"/>
        <w:rPr>
          <w:rFonts w:ascii="宋体" w:hAnsi="宋体" w:eastAsia="宋体" w:cs="宋体"/>
          <w:b/>
          <w:color w:val="auto"/>
          <w:spacing w:val="0"/>
          <w:highlight w:val="none"/>
        </w:rPr>
      </w:pPr>
      <w:r>
        <w:rPr>
          <w:rFonts w:hint="eastAsia" w:ascii="宋体" w:hAnsi="宋体" w:eastAsia="宋体" w:cs="宋体"/>
          <w:b/>
          <w:color w:val="auto"/>
          <w:spacing w:val="0"/>
          <w:sz w:val="32"/>
          <w:szCs w:val="32"/>
          <w:highlight w:val="none"/>
        </w:rPr>
        <w:t>报价函附录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992"/>
        <w:gridCol w:w="1442"/>
        <w:gridCol w:w="3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696" w:type="dxa"/>
            <w:vAlign w:val="center"/>
          </w:tcPr>
          <w:p>
            <w:pPr>
              <w:spacing w:line="500" w:lineRule="exact"/>
              <w:jc w:val="center"/>
              <w:rPr>
                <w:rFonts w:ascii="宋体" w:hAnsi="宋体" w:cs="宋体"/>
                <w:bCs/>
                <w:color w:val="auto"/>
                <w:sz w:val="24"/>
                <w:highlight w:val="none"/>
              </w:rPr>
            </w:pPr>
            <w:r>
              <w:rPr>
                <w:rFonts w:hint="eastAsia" w:ascii="宋体" w:hAnsi="宋体" w:cs="宋体"/>
                <w:bCs/>
                <w:color w:val="auto"/>
                <w:sz w:val="24"/>
                <w:highlight w:val="none"/>
              </w:rPr>
              <w:t>磋商前</w:t>
            </w:r>
          </w:p>
          <w:p>
            <w:pPr>
              <w:spacing w:line="500" w:lineRule="exact"/>
              <w:jc w:val="center"/>
              <w:rPr>
                <w:rFonts w:ascii="宋体" w:hAnsi="宋体" w:cs="宋体"/>
                <w:bCs/>
                <w:color w:val="auto"/>
                <w:sz w:val="24"/>
                <w:highlight w:val="none"/>
              </w:rPr>
            </w:pPr>
            <w:r>
              <w:rPr>
                <w:rFonts w:hint="eastAsia" w:ascii="宋体" w:hAnsi="宋体" w:cs="宋体"/>
                <w:bCs/>
                <w:color w:val="auto"/>
                <w:sz w:val="24"/>
                <w:highlight w:val="none"/>
              </w:rPr>
              <w:t>基础报价</w:t>
            </w:r>
          </w:p>
        </w:tc>
        <w:tc>
          <w:tcPr>
            <w:tcW w:w="7839" w:type="dxa"/>
            <w:gridSpan w:val="3"/>
            <w:vAlign w:val="center"/>
          </w:tcPr>
          <w:p>
            <w:pPr>
              <w:spacing w:line="500" w:lineRule="exact"/>
              <w:jc w:val="center"/>
              <w:rPr>
                <w:rFonts w:ascii="宋体" w:hAnsi="宋体" w:cs="宋体"/>
                <w:bCs/>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696" w:type="dxa"/>
            <w:vAlign w:val="center"/>
          </w:tcPr>
          <w:p>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磋商有效期</w:t>
            </w:r>
          </w:p>
        </w:tc>
        <w:tc>
          <w:tcPr>
            <w:tcW w:w="7839" w:type="dxa"/>
            <w:gridSpan w:val="3"/>
            <w:vAlign w:val="center"/>
          </w:tcPr>
          <w:p>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从报价截止之日，磋商有效期为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696" w:type="dxa"/>
            <w:vAlign w:val="center"/>
          </w:tcPr>
          <w:p>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7839" w:type="dxa"/>
            <w:gridSpan w:val="3"/>
            <w:vAlign w:val="center"/>
          </w:tcPr>
          <w:p>
            <w:pPr>
              <w:spacing w:line="5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696" w:type="dxa"/>
            <w:vAlign w:val="center"/>
          </w:tcPr>
          <w:p>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承诺工期</w:t>
            </w:r>
          </w:p>
        </w:tc>
        <w:tc>
          <w:tcPr>
            <w:tcW w:w="7839" w:type="dxa"/>
            <w:gridSpan w:val="3"/>
            <w:vAlign w:val="center"/>
          </w:tcPr>
          <w:p>
            <w:pPr>
              <w:spacing w:line="500" w:lineRule="exact"/>
              <w:jc w:val="center"/>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96" w:type="dxa"/>
            <w:vAlign w:val="center"/>
          </w:tcPr>
          <w:p>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p>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（建造师）</w:t>
            </w:r>
          </w:p>
        </w:tc>
        <w:tc>
          <w:tcPr>
            <w:tcW w:w="2992" w:type="dxa"/>
            <w:vAlign w:val="center"/>
          </w:tcPr>
          <w:p>
            <w:pPr>
              <w:spacing w:line="500" w:lineRule="exact"/>
              <w:rPr>
                <w:rFonts w:ascii="宋体" w:hAnsi="宋体" w:cs="宋体"/>
                <w:color w:val="auto"/>
                <w:sz w:val="24"/>
                <w:highlight w:val="none"/>
              </w:rPr>
            </w:pPr>
          </w:p>
        </w:tc>
        <w:tc>
          <w:tcPr>
            <w:tcW w:w="1442" w:type="dxa"/>
            <w:vAlign w:val="center"/>
          </w:tcPr>
          <w:p>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级别及编号</w:t>
            </w:r>
          </w:p>
        </w:tc>
        <w:tc>
          <w:tcPr>
            <w:tcW w:w="3405" w:type="dxa"/>
            <w:vAlign w:val="center"/>
          </w:tcPr>
          <w:p>
            <w:pPr>
              <w:spacing w:line="5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35" w:type="dxa"/>
            <w:gridSpan w:val="4"/>
            <w:tcBorders>
              <w:bottom w:val="single" w:color="auto" w:sz="4" w:space="0"/>
            </w:tcBorders>
            <w:vAlign w:val="center"/>
          </w:tcPr>
          <w:p>
            <w:pPr>
              <w:spacing w:line="500" w:lineRule="exact"/>
              <w:rPr>
                <w:rFonts w:ascii="宋体" w:hAnsi="宋体" w:cs="宋体"/>
                <w:color w:val="auto"/>
                <w:sz w:val="24"/>
                <w:highlight w:val="none"/>
              </w:rPr>
            </w:pPr>
            <w:r>
              <w:rPr>
                <w:rFonts w:hint="eastAsia" w:ascii="宋体" w:hAnsi="宋体" w:cs="宋体"/>
                <w:color w:val="auto"/>
                <w:sz w:val="24"/>
                <w:highlight w:val="none"/>
              </w:rPr>
              <w:t>备注：供应商在响应文件中规定的实质性要求和条件的基础上，可做出其他有利于采购人的承诺。此类承诺可在本表中予以补充填写。</w:t>
            </w: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ind w:firstLine="3828" w:firstLineChars="1595"/>
        <w:rPr>
          <w:rFonts w:ascii="宋体" w:hAnsi="宋体" w:cs="宋体"/>
          <w:color w:val="auto"/>
          <w:sz w:val="24"/>
          <w:highlight w:val="none"/>
          <w:lang w:val="zh-CN"/>
        </w:rPr>
      </w:pPr>
      <w:r>
        <w:rPr>
          <w:rFonts w:hint="eastAsia" w:ascii="宋体" w:hAnsi="宋体" w:cs="宋体"/>
          <w:color w:val="auto"/>
          <w:sz w:val="24"/>
          <w:highlight w:val="none"/>
        </w:rPr>
        <w:t>供</w:t>
      </w:r>
      <w:r>
        <w:rPr>
          <w:rFonts w:hint="eastAsia" w:ascii="宋体" w:hAnsi="宋体" w:cs="宋体"/>
          <w:color w:val="auto"/>
          <w:sz w:val="24"/>
          <w:highlight w:val="none"/>
          <w:lang w:val="zh-CN"/>
        </w:rPr>
        <w:t>应商名称（电子签章）：</w:t>
      </w:r>
    </w:p>
    <w:p>
      <w:pPr>
        <w:spacing w:line="360" w:lineRule="auto"/>
        <w:ind w:firstLine="3828" w:firstLineChars="1595"/>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pPr>
        <w:pStyle w:val="21"/>
        <w:snapToGrid/>
        <w:rPr>
          <w:rFonts w:ascii="宋体" w:hAnsi="宋体" w:cs="宋体"/>
          <w:b/>
          <w:bCs/>
          <w:color w:val="auto"/>
          <w:kern w:val="2"/>
          <w:sz w:val="32"/>
          <w:szCs w:val="24"/>
          <w:highlight w:val="none"/>
          <w:lang w:val="zh-CN"/>
        </w:rPr>
      </w:pPr>
      <w:r>
        <w:rPr>
          <w:rFonts w:hint="eastAsia" w:ascii="宋体" w:hAnsi="宋体" w:cs="宋体"/>
          <w:color w:val="auto"/>
          <w:kern w:val="2"/>
          <w:highlight w:val="none"/>
          <w:lang w:val="zh-CN"/>
        </w:rPr>
        <w:br w:type="page"/>
      </w:r>
      <w:r>
        <w:rPr>
          <w:rFonts w:hint="eastAsia" w:ascii="宋体" w:hAnsi="宋体" w:cs="宋体"/>
          <w:b/>
          <w:bCs/>
          <w:color w:val="auto"/>
          <w:kern w:val="2"/>
          <w:sz w:val="32"/>
          <w:szCs w:val="24"/>
          <w:highlight w:val="none"/>
        </w:rPr>
        <w:t>三、已标价的工程量清单</w:t>
      </w:r>
    </w:p>
    <w:p>
      <w:pPr>
        <w:pStyle w:val="9"/>
        <w:rPr>
          <w:rFonts w:ascii="宋体" w:hAnsi="宋体" w:cs="宋体"/>
          <w:color w:val="auto"/>
          <w:sz w:val="24"/>
          <w:highlight w:val="none"/>
          <w:lang w:val="zh-CN"/>
        </w:rPr>
      </w:pPr>
    </w:p>
    <w:p>
      <w:pPr>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1.已标价工程量清单应按第三章“工程量清单”中的相关表格及投标报价说明填写。构成合同文件的已标价工程量清单包括第三章“工程量清单”有关工程量清单、竞标报价以及其他说明的内容。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2.一般计税法建设工程的工程量清单表格按《关于建筑业实施营业税改征增值税后广西壮族自治区建设工程计价依据调整的通知》（桂建标〔2016〕17号）附件“增值税一般计税方法工程计价表”要求提供。</w:t>
      </w:r>
    </w:p>
    <w:p>
      <w:pPr>
        <w:spacing w:line="500" w:lineRule="exact"/>
        <w:ind w:firstLine="480" w:firstLineChars="200"/>
        <w:rPr>
          <w:rFonts w:ascii="宋体" w:hAnsi="宋体" w:cs="宋体"/>
          <w:color w:val="auto"/>
          <w:sz w:val="24"/>
          <w:highlight w:val="none"/>
        </w:rPr>
      </w:pPr>
    </w:p>
    <w:p>
      <w:pPr>
        <w:pStyle w:val="18"/>
        <w:spacing w:line="500" w:lineRule="exact"/>
        <w:rPr>
          <w:rFonts w:hAnsi="宋体" w:cs="宋体"/>
          <w:b/>
          <w:color w:val="auto"/>
          <w:kern w:val="2"/>
          <w:sz w:val="30"/>
          <w:szCs w:val="30"/>
          <w:highlight w:val="none"/>
        </w:rPr>
      </w:pPr>
    </w:p>
    <w:p>
      <w:pPr>
        <w:pStyle w:val="18"/>
        <w:spacing w:line="500" w:lineRule="exact"/>
        <w:rPr>
          <w:rFonts w:hAnsi="宋体" w:cs="宋体"/>
          <w:b/>
          <w:color w:val="auto"/>
          <w:kern w:val="2"/>
          <w:sz w:val="30"/>
          <w:szCs w:val="30"/>
          <w:highlight w:val="none"/>
        </w:rPr>
      </w:pPr>
    </w:p>
    <w:p>
      <w:pPr>
        <w:spacing w:line="360" w:lineRule="auto"/>
        <w:ind w:firstLine="643" w:firstLineChars="200"/>
        <w:contextualSpacing/>
        <w:rPr>
          <w:rFonts w:ascii="宋体" w:hAnsi="宋体" w:cs="宋体"/>
          <w:b/>
          <w:color w:val="auto"/>
          <w:highlight w:val="none"/>
          <w:lang w:val="en-US"/>
        </w:rPr>
      </w:pPr>
      <w:r>
        <w:rPr>
          <w:rFonts w:hint="eastAsia" w:hAnsi="宋体" w:cs="宋体"/>
          <w:b/>
          <w:color w:val="auto"/>
          <w:kern w:val="2"/>
          <w:sz w:val="32"/>
          <w:szCs w:val="32"/>
          <w:highlight w:val="none"/>
        </w:rPr>
        <w:br w:type="page"/>
      </w:r>
    </w:p>
    <w:p>
      <w:pPr>
        <w:pStyle w:val="97"/>
        <w:ind w:firstLine="422"/>
        <w:rPr>
          <w:rFonts w:ascii="宋体" w:hAnsi="宋体" w:cs="宋体"/>
          <w:b/>
          <w:color w:val="auto"/>
          <w:highlight w:val="none"/>
          <w:lang w:val="en-US"/>
        </w:rPr>
      </w:pPr>
    </w:p>
    <w:p>
      <w:pPr>
        <w:pStyle w:val="2"/>
        <w:spacing w:before="0" w:after="0" w:line="360" w:lineRule="auto"/>
        <w:jc w:val="center"/>
        <w:rPr>
          <w:rFonts w:ascii="宋体" w:hAnsi="宋体" w:cs="宋体"/>
          <w:bCs w:val="0"/>
          <w:color w:val="auto"/>
          <w:kern w:val="2"/>
          <w:sz w:val="32"/>
          <w:szCs w:val="32"/>
          <w:highlight w:val="none"/>
        </w:rPr>
      </w:pPr>
      <w:bookmarkStart w:id="102" w:name="_Toc27730"/>
      <w:r>
        <w:rPr>
          <w:rFonts w:hint="eastAsia" w:ascii="宋体" w:hAnsi="宋体" w:cs="宋体"/>
          <w:bCs w:val="0"/>
          <w:color w:val="auto"/>
          <w:kern w:val="2"/>
          <w:sz w:val="32"/>
          <w:szCs w:val="32"/>
          <w:highlight w:val="none"/>
        </w:rPr>
        <w:t>第八章 合同文本</w:t>
      </w:r>
      <w:bookmarkEnd w:id="102"/>
    </w:p>
    <w:p>
      <w:pPr>
        <w:widowControl/>
        <w:jc w:val="center"/>
        <w:rPr>
          <w:rFonts w:hint="eastAsia" w:ascii="宋体" w:hAnsi="宋体" w:cs="宋体"/>
          <w:b/>
          <w:bCs/>
          <w:color w:val="auto"/>
          <w:sz w:val="32"/>
          <w:szCs w:val="32"/>
          <w:highlight w:val="none"/>
        </w:rPr>
      </w:pPr>
      <w:bookmarkStart w:id="103" w:name="_Toc27720"/>
      <w:bookmarkStart w:id="104" w:name="_Toc3940"/>
    </w:p>
    <w:p>
      <w:pPr>
        <w:widowControl/>
        <w:jc w:val="center"/>
        <w:rPr>
          <w:rFonts w:ascii="宋体" w:hAnsi="宋体" w:cs="宋体"/>
          <w:color w:val="auto"/>
          <w:sz w:val="28"/>
          <w:szCs w:val="28"/>
          <w:highlight w:val="none"/>
        </w:rPr>
      </w:pPr>
      <w:r>
        <w:rPr>
          <w:rFonts w:hint="eastAsia" w:ascii="宋体" w:hAnsi="宋体" w:cs="宋体"/>
          <w:b/>
          <w:bCs/>
          <w:color w:val="auto"/>
          <w:sz w:val="32"/>
          <w:szCs w:val="32"/>
          <w:highlight w:val="none"/>
        </w:rPr>
        <w:t>第一部分 合同协议书</w:t>
      </w:r>
      <w:bookmarkEnd w:id="103"/>
      <w:bookmarkEnd w:id="104"/>
    </w:p>
    <w:p>
      <w:pPr>
        <w:spacing w:line="360" w:lineRule="auto"/>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施工承包合同协议书</w:t>
      </w:r>
    </w:p>
    <w:p>
      <w:pPr>
        <w:spacing w:line="360" w:lineRule="auto"/>
        <w:ind w:firstLine="560" w:firstLineChars="200"/>
        <w:jc w:val="center"/>
        <w:rPr>
          <w:rFonts w:ascii="宋体" w:hAnsi="宋体"/>
          <w:bCs/>
          <w:color w:val="auto"/>
          <w:sz w:val="28"/>
          <w:szCs w:val="28"/>
          <w:highlight w:val="none"/>
          <w:u w:val="single"/>
        </w:rPr>
      </w:pPr>
      <w:r>
        <w:rPr>
          <w:rFonts w:hint="eastAsia" w:ascii="宋体" w:hAnsi="宋体"/>
          <w:bCs/>
          <w:color w:val="auto"/>
          <w:sz w:val="28"/>
          <w:szCs w:val="28"/>
          <w:highlight w:val="none"/>
        </w:rPr>
        <w:t>合同编号：</w:t>
      </w:r>
    </w:p>
    <w:p>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发包人（全称）：</w:t>
      </w:r>
    </w:p>
    <w:p>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承包人（全称）：</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根据《中华人民共和国民法典》、《中华人民共和国建筑法》及有关法律规定，遵循平等、自愿、公平和诚实信用的原则，双方就</w:t>
      </w:r>
      <w:r>
        <w:rPr>
          <w:rFonts w:hint="eastAsia" w:ascii="宋体" w:hAnsi="宋体"/>
          <w:b/>
          <w:color w:val="auto"/>
          <w:sz w:val="24"/>
          <w:highlight w:val="none"/>
          <w:u w:val="single"/>
          <w:lang w:eastAsia="zh-CN"/>
        </w:rPr>
        <w:t>六堡茶种质资源圃建设项目</w:t>
      </w:r>
      <w:r>
        <w:rPr>
          <w:rFonts w:hint="eastAsia" w:ascii="宋体" w:hAnsi="宋体"/>
          <w:color w:val="auto"/>
          <w:sz w:val="24"/>
          <w:highlight w:val="none"/>
        </w:rPr>
        <w:t>施工及有关事项协商一致，共同达成如下协议：</w:t>
      </w:r>
    </w:p>
    <w:p>
      <w:pPr>
        <w:spacing w:line="360" w:lineRule="auto"/>
        <w:ind w:firstLine="482" w:firstLineChars="200"/>
        <w:jc w:val="left"/>
        <w:rPr>
          <w:rFonts w:ascii="宋体" w:hAnsi="宋体"/>
          <w:b/>
          <w:bCs/>
          <w:color w:val="auto"/>
          <w:sz w:val="24"/>
          <w:highlight w:val="none"/>
        </w:rPr>
      </w:pPr>
      <w:bookmarkStart w:id="105" w:name="_Toc108539753"/>
      <w:r>
        <w:rPr>
          <w:rFonts w:hint="eastAsia" w:ascii="宋体" w:hAnsi="宋体"/>
          <w:b/>
          <w:bCs/>
          <w:color w:val="auto"/>
          <w:sz w:val="24"/>
          <w:highlight w:val="none"/>
        </w:rPr>
        <w:t>一、工程概况</w:t>
      </w:r>
      <w:bookmarkEnd w:id="105"/>
    </w:p>
    <w:p>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1. 工程名称：</w:t>
      </w:r>
      <w:r>
        <w:rPr>
          <w:rFonts w:hint="eastAsia" w:ascii="宋体" w:hAnsi="宋体"/>
          <w:b/>
          <w:color w:val="auto"/>
          <w:sz w:val="24"/>
          <w:highlight w:val="none"/>
          <w:u w:val="single"/>
          <w:lang w:eastAsia="zh-CN"/>
        </w:rPr>
        <w:t>六堡茶种质资源圃建设项目</w:t>
      </w:r>
      <w:r>
        <w:rPr>
          <w:rFonts w:hint="eastAsia" w:ascii="宋体" w:hAnsi="宋体"/>
          <w:color w:val="auto"/>
          <w:sz w:val="24"/>
          <w:highlight w:val="none"/>
          <w:u w:val="single"/>
        </w:rPr>
        <w:t xml:space="preserve"> </w:t>
      </w:r>
    </w:p>
    <w:p>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2. 工程地点：</w:t>
      </w:r>
      <w:r>
        <w:rPr>
          <w:rFonts w:hint="eastAsia" w:ascii="宋体" w:hAnsi="宋体"/>
          <w:b/>
          <w:color w:val="auto"/>
          <w:sz w:val="24"/>
          <w:highlight w:val="none"/>
          <w:u w:val="single"/>
          <w:lang w:eastAsia="zh-CN"/>
        </w:rPr>
        <w:t>梧州市</w:t>
      </w:r>
      <w:r>
        <w:rPr>
          <w:rFonts w:hint="eastAsia" w:ascii="宋体" w:hAnsi="宋体"/>
          <w:b/>
          <w:color w:val="auto"/>
          <w:sz w:val="24"/>
          <w:highlight w:val="none"/>
          <w:u w:val="single"/>
          <w:lang w:val="en-US" w:eastAsia="zh-CN"/>
        </w:rPr>
        <w:t>长洲区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 工程立项批准文号：</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 资金来源：</w:t>
      </w:r>
      <w:r>
        <w:rPr>
          <w:rFonts w:hint="eastAsia" w:ascii="宋体" w:hAnsi="宋体"/>
          <w:color w:val="auto"/>
          <w:sz w:val="24"/>
          <w:highlight w:val="none"/>
          <w:u w:val="single"/>
        </w:rPr>
        <w:t>财政资金</w:t>
      </w:r>
      <w:r>
        <w:rPr>
          <w:rFonts w:hint="eastAsia" w:ascii="宋体" w:hAnsi="宋体"/>
          <w:color w:val="auto"/>
          <w:sz w:val="24"/>
          <w:highlight w:val="non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 工程内容：</w:t>
      </w:r>
      <w:r>
        <w:rPr>
          <w:rFonts w:hint="eastAsia" w:ascii="宋体" w:hAnsi="宋体" w:eastAsia="宋体" w:cs="宋体"/>
          <w:kern w:val="2"/>
          <w:sz w:val="24"/>
          <w:szCs w:val="22"/>
          <w:highlight w:val="none"/>
          <w:u w:val="single"/>
          <w:lang w:val="en-US" w:eastAsia="zh-CN" w:bidi="ar-SA"/>
        </w:rPr>
        <w:t>1.建设100亩六堡茶种质资源圃及建设60亩茶树良种繁育基地。2.采购就安装智能化水肥一体化设备，包括配备精准灌溉、精准施肥等智能化设备以及安装实时监控系统、太阳能供电系统等；在茶树良种繁育基地搭建100平方米的育苗温室，配套棚架、遮阳网系统、环境控制系统、自动喷淋设备等建设内容</w:t>
      </w:r>
      <w:r>
        <w:rPr>
          <w:rFonts w:hint="eastAsia" w:ascii="宋体" w:hAnsi="宋体"/>
          <w:bCs/>
          <w:color w:val="auto"/>
          <w:sz w:val="24"/>
          <w:highlight w:val="none"/>
          <w:u w:val="single"/>
        </w:rPr>
        <w:t>。</w:t>
      </w:r>
      <w:r>
        <w:rPr>
          <w:rFonts w:hint="eastAsia" w:ascii="宋体" w:hAnsi="宋体"/>
          <w:color w:val="auto"/>
          <w:sz w:val="24"/>
          <w:highlight w:val="none"/>
        </w:rPr>
        <w:t>（具体按施工图纸、工程量清单、采购文件及相关补充通知的全部内容。）</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 工程承包范围：工程发包图纸以及工程量清单中全部工程内容。</w:t>
      </w:r>
    </w:p>
    <w:p>
      <w:pPr>
        <w:spacing w:line="360" w:lineRule="auto"/>
        <w:ind w:firstLine="482" w:firstLineChars="200"/>
        <w:jc w:val="left"/>
        <w:rPr>
          <w:rFonts w:ascii="宋体" w:hAnsi="宋体"/>
          <w:b/>
          <w:bCs/>
          <w:color w:val="auto"/>
          <w:sz w:val="24"/>
          <w:highlight w:val="none"/>
        </w:rPr>
      </w:pPr>
      <w:bookmarkStart w:id="106" w:name="_Toc108539754"/>
      <w:r>
        <w:rPr>
          <w:rFonts w:hint="eastAsia" w:ascii="宋体" w:hAnsi="宋体"/>
          <w:b/>
          <w:bCs/>
          <w:color w:val="auto"/>
          <w:sz w:val="24"/>
          <w:highlight w:val="none"/>
        </w:rPr>
        <w:t>二、合同工期</w:t>
      </w:r>
      <w:bookmarkEnd w:id="106"/>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计划开工日期：</w:t>
      </w:r>
      <w:r>
        <w:rPr>
          <w:rFonts w:hint="eastAsia" w:ascii="宋体" w:hAnsi="宋体" w:cs="MingLiU_HKSCS"/>
          <w:color w:val="auto"/>
          <w:sz w:val="24"/>
          <w:highlight w:val="none"/>
          <w:u w:val="single"/>
        </w:rPr>
        <w:t xml:space="preserve">     </w:t>
      </w:r>
      <w:r>
        <w:rPr>
          <w:rFonts w:hint="eastAsia" w:ascii="宋体" w:hAnsi="宋体"/>
          <w:color w:val="auto"/>
          <w:sz w:val="24"/>
          <w:highlight w:val="none"/>
        </w:rPr>
        <w:t>年</w:t>
      </w:r>
      <w:r>
        <w:rPr>
          <w:rFonts w:hint="eastAsia" w:ascii="宋体" w:hAnsi="宋体" w:cs="MingLiU_HKSCS"/>
          <w:color w:val="auto"/>
          <w:sz w:val="24"/>
          <w:highlight w:val="none"/>
          <w:u w:val="single"/>
        </w:rPr>
        <w:t xml:space="preserve">   </w:t>
      </w:r>
      <w:r>
        <w:rPr>
          <w:rFonts w:hint="eastAsia" w:ascii="宋体" w:hAnsi="宋体"/>
          <w:color w:val="auto"/>
          <w:sz w:val="24"/>
          <w:highlight w:val="none"/>
        </w:rPr>
        <w:t>月</w:t>
      </w:r>
      <w:r>
        <w:rPr>
          <w:rFonts w:hint="eastAsia" w:ascii="宋体" w:hAnsi="宋体" w:cs="MingLiU_HKSCS"/>
          <w:color w:val="auto"/>
          <w:sz w:val="24"/>
          <w:highlight w:val="none"/>
          <w:u w:val="single"/>
        </w:rPr>
        <w:t xml:space="preserve">   </w:t>
      </w:r>
      <w:r>
        <w:rPr>
          <w:rFonts w:hint="eastAsia" w:ascii="宋体" w:hAnsi="宋体"/>
          <w:color w:val="auto"/>
          <w:sz w:val="24"/>
          <w:highlight w:val="none"/>
        </w:rPr>
        <w:t>日。（具体以发包人书面通知为准）</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计划竣工日期：</w:t>
      </w:r>
      <w:r>
        <w:rPr>
          <w:rFonts w:hint="eastAsia" w:ascii="宋体" w:hAnsi="宋体" w:cs="MingLiU_HKSCS"/>
          <w:color w:val="auto"/>
          <w:sz w:val="24"/>
          <w:highlight w:val="none"/>
          <w:u w:val="single"/>
        </w:rPr>
        <w:t xml:space="preserve">     </w:t>
      </w:r>
      <w:r>
        <w:rPr>
          <w:rFonts w:hint="eastAsia" w:ascii="宋体" w:hAnsi="宋体"/>
          <w:color w:val="auto"/>
          <w:sz w:val="24"/>
          <w:highlight w:val="none"/>
        </w:rPr>
        <w:t>年</w:t>
      </w:r>
      <w:r>
        <w:rPr>
          <w:rFonts w:hint="eastAsia" w:ascii="宋体" w:hAnsi="宋体" w:cs="MingLiU_HKSCS"/>
          <w:color w:val="auto"/>
          <w:sz w:val="24"/>
          <w:highlight w:val="none"/>
          <w:u w:val="single"/>
        </w:rPr>
        <w:t xml:space="preserve">   </w:t>
      </w:r>
      <w:r>
        <w:rPr>
          <w:rFonts w:hint="eastAsia" w:ascii="宋体" w:hAnsi="宋体"/>
          <w:color w:val="auto"/>
          <w:sz w:val="24"/>
          <w:highlight w:val="none"/>
        </w:rPr>
        <w:t>月</w:t>
      </w:r>
      <w:r>
        <w:rPr>
          <w:rFonts w:hint="eastAsia" w:ascii="宋体" w:hAnsi="宋体" w:cs="MingLiU_HKSCS"/>
          <w:color w:val="auto"/>
          <w:sz w:val="24"/>
          <w:highlight w:val="none"/>
          <w:u w:val="single"/>
        </w:rPr>
        <w:t xml:space="preserve">   </w:t>
      </w:r>
      <w:r>
        <w:rPr>
          <w:rFonts w:hint="eastAsia" w:ascii="宋体" w:hAnsi="宋体"/>
          <w:color w:val="auto"/>
          <w:sz w:val="24"/>
          <w:highlight w:val="none"/>
        </w:rPr>
        <w:t>日。</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工期要求：</w:t>
      </w:r>
      <w:r>
        <w:rPr>
          <w:rFonts w:hint="eastAsia" w:ascii="宋体" w:hAnsi="宋体"/>
          <w:color w:val="auto"/>
          <w:sz w:val="24"/>
          <w:highlight w:val="none"/>
          <w:u w:val="single"/>
        </w:rPr>
        <w:t xml:space="preserve">       </w:t>
      </w:r>
      <w:r>
        <w:rPr>
          <w:rFonts w:hint="eastAsia" w:ascii="宋体" w:hAnsi="宋体"/>
          <w:color w:val="auto"/>
          <w:sz w:val="24"/>
          <w:highlight w:val="none"/>
        </w:rPr>
        <w:t>天。工期总日历天数与根据前述计划开竣工日期计算的工期天数不一致的，以工期总日历天数为准。</w:t>
      </w:r>
    </w:p>
    <w:p>
      <w:pPr>
        <w:spacing w:line="360" w:lineRule="auto"/>
        <w:ind w:firstLine="482" w:firstLineChars="200"/>
        <w:jc w:val="left"/>
        <w:rPr>
          <w:rFonts w:ascii="宋体" w:hAnsi="宋体"/>
          <w:b/>
          <w:bCs/>
          <w:color w:val="auto"/>
          <w:sz w:val="24"/>
          <w:highlight w:val="none"/>
        </w:rPr>
      </w:pPr>
      <w:bookmarkStart w:id="107" w:name="_Toc108539755"/>
      <w:r>
        <w:rPr>
          <w:rFonts w:hint="eastAsia" w:ascii="宋体" w:hAnsi="宋体"/>
          <w:b/>
          <w:bCs/>
          <w:color w:val="auto"/>
          <w:sz w:val="24"/>
          <w:highlight w:val="none"/>
        </w:rPr>
        <w:t>三、质量标准</w:t>
      </w:r>
      <w:bookmarkEnd w:id="107"/>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满足国家现行与本项目相应的施工竣工验收规范之“合格”标准。</w:t>
      </w:r>
    </w:p>
    <w:p>
      <w:pPr>
        <w:spacing w:line="360" w:lineRule="auto"/>
        <w:ind w:firstLine="482" w:firstLineChars="200"/>
        <w:jc w:val="left"/>
        <w:rPr>
          <w:rFonts w:ascii="宋体" w:hAnsi="宋体"/>
          <w:b/>
          <w:bCs/>
          <w:color w:val="auto"/>
          <w:sz w:val="24"/>
          <w:highlight w:val="none"/>
        </w:rPr>
      </w:pPr>
      <w:bookmarkStart w:id="108" w:name="_Toc108539757"/>
      <w:r>
        <w:rPr>
          <w:rFonts w:hint="eastAsia" w:ascii="宋体" w:hAnsi="宋体"/>
          <w:b/>
          <w:bCs/>
          <w:color w:val="auto"/>
          <w:sz w:val="24"/>
          <w:highlight w:val="none"/>
        </w:rPr>
        <w:t>四、签约合同价与合同价格形式</w:t>
      </w:r>
      <w:bookmarkEnd w:id="108"/>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 暂定合同价为：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其中：</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（1）安全文明施工费：</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（2）建安劳保费：</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（3）材料和工程设备暂估价金额：</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（4）专业工程暂估价金额：</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（5）暂列金额：</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（6）增值税额：</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增值税率：</w:t>
      </w:r>
      <w:r>
        <w:rPr>
          <w:rFonts w:hint="eastAsia" w:ascii="宋体" w:hAnsi="宋体"/>
          <w:color w:val="auto"/>
          <w:sz w:val="24"/>
          <w:highlight w:val="none"/>
          <w:u w:val="single"/>
        </w:rPr>
        <w:t xml:space="preserve">                </w:t>
      </w:r>
    </w:p>
    <w:p>
      <w:pPr>
        <w:numPr>
          <w:ilvl w:val="0"/>
          <w:numId w:val="1"/>
        </w:num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合同价格形式：  </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合同价格形式：</w:t>
      </w:r>
      <w:r>
        <w:rPr>
          <w:rFonts w:hint="eastAsia" w:ascii="宋体" w:hAnsi="宋体"/>
          <w:color w:val="auto"/>
          <w:sz w:val="24"/>
          <w:highlight w:val="none"/>
          <w:u w:val="single"/>
        </w:rPr>
        <w:t>本工程采用固定</w:t>
      </w:r>
      <w:r>
        <w:rPr>
          <w:rFonts w:hint="eastAsia" w:ascii="宋体" w:hAnsi="宋体"/>
          <w:color w:val="auto"/>
          <w:sz w:val="24"/>
          <w:highlight w:val="none"/>
          <w:u w:val="single"/>
          <w:lang w:val="en-US" w:eastAsia="zh-CN"/>
        </w:rPr>
        <w:t>总价</w:t>
      </w:r>
      <w:r>
        <w:rPr>
          <w:rFonts w:hint="eastAsia" w:ascii="宋体" w:hAnsi="宋体"/>
          <w:color w:val="auto"/>
          <w:sz w:val="24"/>
          <w:highlight w:val="none"/>
          <w:u w:val="single"/>
        </w:rPr>
        <w:t>。</w:t>
      </w:r>
    </w:p>
    <w:p>
      <w:pPr>
        <w:spacing w:line="360" w:lineRule="auto"/>
        <w:ind w:firstLine="482" w:firstLineChars="200"/>
        <w:jc w:val="left"/>
        <w:rPr>
          <w:rFonts w:ascii="宋体" w:hAnsi="宋体"/>
          <w:b/>
          <w:bCs/>
          <w:color w:val="auto"/>
          <w:sz w:val="24"/>
          <w:highlight w:val="none"/>
        </w:rPr>
      </w:pPr>
      <w:bookmarkStart w:id="109" w:name="_Toc351203485"/>
      <w:bookmarkStart w:id="110" w:name="_Toc108539758"/>
      <w:r>
        <w:rPr>
          <w:rFonts w:hint="eastAsia" w:ascii="宋体" w:hAnsi="宋体"/>
          <w:b/>
          <w:bCs/>
          <w:color w:val="auto"/>
          <w:sz w:val="24"/>
          <w:highlight w:val="none"/>
        </w:rPr>
        <w:t>五、</w:t>
      </w:r>
      <w:bookmarkEnd w:id="109"/>
      <w:r>
        <w:rPr>
          <w:rFonts w:hint="eastAsia" w:ascii="宋体" w:hAnsi="宋体"/>
          <w:b/>
          <w:bCs/>
          <w:color w:val="auto"/>
          <w:sz w:val="24"/>
          <w:highlight w:val="none"/>
        </w:rPr>
        <w:t>项目经理</w:t>
      </w:r>
      <w:bookmarkEnd w:id="110"/>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承包人项目经理：</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2" w:firstLineChars="200"/>
        <w:jc w:val="left"/>
        <w:rPr>
          <w:rFonts w:ascii="宋体" w:hAnsi="宋体"/>
          <w:b/>
          <w:bCs/>
          <w:color w:val="auto"/>
          <w:sz w:val="24"/>
          <w:highlight w:val="none"/>
        </w:rPr>
      </w:pPr>
      <w:bookmarkStart w:id="111" w:name="_Toc108539759"/>
      <w:r>
        <w:rPr>
          <w:rFonts w:hint="eastAsia" w:ascii="宋体" w:hAnsi="宋体"/>
          <w:b/>
          <w:bCs/>
          <w:color w:val="auto"/>
          <w:sz w:val="24"/>
          <w:highlight w:val="none"/>
        </w:rPr>
        <w:t>六、合同文件构成</w:t>
      </w:r>
      <w:bookmarkEnd w:id="111"/>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本协议书与下列文件一起构成合同文件：</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（1）成交通知书（如有）；</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（2）磋商函及其附录（如有）； </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（3）专用合同条款及其附件；</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（4）通用合同条款；</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（5）技术标准和要求；</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（6）图纸；</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（7）已标价工程量清单； </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（8）其他合同文件：</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磋商文件及附件（含所有补充通知）；</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在合同订立及履行过程中形成的与合同有关的文件均构成合同文件组成部分。</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82" w:firstLineChars="200"/>
        <w:jc w:val="left"/>
        <w:rPr>
          <w:rFonts w:ascii="宋体" w:hAnsi="宋体"/>
          <w:b/>
          <w:bCs/>
          <w:color w:val="auto"/>
          <w:sz w:val="24"/>
          <w:highlight w:val="none"/>
        </w:rPr>
      </w:pPr>
      <w:bookmarkStart w:id="112" w:name="_Toc108539760"/>
      <w:r>
        <w:rPr>
          <w:rFonts w:hint="eastAsia" w:ascii="宋体" w:hAnsi="宋体"/>
          <w:b/>
          <w:bCs/>
          <w:color w:val="auto"/>
          <w:sz w:val="24"/>
          <w:highlight w:val="none"/>
        </w:rPr>
        <w:t>七、承诺</w:t>
      </w:r>
      <w:bookmarkEnd w:id="112"/>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 发包人承诺按照法律规定履行项目审批手续、筹集工程建设资金并按照合同约定的期限和方式支付合同价款。</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 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 发包人和承包人通过招投标形式签订合同的，双方理解并承诺不再就同一工程另行签订与合同实质性内容相背离的协议。</w:t>
      </w:r>
    </w:p>
    <w:p>
      <w:pPr>
        <w:spacing w:line="360" w:lineRule="auto"/>
        <w:ind w:firstLine="482" w:firstLineChars="200"/>
        <w:jc w:val="left"/>
        <w:rPr>
          <w:rFonts w:ascii="宋体" w:hAnsi="宋体"/>
          <w:b/>
          <w:bCs/>
          <w:color w:val="auto"/>
          <w:sz w:val="24"/>
          <w:highlight w:val="none"/>
        </w:rPr>
      </w:pPr>
      <w:bookmarkStart w:id="113" w:name="_Toc108539761"/>
      <w:r>
        <w:rPr>
          <w:rFonts w:hint="eastAsia" w:ascii="宋体" w:hAnsi="宋体"/>
          <w:b/>
          <w:bCs/>
          <w:color w:val="auto"/>
          <w:sz w:val="24"/>
          <w:highlight w:val="none"/>
        </w:rPr>
        <w:t>八、词语含义</w:t>
      </w:r>
      <w:bookmarkEnd w:id="113"/>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本协议书中词语含义与第二部分通用合同条款中赋予的含义相同。</w:t>
      </w:r>
    </w:p>
    <w:p>
      <w:pPr>
        <w:spacing w:line="360" w:lineRule="auto"/>
        <w:ind w:firstLine="482" w:firstLineChars="200"/>
        <w:jc w:val="left"/>
        <w:rPr>
          <w:rFonts w:ascii="宋体" w:hAnsi="宋体"/>
          <w:b/>
          <w:bCs/>
          <w:color w:val="auto"/>
          <w:sz w:val="24"/>
          <w:highlight w:val="none"/>
        </w:rPr>
      </w:pPr>
      <w:bookmarkStart w:id="114" w:name="_Toc108539762"/>
      <w:r>
        <w:rPr>
          <w:rFonts w:hint="eastAsia" w:ascii="宋体" w:hAnsi="宋体"/>
          <w:b/>
          <w:bCs/>
          <w:color w:val="auto"/>
          <w:sz w:val="24"/>
          <w:highlight w:val="none"/>
        </w:rPr>
        <w:t>九、签订时间</w:t>
      </w:r>
      <w:bookmarkEnd w:id="114"/>
    </w:p>
    <w:p>
      <w:pPr>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本合同于</w:t>
      </w:r>
      <w:r>
        <w:rPr>
          <w:rFonts w:hint="eastAsia" w:ascii="宋体" w:hAnsi="宋体"/>
          <w:bCs/>
          <w:color w:val="auto"/>
          <w:sz w:val="24"/>
          <w:highlight w:val="none"/>
          <w:u w:val="single"/>
        </w:rPr>
        <w:t xml:space="preserve">       年   月    日</w:t>
      </w:r>
      <w:r>
        <w:rPr>
          <w:rFonts w:hint="eastAsia" w:ascii="宋体" w:hAnsi="宋体"/>
          <w:bCs/>
          <w:color w:val="auto"/>
          <w:sz w:val="24"/>
          <w:highlight w:val="none"/>
        </w:rPr>
        <w:t>签订</w:t>
      </w:r>
      <w:r>
        <w:rPr>
          <w:rFonts w:hint="eastAsia" w:ascii="宋体" w:hAnsi="宋体"/>
          <w:color w:val="auto"/>
          <w:sz w:val="24"/>
          <w:highlight w:val="none"/>
        </w:rPr>
        <w:t>。</w:t>
      </w:r>
    </w:p>
    <w:p>
      <w:pPr>
        <w:spacing w:line="360" w:lineRule="auto"/>
        <w:ind w:firstLine="482" w:firstLineChars="200"/>
        <w:jc w:val="left"/>
        <w:rPr>
          <w:rFonts w:ascii="宋体" w:hAnsi="宋体"/>
          <w:b/>
          <w:bCs/>
          <w:color w:val="auto"/>
          <w:sz w:val="24"/>
          <w:highlight w:val="none"/>
        </w:rPr>
      </w:pPr>
      <w:bookmarkStart w:id="115" w:name="_Toc108539763"/>
      <w:r>
        <w:rPr>
          <w:rFonts w:hint="eastAsia" w:ascii="宋体" w:hAnsi="宋体"/>
          <w:b/>
          <w:bCs/>
          <w:color w:val="auto"/>
          <w:sz w:val="24"/>
          <w:highlight w:val="none"/>
        </w:rPr>
        <w:t>十、签订地点</w:t>
      </w:r>
      <w:bookmarkEnd w:id="115"/>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本合同在</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签订。</w:t>
      </w:r>
    </w:p>
    <w:p>
      <w:pPr>
        <w:spacing w:line="360" w:lineRule="auto"/>
        <w:ind w:firstLine="482" w:firstLineChars="200"/>
        <w:jc w:val="left"/>
        <w:rPr>
          <w:rFonts w:ascii="宋体" w:hAnsi="宋体"/>
          <w:b/>
          <w:bCs/>
          <w:color w:val="auto"/>
          <w:sz w:val="24"/>
          <w:highlight w:val="none"/>
        </w:rPr>
      </w:pPr>
      <w:bookmarkStart w:id="116" w:name="_Toc108539764"/>
      <w:r>
        <w:rPr>
          <w:rFonts w:hint="eastAsia" w:ascii="宋体" w:hAnsi="宋体"/>
          <w:b/>
          <w:bCs/>
          <w:color w:val="auto"/>
          <w:sz w:val="24"/>
          <w:highlight w:val="none"/>
        </w:rPr>
        <w:t>十一、补充协议</w:t>
      </w:r>
      <w:bookmarkEnd w:id="116"/>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合同未尽事宜，合同当事人另行签订补充协议，补充协议是合同的组成部分。</w:t>
      </w:r>
    </w:p>
    <w:p>
      <w:pPr>
        <w:spacing w:line="360" w:lineRule="auto"/>
        <w:ind w:firstLine="482" w:firstLineChars="200"/>
        <w:jc w:val="left"/>
        <w:rPr>
          <w:rFonts w:ascii="宋体" w:hAnsi="宋体"/>
          <w:b/>
          <w:bCs/>
          <w:color w:val="auto"/>
          <w:sz w:val="24"/>
          <w:highlight w:val="none"/>
        </w:rPr>
      </w:pPr>
      <w:bookmarkStart w:id="117" w:name="_Toc108539765"/>
      <w:r>
        <w:rPr>
          <w:rFonts w:hint="eastAsia" w:ascii="宋体" w:hAnsi="宋体"/>
          <w:b/>
          <w:bCs/>
          <w:color w:val="auto"/>
          <w:sz w:val="24"/>
          <w:highlight w:val="none"/>
        </w:rPr>
        <w:t>十二、合同生效</w:t>
      </w:r>
      <w:bookmarkEnd w:id="117"/>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本合同自</w:t>
      </w:r>
      <w:r>
        <w:rPr>
          <w:rFonts w:hint="eastAsia" w:ascii="宋体" w:hAnsi="宋体"/>
          <w:color w:val="auto"/>
          <w:sz w:val="24"/>
          <w:highlight w:val="none"/>
          <w:u w:val="single"/>
        </w:rPr>
        <w:t xml:space="preserve">  双方法定代表人（负责人）或其委托代理人签字并盖公章之日起</w:t>
      </w:r>
      <w:r>
        <w:rPr>
          <w:rFonts w:hint="eastAsia" w:ascii="宋体" w:hAnsi="宋体"/>
          <w:color w:val="auto"/>
          <w:sz w:val="24"/>
          <w:highlight w:val="none"/>
        </w:rPr>
        <w:t>生效。</w:t>
      </w:r>
    </w:p>
    <w:p>
      <w:pPr>
        <w:spacing w:line="360" w:lineRule="auto"/>
        <w:ind w:firstLine="482" w:firstLineChars="200"/>
        <w:jc w:val="left"/>
        <w:rPr>
          <w:rFonts w:ascii="宋体" w:hAnsi="宋体"/>
          <w:b/>
          <w:bCs/>
          <w:color w:val="auto"/>
          <w:sz w:val="24"/>
          <w:highlight w:val="none"/>
        </w:rPr>
      </w:pPr>
      <w:bookmarkStart w:id="118" w:name="_Toc108539766"/>
      <w:r>
        <w:rPr>
          <w:rFonts w:hint="eastAsia" w:ascii="宋体" w:hAnsi="宋体"/>
          <w:b/>
          <w:bCs/>
          <w:color w:val="auto"/>
          <w:sz w:val="24"/>
          <w:highlight w:val="none"/>
        </w:rPr>
        <w:t>十三、合同份数</w:t>
      </w:r>
      <w:bookmarkEnd w:id="118"/>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 xml:space="preserve">  玖  </w:t>
      </w:r>
      <w:r>
        <w:rPr>
          <w:rFonts w:hint="eastAsia" w:ascii="宋体" w:hAnsi="宋体"/>
          <w:color w:val="auto"/>
          <w:sz w:val="24"/>
          <w:highlight w:val="none"/>
        </w:rPr>
        <w:t>份，均具有同等法律效力，发包人执</w:t>
      </w:r>
      <w:r>
        <w:rPr>
          <w:rFonts w:hint="eastAsia" w:ascii="宋体" w:hAnsi="宋体"/>
          <w:color w:val="auto"/>
          <w:sz w:val="24"/>
          <w:highlight w:val="none"/>
          <w:u w:val="single"/>
        </w:rPr>
        <w:t xml:space="preserve">  肆  </w:t>
      </w:r>
      <w:r>
        <w:rPr>
          <w:rFonts w:hint="eastAsia" w:ascii="宋体" w:hAnsi="宋体"/>
          <w:color w:val="auto"/>
          <w:sz w:val="24"/>
          <w:highlight w:val="none"/>
        </w:rPr>
        <w:t>份，承包人执</w:t>
      </w:r>
      <w:r>
        <w:rPr>
          <w:rFonts w:hint="eastAsia" w:ascii="宋体" w:hAnsi="宋体"/>
          <w:color w:val="auto"/>
          <w:sz w:val="24"/>
          <w:highlight w:val="none"/>
          <w:u w:val="single"/>
        </w:rPr>
        <w:t xml:space="preserve">  肆  </w:t>
      </w:r>
      <w:r>
        <w:rPr>
          <w:rFonts w:hint="eastAsia" w:ascii="宋体" w:hAnsi="宋体"/>
          <w:color w:val="auto"/>
          <w:sz w:val="24"/>
          <w:highlight w:val="none"/>
        </w:rPr>
        <w:t xml:space="preserve">份，采购代理机构 </w:t>
      </w:r>
      <w:r>
        <w:rPr>
          <w:rFonts w:hint="eastAsia" w:ascii="宋体" w:hAnsi="宋体"/>
          <w:color w:val="auto"/>
          <w:sz w:val="24"/>
          <w:highlight w:val="none"/>
          <w:u w:val="single"/>
        </w:rPr>
        <w:t xml:space="preserve"> 壹  </w:t>
      </w:r>
      <w:r>
        <w:rPr>
          <w:rFonts w:hint="eastAsia" w:ascii="宋体" w:hAnsi="宋体"/>
          <w:color w:val="auto"/>
          <w:sz w:val="24"/>
          <w:highlight w:val="none"/>
        </w:rPr>
        <w:t>份（用于政府采购云平台备案）。</w:t>
      </w:r>
    </w:p>
    <w:p>
      <w:pPr>
        <w:spacing w:line="360" w:lineRule="auto"/>
        <w:ind w:firstLine="480" w:firstLineChars="200"/>
        <w:jc w:val="left"/>
        <w:rPr>
          <w:rFonts w:ascii="宋体" w:hAnsi="宋体"/>
          <w:color w:val="auto"/>
          <w:sz w:val="24"/>
          <w:highlight w:val="none"/>
        </w:rPr>
      </w:pP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发包人：  （公章）                              承包人：  （公章）</w:t>
      </w:r>
    </w:p>
    <w:p>
      <w:pPr>
        <w:spacing w:line="360" w:lineRule="auto"/>
        <w:ind w:firstLine="480" w:firstLineChars="200"/>
        <w:jc w:val="left"/>
        <w:rPr>
          <w:rFonts w:ascii="宋体" w:hAnsi="宋体"/>
          <w:color w:val="auto"/>
          <w:sz w:val="24"/>
          <w:highlight w:val="none"/>
          <w:u w:val="single"/>
        </w:rPr>
      </w:pP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法定代表人（负责人）或其委托代理人：          法定代表人（负责人）或其委托代理人：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（签字）                                     （签字）</w:t>
      </w:r>
    </w:p>
    <w:p>
      <w:pPr>
        <w:spacing w:line="360" w:lineRule="auto"/>
        <w:ind w:firstLine="480" w:firstLineChars="200"/>
        <w:jc w:val="left"/>
        <w:rPr>
          <w:rFonts w:ascii="宋体" w:hAnsi="宋体"/>
          <w:color w:val="auto"/>
          <w:sz w:val="24"/>
          <w:highlight w:val="none"/>
          <w:u w:val="single"/>
        </w:rPr>
      </w:pP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统一社会信用代码：                           统一社会信用代码：</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地  址：                                    </w:t>
      </w:r>
      <w:r>
        <w:rPr>
          <w:rFonts w:ascii="宋体" w:hAnsi="宋体"/>
          <w:color w:val="auto"/>
          <w:sz w:val="24"/>
          <w:highlight w:val="none"/>
        </w:rPr>
        <w:t xml:space="preserve"> </w:t>
      </w:r>
      <w:r>
        <w:rPr>
          <w:rFonts w:hint="eastAsia" w:ascii="宋体" w:hAnsi="宋体"/>
          <w:color w:val="auto"/>
          <w:sz w:val="24"/>
          <w:highlight w:val="none"/>
        </w:rPr>
        <w:t>地      址：</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邮政编码：                                   邮政编码：</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法定代表人：                                 法定代表人：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委托代理人：                                 委托代理人：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电  话：                                     电  话：</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传  真：                                     传  真：</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电子信箱：                                   电子信箱：</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开户银行：                                   开户银行：</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账  号：                                     账  号：</w:t>
      </w:r>
    </w:p>
    <w:p>
      <w:pPr>
        <w:adjustRightInd w:val="0"/>
        <w:spacing w:line="420" w:lineRule="exact"/>
        <w:jc w:val="left"/>
        <w:rPr>
          <w:rFonts w:ascii="宋体" w:hAnsi="宋体" w:cs="宋体"/>
          <w:bCs/>
          <w:color w:val="auto"/>
          <w:sz w:val="24"/>
          <w:highlight w:val="none"/>
        </w:rPr>
      </w:pPr>
    </w:p>
    <w:p>
      <w:pPr>
        <w:widowControl/>
        <w:jc w:val="left"/>
        <w:rPr>
          <w:rFonts w:ascii="宋体" w:hAnsi="宋体" w:cs="宋体"/>
          <w:bCs/>
          <w:color w:val="auto"/>
          <w:sz w:val="24"/>
          <w:highlight w:val="none"/>
        </w:rPr>
      </w:pPr>
      <w:r>
        <w:rPr>
          <w:rFonts w:ascii="宋体" w:hAnsi="宋体" w:cs="宋体"/>
          <w:bCs/>
          <w:color w:val="auto"/>
          <w:sz w:val="24"/>
          <w:highlight w:val="none"/>
        </w:rPr>
        <w:br w:type="page"/>
      </w:r>
    </w:p>
    <w:p>
      <w:pPr>
        <w:adjustRightInd w:val="0"/>
        <w:spacing w:line="420" w:lineRule="exact"/>
        <w:jc w:val="left"/>
        <w:rPr>
          <w:rFonts w:ascii="宋体" w:hAnsi="宋体" w:cs="宋体"/>
          <w:bCs/>
          <w:color w:val="auto"/>
          <w:sz w:val="24"/>
          <w:highlight w:val="none"/>
        </w:rPr>
      </w:pPr>
    </w:p>
    <w:p>
      <w:pPr>
        <w:keepNext/>
        <w:keepLines/>
        <w:spacing w:line="360" w:lineRule="auto"/>
        <w:ind w:firstLine="561"/>
        <w:jc w:val="center"/>
        <w:rPr>
          <w:rFonts w:ascii="宋体" w:hAnsi="宋体" w:cs="宋体"/>
          <w:b/>
          <w:bCs/>
          <w:color w:val="auto"/>
          <w:sz w:val="28"/>
          <w:szCs w:val="28"/>
          <w:highlight w:val="none"/>
        </w:rPr>
      </w:pPr>
      <w:bookmarkStart w:id="119" w:name="_Toc12407"/>
      <w:bookmarkStart w:id="120" w:name="_Toc24180"/>
      <w:r>
        <w:rPr>
          <w:rFonts w:hint="eastAsia" w:ascii="宋体" w:hAnsi="宋体" w:cs="宋体"/>
          <w:b/>
          <w:bCs/>
          <w:color w:val="auto"/>
          <w:sz w:val="28"/>
          <w:szCs w:val="28"/>
          <w:highlight w:val="none"/>
        </w:rPr>
        <w:t>第二部分 通用合同条款</w:t>
      </w:r>
      <w:bookmarkEnd w:id="119"/>
      <w:bookmarkEnd w:id="120"/>
      <w:bookmarkStart w:id="121" w:name="_Toc337558727"/>
    </w:p>
    <w:bookmarkEnd w:id="121"/>
    <w:p>
      <w:pPr>
        <w:spacing w:line="400" w:lineRule="exact"/>
        <w:ind w:firstLine="480" w:firstLineChars="200"/>
        <w:rPr>
          <w:rFonts w:ascii="宋体" w:hAnsi="宋体" w:cs="宋体"/>
          <w:color w:val="auto"/>
          <w:sz w:val="24"/>
          <w:szCs w:val="32"/>
          <w:highlight w:val="none"/>
        </w:rPr>
      </w:pPr>
      <w:bookmarkStart w:id="122" w:name="_Toc351203632"/>
      <w:r>
        <w:rPr>
          <w:rFonts w:hint="eastAsia" w:ascii="宋体" w:hAnsi="宋体" w:cs="宋体"/>
          <w:color w:val="auto"/>
          <w:sz w:val="24"/>
          <w:szCs w:val="32"/>
          <w:highlight w:val="none"/>
        </w:rPr>
        <w:t>采用《建设工程施工合同（示范文本）》（GF-2017-0201）的“通用合同条款”。</w:t>
      </w:r>
    </w:p>
    <w:p>
      <w:pPr>
        <w:pStyle w:val="21"/>
        <w:snapToGrid/>
        <w:rPr>
          <w:rFonts w:ascii="宋体" w:hAnsi="宋体" w:cs="宋体"/>
          <w:color w:val="auto"/>
          <w:kern w:val="2"/>
          <w:highlight w:val="none"/>
        </w:rPr>
      </w:pPr>
    </w:p>
    <w:p>
      <w:pPr>
        <w:rPr>
          <w:rFonts w:ascii="宋体" w:hAnsi="宋体" w:cs="宋体"/>
          <w:color w:val="auto"/>
          <w:highlight w:val="none"/>
        </w:rPr>
      </w:pPr>
    </w:p>
    <w:p>
      <w:pPr>
        <w:pStyle w:val="21"/>
        <w:snapToGrid/>
        <w:rPr>
          <w:rFonts w:ascii="宋体" w:hAnsi="宋体" w:cs="宋体"/>
          <w:color w:val="auto"/>
          <w:kern w:val="2"/>
          <w:highlight w:val="none"/>
        </w:rPr>
      </w:pPr>
    </w:p>
    <w:bookmarkEnd w:id="122"/>
    <w:p>
      <w:pPr>
        <w:keepNext/>
        <w:keepLines/>
        <w:spacing w:line="360" w:lineRule="auto"/>
        <w:ind w:firstLine="561"/>
        <w:jc w:val="center"/>
        <w:rPr>
          <w:rFonts w:ascii="宋体" w:hAnsi="宋体" w:cs="宋体"/>
          <w:b/>
          <w:bCs/>
          <w:color w:val="auto"/>
          <w:sz w:val="28"/>
          <w:szCs w:val="28"/>
          <w:highlight w:val="none"/>
        </w:rPr>
      </w:pPr>
      <w:bookmarkStart w:id="123" w:name="_Toc433386844"/>
      <w:bookmarkStart w:id="124" w:name="_Toc433386318"/>
      <w:bookmarkStart w:id="125" w:name="_Toc20133"/>
      <w:r>
        <w:rPr>
          <w:rFonts w:hint="eastAsia" w:ascii="宋体" w:hAnsi="宋体" w:cs="宋体"/>
          <w:b/>
          <w:bCs/>
          <w:color w:val="auto"/>
          <w:sz w:val="28"/>
          <w:szCs w:val="28"/>
          <w:highlight w:val="none"/>
        </w:rPr>
        <w:t>第三部分 专用合同条款</w:t>
      </w:r>
      <w:bookmarkEnd w:id="123"/>
      <w:bookmarkEnd w:id="124"/>
      <w:bookmarkEnd w:id="125"/>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1.一般约定</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 词语定义</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1.1.1合同</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1.1.1.10其他合同文件包括： 指经合同双方当事人确认构成合同文件的其他文件。</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1.1.2 合同当事人及其他相关方</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1.1.2.4监理人：</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1.1.2.5 设计人：</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1.1.3 工程和设备</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1.1.3.1 作为施工现场组成部分的其他场所包括：</w:t>
      </w:r>
      <w:r>
        <w:rPr>
          <w:rFonts w:hint="eastAsia" w:ascii="宋体" w:hAnsi="宋体" w:cs="宋体"/>
          <w:color w:val="auto"/>
          <w:sz w:val="24"/>
          <w:highlight w:val="none"/>
          <w:u w:val="single"/>
        </w:rPr>
        <w:t>包括永久占地、临时占地</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1.1.3.2 永久占地包括：</w:t>
      </w:r>
      <w:r>
        <w:rPr>
          <w:rFonts w:hint="eastAsia" w:ascii="宋体" w:hAnsi="宋体" w:cs="宋体"/>
          <w:color w:val="auto"/>
          <w:sz w:val="24"/>
          <w:highlight w:val="none"/>
          <w:u w:val="single"/>
        </w:rPr>
        <w:t>为实施合同工程需永久占用的土地</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1.1.3.3 临时占地包括：</w:t>
      </w:r>
      <w:r>
        <w:rPr>
          <w:rFonts w:hint="eastAsia" w:ascii="宋体" w:hAnsi="宋体" w:cs="宋体"/>
          <w:color w:val="auto"/>
          <w:sz w:val="24"/>
          <w:highlight w:val="none"/>
          <w:u w:val="single"/>
        </w:rPr>
        <w:t>为实施合同工程需永久占用的土地</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1.3法律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适用于合同的其他规范性文件：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 标准和规范</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1.4.1适用于工程的标准规范包括：</w:t>
      </w:r>
      <w:r>
        <w:rPr>
          <w:rFonts w:hint="eastAsia" w:ascii="宋体" w:hAnsi="宋体" w:cs="宋体"/>
          <w:color w:val="auto"/>
          <w:sz w:val="24"/>
          <w:highlight w:val="none"/>
          <w:u w:val="single"/>
        </w:rPr>
        <w:t>施工规范、质量验收规范、质量评定标准、地方技术标准和规程</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1.4.2 发包人提供国外标准、规范的名称：</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发包人提供国外标准、规范的份数：</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发包人提供国外标准、规范的名称：</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1.4.3发包人对工程的技术标准和功能要求的特殊要求：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 合同文件的优先顺序</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合同文件组成及优先顺序为：</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（1）合同协议书；</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（2）成交通知书（如果有）；</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（3）报价函及其附录（如果有）；</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（4）专用合同条款及其附件；</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（5）通用合同条款；</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u w:val="single"/>
        </w:rPr>
        <w:t>技术标准和要求</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u w:val="single"/>
        </w:rPr>
        <w:t>图纸</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u w:val="single"/>
        </w:rPr>
        <w:t>已标价工程量清单或预算书</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u w:val="single"/>
        </w:rPr>
        <w:t>其他合同文件</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 图纸和承包人文件</w:t>
      </w:r>
      <w:r>
        <w:rPr>
          <w:rFonts w:hint="eastAsia" w:ascii="宋体" w:hAnsi="宋体" w:cs="宋体"/>
          <w:color w:val="auto"/>
          <w:sz w:val="24"/>
          <w:highlight w:val="none"/>
        </w:rPr>
        <w:tab/>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1.6.1 图纸的提供</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发包人向承包人提供图纸的期限：</w:t>
      </w:r>
      <w:r>
        <w:rPr>
          <w:rFonts w:hint="eastAsia" w:ascii="宋体" w:hAnsi="宋体" w:cs="宋体"/>
          <w:color w:val="auto"/>
          <w:sz w:val="24"/>
          <w:highlight w:val="none"/>
          <w:u w:val="single"/>
        </w:rPr>
        <w:t>签订合同后3天内</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发包人向承包人提供图纸的数量：</w:t>
      </w:r>
      <w:r>
        <w:rPr>
          <w:rFonts w:hint="eastAsia" w:ascii="宋体" w:hAnsi="宋体" w:cs="宋体"/>
          <w:color w:val="auto"/>
          <w:sz w:val="24"/>
          <w:highlight w:val="none"/>
          <w:u w:val="single"/>
        </w:rPr>
        <w:t>贰套，承包人需要增加图纸套数的，发包人应代为复制，复制费用由承包人承担</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发包人向承包人提供图纸的内容：</w:t>
      </w:r>
      <w:r>
        <w:rPr>
          <w:rFonts w:hint="eastAsia" w:ascii="宋体" w:hAnsi="宋体" w:cs="宋体"/>
          <w:color w:val="auto"/>
          <w:sz w:val="24"/>
          <w:highlight w:val="none"/>
          <w:u w:val="single"/>
        </w:rPr>
        <w:t>见图纸目录</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 承包人文件</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需要由承包人提供的文件，包括：</w:t>
      </w:r>
      <w:r>
        <w:rPr>
          <w:rFonts w:hint="eastAsia" w:ascii="宋体" w:hAnsi="宋体" w:cs="宋体"/>
          <w:color w:val="auto"/>
          <w:sz w:val="24"/>
          <w:highlight w:val="none"/>
          <w:u w:val="single"/>
        </w:rPr>
        <w:t>开工报告、施工组织设计、专项施工方案、进度计划及其他应交的施工管理文件、施工技术文件</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承包人提供的文件的期限为：</w:t>
      </w:r>
      <w:r>
        <w:rPr>
          <w:rFonts w:hint="eastAsia" w:ascii="宋体" w:hAnsi="宋体" w:cs="宋体"/>
          <w:color w:val="auto"/>
          <w:sz w:val="24"/>
          <w:highlight w:val="none"/>
          <w:u w:val="single"/>
        </w:rPr>
        <w:t>文件实施前7天</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承包人提供的文件的数量为：</w:t>
      </w:r>
      <w:r>
        <w:rPr>
          <w:rFonts w:hint="eastAsia" w:ascii="宋体" w:hAnsi="宋体" w:cs="宋体"/>
          <w:color w:val="auto"/>
          <w:sz w:val="24"/>
          <w:highlight w:val="none"/>
          <w:u w:val="single"/>
        </w:rPr>
        <w:t>按发包人要求提供</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承包人提供的文件的形式为：</w:t>
      </w:r>
      <w:r>
        <w:rPr>
          <w:rFonts w:hint="eastAsia" w:ascii="宋体" w:hAnsi="宋体" w:cs="宋体"/>
          <w:color w:val="auto"/>
          <w:sz w:val="24"/>
          <w:highlight w:val="none"/>
          <w:u w:val="single"/>
        </w:rPr>
        <w:t>纸质文件</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发包人审批承包人文件的期限：</w:t>
      </w:r>
      <w:r>
        <w:rPr>
          <w:rFonts w:hint="eastAsia" w:ascii="宋体" w:hAnsi="宋体" w:cs="宋体"/>
          <w:color w:val="auto"/>
          <w:sz w:val="24"/>
          <w:highlight w:val="none"/>
          <w:u w:val="single"/>
        </w:rPr>
        <w:t>收到文件后7天内</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1.6.3 现场图纸准备</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关于现场图纸准备的约定：</w:t>
      </w:r>
      <w:r>
        <w:rPr>
          <w:rFonts w:hint="eastAsia" w:ascii="宋体" w:hAnsi="宋体" w:cs="宋体"/>
          <w:color w:val="auto"/>
          <w:sz w:val="24"/>
          <w:highlight w:val="none"/>
          <w:u w:val="single"/>
        </w:rPr>
        <w:t>图纸会审或发包人审查后7天内</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 联络</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1.7.1发包人和承包人应当在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天内将与合同有关的通知、批准、证明、证书、指示、指令、要求、请求、同意、意见、确定和决定等书面函件送达对方当事人。</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1.7.2 发包人接收文件的地点：</w:t>
      </w:r>
      <w:r>
        <w:rPr>
          <w:rFonts w:hint="eastAsia" w:ascii="宋体" w:hAnsi="宋体" w:cs="宋体"/>
          <w:color w:val="auto"/>
          <w:sz w:val="24"/>
          <w:highlight w:val="none"/>
          <w:u w:val="single"/>
        </w:rPr>
        <w:t>发包人办公室</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发包人指定的接收人为：</w:t>
      </w:r>
      <w:r>
        <w:rPr>
          <w:rFonts w:hint="eastAsia" w:ascii="宋体" w:hAnsi="宋体" w:cs="宋体"/>
          <w:color w:val="auto"/>
          <w:sz w:val="24"/>
          <w:highlight w:val="none"/>
          <w:u w:val="single"/>
        </w:rPr>
        <w:t>工地代表（可委托）</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承包人接收文件的地点：</w:t>
      </w:r>
      <w:r>
        <w:rPr>
          <w:rFonts w:hint="eastAsia" w:ascii="宋体" w:hAnsi="宋体" w:cs="宋体"/>
          <w:color w:val="auto"/>
          <w:sz w:val="24"/>
          <w:highlight w:val="none"/>
          <w:u w:val="single"/>
        </w:rPr>
        <w:t>包人项目部办公室</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承包人指定的接收人为：</w:t>
      </w:r>
      <w:r>
        <w:rPr>
          <w:rFonts w:hint="eastAsia" w:ascii="宋体" w:hAnsi="宋体" w:cs="宋体"/>
          <w:color w:val="auto"/>
          <w:sz w:val="24"/>
          <w:highlight w:val="none"/>
          <w:u w:val="single"/>
        </w:rPr>
        <w:t>项目经理</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监理人接收文件的地点：</w:t>
      </w:r>
      <w:r>
        <w:rPr>
          <w:rFonts w:hint="eastAsia" w:ascii="宋体" w:hAnsi="宋体" w:cs="宋体"/>
          <w:color w:val="auto"/>
          <w:sz w:val="24"/>
          <w:highlight w:val="none"/>
          <w:u w:val="single"/>
        </w:rPr>
        <w:t xml:space="preserve">项目监理部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监理人指定的接收人为：</w:t>
      </w:r>
      <w:r>
        <w:rPr>
          <w:rFonts w:hint="eastAsia" w:ascii="宋体" w:hAnsi="宋体" w:cs="宋体"/>
          <w:color w:val="auto"/>
          <w:sz w:val="24"/>
          <w:highlight w:val="none"/>
          <w:u w:val="single"/>
        </w:rPr>
        <w:t>总监理工程师（可委托）</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1.10 交通运输</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bookmarkStart w:id="126" w:name="_Toc300934943"/>
      <w:bookmarkStart w:id="127" w:name="_Toc312677986"/>
      <w:bookmarkStart w:id="128" w:name="_Toc303539100"/>
      <w:bookmarkStart w:id="129" w:name="_Toc318581155"/>
      <w:bookmarkStart w:id="130" w:name="_Toc304295521"/>
      <w:r>
        <w:rPr>
          <w:rFonts w:hint="eastAsia" w:ascii="宋体" w:hAnsi="宋体" w:cs="宋体"/>
          <w:color w:val="auto"/>
          <w:sz w:val="24"/>
          <w:highlight w:val="none"/>
        </w:rPr>
        <w:t>.10.1 出入现场的权利</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关于出入现场的权利的约定：</w:t>
      </w:r>
      <w:r>
        <w:rPr>
          <w:rFonts w:hint="eastAsia" w:ascii="宋体" w:hAnsi="宋体" w:cs="宋体"/>
          <w:color w:val="auto"/>
          <w:sz w:val="24"/>
          <w:highlight w:val="none"/>
          <w:u w:val="single"/>
        </w:rPr>
        <w:t>发包方管理人员、监理方管理人员可自由出入，但不得影响承包方的正常施工</w:t>
      </w:r>
      <w:r>
        <w:rPr>
          <w:rFonts w:hint="eastAsia" w:ascii="宋体" w:hAnsi="宋体" w:cs="宋体"/>
          <w:color w:val="auto"/>
          <w:sz w:val="24"/>
          <w:highlight w:val="none"/>
        </w:rPr>
        <w:t>。</w:t>
      </w:r>
    </w:p>
    <w:bookmarkEnd w:id="126"/>
    <w:bookmarkEnd w:id="127"/>
    <w:bookmarkEnd w:id="128"/>
    <w:bookmarkEnd w:id="129"/>
    <w:bookmarkEnd w:id="130"/>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bookmarkStart w:id="131" w:name="_Toc303539101"/>
      <w:bookmarkStart w:id="132" w:name="_Toc312677987"/>
      <w:bookmarkStart w:id="133" w:name="_Toc300934944"/>
      <w:bookmarkStart w:id="134" w:name="_Toc318581156"/>
      <w:bookmarkStart w:id="135" w:name="_Toc304295522"/>
      <w:r>
        <w:rPr>
          <w:rFonts w:hint="eastAsia" w:ascii="宋体" w:hAnsi="宋体" w:cs="宋体"/>
          <w:color w:val="auto"/>
          <w:sz w:val="24"/>
          <w:highlight w:val="none"/>
        </w:rPr>
        <w:t>.10.3 场内交通</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关于场外交通和场内交通的边界的约定：</w:t>
      </w:r>
      <w:r>
        <w:rPr>
          <w:rFonts w:hint="eastAsia" w:ascii="宋体" w:hAnsi="宋体" w:cs="宋体"/>
          <w:color w:val="auto"/>
          <w:sz w:val="24"/>
          <w:highlight w:val="none"/>
          <w:u w:val="single"/>
        </w:rPr>
        <w:t>发包方、承包方和监理方现场确定</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关于发包人向承包人免费提供满足工程施工需要的场内道路和交通设施的约定：</w:t>
      </w:r>
      <w:r>
        <w:rPr>
          <w:rFonts w:hint="eastAsia" w:ascii="宋体" w:hAnsi="宋体" w:cs="宋体"/>
          <w:color w:val="auto"/>
          <w:sz w:val="24"/>
          <w:highlight w:val="none"/>
          <w:u w:val="single"/>
        </w:rPr>
        <w:t>发包方、承包方和监理方现场确定</w:t>
      </w:r>
      <w:r>
        <w:rPr>
          <w:rFonts w:hint="eastAsia" w:ascii="宋体" w:hAnsi="宋体" w:cs="宋体"/>
          <w:color w:val="auto"/>
          <w:sz w:val="24"/>
          <w:highlight w:val="none"/>
        </w:rPr>
        <w:t xml:space="preserve">。 </w:t>
      </w:r>
      <w:bookmarkEnd w:id="131"/>
      <w:bookmarkEnd w:id="132"/>
      <w:bookmarkEnd w:id="133"/>
      <w:bookmarkEnd w:id="134"/>
      <w:bookmarkEnd w:id="135"/>
      <w:bookmarkStart w:id="136" w:name="_Toc318581157"/>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1.10.4超大件和超重件的运输</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运输超大件或超重件所需的道路和桥梁临时加固改造费用和其他有关费用由</w:t>
      </w:r>
      <w:r>
        <w:rPr>
          <w:rFonts w:hint="eastAsia" w:ascii="宋体" w:hAnsi="宋体" w:cs="宋体"/>
          <w:color w:val="auto"/>
          <w:sz w:val="24"/>
          <w:highlight w:val="none"/>
          <w:u w:val="single"/>
        </w:rPr>
        <w:t>承包人</w:t>
      </w:r>
      <w:r>
        <w:rPr>
          <w:rFonts w:hint="eastAsia" w:ascii="宋体" w:hAnsi="宋体" w:cs="宋体"/>
          <w:color w:val="auto"/>
          <w:sz w:val="24"/>
          <w:highlight w:val="none"/>
        </w:rPr>
        <w:t>承担。</w:t>
      </w:r>
    </w:p>
    <w:bookmarkEnd w:id="136"/>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知识产权</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highlight w:val="none"/>
          <w:u w:val="single"/>
        </w:rPr>
        <w:t>归发包人</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关于发包人提供的上述文件的使用限制的要求：</w:t>
      </w:r>
      <w:r>
        <w:rPr>
          <w:rFonts w:hint="eastAsia" w:ascii="宋体" w:hAnsi="宋体" w:cs="宋体"/>
          <w:color w:val="auto"/>
          <w:sz w:val="24"/>
          <w:highlight w:val="none"/>
          <w:u w:val="single"/>
        </w:rPr>
        <w:t>未经发包人同意，承包人不得用于本工程以外的其他工程</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1.11.2 关于承包人为实施工程所编制文件的著作权的归属：</w:t>
      </w:r>
      <w:r>
        <w:rPr>
          <w:rFonts w:hint="eastAsia" w:ascii="宋体" w:hAnsi="宋体" w:cs="宋体"/>
          <w:color w:val="auto"/>
          <w:sz w:val="24"/>
          <w:highlight w:val="none"/>
          <w:u w:val="single"/>
        </w:rPr>
        <w:t>归属承包人</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关于承包人提供的上述文件的使用限制的要求：</w:t>
      </w:r>
      <w:r>
        <w:rPr>
          <w:rFonts w:hint="eastAsia" w:ascii="宋体" w:hAnsi="宋体" w:cs="宋体"/>
          <w:color w:val="auto"/>
          <w:sz w:val="24"/>
          <w:highlight w:val="none"/>
          <w:u w:val="single"/>
        </w:rPr>
        <w:t>未经承包人同意，不得用于除本工程以外的其他工程</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1.11.3 承包人在施工过程中所采用的专利、专有技术、技术秘密的使用费的承担方式：</w:t>
      </w:r>
      <w:r>
        <w:rPr>
          <w:rFonts w:hint="eastAsia" w:ascii="宋体" w:hAnsi="宋体" w:cs="宋体"/>
          <w:color w:val="auto"/>
          <w:sz w:val="24"/>
          <w:highlight w:val="none"/>
          <w:u w:val="single"/>
        </w:rPr>
        <w:t>由承包方承担</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1.12工程量清单错误的修正</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出现工程量清单错误时，是否调整合同价格：是。</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允许调整合同价格的工程量偏差范围：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bookmarkStart w:id="137" w:name="_Toc351203634"/>
      <w:r>
        <w:rPr>
          <w:rFonts w:hint="eastAsia" w:ascii="宋体" w:hAnsi="宋体" w:cs="宋体"/>
          <w:b/>
          <w:bCs/>
          <w:color w:val="auto"/>
          <w:sz w:val="24"/>
          <w:highlight w:val="none"/>
        </w:rPr>
        <w:t>2</w:t>
      </w:r>
      <w:bookmarkStart w:id="138" w:name="_Toc296891197"/>
      <w:bookmarkStart w:id="139" w:name="_Toc296890985"/>
      <w:bookmarkStart w:id="140" w:name="_Toc292559867"/>
      <w:bookmarkStart w:id="141" w:name="_Toc297048343"/>
      <w:bookmarkStart w:id="142" w:name="_Toc292559362"/>
      <w:bookmarkStart w:id="143" w:name="_Toc296346658"/>
      <w:bookmarkStart w:id="144" w:name="_Toc296944496"/>
      <w:bookmarkStart w:id="145" w:name="_Toc296503157"/>
      <w:bookmarkStart w:id="146" w:name="_Toc297120457"/>
      <w:bookmarkStart w:id="147" w:name="_Toc296347156"/>
      <w:r>
        <w:rPr>
          <w:rFonts w:hint="eastAsia" w:ascii="宋体" w:hAnsi="宋体" w:cs="宋体"/>
          <w:b/>
          <w:bCs/>
          <w:color w:val="auto"/>
          <w:sz w:val="24"/>
          <w:highlight w:val="none"/>
        </w:rPr>
        <w:t>.发包人</w:t>
      </w:r>
      <w:bookmarkEnd w:id="137"/>
    </w:p>
    <w:bookmarkEnd w:id="138"/>
    <w:bookmarkEnd w:id="139"/>
    <w:bookmarkEnd w:id="140"/>
    <w:bookmarkEnd w:id="141"/>
    <w:bookmarkEnd w:id="142"/>
    <w:bookmarkEnd w:id="143"/>
    <w:bookmarkEnd w:id="144"/>
    <w:bookmarkEnd w:id="145"/>
    <w:bookmarkEnd w:id="146"/>
    <w:bookmarkEnd w:id="147"/>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 发包人代表</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发包人代表：</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身份证号：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发包人对发包人代表的授权范围如下：</w:t>
      </w:r>
      <w:r>
        <w:rPr>
          <w:rFonts w:hint="eastAsia" w:ascii="宋体" w:hAnsi="宋体" w:cs="宋体"/>
          <w:color w:val="auto"/>
          <w:sz w:val="24"/>
          <w:highlight w:val="none"/>
          <w:u w:val="single"/>
        </w:rPr>
        <w:t>合同约定范围内的权利、义务（可授权代理人履行）</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2.4 施工现场、施工条件和基础资料的提供</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2.4.1 提供施工现场</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关于发包人移交施工现场的期限要求：</w:t>
      </w:r>
      <w:r>
        <w:rPr>
          <w:rFonts w:hint="eastAsia" w:ascii="宋体" w:hAnsi="宋体" w:cs="宋体"/>
          <w:color w:val="auto"/>
          <w:sz w:val="24"/>
          <w:highlight w:val="none"/>
          <w:u w:val="single"/>
        </w:rPr>
        <w:t>开工前7天内</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2.4.2 提供施工条件</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关于发包人应负责提供施工所需要的条件，包括：</w:t>
      </w:r>
      <w:r>
        <w:rPr>
          <w:rFonts w:hint="eastAsia" w:ascii="宋体" w:hAnsi="宋体" w:cs="宋体"/>
          <w:color w:val="auto"/>
          <w:sz w:val="24"/>
          <w:highlight w:val="none"/>
          <w:u w:val="single"/>
        </w:rPr>
        <w:t>由发包人负责提供铁件辅助材料及水或电</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2.5 资金来源证明及支付担保</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发包人提供资金来源证明的期限要求：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发包人是否提供支付担保：</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发包人提供支付担保的形式：</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bookmarkStart w:id="148" w:name="_Toc351203635"/>
      <w:r>
        <w:rPr>
          <w:rFonts w:hint="eastAsia" w:ascii="宋体" w:hAnsi="宋体" w:cs="宋体"/>
          <w:b/>
          <w:bCs/>
          <w:color w:val="auto"/>
          <w:sz w:val="24"/>
          <w:highlight w:val="none"/>
        </w:rPr>
        <w:t>3</w:t>
      </w:r>
      <w:bookmarkStart w:id="149" w:name="_Toc292559868"/>
      <w:bookmarkStart w:id="150" w:name="_Toc292559363"/>
      <w:bookmarkStart w:id="151" w:name="_Toc296347157"/>
      <w:bookmarkStart w:id="152" w:name="_Toc296346659"/>
      <w:bookmarkStart w:id="153" w:name="_Toc296890986"/>
      <w:bookmarkStart w:id="154" w:name="_Toc297120458"/>
      <w:bookmarkStart w:id="155" w:name="_Toc296944497"/>
      <w:bookmarkStart w:id="156" w:name="_Toc296891198"/>
      <w:bookmarkStart w:id="157" w:name="_Toc297048344"/>
      <w:bookmarkStart w:id="158" w:name="_Toc296503158"/>
      <w:r>
        <w:rPr>
          <w:rFonts w:hint="eastAsia" w:ascii="宋体" w:hAnsi="宋体" w:cs="宋体"/>
          <w:b/>
          <w:bCs/>
          <w:color w:val="auto"/>
          <w:sz w:val="24"/>
          <w:highlight w:val="none"/>
        </w:rPr>
        <w:t>.承包人</w:t>
      </w:r>
      <w:bookmarkEnd w:id="148"/>
    </w:p>
    <w:bookmarkEnd w:id="149"/>
    <w:bookmarkEnd w:id="150"/>
    <w:bookmarkEnd w:id="151"/>
    <w:bookmarkEnd w:id="152"/>
    <w:bookmarkEnd w:id="153"/>
    <w:bookmarkEnd w:id="154"/>
    <w:bookmarkEnd w:id="155"/>
    <w:bookmarkEnd w:id="156"/>
    <w:bookmarkEnd w:id="157"/>
    <w:bookmarkEnd w:id="158"/>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 承包人的一般义务</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（5）承包人提交的竣工资料的内容：</w:t>
      </w:r>
      <w:r>
        <w:rPr>
          <w:rFonts w:hint="eastAsia" w:ascii="宋体" w:hAnsi="宋体" w:cs="宋体"/>
          <w:color w:val="auto"/>
          <w:sz w:val="24"/>
          <w:highlight w:val="none"/>
          <w:u w:val="single"/>
        </w:rPr>
        <w:t>符合竣工验收要求的竣工图、施工管理资料、施工技术资料及国家、地方规定的其他资料</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承包人需要提交的竣工资料套数：</w:t>
      </w:r>
      <w:r>
        <w:rPr>
          <w:rFonts w:hint="eastAsia" w:ascii="宋体" w:hAnsi="宋体" w:cs="宋体"/>
          <w:color w:val="auto"/>
          <w:sz w:val="24"/>
          <w:highlight w:val="none"/>
          <w:u w:val="single"/>
        </w:rPr>
        <w:t>按发包人要求提供</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承包人提交的竣工资料的费用承担：</w:t>
      </w:r>
      <w:r>
        <w:rPr>
          <w:rFonts w:hint="eastAsia" w:ascii="宋体" w:hAnsi="宋体" w:cs="宋体"/>
          <w:color w:val="auto"/>
          <w:sz w:val="24"/>
          <w:highlight w:val="none"/>
          <w:u w:val="single"/>
        </w:rPr>
        <w:t>承包人承担</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承包人提交的竣工资料移交时间：</w:t>
      </w:r>
      <w:r>
        <w:rPr>
          <w:rFonts w:hint="eastAsia" w:ascii="宋体" w:hAnsi="宋体" w:cs="宋体"/>
          <w:color w:val="auto"/>
          <w:sz w:val="24"/>
          <w:highlight w:val="none"/>
          <w:u w:val="single"/>
        </w:rPr>
        <w:t>竣工验收前7天内</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承包人提交的竣工资料形式要求：</w:t>
      </w:r>
      <w:r>
        <w:rPr>
          <w:rFonts w:hint="eastAsia" w:ascii="宋体" w:hAnsi="宋体" w:cs="宋体"/>
          <w:color w:val="auto"/>
          <w:sz w:val="24"/>
          <w:highlight w:val="none"/>
          <w:u w:val="single"/>
        </w:rPr>
        <w:t>纸质资料，同时竣工图提供电子版</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（6）承包人应履行的其他义务</w:t>
      </w:r>
      <w:r>
        <w:rPr>
          <w:rFonts w:hint="eastAsia" w:ascii="宋体" w:hAnsi="宋体" w:cs="宋体"/>
          <w:color w:val="auto"/>
          <w:sz w:val="24"/>
          <w:highlight w:val="none"/>
          <w:u w:val="single"/>
        </w:rPr>
        <w:t>协助发包人做好施工所需的条件、报监报建手续及其他政府部门需要的报批手续，告知义务</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 项目经理</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 项目经理：</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身份证号：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建造师执业资格等级：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建造师注册证书号：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建造师执业印章号：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安全生产考核合格证书号：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承包人对项目经理的授权范围如下</w:t>
      </w:r>
      <w:r>
        <w:rPr>
          <w:rFonts w:hint="eastAsia" w:ascii="宋体" w:hAnsi="宋体" w:cs="宋体"/>
          <w:color w:val="auto"/>
          <w:sz w:val="24"/>
          <w:highlight w:val="none"/>
          <w:u w:val="single"/>
        </w:rPr>
        <w:t>合同约定范围的权利、义务</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关于项目经理每月在施工现场的时间要求：</w:t>
      </w:r>
      <w:r>
        <w:rPr>
          <w:rFonts w:hint="eastAsia" w:ascii="宋体" w:hAnsi="宋体" w:cs="宋体"/>
          <w:color w:val="auto"/>
          <w:sz w:val="24"/>
          <w:highlight w:val="none"/>
          <w:u w:val="single"/>
        </w:rPr>
        <w:t>每天必须到工地现场一次，且关键部位施工必须在现场以及分部分项验收、隐蔽工程验收必须在现场</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承包人未提交劳动合同，以及没有为项目经理缴纳社会保险证明的违约责任：</w:t>
      </w:r>
      <w:r>
        <w:rPr>
          <w:rFonts w:hint="eastAsia" w:ascii="宋体" w:hAnsi="宋体" w:cs="宋体"/>
          <w:color w:val="auto"/>
          <w:sz w:val="24"/>
          <w:highlight w:val="none"/>
          <w:u w:val="single"/>
        </w:rPr>
        <w:t>由此而影响到项目报建报监手续办理、被主管部门处罚停工、民工上访等造成的经济损失，由承包人赔偿</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项目经理未经批准，擅自离开施工现场的违约责任：</w:t>
      </w:r>
      <w:r>
        <w:rPr>
          <w:rFonts w:hint="eastAsia" w:ascii="宋体" w:hAnsi="宋体" w:cs="宋体"/>
          <w:color w:val="auto"/>
          <w:sz w:val="24"/>
          <w:highlight w:val="none"/>
          <w:u w:val="single"/>
        </w:rPr>
        <w:t>未经发包人同意或正当理由，项目经理擅自离岗的，视为承包人违约，承包人应支付处违约金1000元(人民币)/人•次</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 承包人擅自更换项目经理的违约责任：</w:t>
      </w:r>
      <w:r>
        <w:rPr>
          <w:rFonts w:hint="eastAsia" w:ascii="宋体" w:hAnsi="宋体" w:cs="宋体"/>
          <w:color w:val="auto"/>
          <w:sz w:val="24"/>
          <w:highlight w:val="none"/>
          <w:u w:val="single"/>
        </w:rPr>
        <w:t>承包人施工现场项目经理必须与承包人投标时所承诺的人员必须一致，并在（开工日期）前到任。在监理人向承包人颁发（竣工证明材料名称）前，项目经理不得同时兼任其他任何项目（符合桂建管﹝2013﹞17号和桂建管﹝2014﹞25号文除外）。承包人擅自更换项目经理的视为违约，违约金处1000元(人民币)/人•次</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3.2.4 承包人无正当理由拒绝更换项目经理的违约责任</w:t>
      </w:r>
      <w:r>
        <w:rPr>
          <w:rFonts w:hint="eastAsia" w:ascii="宋体" w:hAnsi="宋体" w:cs="宋体"/>
          <w:color w:val="auto"/>
          <w:sz w:val="24"/>
          <w:highlight w:val="none"/>
          <w:u w:val="single"/>
        </w:rPr>
        <w:t>包人项目经理因不称职，发包人要求调换而未及时调换的，视为承包人违约，必须向发包人支付违约金1000元(人民币)/人•次</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 承包人人员</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3.3.1 承包人提交项目管理机构及施工现场管理人员安排报告的期限</w:t>
      </w:r>
      <w:r>
        <w:rPr>
          <w:rFonts w:hint="eastAsia" w:ascii="宋体" w:hAnsi="宋体" w:cs="宋体"/>
          <w:color w:val="auto"/>
          <w:sz w:val="24"/>
          <w:highlight w:val="none"/>
          <w:u w:val="single"/>
        </w:rPr>
        <w:t>开工前7天内</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3.3.3 承包人无正当理由拒绝撤换主要施工管理人员的违约责任：</w:t>
      </w:r>
      <w:r>
        <w:rPr>
          <w:rFonts w:hint="eastAsia" w:ascii="宋体" w:hAnsi="宋体" w:cs="宋体"/>
          <w:color w:val="auto"/>
          <w:sz w:val="24"/>
          <w:highlight w:val="none"/>
          <w:u w:val="single"/>
        </w:rPr>
        <w:t>承包人主要施工管理人员因不称职，发包人要求调换而无正当理由拒绝撤换或未及时调换的，视为承包人违约，必须向发包人交纳违约金，处罚标准：技术负责人1000元(人民币)/人•次；专业工程师2000元(人民币)/人•次</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3.3.4 承包人主要施工管理人员离开施工现场的批准要求</w:t>
      </w:r>
      <w:r>
        <w:rPr>
          <w:rFonts w:hint="eastAsia" w:ascii="宋体" w:hAnsi="宋体" w:cs="宋体"/>
          <w:color w:val="auto"/>
          <w:sz w:val="24"/>
          <w:highlight w:val="none"/>
          <w:u w:val="single"/>
        </w:rPr>
        <w:t xml:space="preserve">每人每天扣减工程款1000元，此款从承包人应得工程款扣除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3.3.5承包人擅自更换主要施工管理人员的违约责任</w:t>
      </w:r>
      <w:r>
        <w:rPr>
          <w:rFonts w:hint="eastAsia" w:ascii="宋体" w:hAnsi="宋体" w:cs="宋体"/>
          <w:color w:val="auto"/>
          <w:sz w:val="24"/>
          <w:highlight w:val="none"/>
          <w:u w:val="single"/>
        </w:rPr>
        <w:t>技术负责人、专业工程师未经发包人书面同意不准擅自更换，擅自更换技术负责人处1000元(人民币)/人•次违约金；擅自更换专业工程师处2000元(人民币)/人•次违约金</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承包人主要施工管理人员擅自离开施工现场的违约责任：</w:t>
      </w:r>
      <w:r>
        <w:rPr>
          <w:rFonts w:hint="eastAsia" w:ascii="宋体" w:hAnsi="宋体" w:cs="宋体"/>
          <w:color w:val="auto"/>
          <w:sz w:val="24"/>
          <w:highlight w:val="none"/>
          <w:u w:val="single"/>
        </w:rPr>
        <w:t>未经发包人同意，技术负责人擅自离岗的，视为承包人违约，承包人支付违约金2000元(人民币)/人•次；未经发包人同意，专业工程师擅自离岗的，视为承包人违约，承包人支付违约金1000元(人民币)/人•次</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bookmarkStart w:id="159" w:name="_Toc312677988"/>
      <w:bookmarkStart w:id="160" w:name="_Toc303539102"/>
      <w:bookmarkStart w:id="161" w:name="_Toc296890987"/>
      <w:bookmarkStart w:id="162" w:name="_Toc296346660"/>
      <w:bookmarkStart w:id="163" w:name="_Toc296891199"/>
      <w:bookmarkStart w:id="164" w:name="_Toc296347158"/>
      <w:bookmarkStart w:id="165" w:name="_Toc296944498"/>
      <w:bookmarkStart w:id="166" w:name="_Toc297048345"/>
      <w:bookmarkStart w:id="167" w:name="_Toc300934945"/>
      <w:bookmarkStart w:id="168" w:name="_Toc292559364"/>
      <w:bookmarkStart w:id="169" w:name="_Toc297216151"/>
      <w:bookmarkStart w:id="170" w:name="_Toc304295523"/>
      <w:bookmarkStart w:id="171" w:name="_Toc292559869"/>
      <w:bookmarkStart w:id="172" w:name="_Toc297120459"/>
      <w:bookmarkStart w:id="173" w:name="_Toc296503159"/>
      <w:bookmarkStart w:id="174" w:name="_Toc297123492"/>
      <w:r>
        <w:rPr>
          <w:rFonts w:hint="eastAsia" w:ascii="宋体" w:hAnsi="宋体" w:cs="宋体"/>
          <w:color w:val="auto"/>
          <w:sz w:val="24"/>
          <w:highlight w:val="none"/>
        </w:rPr>
        <w:t>.5 分包</w:t>
      </w:r>
    </w:p>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bookmarkStart w:id="175" w:name="_Toc296347159"/>
      <w:bookmarkStart w:id="176" w:name="_Toc303539103"/>
      <w:bookmarkStart w:id="177" w:name="_Toc292559365"/>
      <w:bookmarkStart w:id="178" w:name="_Toc296503160"/>
      <w:bookmarkStart w:id="179" w:name="_Toc296346661"/>
      <w:bookmarkStart w:id="180" w:name="_Toc300934946"/>
      <w:bookmarkStart w:id="181" w:name="_Toc304295524"/>
      <w:bookmarkStart w:id="182" w:name="_Toc297120460"/>
      <w:bookmarkStart w:id="183" w:name="_Toc296944499"/>
      <w:bookmarkStart w:id="184" w:name="_Toc297123493"/>
      <w:bookmarkStart w:id="185" w:name="_Toc297048346"/>
      <w:bookmarkStart w:id="186" w:name="_Toc296890988"/>
      <w:bookmarkStart w:id="187" w:name="_Toc296891200"/>
      <w:bookmarkStart w:id="188" w:name="_Toc297216152"/>
      <w:bookmarkStart w:id="189" w:name="_Toc292559870"/>
      <w:bookmarkStart w:id="190" w:name="_Toc312677989"/>
      <w:bookmarkStart w:id="191" w:name="_Toc318581158"/>
      <w:r>
        <w:rPr>
          <w:rFonts w:hint="eastAsia" w:ascii="宋体" w:hAnsi="宋体" w:cs="宋体"/>
          <w:color w:val="auto"/>
          <w:sz w:val="24"/>
          <w:highlight w:val="none"/>
        </w:rPr>
        <w:t>.5.1 分包的一般约定</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禁止分包的工程包括：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主体结构、关键性工作的范围：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Start w:id="192" w:name="_Toc297216153"/>
      <w:bookmarkStart w:id="193" w:name="_Toc296944500"/>
      <w:bookmarkStart w:id="194" w:name="_Toc297120461"/>
      <w:bookmarkStart w:id="195" w:name="_Toc297123494"/>
      <w:bookmarkStart w:id="196" w:name="_Toc303539104"/>
      <w:bookmarkStart w:id="197" w:name="_Toc297048347"/>
      <w:bookmarkStart w:id="198" w:name="_Toc296891201"/>
      <w:bookmarkStart w:id="199" w:name="_Toc296347160"/>
      <w:bookmarkStart w:id="200" w:name="_Toc304295525"/>
      <w:bookmarkStart w:id="201" w:name="_Toc300934947"/>
      <w:bookmarkStart w:id="202" w:name="_Toc296503161"/>
      <w:bookmarkStart w:id="203" w:name="_Toc296346662"/>
      <w:bookmarkStart w:id="204" w:name="_Toc296890989"/>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bookmarkStart w:id="205" w:name="_Toc318581159"/>
      <w:bookmarkStart w:id="206" w:name="_Toc312677990"/>
      <w:r>
        <w:rPr>
          <w:rFonts w:hint="eastAsia" w:ascii="宋体" w:hAnsi="宋体" w:cs="宋体"/>
          <w:color w:val="auto"/>
          <w:sz w:val="24"/>
          <w:highlight w:val="none"/>
        </w:rPr>
        <w:t>.5.2分包的确定</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允许分包的专业工程包括：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其他关于分包的约定：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3.5.4 分包合同价款</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关于分包合同价款支付的约定：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205"/>
    <w:bookmarkEnd w:id="206"/>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 工程照管与成品、半成品保护</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承包人负责照管工程及工程相关的材料、工程设备的起始时间：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3.7 履约担保</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承包人是否提供履约担保：</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bookmarkStart w:id="207" w:name="_Toc351203636"/>
      <w:r>
        <w:rPr>
          <w:rFonts w:hint="eastAsia" w:ascii="宋体" w:hAnsi="宋体" w:cs="宋体"/>
          <w:b/>
          <w:bCs/>
          <w:color w:val="auto"/>
          <w:sz w:val="24"/>
          <w:highlight w:val="none"/>
        </w:rPr>
        <w:t>4</w:t>
      </w:r>
      <w:bookmarkStart w:id="208" w:name="_Toc296891202"/>
      <w:bookmarkStart w:id="209" w:name="_Toc296346663"/>
      <w:bookmarkStart w:id="210" w:name="_Toc296890990"/>
      <w:bookmarkStart w:id="211" w:name="_Toc297120462"/>
      <w:bookmarkStart w:id="212" w:name="_Toc267251413"/>
      <w:bookmarkStart w:id="213" w:name="_Toc297048348"/>
      <w:bookmarkStart w:id="214" w:name="_Toc296347161"/>
      <w:bookmarkStart w:id="215" w:name="_Toc292559366"/>
      <w:bookmarkStart w:id="216" w:name="_Toc296503162"/>
      <w:bookmarkStart w:id="217" w:name="_Toc292559871"/>
      <w:bookmarkStart w:id="218" w:name="_Toc296944501"/>
      <w:r>
        <w:rPr>
          <w:rFonts w:hint="eastAsia" w:ascii="宋体" w:hAnsi="宋体" w:cs="宋体"/>
          <w:b/>
          <w:bCs/>
          <w:color w:val="auto"/>
          <w:sz w:val="24"/>
          <w:highlight w:val="none"/>
        </w:rPr>
        <w:t>.监</w:t>
      </w:r>
      <w:bookmarkEnd w:id="208"/>
      <w:bookmarkEnd w:id="209"/>
      <w:bookmarkEnd w:id="210"/>
      <w:bookmarkEnd w:id="211"/>
      <w:bookmarkEnd w:id="212"/>
      <w:bookmarkEnd w:id="213"/>
      <w:bookmarkEnd w:id="214"/>
      <w:bookmarkEnd w:id="215"/>
      <w:bookmarkEnd w:id="216"/>
      <w:bookmarkEnd w:id="217"/>
      <w:bookmarkEnd w:id="218"/>
      <w:r>
        <w:rPr>
          <w:rFonts w:hint="eastAsia" w:ascii="宋体" w:hAnsi="宋体" w:cs="宋体"/>
          <w:b/>
          <w:bCs/>
          <w:color w:val="auto"/>
          <w:sz w:val="24"/>
          <w:highlight w:val="none"/>
        </w:rPr>
        <w:t>理人</w:t>
      </w:r>
      <w:bookmarkEnd w:id="207"/>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4.1监理人的一般规定</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关于监理人的监理内容：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关于监理人的监理权限：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关于监理人在施工现场的办公场所、生活场所的提供和费用承担的约定：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 监理人员</w:t>
      </w:r>
    </w:p>
    <w:p>
      <w:pPr>
        <w:adjustRightInd w:val="0"/>
        <w:spacing w:line="40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总监理工程师：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监理工程师执业资格证书号：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关于监理人的其他约定：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4.4 商定或确定</w:t>
      </w:r>
    </w:p>
    <w:p>
      <w:pPr>
        <w:adjustRightInd w:val="0"/>
        <w:spacing w:line="400" w:lineRule="exact"/>
        <w:ind w:firstLine="480" w:firstLineChars="200"/>
        <w:jc w:val="left"/>
        <w:rPr>
          <w:rFonts w:ascii="宋体" w:hAnsi="宋体" w:cs="宋体"/>
          <w:color w:val="auto"/>
          <w:sz w:val="24"/>
          <w:highlight w:val="none"/>
        </w:rPr>
      </w:pPr>
      <w:bookmarkStart w:id="219" w:name="_Toc267251418"/>
      <w:r>
        <w:rPr>
          <w:rFonts w:hint="eastAsia" w:ascii="宋体" w:hAnsi="宋体" w:cs="宋体"/>
          <w:color w:val="auto"/>
          <w:sz w:val="24"/>
          <w:highlight w:val="none"/>
        </w:rPr>
        <w:t>在发包人和承包人不能通过协商达成一致意见时，发包人授权监理人对以下事项进行确定：</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bookmarkStart w:id="220" w:name="_Toc351203637"/>
      <w:r>
        <w:rPr>
          <w:rFonts w:hint="eastAsia" w:ascii="宋体" w:hAnsi="宋体" w:cs="宋体"/>
          <w:b/>
          <w:bCs/>
          <w:color w:val="auto"/>
          <w:sz w:val="24"/>
          <w:highlight w:val="none"/>
        </w:rPr>
        <w:t>5</w:t>
      </w:r>
      <w:bookmarkEnd w:id="219"/>
      <w:r>
        <w:rPr>
          <w:rFonts w:hint="eastAsia" w:ascii="宋体" w:hAnsi="宋体" w:cs="宋体"/>
          <w:b/>
          <w:bCs/>
          <w:color w:val="auto"/>
          <w:sz w:val="24"/>
          <w:highlight w:val="none"/>
        </w:rPr>
        <w:t>.工程质量</w:t>
      </w:r>
      <w:bookmarkEnd w:id="220"/>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 质量要求</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5.1.1 特殊质量标准和要求：</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关于工程奖项的约定：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 隐蔽工程检查</w:t>
      </w:r>
      <w:r>
        <w:rPr>
          <w:rFonts w:hint="eastAsia" w:ascii="宋体" w:hAnsi="宋体" w:cs="宋体"/>
          <w:color w:val="auto"/>
          <w:sz w:val="24"/>
          <w:highlight w:val="none"/>
          <w:u w:val="singl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5.3.1承包人提前通知监理人隐蔽工程检查的期限的约定：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监理人不能按时进行检查时，应提前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小时提交书面延期要求。</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关于延期最长不得超过：</w:t>
      </w:r>
      <w:r>
        <w:rPr>
          <w:rFonts w:hint="eastAsia" w:ascii="宋体" w:hAnsi="宋体" w:cs="宋体"/>
          <w:color w:val="auto"/>
          <w:sz w:val="24"/>
          <w:highlight w:val="none"/>
          <w:u w:val="single"/>
        </w:rPr>
        <w:t xml:space="preserve"> 48 </w:t>
      </w:r>
      <w:r>
        <w:rPr>
          <w:rFonts w:hint="eastAsia" w:ascii="宋体" w:hAnsi="宋体" w:cs="宋体"/>
          <w:color w:val="auto"/>
          <w:sz w:val="24"/>
          <w:highlight w:val="none"/>
        </w:rPr>
        <w:t>小时。</w:t>
      </w:r>
    </w:p>
    <w:p>
      <w:pPr>
        <w:spacing w:line="400" w:lineRule="exact"/>
        <w:ind w:firstLine="482" w:firstLineChars="200"/>
        <w:rPr>
          <w:rFonts w:ascii="宋体" w:hAnsi="宋体" w:cs="宋体"/>
          <w:b/>
          <w:bCs/>
          <w:color w:val="auto"/>
          <w:sz w:val="24"/>
          <w:highlight w:val="none"/>
        </w:rPr>
      </w:pPr>
      <w:bookmarkStart w:id="221" w:name="_Toc351203638"/>
      <w:r>
        <w:rPr>
          <w:rFonts w:hint="eastAsia" w:ascii="宋体" w:hAnsi="宋体" w:cs="宋体"/>
          <w:b/>
          <w:bCs/>
          <w:color w:val="auto"/>
          <w:sz w:val="24"/>
          <w:highlight w:val="none"/>
        </w:rPr>
        <w:t>6.安全文明施工与环境保护</w:t>
      </w:r>
      <w:bookmarkEnd w:id="221"/>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6.1安全文明施工</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6.1.1 项目安全生产的达标目标及相应事项的约定：</w:t>
      </w:r>
      <w:r>
        <w:rPr>
          <w:rFonts w:hint="eastAsia" w:ascii="宋体" w:hAnsi="宋体" w:cs="宋体"/>
          <w:color w:val="auto"/>
          <w:sz w:val="24"/>
          <w:highlight w:val="none"/>
          <w:u w:val="single"/>
        </w:rPr>
        <w:t>在施工过程中不发生任何安全责任事故,如发生安全责任事故的，将扣除施工费用并由施工单位</w:t>
      </w:r>
      <w:bookmarkStart w:id="222" w:name="_Toc297120468"/>
      <w:bookmarkStart w:id="223" w:name="_Toc296347167"/>
      <w:bookmarkStart w:id="224" w:name="_Toc300934980"/>
      <w:bookmarkStart w:id="225" w:name="_Toc267251424"/>
      <w:bookmarkStart w:id="226" w:name="_Toc296891208"/>
      <w:bookmarkStart w:id="227" w:name="_Toc280868656"/>
      <w:bookmarkStart w:id="228" w:name="_Toc297048354"/>
      <w:bookmarkStart w:id="229" w:name="_Toc296346669"/>
      <w:bookmarkStart w:id="230" w:name="_Toc296890996"/>
      <w:bookmarkStart w:id="231" w:name="_Toc296944507"/>
      <w:bookmarkStart w:id="232" w:name="_Toc312678020"/>
      <w:bookmarkStart w:id="233" w:name="_Toc297123528"/>
      <w:bookmarkStart w:id="234" w:name="_Toc318581173"/>
      <w:bookmarkStart w:id="235" w:name="_Toc280868655"/>
      <w:bookmarkStart w:id="236" w:name="_Toc303539137"/>
      <w:bookmarkStart w:id="237" w:name="_Toc296503168"/>
      <w:bookmarkStart w:id="238" w:name="_Toc304295557"/>
      <w:bookmarkStart w:id="239" w:name="_Toc312677494"/>
      <w:bookmarkStart w:id="240" w:name="_Toc297216187"/>
      <w:r>
        <w:rPr>
          <w:rFonts w:hint="eastAsia" w:ascii="宋体" w:hAnsi="宋体" w:cs="宋体"/>
          <w:color w:val="auto"/>
          <w:sz w:val="24"/>
          <w:highlight w:val="none"/>
          <w:u w:val="single"/>
        </w:rPr>
        <w:t>全盘负责。</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6.1.2 关于治安保卫的特别约定：</w:t>
      </w:r>
      <w:r>
        <w:rPr>
          <w:rFonts w:hint="eastAsia" w:ascii="宋体" w:hAnsi="宋体" w:cs="宋体"/>
          <w:color w:val="auto"/>
          <w:sz w:val="24"/>
          <w:highlight w:val="none"/>
          <w:u w:val="single"/>
        </w:rPr>
        <w:t xml:space="preserve">承包人应承担施工安全保卫工作及施工照明的责任，承包人应采取一切合理的预防措施，防止人员伤亡、财产损失事故，费用由承包人承担。承包人生活设施及施工场应自费配备消防设备（符合消防安全规定），防止火灾发生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关于编制施工场地治安管理计划的约定：</w:t>
      </w:r>
      <w:r>
        <w:rPr>
          <w:rFonts w:hint="eastAsia" w:ascii="宋体" w:hAnsi="宋体" w:cs="宋体"/>
          <w:color w:val="auto"/>
          <w:sz w:val="24"/>
          <w:highlight w:val="none"/>
          <w:u w:val="single"/>
        </w:rPr>
        <w:t>由承包人负责编制和办理报批手续</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6.1.3 文明施工</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合同当事人对文明施工的要求：</w:t>
      </w:r>
      <w:r>
        <w:rPr>
          <w:rFonts w:hint="eastAsia" w:ascii="宋体" w:hAnsi="宋体" w:cs="宋体"/>
          <w:color w:val="auto"/>
          <w:sz w:val="24"/>
          <w:highlight w:val="none"/>
          <w:u w:val="single"/>
        </w:rPr>
        <w:t>遵守行业和项目所在地方政府的规定</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6.1.4关于安全文明施工费支付比例和支付期限的约定：</w:t>
      </w:r>
      <w:r>
        <w:rPr>
          <w:rFonts w:hint="eastAsia" w:ascii="宋体" w:hAnsi="宋体" w:cs="宋体"/>
          <w:color w:val="auto"/>
          <w:sz w:val="24"/>
          <w:highlight w:val="none"/>
          <w:u w:val="single"/>
        </w:rPr>
        <w:t xml:space="preserve">本合同价款已包含安全防护、文明施工措施费      元，使用要求：专款专用。具体按《广西壮族自治区建设工程安全文明施工费使用细则》（桂建质[2015]16号文）和梧州市相关规定执行 </w:t>
      </w:r>
      <w:r>
        <w:rPr>
          <w:rFonts w:hint="eastAsia" w:ascii="宋体" w:hAnsi="宋体" w:cs="宋体"/>
          <w:color w:val="auto"/>
          <w:sz w:val="24"/>
          <w:highlight w:val="none"/>
        </w:rPr>
        <w:t xml:space="preserve"> 。</w:t>
      </w:r>
    </w:p>
    <w:p>
      <w:pPr>
        <w:spacing w:line="400" w:lineRule="exact"/>
        <w:ind w:firstLine="482" w:firstLineChars="200"/>
        <w:rPr>
          <w:rFonts w:ascii="宋体" w:hAnsi="宋体" w:cs="宋体"/>
          <w:b/>
          <w:bCs/>
          <w:color w:val="auto"/>
          <w:sz w:val="24"/>
          <w:highlight w:val="none"/>
        </w:rPr>
      </w:pPr>
      <w:bookmarkStart w:id="241" w:name="_Toc351203639"/>
      <w:r>
        <w:rPr>
          <w:rFonts w:hint="eastAsia" w:ascii="宋体" w:hAnsi="宋体" w:cs="宋体"/>
          <w:b/>
          <w:bCs/>
          <w:color w:val="auto"/>
          <w:sz w:val="24"/>
          <w:highlight w:val="none"/>
        </w:rPr>
        <w:t>7.工期和进度</w:t>
      </w:r>
      <w:bookmarkEnd w:id="241"/>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 施工组织设计</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7.1.1 合同当事人约定的施工组织设计应包括的其他内容：</w:t>
      </w:r>
      <w:r>
        <w:rPr>
          <w:rFonts w:hint="eastAsia" w:ascii="宋体" w:hAnsi="宋体" w:cs="宋体"/>
          <w:color w:val="auto"/>
          <w:sz w:val="24"/>
          <w:highlight w:val="none"/>
          <w:u w:val="single"/>
        </w:rPr>
        <w:t>按照工程特点和行业有关规定编制</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7.1.2 施工组织设计的提交和修改</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承包人提交详细施工组织设计的期限的约定：</w:t>
      </w:r>
      <w:r>
        <w:rPr>
          <w:rFonts w:hint="eastAsia" w:ascii="宋体" w:hAnsi="宋体" w:cs="宋体"/>
          <w:color w:val="auto"/>
          <w:sz w:val="24"/>
          <w:highlight w:val="none"/>
          <w:u w:val="single"/>
        </w:rPr>
        <w:t>开工前7天</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发包人和监理人在收到详细的施工组织设计后确认或提出修改意见的期限：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bookmarkStart w:id="242" w:name="_Toc303539123"/>
      <w:bookmarkStart w:id="243" w:name="_Toc304295541"/>
      <w:bookmarkStart w:id="244" w:name="_Toc300934966"/>
      <w:bookmarkStart w:id="245" w:name="_Toc297216173"/>
      <w:bookmarkStart w:id="246" w:name="_Toc297123514"/>
      <w:bookmarkStart w:id="247" w:name="_Toc312678005"/>
      <w:bookmarkStart w:id="248" w:name="_Toc312677479"/>
      <w:r>
        <w:rPr>
          <w:rFonts w:hint="eastAsia" w:ascii="宋体" w:hAnsi="宋体" w:cs="宋体"/>
          <w:color w:val="auto"/>
          <w:sz w:val="24"/>
          <w:highlight w:val="none"/>
        </w:rPr>
        <w:t>.2 施工进度计划</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7.2.2 施工进度计划的修订</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发包人和监理人在收到修订的施工进度计划后确认或提出修改意见的期限：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7.3 开工</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7.3.1 开工准备</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关于承包人提交工程开工报审表的期限：</w:t>
      </w:r>
      <w:r>
        <w:rPr>
          <w:rFonts w:hint="eastAsia" w:ascii="宋体" w:hAnsi="宋体" w:cs="宋体"/>
          <w:color w:val="auto"/>
          <w:sz w:val="24"/>
          <w:highlight w:val="none"/>
          <w:u w:val="single"/>
        </w:rPr>
        <w:t>开工前3天</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关于发包人应完成的其他开工准备工作及期限：</w:t>
      </w:r>
      <w:r>
        <w:rPr>
          <w:rFonts w:hint="eastAsia" w:ascii="宋体" w:hAnsi="宋体" w:cs="宋体"/>
          <w:color w:val="auto"/>
          <w:sz w:val="24"/>
          <w:highlight w:val="none"/>
          <w:u w:val="single"/>
        </w:rPr>
        <w:t>开工前7天</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关于承包人应完成的其他开工准备工作及期限：</w:t>
      </w:r>
      <w:r>
        <w:rPr>
          <w:rFonts w:hint="eastAsia" w:ascii="宋体" w:hAnsi="宋体" w:cs="宋体"/>
          <w:color w:val="auto"/>
          <w:sz w:val="24"/>
          <w:highlight w:val="none"/>
          <w:u w:val="single"/>
        </w:rPr>
        <w:t>开工前3天</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7.3.2开工通知</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因发包人原因造成监理人未能在计划开工日期之日起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天内发出开工通知的，承包人有权提出价格调整要求，或者解除合同。</w:t>
      </w:r>
    </w:p>
    <w:bookmarkEnd w:id="242"/>
    <w:bookmarkEnd w:id="243"/>
    <w:bookmarkEnd w:id="244"/>
    <w:bookmarkEnd w:id="245"/>
    <w:bookmarkEnd w:id="246"/>
    <w:bookmarkEnd w:id="247"/>
    <w:bookmarkEnd w:id="248"/>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7.4 测量放线</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7.4.1发包人通过监理人向承包人提供测量基准点、基准线和水准点及其书面资料的期限：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bookmarkStart w:id="249" w:name="_Toc297216175"/>
      <w:bookmarkStart w:id="250" w:name="_Toc304295546"/>
      <w:bookmarkStart w:id="251" w:name="_Toc300934968"/>
      <w:bookmarkStart w:id="252" w:name="_Toc303539125"/>
      <w:bookmarkStart w:id="253" w:name="_Toc297123516"/>
      <w:bookmarkStart w:id="254" w:name="_Toc312677484"/>
      <w:bookmarkStart w:id="255" w:name="_Toc312678010"/>
      <w:r>
        <w:rPr>
          <w:rFonts w:hint="eastAsia" w:ascii="宋体" w:hAnsi="宋体" w:cs="宋体"/>
          <w:color w:val="auto"/>
          <w:sz w:val="24"/>
          <w:highlight w:val="none"/>
        </w:rPr>
        <w:t>.5 工期延误</w:t>
      </w:r>
    </w:p>
    <w:bookmarkEnd w:id="249"/>
    <w:bookmarkEnd w:id="250"/>
    <w:bookmarkEnd w:id="251"/>
    <w:bookmarkEnd w:id="252"/>
    <w:bookmarkEnd w:id="253"/>
    <w:bookmarkEnd w:id="254"/>
    <w:bookmarkEnd w:id="255"/>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7.5.1 因发包人原因导致工期延误</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（7）因发包人原因导致工期延误的其他情形：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bookmarkStart w:id="256" w:name="_Toc312678012"/>
      <w:bookmarkStart w:id="257" w:name="_Toc318581169"/>
      <w:bookmarkStart w:id="258" w:name="_Toc312677486"/>
      <w:bookmarkStart w:id="259" w:name="_Toc304295548"/>
      <w:bookmarkStart w:id="260" w:name="_Toc297123518"/>
      <w:bookmarkStart w:id="261" w:name="_Toc303539127"/>
      <w:bookmarkStart w:id="262" w:name="_Toc300934970"/>
      <w:bookmarkStart w:id="263" w:name="_Toc297216177"/>
      <w:r>
        <w:rPr>
          <w:rFonts w:hint="eastAsia" w:ascii="宋体" w:hAnsi="宋体" w:cs="宋体"/>
          <w:color w:val="auto"/>
          <w:sz w:val="24"/>
          <w:highlight w:val="none"/>
        </w:rPr>
        <w:t>.5.2 因承包人原因导致工期延误</w:t>
      </w:r>
    </w:p>
    <w:bookmarkEnd w:id="256"/>
    <w:bookmarkEnd w:id="257"/>
    <w:bookmarkEnd w:id="258"/>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因</w:t>
      </w:r>
      <w:bookmarkStart w:id="264" w:name="_Toc312677487"/>
      <w:bookmarkStart w:id="265" w:name="_Toc312678013"/>
      <w:bookmarkStart w:id="266" w:name="_Toc318581170"/>
      <w:r>
        <w:rPr>
          <w:rFonts w:hint="eastAsia" w:ascii="宋体" w:hAnsi="宋体" w:cs="宋体"/>
          <w:color w:val="auto"/>
          <w:sz w:val="24"/>
          <w:highlight w:val="none"/>
        </w:rPr>
        <w:t>承包人原因造成工期延误，逾期竣工违约金的计算方法为：</w:t>
      </w:r>
      <w:r>
        <w:rPr>
          <w:rFonts w:hint="eastAsia" w:ascii="宋体" w:hAnsi="宋体" w:cs="宋体"/>
          <w:color w:val="auto"/>
          <w:sz w:val="24"/>
          <w:highlight w:val="none"/>
          <w:u w:val="single"/>
        </w:rPr>
        <w:t>扣除施工费用（暂按200元/日）</w:t>
      </w:r>
      <w:r>
        <w:rPr>
          <w:rFonts w:hint="eastAsia" w:ascii="宋体" w:hAnsi="宋体" w:cs="宋体"/>
          <w:color w:val="auto"/>
          <w:sz w:val="24"/>
          <w:highlight w:val="none"/>
        </w:rPr>
        <w:t xml:space="preserve"> 。</w:t>
      </w:r>
      <w:bookmarkEnd w:id="259"/>
      <w:bookmarkEnd w:id="260"/>
      <w:bookmarkEnd w:id="261"/>
      <w:bookmarkEnd w:id="262"/>
      <w:bookmarkEnd w:id="263"/>
      <w:bookmarkEnd w:id="264"/>
      <w:bookmarkEnd w:id="265"/>
    </w:p>
    <w:bookmarkEnd w:id="266"/>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因承包人原因造成工期延误，逾</w:t>
      </w:r>
      <w:bookmarkStart w:id="267" w:name="_Toc312678014"/>
      <w:bookmarkStart w:id="268" w:name="_Toc318581171"/>
      <w:r>
        <w:rPr>
          <w:rFonts w:hint="eastAsia" w:ascii="宋体" w:hAnsi="宋体" w:cs="宋体"/>
          <w:color w:val="auto"/>
          <w:sz w:val="24"/>
          <w:highlight w:val="none"/>
        </w:rPr>
        <w:t>期竣工违约金的上限：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267"/>
    <w:bookmarkEnd w:id="268"/>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bookmarkStart w:id="269" w:name="_Toc303539128"/>
      <w:bookmarkStart w:id="270" w:name="_Toc304295549"/>
      <w:bookmarkStart w:id="271" w:name="_Toc300934971"/>
      <w:bookmarkStart w:id="272" w:name="_Toc312678015"/>
      <w:bookmarkStart w:id="273" w:name="_Toc297216178"/>
      <w:bookmarkStart w:id="274" w:name="_Toc297123519"/>
      <w:r>
        <w:rPr>
          <w:rFonts w:hint="eastAsia" w:ascii="宋体" w:hAnsi="宋体" w:cs="宋体"/>
          <w:color w:val="auto"/>
          <w:sz w:val="24"/>
          <w:highlight w:val="none"/>
        </w:rPr>
        <w:t>.6 不</w:t>
      </w:r>
      <w:bookmarkEnd w:id="269"/>
      <w:bookmarkEnd w:id="270"/>
      <w:bookmarkEnd w:id="271"/>
      <w:bookmarkEnd w:id="272"/>
      <w:bookmarkEnd w:id="273"/>
      <w:bookmarkEnd w:id="274"/>
      <w:r>
        <w:rPr>
          <w:rFonts w:hint="eastAsia" w:ascii="宋体" w:hAnsi="宋体" w:cs="宋体"/>
          <w:color w:val="auto"/>
          <w:sz w:val="24"/>
          <w:highlight w:val="none"/>
        </w:rPr>
        <w:t>利物质条件</w:t>
      </w:r>
    </w:p>
    <w:p>
      <w:pPr>
        <w:adjustRightInd w:val="0"/>
        <w:spacing w:line="400" w:lineRule="exact"/>
        <w:ind w:firstLine="480" w:firstLineChars="200"/>
        <w:jc w:val="left"/>
        <w:rPr>
          <w:rFonts w:ascii="宋体" w:hAnsi="宋体" w:cs="宋体"/>
          <w:color w:val="auto"/>
          <w:sz w:val="24"/>
          <w:highlight w:val="none"/>
        </w:rPr>
      </w:pPr>
      <w:bookmarkStart w:id="275" w:name="_Toc304295550"/>
      <w:bookmarkStart w:id="276" w:name="_Toc303539129"/>
      <w:bookmarkStart w:id="277" w:name="_Toc300934972"/>
      <w:bookmarkStart w:id="278" w:name="_Toc297216179"/>
      <w:bookmarkStart w:id="279" w:name="_Toc312678016"/>
      <w:bookmarkStart w:id="280" w:name="_Toc318581172"/>
      <w:bookmarkStart w:id="281" w:name="_Toc297123520"/>
      <w:r>
        <w:rPr>
          <w:rFonts w:hint="eastAsia" w:ascii="宋体" w:hAnsi="宋体" w:cs="宋体"/>
          <w:color w:val="auto"/>
          <w:sz w:val="24"/>
          <w:highlight w:val="none"/>
        </w:rPr>
        <w:t>不利物质条件的其他情形和有关约定：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275"/>
    <w:bookmarkEnd w:id="276"/>
    <w:bookmarkEnd w:id="277"/>
    <w:bookmarkEnd w:id="278"/>
    <w:bookmarkEnd w:id="279"/>
    <w:bookmarkEnd w:id="280"/>
    <w:bookmarkEnd w:id="281"/>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bookmarkStart w:id="282" w:name="_Toc297216180"/>
      <w:bookmarkStart w:id="283" w:name="_Toc304295551"/>
      <w:bookmarkStart w:id="284" w:name="_Toc297123521"/>
      <w:bookmarkStart w:id="285" w:name="_Toc312678017"/>
      <w:bookmarkStart w:id="286" w:name="_Toc303539130"/>
      <w:bookmarkStart w:id="287" w:name="_Toc300934973"/>
      <w:r>
        <w:rPr>
          <w:rFonts w:hint="eastAsia" w:ascii="宋体" w:hAnsi="宋体" w:cs="宋体"/>
          <w:color w:val="auto"/>
          <w:sz w:val="24"/>
          <w:highlight w:val="none"/>
        </w:rPr>
        <w:t>.7异常恶劣的气候条件</w:t>
      </w:r>
    </w:p>
    <w:bookmarkEnd w:id="282"/>
    <w:bookmarkEnd w:id="283"/>
    <w:bookmarkEnd w:id="284"/>
    <w:bookmarkEnd w:id="285"/>
    <w:bookmarkEnd w:id="286"/>
    <w:bookmarkEnd w:id="287"/>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发包人和承包人同意以下情形视为异常恶劣的气候条件：</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零度以下低温天气</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连续暴雨3天以上</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u w:val="single"/>
        </w:rPr>
        <w:t>连续3天8级以（含）大风</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7.9 提前竣工的奖励</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7.9.2提前竣工的奖励：</w:t>
      </w:r>
      <w:r>
        <w:rPr>
          <w:rFonts w:hint="eastAsia" w:ascii="宋体" w:hAnsi="宋体" w:cs="宋体"/>
          <w:color w:val="auto"/>
          <w:sz w:val="24"/>
          <w:highlight w:val="none"/>
          <w:u w:val="single"/>
        </w:rPr>
        <w:t>无（如有则另签订补充协议）</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bookmarkStart w:id="288" w:name="_Toc351203640"/>
      <w:r>
        <w:rPr>
          <w:rFonts w:hint="eastAsia" w:ascii="宋体" w:hAnsi="宋体" w:cs="宋体"/>
          <w:b/>
          <w:bCs/>
          <w:color w:val="auto"/>
          <w:sz w:val="24"/>
          <w:highlight w:val="none"/>
        </w:rPr>
        <w:t>8.材料与设备</w:t>
      </w:r>
      <w:bookmarkEnd w:id="288"/>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w:t>
      </w:r>
      <w:bookmarkStart w:id="289" w:name="_Toc296346668"/>
      <w:bookmarkStart w:id="290" w:name="_Toc300934979"/>
      <w:bookmarkStart w:id="291" w:name="_Toc297216186"/>
      <w:bookmarkStart w:id="292" w:name="_Toc312678019"/>
      <w:bookmarkStart w:id="293" w:name="_Toc296347166"/>
      <w:bookmarkStart w:id="294" w:name="_Toc296944506"/>
      <w:bookmarkStart w:id="295" w:name="_Toc312677493"/>
      <w:bookmarkStart w:id="296" w:name="_Toc292559372"/>
      <w:bookmarkStart w:id="297" w:name="_Toc296503167"/>
      <w:bookmarkStart w:id="298" w:name="_Toc303539136"/>
      <w:bookmarkStart w:id="299" w:name="_Toc296891207"/>
      <w:bookmarkStart w:id="300" w:name="_Toc297048353"/>
      <w:bookmarkStart w:id="301" w:name="_Toc304295556"/>
      <w:bookmarkStart w:id="302" w:name="_Toc297123527"/>
      <w:bookmarkStart w:id="303" w:name="_Toc297120467"/>
      <w:bookmarkStart w:id="304" w:name="_Toc292559877"/>
      <w:bookmarkStart w:id="305" w:name="_Toc296890995"/>
      <w:bookmarkStart w:id="306" w:name="_Toc280868654"/>
      <w:r>
        <w:rPr>
          <w:rFonts w:hint="eastAsia" w:ascii="宋体" w:hAnsi="宋体" w:cs="宋体"/>
          <w:color w:val="auto"/>
          <w:sz w:val="24"/>
          <w:highlight w:val="none"/>
        </w:rPr>
        <w:t>.4材料与工程设备的保管与使用</w:t>
      </w: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w:t>
      </w:r>
      <w:bookmarkStart w:id="307" w:name="_Toc292559373"/>
      <w:bookmarkStart w:id="308" w:name="_Toc292559878"/>
      <w:r>
        <w:rPr>
          <w:rFonts w:hint="eastAsia" w:ascii="宋体" w:hAnsi="宋体" w:cs="宋体"/>
          <w:color w:val="auto"/>
          <w:sz w:val="24"/>
          <w:highlight w:val="none"/>
        </w:rPr>
        <w:t>.4.1发包人供应的材料设备的保管费用的承担：</w:t>
      </w:r>
      <w:r>
        <w:rPr>
          <w:rFonts w:hint="eastAsia" w:ascii="宋体" w:hAnsi="宋体" w:cs="宋体"/>
          <w:color w:val="auto"/>
          <w:sz w:val="24"/>
          <w:highlight w:val="none"/>
          <w:u w:val="single"/>
        </w:rPr>
        <w:t>由承包人承担</w:t>
      </w:r>
      <w:r>
        <w:rPr>
          <w:rFonts w:hint="eastAsia" w:ascii="宋体" w:hAnsi="宋体" w:cs="宋体"/>
          <w:color w:val="auto"/>
          <w:sz w:val="24"/>
          <w:highlight w:val="none"/>
        </w:rPr>
        <w:t>。</w:t>
      </w:r>
      <w:bookmarkEnd w:id="307"/>
      <w:bookmarkEnd w:id="308"/>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8.6 样品</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8.6.1样品的报送与封存</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需要承包人报送样品的材料或工程设备，样品的种类、名称</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Start w:id="309" w:name="_Toc300934985"/>
      <w:bookmarkStart w:id="310" w:name="_Toc296944512"/>
      <w:bookmarkStart w:id="311" w:name="_Toc312678024"/>
      <w:bookmarkStart w:id="312" w:name="_Toc297123536"/>
      <w:bookmarkStart w:id="313" w:name="_Toc297048359"/>
      <w:bookmarkStart w:id="314" w:name="_Toc267251427"/>
      <w:bookmarkStart w:id="315" w:name="_Toc318581174"/>
      <w:bookmarkStart w:id="316" w:name="_Toc296503173"/>
      <w:bookmarkStart w:id="317" w:name="_Toc304295562"/>
      <w:bookmarkStart w:id="318" w:name="_Toc292559378"/>
      <w:bookmarkStart w:id="319" w:name="_Toc312677498"/>
      <w:bookmarkStart w:id="320" w:name="_Toc296891001"/>
      <w:bookmarkStart w:id="321" w:name="_Toc267251428"/>
      <w:bookmarkStart w:id="322" w:name="_Toc296346674"/>
      <w:bookmarkStart w:id="323" w:name="_Toc292559883"/>
      <w:bookmarkStart w:id="324" w:name="_Toc303539142"/>
      <w:bookmarkStart w:id="325" w:name="_Toc296891213"/>
      <w:bookmarkStart w:id="326" w:name="_Toc297120473"/>
      <w:bookmarkStart w:id="327" w:name="_Toc297216195"/>
      <w:bookmarkStart w:id="328" w:name="_Toc296347172"/>
      <w:r>
        <w:rPr>
          <w:rFonts w:hint="eastAsia" w:ascii="宋体" w:hAnsi="宋体" w:cs="宋体"/>
          <w:color w:val="auto"/>
          <w:sz w:val="24"/>
          <w:highlight w:val="none"/>
        </w:rPr>
        <w:t>、规格、数量要求：</w:t>
      </w:r>
      <w:r>
        <w:rPr>
          <w:rFonts w:hint="eastAsia" w:ascii="宋体" w:hAnsi="宋体" w:cs="宋体"/>
          <w:color w:val="auto"/>
          <w:sz w:val="24"/>
          <w:highlight w:val="none"/>
          <w:u w:val="single"/>
        </w:rPr>
        <w:t>主要材料涉及品种、款式、颜色等方面内容的，承包人应提交准备合格的材料样品送发包人选定</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8.8 施工设备和临时设施</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8.8.1 承包人提供的施工设备和临时设施</w:t>
      </w:r>
    </w:p>
    <w:p>
      <w:pPr>
        <w:autoSpaceDE w:val="0"/>
        <w:autoSpaceDN w:val="0"/>
        <w:adjustRightInd w:val="0"/>
        <w:spacing w:line="40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关于修建临时设施费用承担的约定：</w:t>
      </w:r>
      <w:r>
        <w:rPr>
          <w:rFonts w:hint="eastAsia" w:ascii="宋体" w:hAnsi="宋体" w:cs="宋体"/>
          <w:color w:val="auto"/>
          <w:sz w:val="24"/>
          <w:highlight w:val="none"/>
          <w:u w:val="single"/>
        </w:rPr>
        <w:t>①承包人的临时用地（含项目部驻地等）租用费（含拆迁补偿）、临时用地的环保、恢复、临时用地的青苗补偿及地面附着物拆除等费用均由承包人负责，以上费用在投标报价中综合考虑。</w:t>
      </w:r>
    </w:p>
    <w:p>
      <w:pPr>
        <w:autoSpaceDE w:val="0"/>
        <w:autoSpaceDN w:val="0"/>
        <w:adjustRightInd w:val="0"/>
        <w:spacing w:line="40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②承包人负责合同实施期间其合同段内临时交通道路（含场内外连接公共交通道路）和交通设施的修建、维修、养护和交通管理工作，并承担一切费用。</w:t>
      </w:r>
    </w:p>
    <w:p>
      <w:pPr>
        <w:autoSpaceDE w:val="0"/>
        <w:autoSpaceDN w:val="0"/>
        <w:adjustRightInd w:val="0"/>
        <w:spacing w:line="40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spacing w:line="400" w:lineRule="exact"/>
        <w:ind w:firstLine="482" w:firstLineChars="200"/>
        <w:rPr>
          <w:rFonts w:ascii="宋体" w:hAnsi="宋体" w:cs="宋体"/>
          <w:b/>
          <w:bCs/>
          <w:color w:val="auto"/>
          <w:sz w:val="24"/>
          <w:highlight w:val="none"/>
        </w:rPr>
      </w:pPr>
      <w:bookmarkStart w:id="329" w:name="_Toc351203641"/>
      <w:r>
        <w:rPr>
          <w:rFonts w:hint="eastAsia" w:ascii="宋体" w:hAnsi="宋体" w:cs="宋体"/>
          <w:b/>
          <w:bCs/>
          <w:color w:val="auto"/>
          <w:sz w:val="24"/>
          <w:highlight w:val="none"/>
        </w:rPr>
        <w:t>9</w:t>
      </w:r>
      <w:bookmarkStart w:id="330" w:name="_Toc312677495"/>
      <w:bookmarkStart w:id="331" w:name="_Toc297123533"/>
      <w:bookmarkStart w:id="332" w:name="_Toc312678021"/>
      <w:bookmarkStart w:id="333" w:name="_Toc297216192"/>
      <w:bookmarkStart w:id="334" w:name="_Toc304295559"/>
      <w:bookmarkStart w:id="335" w:name="_Toc303539139"/>
      <w:bookmarkStart w:id="336" w:name="_Toc300934982"/>
      <w:r>
        <w:rPr>
          <w:rFonts w:hint="eastAsia" w:ascii="宋体" w:hAnsi="宋体" w:cs="宋体"/>
          <w:b/>
          <w:bCs/>
          <w:color w:val="auto"/>
          <w:sz w:val="24"/>
          <w:highlight w:val="none"/>
        </w:rPr>
        <w:t>.试验与检验</w:t>
      </w:r>
      <w:bookmarkEnd w:id="329"/>
    </w:p>
    <w:bookmarkEnd w:id="330"/>
    <w:bookmarkEnd w:id="331"/>
    <w:bookmarkEnd w:id="332"/>
    <w:bookmarkEnd w:id="333"/>
    <w:bookmarkEnd w:id="334"/>
    <w:bookmarkEnd w:id="335"/>
    <w:bookmarkEnd w:id="336"/>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w:t>
      </w:r>
      <w:bookmarkStart w:id="337" w:name="_Toc303539140"/>
      <w:bookmarkStart w:id="338" w:name="_Toc297216193"/>
      <w:bookmarkStart w:id="339" w:name="_Toc312677496"/>
      <w:bookmarkStart w:id="340" w:name="_Toc304295560"/>
      <w:bookmarkStart w:id="341" w:name="_Toc300934983"/>
      <w:bookmarkStart w:id="342" w:name="_Toc312678022"/>
      <w:bookmarkStart w:id="343" w:name="_Toc297123534"/>
      <w:r>
        <w:rPr>
          <w:rFonts w:hint="eastAsia" w:ascii="宋体" w:hAnsi="宋体" w:cs="宋体"/>
          <w:color w:val="auto"/>
          <w:sz w:val="24"/>
          <w:highlight w:val="none"/>
        </w:rPr>
        <w:t>.1试验设备与试验人员</w:t>
      </w:r>
    </w:p>
    <w:bookmarkEnd w:id="337"/>
    <w:bookmarkEnd w:id="338"/>
    <w:bookmarkEnd w:id="339"/>
    <w:bookmarkEnd w:id="340"/>
    <w:bookmarkEnd w:id="341"/>
    <w:bookmarkEnd w:id="342"/>
    <w:bookmarkEnd w:id="343"/>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9.1.2 试验设备</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施工现场需要配置的试验场所：</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施工现场需要配备的试验设备：</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施工现场需要具备的其他试验条件：</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Pr>
        <w:adjustRightInd w:val="0"/>
        <w:spacing w:line="400" w:lineRule="exact"/>
        <w:ind w:firstLine="480" w:firstLineChars="200"/>
        <w:jc w:val="left"/>
        <w:rPr>
          <w:rFonts w:ascii="宋体" w:hAnsi="宋体" w:cs="宋体"/>
          <w:color w:val="auto"/>
          <w:sz w:val="24"/>
          <w:highlight w:val="none"/>
        </w:rPr>
      </w:pPr>
      <w:bookmarkStart w:id="344" w:name="_Toc267251439"/>
      <w:bookmarkStart w:id="345" w:name="_Toc267251437"/>
      <w:bookmarkStart w:id="346" w:name="_Toc267251441"/>
      <w:bookmarkStart w:id="347" w:name="_Toc267251442"/>
      <w:bookmarkStart w:id="348" w:name="_Toc267251440"/>
      <w:bookmarkStart w:id="349" w:name="_Toc267251433"/>
      <w:bookmarkStart w:id="350" w:name="_Toc267251435"/>
      <w:r>
        <w:rPr>
          <w:rFonts w:hint="eastAsia" w:ascii="宋体" w:hAnsi="宋体" w:cs="宋体"/>
          <w:color w:val="auto"/>
          <w:sz w:val="24"/>
          <w:highlight w:val="none"/>
        </w:rPr>
        <w:t xml:space="preserve">9.4 现场工艺试验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现场工艺试验的有关约定：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bookmarkStart w:id="351" w:name="_Toc351203642"/>
      <w:r>
        <w:rPr>
          <w:rFonts w:hint="eastAsia" w:ascii="宋体" w:hAnsi="宋体" w:cs="宋体"/>
          <w:b/>
          <w:bCs/>
          <w:color w:val="auto"/>
          <w:sz w:val="24"/>
          <w:highlight w:val="none"/>
        </w:rPr>
        <w:t>1</w:t>
      </w:r>
      <w:bookmarkStart w:id="352" w:name="_Toc296346694"/>
      <w:bookmarkStart w:id="353" w:name="_Toc296503193"/>
      <w:bookmarkStart w:id="354" w:name="_Toc297120493"/>
      <w:bookmarkStart w:id="355" w:name="_Toc292559903"/>
      <w:bookmarkStart w:id="356" w:name="_Toc303539146"/>
      <w:bookmarkStart w:id="357" w:name="_Toc297216199"/>
      <w:bookmarkStart w:id="358" w:name="_Toc296944532"/>
      <w:bookmarkStart w:id="359" w:name="_Toc292559398"/>
      <w:bookmarkStart w:id="360" w:name="_Toc297048379"/>
      <w:bookmarkStart w:id="361" w:name="_Toc296347192"/>
      <w:bookmarkStart w:id="362" w:name="_Toc297123540"/>
      <w:bookmarkStart w:id="363" w:name="_Toc296891021"/>
      <w:bookmarkStart w:id="364" w:name="_Toc304295566"/>
      <w:bookmarkStart w:id="365" w:name="_Toc296891233"/>
      <w:bookmarkStart w:id="366" w:name="_Toc300934989"/>
      <w:bookmarkStart w:id="367" w:name="_Toc312678025"/>
      <w:bookmarkStart w:id="368" w:name="_Toc312677499"/>
      <w:r>
        <w:rPr>
          <w:rFonts w:hint="eastAsia" w:ascii="宋体" w:hAnsi="宋体" w:cs="宋体"/>
          <w:b/>
          <w:bCs/>
          <w:color w:val="auto"/>
          <w:sz w:val="24"/>
          <w:highlight w:val="none"/>
        </w:rPr>
        <w:t>0.变更</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bookmarkEnd w:id="367"/>
    <w:bookmarkEnd w:id="368"/>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10.1变更的范围</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关于变更的范围的约定：</w:t>
      </w:r>
      <w:r>
        <w:rPr>
          <w:rFonts w:hint="eastAsia" w:ascii="宋体" w:hAnsi="宋体" w:cs="宋体"/>
          <w:color w:val="auto"/>
          <w:sz w:val="24"/>
          <w:highlight w:val="none"/>
          <w:u w:val="single"/>
        </w:rPr>
        <w:t>工程设计变更，工程联系单确认变更</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 变更估价</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 变更估价原则</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10.4.1.1关于变更估价的约定：承包人在工程变更确定后14天内，提出变更工程价款的报告，经工程师确认后调整合同价款。变更合同价款按下列方法进行：</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（1）合同中已有适用于变更工程的价格，按合同已有的价格变更合同价款；</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（2）合同中只有类似于变更工程的价格，可以参照类似价格变更合同价款；</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（3）合同中没有适用或类似于变更工程的价格，由承包人提出适当的变更价格，经工程师确认后执行。</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10.4.1.2承包人在双方确定变更后14天内不向工程师提出变更工程价款报告时，视为该项变更不涉及合同价款的变更。</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10.4.1.3工程师应在收到变更工程价款报告之日起14天内予以确认，工程师无正当理由不确认时，自变更工程价款报告送达之日起14天后视为变更工程价款报告已被确认。</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10.4.1.4工程师不同意承包人提出的变更价款，按本通用条款第37条关于争议的约定处理。</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10.4.1.5工程师确认增加的工程变更价款作为追加合同价款，与工程款同期支付。</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10.4.1.6因承包人自身原因导致的工程变更，承包人无权要求追加合同价款。</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bookmarkStart w:id="369" w:name="_Toc297120497"/>
      <w:bookmarkStart w:id="370" w:name="_Toc296891025"/>
      <w:bookmarkStart w:id="371" w:name="_Toc296346698"/>
      <w:bookmarkStart w:id="372" w:name="_Toc303539150"/>
      <w:bookmarkStart w:id="373" w:name="_Toc296944536"/>
      <w:bookmarkStart w:id="374" w:name="_Toc292559402"/>
      <w:bookmarkStart w:id="375" w:name="_Toc296503197"/>
      <w:bookmarkStart w:id="376" w:name="_Toc297048383"/>
      <w:bookmarkStart w:id="377" w:name="_Toc300934993"/>
      <w:bookmarkStart w:id="378" w:name="_Toc297123544"/>
      <w:bookmarkStart w:id="379" w:name="_Toc296347196"/>
      <w:bookmarkStart w:id="380" w:name="_Toc292559907"/>
      <w:bookmarkStart w:id="381" w:name="_Toc297216203"/>
      <w:bookmarkStart w:id="382" w:name="_Toc296891237"/>
      <w:bookmarkStart w:id="383" w:name="_Toc312677503"/>
      <w:bookmarkStart w:id="384" w:name="_Toc312678029"/>
      <w:bookmarkStart w:id="385" w:name="_Toc304295570"/>
      <w:r>
        <w:rPr>
          <w:rFonts w:hint="eastAsia" w:ascii="宋体" w:hAnsi="宋体" w:cs="宋体"/>
          <w:color w:val="auto"/>
          <w:sz w:val="24"/>
          <w:highlight w:val="none"/>
        </w:rPr>
        <w:t>0.5承</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Start w:id="386" w:name="_Toc297216204"/>
      <w:bookmarkStart w:id="387" w:name="_Toc296891243"/>
      <w:bookmarkStart w:id="388" w:name="_Toc303539151"/>
      <w:bookmarkStart w:id="389" w:name="_Toc296944542"/>
      <w:bookmarkStart w:id="390" w:name="_Toc300934994"/>
      <w:bookmarkStart w:id="391" w:name="_Toc292559408"/>
      <w:bookmarkStart w:id="392" w:name="_Toc296503203"/>
      <w:bookmarkStart w:id="393" w:name="_Toc297048389"/>
      <w:bookmarkStart w:id="394" w:name="_Toc292559913"/>
      <w:bookmarkStart w:id="395" w:name="_Toc296347202"/>
      <w:bookmarkStart w:id="396" w:name="_Toc297120503"/>
      <w:bookmarkStart w:id="397" w:name="_Toc297123545"/>
      <w:bookmarkStart w:id="398" w:name="_Toc296346704"/>
      <w:bookmarkStart w:id="399" w:name="_Toc296891031"/>
      <w:r>
        <w:rPr>
          <w:rFonts w:hint="eastAsia" w:ascii="宋体" w:hAnsi="宋体" w:cs="宋体"/>
          <w:color w:val="auto"/>
          <w:sz w:val="24"/>
          <w:highlight w:val="none"/>
        </w:rPr>
        <w:t>包人的合理化建议</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监理人审查承包人合理化建议的期限：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发包人审批承包人合理化建议的期限：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w:t>
      </w:r>
      <w:bookmarkStart w:id="400" w:name="_Toc297048390"/>
      <w:bookmarkStart w:id="401" w:name="_Toc297216205"/>
      <w:bookmarkStart w:id="402" w:name="_Toc312677504"/>
      <w:bookmarkStart w:id="403" w:name="_Toc297123546"/>
      <w:bookmarkStart w:id="404" w:name="_Toc296347203"/>
      <w:bookmarkStart w:id="405" w:name="_Toc296503204"/>
      <w:bookmarkStart w:id="406" w:name="_Toc292559409"/>
      <w:bookmarkStart w:id="407" w:name="_Toc296891244"/>
      <w:bookmarkStart w:id="408" w:name="_Toc318581175"/>
      <w:bookmarkStart w:id="409" w:name="_Toc297120504"/>
      <w:bookmarkStart w:id="410" w:name="_Toc292559914"/>
      <w:bookmarkStart w:id="411" w:name="_Toc296891032"/>
      <w:bookmarkStart w:id="412" w:name="_Toc300934995"/>
      <w:bookmarkStart w:id="413" w:name="_Toc296944543"/>
      <w:bookmarkStart w:id="414" w:name="_Toc296346705"/>
      <w:bookmarkStart w:id="415" w:name="_Toc312678030"/>
      <w:bookmarkStart w:id="416" w:name="_Toc303539152"/>
      <w:bookmarkStart w:id="417" w:name="_Toc304295571"/>
      <w:r>
        <w:rPr>
          <w:rFonts w:hint="eastAsia" w:ascii="宋体" w:hAnsi="宋体" w:cs="宋体"/>
          <w:color w:val="auto"/>
          <w:sz w:val="24"/>
          <w:highlight w:val="none"/>
        </w:rPr>
        <w:t>包人提出的合理化建议降低了合同价格或者提高了工程经济效益的奖励的方法和金额为：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bookmarkStart w:id="418" w:name="_Toc303539154"/>
      <w:bookmarkStart w:id="419" w:name="_Toc292559909"/>
      <w:bookmarkStart w:id="420" w:name="_Toc312678033"/>
      <w:bookmarkStart w:id="421" w:name="_Toc297048385"/>
      <w:bookmarkStart w:id="422" w:name="_Toc296347198"/>
      <w:bookmarkStart w:id="423" w:name="_Toc304295574"/>
      <w:bookmarkStart w:id="424" w:name="_Toc296891027"/>
      <w:bookmarkStart w:id="425" w:name="_Toc300934997"/>
      <w:bookmarkStart w:id="426" w:name="_Toc296891239"/>
      <w:bookmarkStart w:id="427" w:name="_Toc297120499"/>
      <w:bookmarkStart w:id="428" w:name="_Toc297216207"/>
      <w:bookmarkStart w:id="429" w:name="_Toc296944538"/>
      <w:bookmarkStart w:id="430" w:name="_Toc312677507"/>
      <w:bookmarkStart w:id="431" w:name="_Toc296503199"/>
      <w:bookmarkStart w:id="432" w:name="_Toc292559404"/>
      <w:bookmarkStart w:id="433" w:name="_Toc297123548"/>
      <w:bookmarkStart w:id="434" w:name="_Toc296346700"/>
      <w:r>
        <w:rPr>
          <w:rFonts w:hint="eastAsia" w:ascii="宋体" w:hAnsi="宋体" w:cs="宋体"/>
          <w:color w:val="auto"/>
          <w:sz w:val="24"/>
          <w:highlight w:val="none"/>
        </w:rPr>
        <w:t>0.7 暂估价</w:t>
      </w:r>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暂</w:t>
      </w:r>
      <w:bookmarkStart w:id="435" w:name="_Toc318581176"/>
      <w:bookmarkStart w:id="436" w:name="_Toc312678034"/>
      <w:bookmarkStart w:id="437" w:name="_Toc312677508"/>
      <w:r>
        <w:rPr>
          <w:rFonts w:hint="eastAsia" w:ascii="宋体" w:hAnsi="宋体" w:cs="宋体"/>
          <w:color w:val="auto"/>
          <w:sz w:val="24"/>
          <w:highlight w:val="none"/>
        </w:rPr>
        <w:t>估价材料和工程设备的明细详见附件11：《暂估价一览表》。</w:t>
      </w:r>
    </w:p>
    <w:bookmarkEnd w:id="435"/>
    <w:bookmarkEnd w:id="436"/>
    <w:bookmarkEnd w:id="437"/>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bookmarkStart w:id="438" w:name="_Toc312677509"/>
      <w:bookmarkStart w:id="439" w:name="_Toc318581177"/>
      <w:bookmarkStart w:id="440" w:name="_Toc312678035"/>
      <w:r>
        <w:rPr>
          <w:rFonts w:hint="eastAsia" w:ascii="宋体" w:hAnsi="宋体" w:cs="宋体"/>
          <w:color w:val="auto"/>
          <w:sz w:val="24"/>
          <w:highlight w:val="none"/>
        </w:rPr>
        <w:t>0.7.1 依法必须招标的暂估价项目</w:t>
      </w:r>
    </w:p>
    <w:bookmarkEnd w:id="438"/>
    <w:bookmarkEnd w:id="439"/>
    <w:bookmarkEnd w:id="440"/>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对于依法必须招标的暂估价项目的确认和批准采取第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种方式确定。</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10.7.2 不属于依法必须招标的暂估价项目</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对于不属于依法必须招标的暂估价项目的确认和批准采取第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种方式确定。</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第3种方式：承包人直接实施的暂估价项目</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承包人直接实施的暂估价项目的约定：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10.8 暂列金额</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合同当事人关于暂列金额使用的约定：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bookmarkStart w:id="441" w:name="_Toc351203643"/>
      <w:r>
        <w:rPr>
          <w:rFonts w:hint="eastAsia" w:ascii="宋体" w:hAnsi="宋体" w:cs="宋体"/>
          <w:b/>
          <w:bCs/>
          <w:color w:val="auto"/>
          <w:sz w:val="24"/>
          <w:highlight w:val="none"/>
        </w:rPr>
        <w:t>11.价格调整</w:t>
      </w:r>
      <w:bookmarkEnd w:id="441"/>
    </w:p>
    <w:p>
      <w:pPr>
        <w:adjustRightInd w:val="0"/>
        <w:spacing w:line="400" w:lineRule="exact"/>
        <w:ind w:firstLine="480" w:firstLineChars="200"/>
        <w:jc w:val="left"/>
        <w:rPr>
          <w:rFonts w:ascii="宋体" w:hAnsi="宋体" w:cs="宋体"/>
          <w:color w:val="auto"/>
          <w:sz w:val="24"/>
          <w:highlight w:val="none"/>
        </w:rPr>
      </w:pPr>
      <w:bookmarkStart w:id="442" w:name="_Toc292559911"/>
      <w:bookmarkStart w:id="443" w:name="_Toc312678039"/>
      <w:bookmarkStart w:id="444" w:name="_Toc296503201"/>
      <w:bookmarkStart w:id="445" w:name="_Toc300935000"/>
      <w:bookmarkStart w:id="446" w:name="_Toc296944540"/>
      <w:bookmarkStart w:id="447" w:name="_Toc297048387"/>
      <w:bookmarkStart w:id="448" w:name="_Toc303539157"/>
      <w:bookmarkStart w:id="449" w:name="_Toc296347200"/>
      <w:bookmarkStart w:id="450" w:name="_Toc296891241"/>
      <w:bookmarkStart w:id="451" w:name="_Toc296346702"/>
      <w:bookmarkStart w:id="452" w:name="_Toc297120501"/>
      <w:bookmarkStart w:id="453" w:name="_Toc297123550"/>
      <w:bookmarkStart w:id="454" w:name="_Toc296891029"/>
      <w:bookmarkStart w:id="455" w:name="_Toc304295577"/>
      <w:bookmarkStart w:id="456" w:name="_Toc292559406"/>
      <w:bookmarkStart w:id="457" w:name="_Toc297216209"/>
      <w:r>
        <w:rPr>
          <w:rFonts w:hint="eastAsia" w:ascii="宋体" w:hAnsi="宋体" w:cs="宋体"/>
          <w:color w:val="auto"/>
          <w:sz w:val="24"/>
          <w:highlight w:val="none"/>
        </w:rPr>
        <w:t>11.1 市场价格波动引起的调整</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市场价格波动是否调整合同价格的约定：</w:t>
      </w:r>
      <w:bookmarkEnd w:id="344"/>
      <w:bookmarkEnd w:id="345"/>
      <w:bookmarkEnd w:id="346"/>
      <w:bookmarkEnd w:id="347"/>
      <w:bookmarkEnd w:id="348"/>
      <w:bookmarkEnd w:id="349"/>
      <w:bookmarkEnd w:id="350"/>
      <w:r>
        <w:rPr>
          <w:rFonts w:hint="eastAsia" w:ascii="宋体" w:hAnsi="宋体" w:cs="宋体"/>
          <w:color w:val="auto"/>
          <w:sz w:val="24"/>
          <w:highlight w:val="none"/>
          <w:u w:val="single"/>
        </w:rPr>
        <w:t>不可调价</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因市场价格波动调整合同价格，采用以下第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种方式对合同价格进行调整：</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第1种方式：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关于各可调因子、定值和变值权重，以及基本价格指数及其来源的约定：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第2种方式：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（2）关于基准价格的约定：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%时，或材料单价跌幅以已标价工程量清单或预算书中载明材料单价为基础超过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%时，其超过部分据实调整。</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%时，材料单价涨幅以已标价工程量清单或预算书中载明材料单价为基础超过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%时，其超过部分据实调整。</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%时，其超过部分据实调整。</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第3种方式：其他价格调整方式：</w:t>
      </w:r>
      <w:r>
        <w:rPr>
          <w:rFonts w:hint="eastAsia" w:ascii="宋体" w:hAnsi="宋体" w:cs="宋体"/>
          <w:color w:val="auto"/>
          <w:sz w:val="24"/>
          <w:highlight w:val="none"/>
          <w:u w:val="single"/>
        </w:rPr>
        <w:t xml:space="preserve"> 无</w:t>
      </w:r>
      <w:r>
        <w:rPr>
          <w:rFonts w:hint="eastAsia" w:ascii="宋体" w:hAnsi="宋体" w:cs="宋体"/>
          <w:color w:val="auto"/>
          <w:sz w:val="24"/>
          <w:highlight w:val="none"/>
        </w:rPr>
        <w:t xml:space="preserve"> 。</w:t>
      </w:r>
    </w:p>
    <w:p>
      <w:pPr>
        <w:spacing w:line="400" w:lineRule="exact"/>
        <w:ind w:firstLine="482" w:firstLineChars="200"/>
        <w:rPr>
          <w:rFonts w:ascii="宋体" w:hAnsi="宋体" w:cs="宋体"/>
          <w:b/>
          <w:bCs/>
          <w:color w:val="auto"/>
          <w:sz w:val="24"/>
          <w:highlight w:val="none"/>
        </w:rPr>
      </w:pPr>
      <w:bookmarkStart w:id="458" w:name="_Toc292559915"/>
      <w:bookmarkStart w:id="459" w:name="_Toc292559410"/>
      <w:bookmarkStart w:id="460" w:name="_Toc297120505"/>
      <w:bookmarkStart w:id="461" w:name="_Toc296891033"/>
      <w:bookmarkStart w:id="462" w:name="_Toc297048391"/>
      <w:bookmarkStart w:id="463" w:name="_Toc296891245"/>
      <w:bookmarkStart w:id="464" w:name="_Toc296347204"/>
      <w:bookmarkStart w:id="465" w:name="_Toc296944544"/>
      <w:bookmarkStart w:id="466" w:name="_Toc296346706"/>
      <w:bookmarkStart w:id="467" w:name="_Toc296503205"/>
      <w:bookmarkStart w:id="468" w:name="_Toc351203644"/>
      <w:bookmarkStart w:id="469" w:name="_Toc304295579"/>
      <w:bookmarkStart w:id="470" w:name="_Toc300935002"/>
      <w:bookmarkStart w:id="471" w:name="_Toc297216211"/>
      <w:bookmarkStart w:id="472" w:name="_Toc312678040"/>
      <w:bookmarkStart w:id="473" w:name="_Toc297123552"/>
      <w:bookmarkStart w:id="474" w:name="_Toc303539159"/>
      <w:r>
        <w:rPr>
          <w:rFonts w:hint="eastAsia" w:ascii="宋体" w:hAnsi="宋体" w:cs="宋体"/>
          <w:b/>
          <w:bCs/>
          <w:color w:val="auto"/>
          <w:sz w:val="24"/>
          <w:highlight w:val="none"/>
        </w:rPr>
        <w:t>12</w:t>
      </w:r>
      <w:bookmarkEnd w:id="458"/>
      <w:bookmarkEnd w:id="459"/>
      <w:bookmarkEnd w:id="460"/>
      <w:bookmarkEnd w:id="461"/>
      <w:bookmarkEnd w:id="462"/>
      <w:bookmarkEnd w:id="463"/>
      <w:bookmarkEnd w:id="464"/>
      <w:bookmarkEnd w:id="465"/>
      <w:bookmarkEnd w:id="466"/>
      <w:bookmarkEnd w:id="467"/>
      <w:r>
        <w:rPr>
          <w:rFonts w:hint="eastAsia" w:ascii="宋体" w:hAnsi="宋体" w:cs="宋体"/>
          <w:b/>
          <w:bCs/>
          <w:color w:val="auto"/>
          <w:sz w:val="24"/>
          <w:highlight w:val="none"/>
        </w:rPr>
        <w:t>.合同价格、计量与支付</w:t>
      </w:r>
      <w:bookmarkEnd w:id="468"/>
    </w:p>
    <w:bookmarkEnd w:id="469"/>
    <w:bookmarkEnd w:id="470"/>
    <w:bookmarkEnd w:id="471"/>
    <w:bookmarkEnd w:id="472"/>
    <w:bookmarkEnd w:id="473"/>
    <w:bookmarkEnd w:id="474"/>
    <w:p>
      <w:pPr>
        <w:adjustRightInd w:val="0"/>
        <w:spacing w:line="400" w:lineRule="exact"/>
        <w:ind w:firstLine="480" w:firstLineChars="200"/>
        <w:jc w:val="left"/>
        <w:rPr>
          <w:rFonts w:ascii="宋体" w:hAnsi="宋体" w:cs="宋体"/>
          <w:color w:val="auto"/>
          <w:sz w:val="24"/>
          <w:highlight w:val="none"/>
        </w:rPr>
      </w:pPr>
      <w:bookmarkStart w:id="475" w:name="_Toc267251461"/>
      <w:bookmarkStart w:id="476" w:name="_Toc292559916"/>
      <w:bookmarkStart w:id="477" w:name="_Toc292559411"/>
      <w:bookmarkStart w:id="478" w:name="_Toc296347205"/>
      <w:bookmarkStart w:id="479" w:name="_Toc296503206"/>
      <w:bookmarkStart w:id="480" w:name="_Toc296346707"/>
      <w:bookmarkStart w:id="481" w:name="_Toc296891246"/>
      <w:bookmarkStart w:id="482" w:name="_Toc296891034"/>
      <w:bookmarkStart w:id="483" w:name="_Toc297048392"/>
      <w:bookmarkStart w:id="484" w:name="_Toc296944545"/>
      <w:bookmarkStart w:id="485" w:name="_Toc297120506"/>
      <w:bookmarkStart w:id="486" w:name="_Toc304295580"/>
      <w:bookmarkStart w:id="487" w:name="_Toc312678041"/>
      <w:bookmarkStart w:id="488" w:name="_Toc303539160"/>
      <w:bookmarkStart w:id="489" w:name="_Toc297123553"/>
      <w:bookmarkStart w:id="490" w:name="_Toc297216212"/>
      <w:bookmarkStart w:id="491" w:name="_Toc300935003"/>
      <w:r>
        <w:rPr>
          <w:rFonts w:hint="eastAsia" w:ascii="宋体" w:hAnsi="宋体" w:cs="宋体"/>
          <w:color w:val="auto"/>
          <w:sz w:val="24"/>
          <w:highlight w:val="none"/>
        </w:rPr>
        <w:t>12.1 合</w:t>
      </w:r>
      <w:bookmarkEnd w:id="475"/>
      <w:bookmarkEnd w:id="476"/>
      <w:bookmarkEnd w:id="477"/>
      <w:r>
        <w:rPr>
          <w:rFonts w:hint="eastAsia" w:ascii="宋体" w:hAnsi="宋体" w:cs="宋体"/>
          <w:color w:val="auto"/>
          <w:sz w:val="24"/>
          <w:highlight w:val="none"/>
        </w:rPr>
        <w:t>同价</w:t>
      </w:r>
      <w:bookmarkEnd w:id="478"/>
      <w:bookmarkEnd w:id="479"/>
      <w:bookmarkEnd w:id="480"/>
      <w:bookmarkEnd w:id="481"/>
      <w:bookmarkEnd w:id="482"/>
      <w:bookmarkEnd w:id="483"/>
      <w:bookmarkEnd w:id="484"/>
      <w:bookmarkEnd w:id="485"/>
      <w:r>
        <w:rPr>
          <w:rFonts w:hint="eastAsia" w:ascii="宋体" w:hAnsi="宋体" w:cs="宋体"/>
          <w:color w:val="auto"/>
          <w:sz w:val="24"/>
          <w:highlight w:val="none"/>
        </w:rPr>
        <w:t>格形式</w:t>
      </w:r>
    </w:p>
    <w:bookmarkEnd w:id="486"/>
    <w:bookmarkEnd w:id="487"/>
    <w:bookmarkEnd w:id="488"/>
    <w:bookmarkEnd w:id="489"/>
    <w:bookmarkEnd w:id="490"/>
    <w:bookmarkEnd w:id="491"/>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本工程采用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合同价格形式。本工程计价时采用的增值税计税方法为：一般计税法。</w:t>
      </w:r>
    </w:p>
    <w:p>
      <w:pPr>
        <w:spacing w:line="400" w:lineRule="exact"/>
        <w:ind w:firstLine="480" w:firstLineChars="200"/>
        <w:jc w:val="left"/>
        <w:rPr>
          <w:rFonts w:ascii="宋体" w:hAnsi="宋体" w:cs="宋体"/>
          <w:color w:val="auto"/>
          <w:sz w:val="24"/>
          <w:highlight w:val="none"/>
        </w:rPr>
      </w:pPr>
      <w:bookmarkStart w:id="492" w:name="_Toc297123554"/>
      <w:bookmarkStart w:id="493" w:name="_Toc297216213"/>
      <w:bookmarkStart w:id="494" w:name="_Toc300935004"/>
      <w:bookmarkStart w:id="495" w:name="_Toc303539161"/>
      <w:bookmarkStart w:id="496" w:name="_Toc312678042"/>
      <w:bookmarkStart w:id="497" w:name="_Toc304295581"/>
      <w:bookmarkStart w:id="498" w:name="_Toc296346708"/>
      <w:bookmarkStart w:id="499" w:name="_Toc292559412"/>
      <w:bookmarkStart w:id="500" w:name="_Toc296891035"/>
      <w:bookmarkStart w:id="501" w:name="_Toc292559917"/>
      <w:bookmarkStart w:id="502" w:name="_Toc296891247"/>
      <w:bookmarkStart w:id="503" w:name="_Toc296944546"/>
      <w:bookmarkStart w:id="504" w:name="_Toc297120507"/>
      <w:bookmarkStart w:id="505" w:name="_Toc296503207"/>
      <w:bookmarkStart w:id="506" w:name="_Toc296347206"/>
      <w:bookmarkStart w:id="507" w:name="_Toc297048393"/>
      <w:r>
        <w:rPr>
          <w:rFonts w:hint="eastAsia" w:ascii="宋体" w:hAnsi="宋体" w:cs="宋体"/>
          <w:color w:val="auto"/>
          <w:sz w:val="24"/>
          <w:highlight w:val="none"/>
        </w:rPr>
        <w:t>（1）单价合同。</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采用综合单价合同方式时，工程量按建设单位、监理单位、施工单位三方确认的竣工图结算。</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综合单价包含的风险范围：除工程变更、项目特征不符、工程量清单缺项、工程量偏差、政策性调整、本工程《承包人提供主要材料和设备一览表》中约定的材料和设备价格变动风险以外的其他风险因素。</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风险范围以外合同价格的调整方法：</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①工程变更、项目特征不符、工程量清单缺项：按10.4.1变更估价原则的约定调整。</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②工程量偏差：按1.13工程量清单错误修正的约定调整。</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③政策性调整：按自治区住房城乡建设厅或工程所在地住房城乡建设主管部门颁布的文件执行。</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④材料价格风险：按11.1的约定调整。</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⑤其它：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（2）总价合同。</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总价包含的风险范围：包含除工程变更、政策性调整、</w:t>
      </w:r>
      <w:r>
        <w:rPr>
          <w:rFonts w:hint="eastAsia" w:ascii="宋体" w:hAnsi="宋体" w:cs="宋体"/>
          <w:color w:val="auto"/>
          <w:sz w:val="24"/>
          <w:highlight w:val="none"/>
          <w:u w:val="single"/>
        </w:rPr>
        <w:t>本工程《承包人提供主要材料和设备一览表》中约定的材料和设备价格变动风险以外的其他风险。除工程变更外，结算时不再对招标施工图对应的工程量重新计量</w:t>
      </w:r>
      <w:r>
        <w:rPr>
          <w:rFonts w:hint="eastAsia" w:ascii="宋体" w:hAnsi="宋体" w:cs="宋体"/>
          <w:color w:val="auto"/>
          <w:sz w:val="24"/>
          <w:highlight w:val="none"/>
        </w:rPr>
        <w:t>。</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风险范围以外合同价格的调整方法：</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①工程变更：按10.4.1变更估价原则的约定调整。</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②政策性调整：按自治区住房城乡建设厅或工程所在地住房城乡建设主管部门颁布的文件执行。</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③材料价格风险：按11.1的约定调整。</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其它：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numPr>
          <w:ilvl w:val="0"/>
          <w:numId w:val="2"/>
        </w:num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其他价格方式：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12.2 预付款 </w:t>
      </w:r>
    </w:p>
    <w:bookmarkEnd w:id="492"/>
    <w:bookmarkEnd w:id="493"/>
    <w:bookmarkEnd w:id="494"/>
    <w:bookmarkEnd w:id="495"/>
    <w:bookmarkEnd w:id="496"/>
    <w:bookmarkEnd w:id="497"/>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12.2.1 预付款的支付</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预付款支付比例或金额：</w:t>
      </w:r>
      <w:r>
        <w:rPr>
          <w:rFonts w:hint="eastAsia" w:ascii="宋体" w:hAnsi="宋体" w:cs="宋体"/>
          <w:color w:val="auto"/>
          <w:sz w:val="24"/>
          <w:highlight w:val="none"/>
          <w:u w:val="single"/>
          <w:lang w:val="en-US" w:eastAsia="zh-CN"/>
        </w:rPr>
        <w:t xml:space="preserve">甲方向乙方支付合同总金额的30%作为项目预付款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预付款支付期限：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预付款扣回的方式：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12.2.2 预付款担保</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承包人提交预付款担保的期限：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预付款担保的形式为：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bookmarkEnd w:id="498"/>
    <w:bookmarkEnd w:id="499"/>
    <w:bookmarkEnd w:id="500"/>
    <w:bookmarkEnd w:id="501"/>
    <w:bookmarkEnd w:id="502"/>
    <w:bookmarkEnd w:id="503"/>
    <w:bookmarkEnd w:id="504"/>
    <w:bookmarkEnd w:id="505"/>
    <w:bookmarkEnd w:id="506"/>
    <w:bookmarkEnd w:id="507"/>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 计量</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12.3.1 计量原则</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工程量计算规则：</w:t>
      </w:r>
      <w:r>
        <w:rPr>
          <w:rFonts w:hint="eastAsia" w:ascii="宋体" w:hAnsi="宋体" w:cs="宋体"/>
          <w:color w:val="auto"/>
          <w:sz w:val="24"/>
          <w:highlight w:val="none"/>
          <w:u w:val="single"/>
        </w:rPr>
        <w:t>工程的计量均以《建设工程工程量清单计价规范》（GB50500－2013）和及《建筑工程工程量清单计算规范》广西壮族自治区细则（GB50500-2013）</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12.3.2 计量周期</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关于计量周期的约定：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12.3.3 单价合同的计量</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关于单价合同计量的约定：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12.3.4 总价合同的计量</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关于总价合同计量的约定：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12.3.5总价合同采用支付分解表计量支付的，是否适用第12.3.4 项〔总价合同的计量〕约定进行计量：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12.3.6 其他价格形式合同的计量</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其他价格形式的计量方式和程序：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12.4 工程进度款支付</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12.4.1 付款周期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关于付款周期的约定：</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（1）预付款支付比例或金额:甲方向乙方支付合同总金额的 30%作为项目预付款【备注:政府投资项目应严格执行工程预付款制度，工程预付款应不低于合同总价(扣除暂列金额)的10%(最高不超过30%，并与工程进度款分期按约定比例抵扣)】</w:t>
      </w:r>
    </w:p>
    <w:p>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进度款支付方式：合同内乙方可按工程计量周期（30个日历日）内完成工程量（需先扣除预付款等额工程量，既申请进度款工程量=实际完成工程量-预付款等额工程量）的80%向甲方申请支付进度款；在项目竣工验收并完成财政结算评审后，乙方按财政结算审核造价总额的3%预留工程质量保修金，双方约定由乙方将工程质量保证金（工程质量保证金=工程结算造价审核总额×3%）存入甲方指定专户，待甲方确认到账后，乙方可向甲方申请支付财政结算审核造价剩余全部工程款，工程质量保证金则暂存甲方指定专户，待工程质保期满后由乙方按相关程序向甲方申请返还，工程质保期为一年。</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12.4.2 进度付款申请单的编制</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关于进度付款申请单编制的约定：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12.4.3 进度付款申请单的提交</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（1）单价合同进度付款申请单提交的约定：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（2）总价合同进度付款申请单提交的约定：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（3）其他价格形式合同进度付款申请单提交的约定：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12.4.4 进度款审核和支付</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（1）监理人审查并报送发包人的期限：</w:t>
      </w:r>
      <w:r>
        <w:rPr>
          <w:rFonts w:hint="eastAsia" w:ascii="宋体" w:hAnsi="宋体" w:cs="宋体"/>
          <w:color w:val="auto"/>
          <w:sz w:val="24"/>
          <w:highlight w:val="none"/>
          <w:u w:val="single"/>
        </w:rPr>
        <w:t>14日</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发包人完成审批并签发进度款支付证书的期限：</w:t>
      </w:r>
      <w:r>
        <w:rPr>
          <w:rFonts w:hint="eastAsia" w:ascii="宋体" w:hAnsi="宋体" w:cs="宋体"/>
          <w:color w:val="auto"/>
          <w:sz w:val="24"/>
          <w:highlight w:val="none"/>
          <w:u w:val="single"/>
        </w:rPr>
        <w:t>14天</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（2）发包人支付进度款的期限：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发包人逾期支付进度款的违约金的计算方式：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12.4.6 支付分解表的编制</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2、总价合同支付分解表的编制与审批：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3、单价合同的总价项目支付分解表的编制与审批：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bookmarkStart w:id="508" w:name="_Toc351203645"/>
      <w:bookmarkStart w:id="509" w:name="_Toc292559424"/>
      <w:bookmarkStart w:id="510" w:name="_Toc300935015"/>
      <w:bookmarkStart w:id="511" w:name="_Toc296347218"/>
      <w:bookmarkStart w:id="512" w:name="_Toc296891259"/>
      <w:bookmarkStart w:id="513" w:name="_Toc296503219"/>
      <w:bookmarkStart w:id="514" w:name="_Toc296891047"/>
      <w:bookmarkStart w:id="515" w:name="_Toc297216223"/>
      <w:bookmarkStart w:id="516" w:name="_Toc297120519"/>
      <w:bookmarkStart w:id="517" w:name="_Toc303539172"/>
      <w:bookmarkStart w:id="518" w:name="_Toc297048405"/>
      <w:bookmarkStart w:id="519" w:name="_Toc296346720"/>
      <w:bookmarkStart w:id="520" w:name="_Toc304295593"/>
      <w:bookmarkStart w:id="521" w:name="_Toc296944558"/>
      <w:bookmarkStart w:id="522" w:name="_Toc292559929"/>
      <w:bookmarkStart w:id="523" w:name="_Toc297123564"/>
      <w:bookmarkStart w:id="524" w:name="_Toc312678053"/>
      <w:r>
        <w:rPr>
          <w:rFonts w:hint="eastAsia" w:ascii="宋体" w:hAnsi="宋体" w:cs="宋体"/>
          <w:b/>
          <w:bCs/>
          <w:color w:val="auto"/>
          <w:sz w:val="24"/>
          <w:highlight w:val="none"/>
        </w:rPr>
        <w:t>13.验收和工程试车</w:t>
      </w:r>
      <w:bookmarkEnd w:id="508"/>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 分部分项工程验收</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13.1.2监理人不能按时进行验收时，应提前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小时提交书面延期要求。</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关于延期最长不得超过：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w:t>
      </w:r>
    </w:p>
    <w:p>
      <w:pPr>
        <w:adjustRightInd w:val="0"/>
        <w:spacing w:line="400" w:lineRule="exact"/>
        <w:ind w:firstLine="480" w:firstLineChars="200"/>
        <w:jc w:val="left"/>
        <w:rPr>
          <w:rFonts w:ascii="宋体" w:hAnsi="宋体" w:cs="宋体"/>
          <w:color w:val="auto"/>
          <w:sz w:val="24"/>
          <w:highlight w:val="none"/>
        </w:rPr>
      </w:pPr>
      <w:bookmarkStart w:id="525" w:name="_Toc296891051"/>
      <w:bookmarkStart w:id="526" w:name="_Toc303539173"/>
      <w:bookmarkStart w:id="527" w:name="_Toc297120523"/>
      <w:bookmarkStart w:id="528" w:name="_Toc292559428"/>
      <w:bookmarkStart w:id="529" w:name="_Toc296944562"/>
      <w:bookmarkStart w:id="530" w:name="_Toc296503223"/>
      <w:bookmarkStart w:id="531" w:name="_Toc297123565"/>
      <w:bookmarkStart w:id="532" w:name="_Toc304295596"/>
      <w:bookmarkStart w:id="533" w:name="_Toc297216224"/>
      <w:bookmarkStart w:id="534" w:name="_Toc292559933"/>
      <w:bookmarkStart w:id="535" w:name="_Toc296347222"/>
      <w:bookmarkStart w:id="536" w:name="_Toc297048409"/>
      <w:bookmarkStart w:id="537" w:name="_Toc296346724"/>
      <w:bookmarkStart w:id="538" w:name="_Toc296891263"/>
      <w:bookmarkStart w:id="539" w:name="_Toc300935016"/>
      <w:bookmarkStart w:id="540" w:name="_Toc312678056"/>
      <w:r>
        <w:rPr>
          <w:rFonts w:hint="eastAsia" w:ascii="宋体" w:hAnsi="宋体" w:cs="宋体"/>
          <w:color w:val="auto"/>
          <w:sz w:val="24"/>
          <w:highlight w:val="none"/>
        </w:rPr>
        <w:t>13.2 竣工验收</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Pr>
        <w:adjustRightInd w:val="0"/>
        <w:spacing w:line="400" w:lineRule="exact"/>
        <w:ind w:firstLine="480" w:firstLineChars="200"/>
        <w:jc w:val="left"/>
        <w:rPr>
          <w:rFonts w:ascii="宋体" w:hAnsi="宋体" w:cs="宋体"/>
          <w:color w:val="auto"/>
          <w:sz w:val="24"/>
          <w:highlight w:val="none"/>
        </w:rPr>
      </w:pPr>
      <w:bookmarkStart w:id="541" w:name="_Toc280868704"/>
      <w:r>
        <w:rPr>
          <w:rFonts w:hint="eastAsia" w:ascii="宋体" w:hAnsi="宋体" w:cs="宋体"/>
          <w:color w:val="auto"/>
          <w:sz w:val="24"/>
          <w:highlight w:val="none"/>
        </w:rPr>
        <w:t>13.2.2竣工验收程序</w:t>
      </w:r>
    </w:p>
    <w:bookmarkEnd w:id="541"/>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关于竣工验收程序的约定：</w:t>
      </w:r>
      <w:r>
        <w:rPr>
          <w:rFonts w:hint="eastAsia" w:ascii="宋体" w:hAnsi="宋体" w:cs="宋体"/>
          <w:color w:val="auto"/>
          <w:sz w:val="24"/>
          <w:highlight w:val="none"/>
          <w:u w:val="single"/>
        </w:rPr>
        <w:t xml:space="preserve"> 按照《桂财采〔2015〕22号）关于印发广西壮族自治区政府采购项目履约验收管理办法的通知》等有关规定，由发包人成立验收小组组织验收，验收小组须出具验收书。发包人有权邀请参加本项目的其他供应商参与验收，参与验收的供应商意见作为验收书的参考资料一并存档。若达到2次验收不通过的视为承包人违约，发包人有权解除合同</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发包人不按照本项约定组织竣工验收、颁发工程接收证书的违约金的计算方法：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13.2.5移交、接收全部与部分工程</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承包人向发包人移交工程的期限：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发包人未按本合同约定接收全部或部分工程的，违约金的计算方法为：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承包人未按时移交工程的，违约金的计算方法为：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13.3 工程试车</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13.3.1 试车程序</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工程试车内容：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（1）单机无负荷试车费用由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（2）无负荷联动试车费用由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13.3.3 投料试车</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关于投料试车相关事项的约定：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13.6 竣工退场</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13.6.1 竣工退场</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承包人完成竣工退场的期限：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bookmarkStart w:id="542" w:name="_Toc351203646"/>
      <w:r>
        <w:rPr>
          <w:rFonts w:hint="eastAsia" w:ascii="宋体" w:hAnsi="宋体" w:cs="宋体"/>
          <w:b/>
          <w:bCs/>
          <w:color w:val="auto"/>
          <w:sz w:val="24"/>
          <w:highlight w:val="none"/>
        </w:rPr>
        <w:t>14.竣工结算</w:t>
      </w:r>
      <w:bookmarkEnd w:id="542"/>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14.1 竣工付款申请</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承包人提交竣工付款申请单的期限：</w:t>
      </w:r>
      <w:r>
        <w:rPr>
          <w:rFonts w:hint="eastAsia" w:ascii="宋体" w:hAnsi="宋体" w:cs="宋体"/>
          <w:color w:val="auto"/>
          <w:sz w:val="24"/>
          <w:highlight w:val="none"/>
          <w:u w:val="single"/>
        </w:rPr>
        <w:t>30天</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竣工付款申请单应包括的内容：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14.2 竣工结算审核</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发包人审批竣工付款申请单的期限：</w:t>
      </w:r>
      <w:r>
        <w:rPr>
          <w:rFonts w:hint="eastAsia" w:ascii="宋体" w:hAnsi="宋体" w:cs="宋体"/>
          <w:color w:val="auto"/>
          <w:sz w:val="24"/>
          <w:highlight w:val="none"/>
          <w:u w:val="single"/>
        </w:rPr>
        <w:t>30天</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发包人完成竣工付款的期限：</w:t>
      </w:r>
      <w:r>
        <w:rPr>
          <w:rFonts w:hint="eastAsia" w:ascii="宋体" w:hAnsi="宋体" w:cs="宋体"/>
          <w:color w:val="auto"/>
          <w:sz w:val="24"/>
          <w:highlight w:val="none"/>
          <w:u w:val="single"/>
        </w:rPr>
        <w:t>30天</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关于竣工付款证书异议部分复核的方式和程序：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14.4 最终结清</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14.4.1 最终结清申请单</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承包人提交最终结清申请单的份数：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承包人提交最终结算申请单的期限：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14.4.2 最终结清证书和支付</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（1）发包人完成最终结清申请单的审批并颁发最终结清证书的期限：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（2）发包人完成支付的期限：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15.缺陷责任期与保修</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15.2缺陷责任期</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缺陷责任期的具体期限：</w:t>
      </w:r>
      <w:r>
        <w:rPr>
          <w:rFonts w:hint="eastAsia" w:ascii="宋体" w:hAnsi="宋体" w:cs="宋体"/>
          <w:color w:val="auto"/>
          <w:sz w:val="24"/>
          <w:highlight w:val="none"/>
          <w:u w:val="single"/>
        </w:rPr>
        <w:t>12个月</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15.3 质量保证金</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关于是否扣留质量保证金的约定：</w:t>
      </w:r>
      <w:r>
        <w:rPr>
          <w:rFonts w:hint="eastAsia" w:ascii="宋体" w:hAnsi="宋体" w:cs="宋体"/>
          <w:color w:val="auto"/>
          <w:sz w:val="24"/>
          <w:highlight w:val="none"/>
          <w:u w:val="single"/>
        </w:rPr>
        <w:t>扣除工程价款结算总额的3%保留金作为工程质量保证金</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在工程项目竣工前，承包人按专用合同条款第3.7条提供履约担保的，发包人不得同时预留工程质量保证金。</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15.3.1 承包人提供质量保证金的方式</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质量保证金采用以下第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（1）质量保证金保函，保证金额为：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（2）3%的工程款；</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（3）其他方式：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15.3.2 质量保证金的扣留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质量保证金的扣留采取以下第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（1）在支付工程进度款时逐次扣留，在此情形下，质量保证金的计算基数不包括预付款的支付、扣回以及价格调整的金额；</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（2）工程竣工结算时一次性扣留质量保证金；</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（3）其他扣留方式：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关于质量保证金的补充约定：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15.4保修</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15.4.1 保修责任</w:t>
      </w:r>
    </w:p>
    <w:p>
      <w:pPr>
        <w:adjustRightInd w:val="0"/>
        <w:spacing w:line="40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工程保修期为：</w:t>
      </w:r>
      <w:r>
        <w:rPr>
          <w:rFonts w:hint="eastAsia" w:ascii="宋体" w:hAnsi="宋体" w:cs="宋体"/>
          <w:color w:val="auto"/>
          <w:sz w:val="24"/>
          <w:highlight w:val="none"/>
          <w:u w:val="single"/>
        </w:rPr>
        <w:t>按《工程质量保修书》执行</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15.4.3 修复通知</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承包人收到保修通知并到达工程现场的合理时间：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bookmarkStart w:id="543" w:name="_Toc351203648"/>
      <w:bookmarkStart w:id="544" w:name="_Toc280868717"/>
      <w:bookmarkStart w:id="545" w:name="_Toc280868718"/>
      <w:r>
        <w:rPr>
          <w:rFonts w:hint="eastAsia" w:ascii="宋体" w:hAnsi="宋体" w:cs="宋体"/>
          <w:b/>
          <w:bCs/>
          <w:color w:val="auto"/>
          <w:sz w:val="24"/>
          <w:highlight w:val="none"/>
        </w:rPr>
        <w:t>16.违约</w:t>
      </w:r>
      <w:bookmarkEnd w:id="543"/>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16.1 发包人违约</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16.1.1发包人违约的情形</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发包人违约的其他情形：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16.1.2 发包人违约的责任</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发包人违约责任的承担方式和计算方法：</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（1）因发包人原因未能在计划开工日期前7天内下达开工通知的违约责任：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（2）因发包人原因未能按合同约定支付合同价款的违约责任：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（3）发包人违反第10.1款〔变更的范围〕第（2）项约定，自行实施被取消的工作或转由他人实施的违约责任：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（5）因发包人违反合同约定造成暂停施工的违约责任：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（6）发包人无正当理由没有在约定期限内发出复工指示，导致承包人无法复工的违约责任：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（7）其他：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16.1.3 因发包人违约解除合同</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承包人按16.1.1项〔发包人违约的情形〕约定暂停施工满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天后发包人仍不纠正其违约行为并致使合同目的不能实现的，承包人有权解除合同。</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 承包人违约</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16.2.1 承包人违约的情形</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承包人违约的其他情形：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16.2.2承包人违约的责任</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承包人违约责任的承担方式和计算方法：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16.2.3 因承包人违约解除合同</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关于承包人违约解除合同的特别约定：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bookmarkStart w:id="546" w:name="_Toc351203649"/>
      <w:r>
        <w:rPr>
          <w:rFonts w:hint="eastAsia" w:ascii="宋体" w:hAnsi="宋体" w:cs="宋体"/>
          <w:b/>
          <w:bCs/>
          <w:color w:val="auto"/>
          <w:sz w:val="24"/>
          <w:highlight w:val="none"/>
        </w:rPr>
        <w:t>17.不可抗力</w:t>
      </w:r>
      <w:bookmarkEnd w:id="546"/>
      <w:r>
        <w:rPr>
          <w:rFonts w:hint="eastAsia" w:ascii="宋体" w:hAnsi="宋体" w:cs="宋体"/>
          <w:b/>
          <w:bCs/>
          <w:color w:val="auto"/>
          <w:sz w:val="24"/>
          <w:highlight w:val="none"/>
        </w:rPr>
        <w:t xml:space="preserve"> </w:t>
      </w:r>
      <w:bookmarkEnd w:id="544"/>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17.1 不可抗力的确认</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除通用合同条款约定的不可抗力事件之外，视为不可抗力的其他情形：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17.4 因不可抗力解除合同</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合同解除后，发包人应在商定或确定发包人应支付款项后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天内完成款项的支付。</w:t>
      </w:r>
    </w:p>
    <w:p>
      <w:pPr>
        <w:spacing w:line="400" w:lineRule="exact"/>
        <w:ind w:firstLine="482" w:firstLineChars="200"/>
        <w:rPr>
          <w:rFonts w:ascii="宋体" w:hAnsi="宋体" w:cs="宋体"/>
          <w:b/>
          <w:bCs/>
          <w:color w:val="auto"/>
          <w:sz w:val="24"/>
          <w:highlight w:val="none"/>
        </w:rPr>
      </w:pPr>
      <w:bookmarkStart w:id="547" w:name="_Toc351203650"/>
      <w:r>
        <w:rPr>
          <w:rFonts w:hint="eastAsia" w:ascii="宋体" w:hAnsi="宋体" w:cs="宋体"/>
          <w:b/>
          <w:bCs/>
          <w:color w:val="auto"/>
          <w:sz w:val="24"/>
          <w:highlight w:val="none"/>
        </w:rPr>
        <w:t>18.保险</w:t>
      </w:r>
      <w:bookmarkEnd w:id="547"/>
    </w:p>
    <w:bookmarkEnd w:id="545"/>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18.1 工程保险</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关于工程保险的特别约定：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18.3 其他保险</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关于其他保险的约定：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承包人是否应为其施工设备等办理财产保险：</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18.7 通知义务</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关于变更保险合同时的通知义务的约定：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bookmarkStart w:id="548" w:name="_Toc351203651"/>
      <w:r>
        <w:rPr>
          <w:rFonts w:hint="eastAsia" w:ascii="宋体" w:hAnsi="宋体" w:cs="宋体"/>
          <w:b/>
          <w:bCs/>
          <w:color w:val="auto"/>
          <w:sz w:val="24"/>
          <w:highlight w:val="none"/>
        </w:rPr>
        <w:t>20.争议解决</w:t>
      </w:r>
      <w:bookmarkEnd w:id="548"/>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20.3 争议评审</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合同当事人是否同意将工程争议提交争议评审小组决定：</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20.3.1 争议评审小组的确定</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争议评审小组成员的确定：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选定争议评审员的期限：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争议评审小组成员的报酬承担方式：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其他事项的约定：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20.3.2 争议评审小组的决定</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合同当事人关于本项的约定：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20.4仲裁或诉讼</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因合同及合同有关事项发生的争议，按下列第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（1）向项目当地仲裁委员会申请仲裁；</w:t>
      </w:r>
    </w:p>
    <w:p>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（2）向项目当地人民法院起诉。</w:t>
      </w:r>
    </w:p>
    <w:p>
      <w:pPr>
        <w:spacing w:line="440" w:lineRule="exact"/>
        <w:rPr>
          <w:rFonts w:ascii="宋体" w:hAnsi="宋体" w:cs="宋体"/>
          <w:color w:val="auto"/>
          <w:highlight w:val="none"/>
        </w:rPr>
      </w:pPr>
      <w:r>
        <w:rPr>
          <w:rFonts w:hint="eastAsia" w:ascii="宋体" w:hAnsi="宋体" w:cs="宋体"/>
          <w:color w:val="auto"/>
          <w:sz w:val="28"/>
          <w:szCs w:val="28"/>
          <w:highlight w:val="none"/>
        </w:rPr>
        <w:br w:type="page"/>
      </w:r>
      <w:bookmarkStart w:id="549" w:name="_Toc16546"/>
      <w:r>
        <w:rPr>
          <w:rFonts w:hint="eastAsia" w:ascii="宋体" w:hAnsi="宋体" w:cs="宋体"/>
          <w:b/>
          <w:bCs/>
          <w:color w:val="auto"/>
          <w:sz w:val="24"/>
          <w:szCs w:val="32"/>
          <w:highlight w:val="none"/>
        </w:rPr>
        <w:t>附件1：</w:t>
      </w:r>
      <w:r>
        <w:rPr>
          <w:rFonts w:hint="eastAsia" w:ascii="宋体" w:hAnsi="宋体" w:cs="宋体"/>
          <w:color w:val="auto"/>
          <w:sz w:val="24"/>
          <w:szCs w:val="32"/>
          <w:highlight w:val="none"/>
        </w:rPr>
        <w:t xml:space="preserve"> </w:t>
      </w:r>
      <w:r>
        <w:rPr>
          <w:rFonts w:hint="eastAsia" w:ascii="宋体" w:hAnsi="宋体" w:cs="宋体"/>
          <w:color w:val="auto"/>
          <w:highlight w:val="none"/>
        </w:rPr>
        <w:t xml:space="preserve">   </w:t>
      </w:r>
    </w:p>
    <w:bookmarkEnd w:id="549"/>
    <w:p>
      <w:pPr>
        <w:spacing w:beforeLines="50" w:afterLines="50"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工程质量保修书</w:t>
      </w:r>
    </w:p>
    <w:p>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发包人（全称）：</w:t>
      </w:r>
      <w:r>
        <w:rPr>
          <w:rFonts w:hint="eastAsia" w:ascii="宋体" w:hAnsi="宋体" w:cs="宋体"/>
          <w:color w:val="auto"/>
          <w:sz w:val="24"/>
          <w:highlight w:val="none"/>
          <w:u w:val="single"/>
          <w:lang w:eastAsia="zh-CN"/>
        </w:rPr>
        <w:t>梧州市长洲区农业农村局</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承包人（全称）：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00" w:lineRule="exact"/>
        <w:ind w:firstLine="480" w:firstLineChars="200"/>
        <w:rPr>
          <w:rFonts w:ascii="宋体" w:hAnsi="宋体" w:cs="宋体"/>
          <w:color w:val="auto"/>
          <w:sz w:val="24"/>
          <w:highlight w:val="none"/>
        </w:rPr>
      </w:pP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发包人和承包人根据《中华人民共和国建筑法》和《建设工程质量管理条例》，经协商一致就</w:t>
      </w:r>
      <w:r>
        <w:rPr>
          <w:rFonts w:hint="eastAsia" w:ascii="宋体" w:hAnsi="宋体" w:cs="宋体"/>
          <w:b/>
          <w:bCs/>
          <w:color w:val="auto"/>
          <w:sz w:val="24"/>
          <w:highlight w:val="none"/>
          <w:u w:val="single"/>
          <w:lang w:eastAsia="zh-CN"/>
        </w:rPr>
        <w:t>六堡茶种质资源圃建设项目</w:t>
      </w:r>
      <w:r>
        <w:rPr>
          <w:rFonts w:hint="eastAsia" w:ascii="宋体" w:hAnsi="宋体" w:cs="宋体"/>
          <w:color w:val="auto"/>
          <w:sz w:val="24"/>
          <w:highlight w:val="none"/>
        </w:rPr>
        <w:t>（工程全称）签订工程质量保修书。</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一、工程质量保修范围和内容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承包人在质量保修期内，按照有关法律规定和合同约定，承担工程质量保修责任。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质量保修范围包括</w:t>
      </w:r>
      <w:r>
        <w:rPr>
          <w:rFonts w:hint="eastAsia" w:ascii="宋体" w:hAnsi="宋体" w:cs="宋体"/>
          <w:color w:val="auto"/>
          <w:sz w:val="24"/>
          <w:highlight w:val="none"/>
          <w:u w:val="single"/>
        </w:rPr>
        <w:t>合同及施工图纸所包括的工程</w:t>
      </w:r>
      <w:r>
        <w:rPr>
          <w:rFonts w:hint="eastAsia" w:ascii="宋体" w:hAnsi="宋体" w:cs="宋体"/>
          <w:color w:val="auto"/>
          <w:sz w:val="24"/>
          <w:highlight w:val="none"/>
        </w:rPr>
        <w:t>，以及双方约定的其他项目。具体保修的内容，双方约定如下：</w:t>
      </w:r>
    </w:p>
    <w:p>
      <w:pP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在承包人承包范围内，属承包人责任造成的工程质量问题，由承包人承担保修责任</w:t>
      </w:r>
      <w:r>
        <w:rPr>
          <w:rFonts w:hint="eastAsia" w:ascii="宋体" w:hAnsi="宋体" w:cs="宋体"/>
          <w:color w:val="auto"/>
          <w:sz w:val="24"/>
          <w:highlight w:val="none"/>
        </w:rPr>
        <w:t>。</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二、质量保修期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1.道路工程为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2.排水（雨水）工程为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3.绿化工程为</w:t>
      </w:r>
      <w:r>
        <w:rPr>
          <w:rFonts w:hint="eastAsia" w:ascii="宋体" w:hAnsi="宋体" w:cs="宋体"/>
          <w:color w:val="auto"/>
          <w:sz w:val="24"/>
          <w:highlight w:val="none"/>
          <w:u w:val="single"/>
        </w:rPr>
        <w:t>单位工程竣工验收合格后 1年</w:t>
      </w:r>
      <w:r>
        <w:rPr>
          <w:rFonts w:hint="eastAsia" w:ascii="宋体" w:hAnsi="宋体" w:cs="宋体"/>
          <w:color w:val="auto"/>
          <w:sz w:val="24"/>
          <w:highlight w:val="none"/>
        </w:rPr>
        <w:t>；</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4.地下防水工程为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5.其他附属工程为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6.在没有明文规定下，参照建设工程质量保修条例，双方协商为设计文件规定的该工程的合理使用年限内保修；</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7.其他约定：质量保修期自工程竣工验收合格之日起计算。</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三、缺陷责任期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工程缺陷责任期为</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个月（一般为12个月，最长不超过24个月），缺陷责任期自工程竣工验收合格之日起计算。单位工程先于全部工程进行验收，单位工程缺陷责任期自单位工程验收合格之日起算。</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缺陷责任期终止后，发包人应退还剩余的质量保证金。</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四、质量保修责任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1.属于保修范围、内容的项目，承包人应当在接到保修通知之日起7天内派人保修。承包人不在约定期限内派人保修的，发包人可以委托他人修理。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2.发生紧急事故需抢修的，承包人在接到事故通知后，应当立即到达事故现场抢修。</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4.质量保修完成后，由发包人组织验收。</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五、保修费用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保修费用由造成质量缺陷的责任方承担。</w:t>
      </w:r>
    </w:p>
    <w:p>
      <w:pPr>
        <w:spacing w:line="40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六、双方约定的其他工程质量保修事项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工程质量保修书由发包人、承包人在工程竣工验收前共同签署，作为施工合同附件，其有效期限至保修期满。</w:t>
      </w:r>
    </w:p>
    <w:p>
      <w:pPr>
        <w:spacing w:line="400" w:lineRule="exact"/>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承包人(公章)：</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地  址：</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委托代理人(签字)：</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  真：</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p>
    <w:p>
      <w:pPr>
        <w:spacing w:line="440" w:lineRule="exact"/>
        <w:rPr>
          <w:rFonts w:ascii="宋体" w:hAnsi="宋体" w:cs="宋体"/>
          <w:color w:val="auto"/>
          <w:highlight w:val="none"/>
        </w:rPr>
      </w:pPr>
      <w:r>
        <w:rPr>
          <w:rFonts w:hint="eastAsia" w:ascii="宋体" w:hAnsi="宋体" w:cs="宋体"/>
          <w:b/>
          <w:color w:val="auto"/>
          <w:szCs w:val="21"/>
          <w:highlight w:val="none"/>
        </w:rPr>
        <w:br w:type="page"/>
      </w:r>
      <w:r>
        <w:rPr>
          <w:rFonts w:hint="eastAsia" w:ascii="宋体" w:hAnsi="宋体" w:cs="宋体"/>
          <w:b/>
          <w:bCs/>
          <w:color w:val="auto"/>
          <w:sz w:val="24"/>
          <w:szCs w:val="32"/>
          <w:highlight w:val="none"/>
        </w:rPr>
        <w:t>附件2：</w:t>
      </w:r>
    </w:p>
    <w:p>
      <w:pPr>
        <w:spacing w:beforeLines="50" w:afterLines="50"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履约担保</w:t>
      </w:r>
    </w:p>
    <w:p>
      <w:pPr>
        <w:spacing w:line="440" w:lineRule="exact"/>
        <w:rPr>
          <w:rFonts w:ascii="宋体" w:hAnsi="宋体" w:cs="宋体"/>
          <w:color w:val="auto"/>
          <w:sz w:val="24"/>
          <w:highlight w:val="none"/>
        </w:rPr>
      </w:pPr>
      <w:r>
        <w:rPr>
          <w:rFonts w:hint="eastAsia" w:ascii="宋体" w:hAnsi="宋体" w:cs="宋体"/>
          <w:color w:val="auto"/>
          <w:sz w:val="24"/>
          <w:highlight w:val="none"/>
          <w:u w:val="single"/>
          <w:lang w:eastAsia="zh-CN"/>
        </w:rPr>
        <w:t>梧州市长洲区农业农村局</w:t>
      </w:r>
      <w:r>
        <w:rPr>
          <w:rFonts w:hint="eastAsia" w:ascii="宋体" w:hAnsi="宋体" w:cs="宋体"/>
          <w:color w:val="auto"/>
          <w:sz w:val="24"/>
          <w:highlight w:val="none"/>
        </w:rPr>
        <w:t>（发包人名称）：</w:t>
      </w:r>
    </w:p>
    <w:p>
      <w:pPr>
        <w:spacing w:line="440" w:lineRule="exact"/>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（发包人名称，以下简称“发包人”）与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（承包人名称）（以下称“承包人”）于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1.担保金额人民币（大写）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2.担保有效期自你方与承包人签订的合同生效之日起至你方签发或应签发工程接收证书之日止。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4.你方和承包人按合同约定变更合同时，我方承担本担保规定的义务不变。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5.因本保函发生的纠纷，可由双方协商解决，协商不成的，任何一方均可提请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仲裁委员会仲裁。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本保函自我方法定代表人（或其授权代理人）签字并加盖公章之日起生效。</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担 保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p>
    <w:p>
      <w:pPr>
        <w:spacing w:line="360" w:lineRule="auto"/>
        <w:jc w:val="left"/>
        <w:rPr>
          <w:rFonts w:ascii="宋体" w:hAnsi="宋体" w:cs="宋体"/>
          <w:color w:val="auto"/>
          <w:sz w:val="24"/>
          <w:highlight w:val="none"/>
          <w:u w:val="single"/>
        </w:rPr>
      </w:pPr>
    </w:p>
    <w:p>
      <w:pPr>
        <w:spacing w:line="360" w:lineRule="auto"/>
        <w:ind w:left="1519" w:hanging="1519" w:hangingChars="633"/>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00" w:lineRule="exact"/>
        <w:jc w:val="left"/>
        <w:rPr>
          <w:rFonts w:ascii="宋体" w:hAnsi="宋体" w:cs="宋体"/>
          <w:color w:val="auto"/>
          <w:szCs w:val="21"/>
          <w:highlight w:val="none"/>
        </w:rPr>
      </w:pPr>
    </w:p>
    <w:p>
      <w:pPr>
        <w:tabs>
          <w:tab w:val="left" w:pos="7200"/>
          <w:tab w:val="left" w:pos="7380"/>
          <w:tab w:val="left" w:pos="7560"/>
        </w:tabs>
        <w:spacing w:line="360" w:lineRule="auto"/>
        <w:rPr>
          <w:rFonts w:ascii="宋体" w:hAnsi="宋体" w:cs="宋体"/>
          <w:color w:val="auto"/>
          <w:highlight w:val="none"/>
        </w:rPr>
      </w:pPr>
      <w:r>
        <w:rPr>
          <w:rFonts w:hint="eastAsia" w:ascii="宋体" w:hAnsi="宋体" w:cs="宋体"/>
          <w:color w:val="auto"/>
          <w:szCs w:val="21"/>
          <w:highlight w:val="none"/>
        </w:rPr>
        <w:br w:type="page"/>
      </w:r>
    </w:p>
    <w:p>
      <w:pPr>
        <w:pStyle w:val="13"/>
        <w:rPr>
          <w:rFonts w:ascii="宋体" w:hAnsi="宋体" w:cs="宋体"/>
          <w:color w:val="auto"/>
          <w:highlight w:val="none"/>
        </w:rPr>
      </w:pPr>
    </w:p>
    <w:p>
      <w:pPr>
        <w:pStyle w:val="97"/>
        <w:ind w:firstLine="883"/>
        <w:rPr>
          <w:rFonts w:ascii="宋体" w:hAnsi="宋体" w:cs="宋体"/>
          <w:b/>
          <w:color w:val="auto"/>
          <w:sz w:val="44"/>
          <w:szCs w:val="44"/>
          <w:highlight w:val="none"/>
        </w:rPr>
      </w:pPr>
    </w:p>
    <w:p>
      <w:pPr>
        <w:tabs>
          <w:tab w:val="left" w:pos="3261"/>
        </w:tabs>
        <w:spacing w:line="360" w:lineRule="auto"/>
        <w:contextualSpacing/>
        <w:jc w:val="center"/>
        <w:rPr>
          <w:rFonts w:ascii="宋体" w:hAnsi="宋体" w:cs="宋体"/>
          <w:b/>
          <w:color w:val="auto"/>
          <w:sz w:val="44"/>
          <w:szCs w:val="44"/>
          <w:highlight w:val="none"/>
        </w:rPr>
      </w:pPr>
    </w:p>
    <w:p>
      <w:pPr>
        <w:pStyle w:val="2"/>
        <w:spacing w:before="0" w:after="0" w:line="360" w:lineRule="auto"/>
        <w:jc w:val="center"/>
        <w:rPr>
          <w:rFonts w:ascii="宋体" w:hAnsi="宋体" w:cs="宋体"/>
          <w:bCs w:val="0"/>
          <w:color w:val="auto"/>
          <w:kern w:val="2"/>
          <w:sz w:val="32"/>
          <w:szCs w:val="32"/>
          <w:highlight w:val="none"/>
        </w:rPr>
      </w:pPr>
      <w:bookmarkStart w:id="550" w:name="_Toc5496"/>
      <w:r>
        <w:rPr>
          <w:rFonts w:hint="eastAsia" w:ascii="宋体" w:hAnsi="宋体" w:cs="宋体"/>
          <w:bCs w:val="0"/>
          <w:color w:val="auto"/>
          <w:kern w:val="2"/>
          <w:sz w:val="32"/>
          <w:szCs w:val="32"/>
          <w:highlight w:val="none"/>
        </w:rPr>
        <w:t>第九章 质疑、投诉材料格式</w:t>
      </w:r>
      <w:bookmarkEnd w:id="550"/>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beforeLines="5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pPr>
        <w:pStyle w:val="18"/>
        <w:spacing w:line="360" w:lineRule="auto"/>
        <w:ind w:firstLine="482" w:firstLineChars="200"/>
        <w:contextualSpacing/>
        <w:rPr>
          <w:rFonts w:hAnsi="宋体" w:cs="宋体"/>
          <w:b/>
          <w:bCs/>
          <w:color w:val="auto"/>
          <w:kern w:val="2"/>
          <w:sz w:val="24"/>
          <w:szCs w:val="24"/>
          <w:highlight w:val="none"/>
        </w:rPr>
      </w:pPr>
      <w:r>
        <w:rPr>
          <w:rFonts w:hint="eastAsia" w:hAnsi="宋体" w:cs="宋体"/>
          <w:b/>
          <w:bCs/>
          <w:color w:val="auto"/>
          <w:kern w:val="2"/>
          <w:sz w:val="24"/>
          <w:szCs w:val="24"/>
          <w:highlight w:val="none"/>
        </w:rPr>
        <w:t>一、质疑供应商基本信息：</w:t>
      </w:r>
    </w:p>
    <w:p>
      <w:pPr>
        <w:pStyle w:val="18"/>
        <w:spacing w:line="360" w:lineRule="auto"/>
        <w:ind w:firstLine="480" w:firstLineChars="200"/>
        <w:contextualSpacing/>
        <w:rPr>
          <w:rFonts w:hAnsi="宋体" w:cs="宋体"/>
          <w:bCs/>
          <w:color w:val="auto"/>
          <w:kern w:val="2"/>
          <w:sz w:val="24"/>
          <w:szCs w:val="24"/>
          <w:highlight w:val="none"/>
          <w:u w:val="single"/>
        </w:rPr>
      </w:pPr>
      <w:r>
        <w:rPr>
          <w:rFonts w:hint="eastAsia" w:hAnsi="宋体" w:cs="宋体"/>
          <w:bCs/>
          <w:color w:val="auto"/>
          <w:kern w:val="2"/>
          <w:sz w:val="24"/>
          <w:szCs w:val="24"/>
          <w:highlight w:val="none"/>
        </w:rPr>
        <w:t>质疑供应商：</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 xml:space="preserve">                 </w:t>
      </w:r>
    </w:p>
    <w:p>
      <w:pPr>
        <w:pStyle w:val="18"/>
        <w:spacing w:line="360" w:lineRule="auto"/>
        <w:ind w:firstLine="480" w:firstLineChars="200"/>
        <w:contextualSpacing/>
        <w:rPr>
          <w:rFonts w:hAnsi="宋体" w:cs="宋体"/>
          <w:bCs/>
          <w:color w:val="auto"/>
          <w:kern w:val="2"/>
          <w:sz w:val="24"/>
          <w:szCs w:val="24"/>
          <w:highlight w:val="non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p>
    <w:p>
      <w:pPr>
        <w:pStyle w:val="18"/>
        <w:spacing w:line="360" w:lineRule="auto"/>
        <w:ind w:firstLine="480" w:firstLineChars="200"/>
        <w:contextualSpacing/>
        <w:rPr>
          <w:rFonts w:hAnsi="宋体" w:cs="宋体"/>
          <w:bCs/>
          <w:color w:val="auto"/>
          <w:kern w:val="2"/>
          <w:sz w:val="24"/>
          <w:szCs w:val="24"/>
          <w:highlight w:val="none"/>
        </w:rPr>
      </w:pPr>
      <w:r>
        <w:rPr>
          <w:rFonts w:hint="eastAsia" w:hAnsi="宋体" w:cs="宋体"/>
          <w:bCs/>
          <w:color w:val="auto"/>
          <w:kern w:val="2"/>
          <w:sz w:val="24"/>
          <w:szCs w:val="24"/>
          <w:highlight w:val="none"/>
        </w:rPr>
        <w:t>联系人：</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pPr>
        <w:pStyle w:val="18"/>
        <w:spacing w:line="360" w:lineRule="auto"/>
        <w:ind w:firstLine="480" w:firstLineChars="200"/>
        <w:contextualSpacing/>
        <w:rPr>
          <w:rFonts w:hAnsi="宋体" w:cs="宋体"/>
          <w:bCs/>
          <w:color w:val="auto"/>
          <w:kern w:val="2"/>
          <w:sz w:val="24"/>
          <w:szCs w:val="24"/>
          <w:highlight w:val="none"/>
        </w:rPr>
      </w:pPr>
      <w:r>
        <w:rPr>
          <w:rFonts w:hint="eastAsia" w:hAnsi="宋体" w:cs="宋体"/>
          <w:bCs/>
          <w:color w:val="auto"/>
          <w:kern w:val="2"/>
          <w:sz w:val="24"/>
          <w:szCs w:val="24"/>
          <w:highlight w:val="none"/>
        </w:rPr>
        <w:t>授权代表：</w:t>
      </w:r>
      <w:r>
        <w:rPr>
          <w:rFonts w:hint="eastAsia" w:hAnsi="宋体" w:cs="宋体"/>
          <w:bCs/>
          <w:color w:val="auto"/>
          <w:kern w:val="2"/>
          <w:sz w:val="24"/>
          <w:szCs w:val="24"/>
          <w:highlight w:val="none"/>
          <w:u w:val="single"/>
        </w:rPr>
        <w:t xml:space="preserve">                      </w:t>
      </w:r>
    </w:p>
    <w:p>
      <w:pPr>
        <w:pStyle w:val="18"/>
        <w:spacing w:line="360" w:lineRule="auto"/>
        <w:ind w:firstLine="480" w:firstLineChars="200"/>
        <w:contextualSpacing/>
        <w:rPr>
          <w:rFonts w:hAnsi="宋体" w:cs="宋体"/>
          <w:bCs/>
          <w:color w:val="auto"/>
          <w:kern w:val="2"/>
          <w:sz w:val="24"/>
          <w:szCs w:val="24"/>
          <w:highlight w:val="none"/>
          <w:u w:val="single"/>
        </w:rPr>
      </w:pP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pPr>
        <w:pStyle w:val="18"/>
        <w:spacing w:line="360" w:lineRule="auto"/>
        <w:ind w:firstLine="480" w:firstLineChars="200"/>
        <w:contextualSpacing/>
        <w:rPr>
          <w:rFonts w:hAnsi="宋体" w:cs="宋体"/>
          <w:bCs/>
          <w:color w:val="auto"/>
          <w:kern w:val="2"/>
          <w:sz w:val="24"/>
          <w:szCs w:val="24"/>
          <w:highlight w:val="non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 xml:space="preserve">     </w:t>
      </w:r>
    </w:p>
    <w:p>
      <w:pPr>
        <w:pStyle w:val="18"/>
        <w:spacing w:line="360" w:lineRule="auto"/>
        <w:ind w:firstLine="482" w:firstLineChars="200"/>
        <w:contextualSpacing/>
        <w:rPr>
          <w:rFonts w:hAnsi="宋体" w:cs="宋体"/>
          <w:b/>
          <w:bCs/>
          <w:color w:val="auto"/>
          <w:kern w:val="2"/>
          <w:sz w:val="24"/>
          <w:szCs w:val="24"/>
          <w:highlight w:val="none"/>
        </w:rPr>
      </w:pPr>
      <w:r>
        <w:rPr>
          <w:rFonts w:hint="eastAsia" w:hAnsi="宋体" w:cs="宋体"/>
          <w:b/>
          <w:bCs/>
          <w:color w:val="auto"/>
          <w:kern w:val="2"/>
          <w:sz w:val="24"/>
          <w:szCs w:val="24"/>
          <w:highlight w:val="none"/>
        </w:rPr>
        <w:t>二、质疑项目基本情况：</w:t>
      </w:r>
    </w:p>
    <w:p>
      <w:pPr>
        <w:pStyle w:val="18"/>
        <w:spacing w:line="360" w:lineRule="auto"/>
        <w:ind w:firstLine="480" w:firstLineChars="200"/>
        <w:contextualSpacing/>
        <w:rPr>
          <w:rFonts w:hint="eastAsia" w:hAnsi="宋体" w:eastAsia="宋体" w:cs="宋体"/>
          <w:color w:val="auto"/>
          <w:kern w:val="2"/>
          <w:sz w:val="24"/>
          <w:szCs w:val="24"/>
          <w:highlight w:val="none"/>
          <w:lang w:eastAsia="zh-CN"/>
        </w:rPr>
      </w:pPr>
      <w:r>
        <w:rPr>
          <w:rFonts w:hint="eastAsia" w:hAnsi="宋体" w:cs="宋体"/>
          <w:bCs/>
          <w:color w:val="auto"/>
          <w:kern w:val="2"/>
          <w:sz w:val="24"/>
          <w:szCs w:val="24"/>
          <w:highlight w:val="none"/>
        </w:rPr>
        <w:t>质疑</w:t>
      </w:r>
      <w:r>
        <w:rPr>
          <w:rFonts w:hint="eastAsia" w:hAnsi="宋体" w:cs="宋体"/>
          <w:color w:val="auto"/>
          <w:kern w:val="2"/>
          <w:sz w:val="24"/>
          <w:szCs w:val="24"/>
          <w:highlight w:val="none"/>
        </w:rPr>
        <w:t>项目的名称：</w:t>
      </w:r>
      <w:r>
        <w:rPr>
          <w:rFonts w:hint="eastAsia" w:hAnsi="宋体" w:cs="宋体"/>
          <w:bCs/>
          <w:color w:val="auto"/>
          <w:kern w:val="2"/>
          <w:sz w:val="24"/>
          <w:szCs w:val="24"/>
          <w:highlight w:val="none"/>
          <w:u w:val="single"/>
          <w:lang w:eastAsia="zh-CN"/>
        </w:rPr>
        <w:t>六堡茶种质资源圃建设项目</w:t>
      </w:r>
    </w:p>
    <w:p>
      <w:pPr>
        <w:pStyle w:val="18"/>
        <w:spacing w:line="360" w:lineRule="auto"/>
        <w:ind w:firstLine="480" w:firstLineChars="200"/>
        <w:contextualSpacing/>
        <w:rPr>
          <w:rFonts w:hint="eastAsia" w:hAnsi="宋体" w:eastAsia="宋体" w:cs="宋体"/>
          <w:color w:val="auto"/>
          <w:kern w:val="2"/>
          <w:sz w:val="24"/>
          <w:szCs w:val="24"/>
          <w:highlight w:val="none"/>
          <w:lang w:val="en-US" w:eastAsia="zh-CN"/>
        </w:rPr>
      </w:pPr>
      <w:r>
        <w:rPr>
          <w:rFonts w:hint="eastAsia" w:hAnsi="宋体" w:cs="宋体"/>
          <w:bCs/>
          <w:color w:val="auto"/>
          <w:kern w:val="2"/>
          <w:sz w:val="24"/>
          <w:szCs w:val="24"/>
          <w:highlight w:val="none"/>
        </w:rPr>
        <w:t>质疑</w:t>
      </w:r>
      <w:r>
        <w:rPr>
          <w:rFonts w:hint="eastAsia" w:hAnsi="宋体" w:cs="宋体"/>
          <w:color w:val="auto"/>
          <w:kern w:val="2"/>
          <w:sz w:val="24"/>
          <w:szCs w:val="24"/>
          <w:highlight w:val="none"/>
        </w:rPr>
        <w:t>项目的编号：</w:t>
      </w:r>
      <w:r>
        <w:rPr>
          <w:rFonts w:hint="eastAsia" w:hAnsi="宋体" w:cs="宋体"/>
          <w:color w:val="auto"/>
          <w:kern w:val="2"/>
          <w:sz w:val="24"/>
          <w:szCs w:val="24"/>
          <w:highlight w:val="none"/>
          <w:u w:val="single"/>
          <w:lang w:eastAsia="zh-CN"/>
        </w:rPr>
        <w:t>WZZC2026-C2-050015-GXHH</w:t>
      </w:r>
    </w:p>
    <w:p>
      <w:pPr>
        <w:pStyle w:val="18"/>
        <w:spacing w:line="360" w:lineRule="auto"/>
        <w:ind w:firstLine="480" w:firstLineChars="200"/>
        <w:contextualSpacing/>
        <w:rPr>
          <w:rFonts w:hint="eastAsia" w:hAnsi="宋体" w:eastAsia="宋体" w:cs="宋体"/>
          <w:color w:val="auto"/>
          <w:kern w:val="2"/>
          <w:sz w:val="24"/>
          <w:szCs w:val="24"/>
          <w:highlight w:val="none"/>
          <w:lang w:eastAsia="zh-CN"/>
        </w:rPr>
      </w:pPr>
      <w:r>
        <w:rPr>
          <w:rFonts w:hint="eastAsia" w:hAnsi="宋体" w:cs="宋体"/>
          <w:color w:val="auto"/>
          <w:kern w:val="2"/>
          <w:sz w:val="24"/>
          <w:szCs w:val="24"/>
          <w:highlight w:val="none"/>
        </w:rPr>
        <w:t>采购人名称：</w:t>
      </w:r>
      <w:r>
        <w:rPr>
          <w:rFonts w:hint="eastAsia" w:hAnsi="宋体" w:cs="宋体"/>
          <w:bCs/>
          <w:color w:val="auto"/>
          <w:kern w:val="2"/>
          <w:sz w:val="24"/>
          <w:szCs w:val="24"/>
          <w:highlight w:val="none"/>
          <w:u w:val="single"/>
          <w:lang w:eastAsia="zh-CN"/>
        </w:rPr>
        <w:t>梧州市长洲区农业农村局</w:t>
      </w:r>
    </w:p>
    <w:p>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质疑事项：</w:t>
      </w:r>
    </w:p>
    <w:p>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□采购文件   采购文件获取日期：</w:t>
      </w:r>
      <w:r>
        <w:rPr>
          <w:rFonts w:hint="eastAsia" w:hAnsi="宋体" w:cs="宋体"/>
          <w:bCs/>
          <w:color w:val="auto"/>
          <w:kern w:val="2"/>
          <w:sz w:val="24"/>
          <w:szCs w:val="24"/>
          <w:highlight w:val="none"/>
          <w:u w:val="single"/>
        </w:rPr>
        <w:t xml:space="preserve">                                   </w:t>
      </w:r>
    </w:p>
    <w:p>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 xml:space="preserve">□采购过程   </w:t>
      </w:r>
    </w:p>
    <w:p>
      <w:pPr>
        <w:pStyle w:val="18"/>
        <w:spacing w:line="360" w:lineRule="auto"/>
        <w:ind w:firstLine="480" w:firstLineChars="200"/>
        <w:contextualSpacing/>
        <w:rPr>
          <w:rFonts w:hAnsi="宋体" w:cs="宋体"/>
          <w:bCs/>
          <w:color w:val="auto"/>
          <w:kern w:val="2"/>
          <w:sz w:val="24"/>
          <w:szCs w:val="24"/>
          <w:highlight w:val="none"/>
          <w:u w:val="single"/>
        </w:rPr>
      </w:pPr>
      <w:r>
        <w:rPr>
          <w:rFonts w:hint="eastAsia" w:hAnsi="宋体" w:cs="宋体"/>
          <w:color w:val="auto"/>
          <w:kern w:val="2"/>
          <w:sz w:val="24"/>
          <w:szCs w:val="24"/>
          <w:highlight w:val="none"/>
        </w:rPr>
        <w:t xml:space="preserve">□成交结果   </w:t>
      </w:r>
    </w:p>
    <w:p>
      <w:pPr>
        <w:pStyle w:val="18"/>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三、质疑事项具体内容</w:t>
      </w:r>
    </w:p>
    <w:p>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质疑事项1：</w:t>
      </w:r>
      <w:r>
        <w:rPr>
          <w:rFonts w:hint="eastAsia" w:hAnsi="宋体" w:cs="宋体"/>
          <w:bCs/>
          <w:color w:val="auto"/>
          <w:kern w:val="2"/>
          <w:sz w:val="24"/>
          <w:szCs w:val="24"/>
          <w:highlight w:val="none"/>
          <w:u w:val="single"/>
        </w:rPr>
        <w:t xml:space="preserve">                                                            </w:t>
      </w:r>
    </w:p>
    <w:p>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事实依据：</w:t>
      </w:r>
      <w:r>
        <w:rPr>
          <w:rFonts w:hint="eastAsia" w:hAnsi="宋体" w:cs="宋体"/>
          <w:bCs/>
          <w:color w:val="auto"/>
          <w:kern w:val="2"/>
          <w:sz w:val="24"/>
          <w:szCs w:val="24"/>
          <w:highlight w:val="none"/>
          <w:u w:val="single"/>
        </w:rPr>
        <w:t xml:space="preserve">                                                             </w:t>
      </w:r>
    </w:p>
    <w:p>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法律依据：</w:t>
      </w:r>
      <w:r>
        <w:rPr>
          <w:rFonts w:hint="eastAsia" w:hAnsi="宋体" w:cs="宋体"/>
          <w:color w:val="auto"/>
          <w:kern w:val="2"/>
          <w:sz w:val="24"/>
          <w:szCs w:val="24"/>
          <w:highlight w:val="none"/>
          <w:u w:val="single"/>
        </w:rPr>
        <w:t xml:space="preserve">                                                        </w:t>
      </w:r>
      <w:r>
        <w:rPr>
          <w:rFonts w:hint="eastAsia" w:hAnsi="宋体" w:cs="宋体"/>
          <w:bCs/>
          <w:color w:val="auto"/>
          <w:kern w:val="2"/>
          <w:sz w:val="24"/>
          <w:szCs w:val="24"/>
          <w:highlight w:val="none"/>
          <w:u w:val="single"/>
        </w:rPr>
        <w:t xml:space="preserve">     </w:t>
      </w:r>
    </w:p>
    <w:p>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质疑事项2</w:t>
      </w:r>
    </w:p>
    <w:p>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w:t>
      </w:r>
    </w:p>
    <w:p>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四、与质疑事项相关的质疑请求：</w:t>
      </w:r>
    </w:p>
    <w:p>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请求：</w:t>
      </w:r>
      <w:r>
        <w:rPr>
          <w:rFonts w:hint="eastAsia" w:hAnsi="宋体" w:cs="宋体"/>
          <w:bCs/>
          <w:color w:val="auto"/>
          <w:kern w:val="2"/>
          <w:sz w:val="24"/>
          <w:szCs w:val="24"/>
          <w:highlight w:val="none"/>
          <w:u w:val="single"/>
        </w:rPr>
        <w:t xml:space="preserve">                                                                </w:t>
      </w:r>
    </w:p>
    <w:p>
      <w:pPr>
        <w:pStyle w:val="18"/>
        <w:spacing w:line="360" w:lineRule="auto"/>
        <w:ind w:firstLine="480" w:firstLineChars="200"/>
        <w:contextualSpacing/>
        <w:rPr>
          <w:rFonts w:hAnsi="宋体" w:cs="宋体"/>
          <w:color w:val="auto"/>
          <w:kern w:val="2"/>
          <w:sz w:val="24"/>
          <w:szCs w:val="24"/>
          <w:highlight w:val="none"/>
        </w:rPr>
      </w:pPr>
    </w:p>
    <w:p>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签字（签章）：                                       公章：</w:t>
      </w:r>
    </w:p>
    <w:p>
      <w:pPr>
        <w:pStyle w:val="18"/>
        <w:spacing w:line="360" w:lineRule="auto"/>
        <w:ind w:firstLine="480" w:firstLineChars="200"/>
        <w:contextualSpacing/>
        <w:rPr>
          <w:rFonts w:hAnsi="宋体" w:cs="宋体"/>
          <w:color w:val="auto"/>
          <w:kern w:val="2"/>
          <w:sz w:val="24"/>
          <w:szCs w:val="24"/>
          <w:highlight w:val="none"/>
        </w:rPr>
      </w:pPr>
    </w:p>
    <w:p>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日期：</w:t>
      </w:r>
    </w:p>
    <w:p>
      <w:pPr>
        <w:widowControl/>
        <w:jc w:val="left"/>
        <w:rPr>
          <w:rFonts w:ascii="宋体" w:hAnsi="宋体" w:cs="宋体"/>
          <w:b/>
          <w:color w:val="auto"/>
          <w:sz w:val="24"/>
          <w:highlight w:val="none"/>
        </w:rPr>
      </w:pPr>
      <w:r>
        <w:rPr>
          <w:rFonts w:ascii="宋体" w:hAnsi="宋体" w:cs="宋体"/>
          <w:b/>
          <w:color w:val="auto"/>
          <w:sz w:val="24"/>
          <w:highlight w:val="none"/>
        </w:rPr>
        <w:br w:type="page"/>
      </w:r>
    </w:p>
    <w:p>
      <w:pPr>
        <w:pStyle w:val="18"/>
        <w:spacing w:line="360" w:lineRule="auto"/>
        <w:ind w:firstLine="482" w:firstLineChars="200"/>
        <w:contextualSpacing/>
        <w:rPr>
          <w:rFonts w:hAnsi="宋体" w:cs="宋体"/>
          <w:b/>
          <w:color w:val="auto"/>
          <w:kern w:val="2"/>
          <w:sz w:val="24"/>
          <w:szCs w:val="24"/>
          <w:highlight w:val="none"/>
        </w:rPr>
      </w:pPr>
    </w:p>
    <w:p>
      <w:pPr>
        <w:pStyle w:val="18"/>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说明：</w:t>
      </w:r>
    </w:p>
    <w:p>
      <w:pPr>
        <w:pStyle w:val="18"/>
        <w:spacing w:line="360" w:lineRule="auto"/>
        <w:ind w:firstLine="482" w:firstLineChars="200"/>
        <w:contextualSpacing/>
        <w:rPr>
          <w:rFonts w:hAnsi="宋体" w:cs="宋体"/>
          <w:b/>
          <w:bCs/>
          <w:color w:val="auto"/>
          <w:kern w:val="2"/>
          <w:sz w:val="24"/>
          <w:szCs w:val="24"/>
          <w:highlight w:val="none"/>
        </w:rPr>
      </w:pPr>
      <w:r>
        <w:rPr>
          <w:rFonts w:hint="eastAsia" w:hAnsi="宋体" w:cs="宋体"/>
          <w:b/>
          <w:color w:val="auto"/>
          <w:kern w:val="2"/>
          <w:sz w:val="24"/>
          <w:szCs w:val="24"/>
          <w:highlight w:val="none"/>
        </w:rPr>
        <w:t>1.供应商提出质疑时，应提交质疑函和必要的证明材料</w:t>
      </w:r>
      <w:r>
        <w:rPr>
          <w:rFonts w:hint="eastAsia" w:hAnsi="宋体" w:cs="宋体"/>
          <w:b/>
          <w:bCs/>
          <w:color w:val="auto"/>
          <w:kern w:val="2"/>
          <w:sz w:val="24"/>
          <w:szCs w:val="24"/>
          <w:highlight w:val="none"/>
        </w:rPr>
        <w:t>。</w:t>
      </w:r>
    </w:p>
    <w:p>
      <w:pPr>
        <w:pStyle w:val="18"/>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8"/>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3.质疑函的质疑事项应具体、明确，并有必要的事实依据和法律依据。</w:t>
      </w:r>
    </w:p>
    <w:p>
      <w:pPr>
        <w:pStyle w:val="18"/>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4.质疑函的质疑请求应与质疑事项相关。</w:t>
      </w:r>
    </w:p>
    <w:p>
      <w:pPr>
        <w:pStyle w:val="18"/>
        <w:spacing w:line="360" w:lineRule="auto"/>
        <w:ind w:firstLine="482" w:firstLineChars="200"/>
        <w:contextualSpacing/>
        <w:rPr>
          <w:rFonts w:hAnsi="宋体" w:cs="宋体"/>
          <w:b/>
          <w:color w:val="auto"/>
          <w:kern w:val="2"/>
          <w:highlight w:val="none"/>
        </w:rPr>
      </w:pPr>
      <w:r>
        <w:rPr>
          <w:rFonts w:hint="eastAsia" w:hAnsi="宋体" w:cs="宋体"/>
          <w:b/>
          <w:color w:val="auto"/>
          <w:kern w:val="2"/>
          <w:sz w:val="24"/>
          <w:szCs w:val="24"/>
          <w:highlight w:val="none"/>
        </w:rPr>
        <w:t>5.质疑供应商为法人或者其他组织的，质疑函应由法定代表人、主要负责人，或者其授权代表签字或者盖章，并加盖公章。</w:t>
      </w:r>
    </w:p>
    <w:p>
      <w:pPr>
        <w:pStyle w:val="18"/>
        <w:rPr>
          <w:rFonts w:hAnsi="宋体" w:cs="宋体"/>
          <w:b/>
          <w:color w:val="auto"/>
          <w:kern w:val="2"/>
          <w:sz w:val="24"/>
          <w:szCs w:val="24"/>
          <w:highlight w:val="none"/>
        </w:rPr>
      </w:pPr>
    </w:p>
    <w:p>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pPr>
        <w:pStyle w:val="18"/>
        <w:spacing w:line="500" w:lineRule="exact"/>
        <w:ind w:firstLine="482" w:firstLineChars="200"/>
        <w:rPr>
          <w:rFonts w:hAnsi="宋体" w:cs="宋体"/>
          <w:b/>
          <w:bCs/>
          <w:color w:val="auto"/>
          <w:kern w:val="2"/>
          <w:sz w:val="24"/>
          <w:szCs w:val="24"/>
          <w:highlight w:val="none"/>
        </w:rPr>
      </w:pPr>
      <w:r>
        <w:rPr>
          <w:rFonts w:hint="eastAsia" w:hAnsi="宋体" w:cs="宋体"/>
          <w:b/>
          <w:bCs/>
          <w:color w:val="auto"/>
          <w:kern w:val="2"/>
          <w:sz w:val="24"/>
          <w:szCs w:val="24"/>
          <w:highlight w:val="none"/>
        </w:rPr>
        <w:t>一、投诉相关主体基本情况：</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供应商：</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法定代表人/主要负责人：</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授权代表：</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 xml:space="preserve">   </w:t>
      </w:r>
    </w:p>
    <w:p>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被投诉人1：</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 xml:space="preserve">  </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联系人：</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被投诉人2：</w:t>
      </w:r>
    </w:p>
    <w:p>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相关供应商：</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联系人：</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pPr>
        <w:pStyle w:val="18"/>
        <w:spacing w:line="500" w:lineRule="exact"/>
        <w:ind w:firstLine="482" w:firstLineChars="200"/>
        <w:rPr>
          <w:rFonts w:hAnsi="宋体" w:cs="宋体"/>
          <w:b/>
          <w:bCs/>
          <w:color w:val="auto"/>
          <w:kern w:val="2"/>
          <w:sz w:val="24"/>
          <w:szCs w:val="24"/>
          <w:highlight w:val="none"/>
        </w:rPr>
      </w:pPr>
      <w:r>
        <w:rPr>
          <w:rFonts w:hint="eastAsia" w:hAnsi="宋体" w:cs="宋体"/>
          <w:b/>
          <w:bCs/>
          <w:color w:val="auto"/>
          <w:kern w:val="2"/>
          <w:sz w:val="24"/>
          <w:szCs w:val="24"/>
          <w:highlight w:val="none"/>
        </w:rPr>
        <w:t>二、投诉项目基本情况：</w:t>
      </w:r>
    </w:p>
    <w:p>
      <w:pPr>
        <w:pStyle w:val="18"/>
        <w:spacing w:line="500" w:lineRule="exact"/>
        <w:ind w:firstLine="480" w:firstLineChars="200"/>
        <w:rPr>
          <w:rFonts w:hAnsi="宋体" w:cs="宋体"/>
          <w:color w:val="auto"/>
          <w:kern w:val="2"/>
          <w:sz w:val="24"/>
          <w:szCs w:val="24"/>
          <w:highlight w:val="none"/>
        </w:rPr>
      </w:pPr>
      <w:r>
        <w:rPr>
          <w:rFonts w:hint="eastAsia" w:hAnsi="宋体" w:cs="宋体"/>
          <w:bCs/>
          <w:color w:val="auto"/>
          <w:kern w:val="2"/>
          <w:sz w:val="24"/>
          <w:szCs w:val="24"/>
          <w:highlight w:val="none"/>
        </w:rPr>
        <w:t>采购</w:t>
      </w:r>
      <w:r>
        <w:rPr>
          <w:rFonts w:hint="eastAsia" w:hAnsi="宋体" w:cs="宋体"/>
          <w:color w:val="auto"/>
          <w:kern w:val="2"/>
          <w:sz w:val="24"/>
          <w:szCs w:val="24"/>
          <w:highlight w:val="none"/>
        </w:rPr>
        <w:t>项目的名称：</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color w:val="auto"/>
          <w:kern w:val="2"/>
          <w:sz w:val="24"/>
          <w:szCs w:val="24"/>
          <w:highlight w:val="none"/>
        </w:rPr>
      </w:pPr>
      <w:r>
        <w:rPr>
          <w:rFonts w:hint="eastAsia" w:hAnsi="宋体" w:cs="宋体"/>
          <w:bCs/>
          <w:color w:val="auto"/>
          <w:kern w:val="2"/>
          <w:sz w:val="24"/>
          <w:szCs w:val="24"/>
          <w:highlight w:val="none"/>
        </w:rPr>
        <w:t>采购</w:t>
      </w:r>
      <w:r>
        <w:rPr>
          <w:rFonts w:hint="eastAsia" w:hAnsi="宋体" w:cs="宋体"/>
          <w:color w:val="auto"/>
          <w:kern w:val="2"/>
          <w:sz w:val="24"/>
          <w:szCs w:val="24"/>
          <w:highlight w:val="none"/>
        </w:rPr>
        <w:t>项目的编号：</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color w:val="auto"/>
          <w:kern w:val="2"/>
          <w:sz w:val="24"/>
          <w:szCs w:val="24"/>
          <w:highlight w:val="none"/>
        </w:rPr>
        <w:t>采购人名称：</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color w:val="auto"/>
          <w:kern w:val="2"/>
          <w:sz w:val="24"/>
          <w:szCs w:val="24"/>
          <w:highlight w:val="none"/>
        </w:rPr>
        <w:t>代理机构名称：</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招标文件公告：</w:t>
      </w:r>
      <w:r>
        <w:rPr>
          <w:rFonts w:hint="eastAsia" w:hAnsi="宋体" w:cs="宋体"/>
          <w:bCs/>
          <w:color w:val="auto"/>
          <w:kern w:val="2"/>
          <w:sz w:val="24"/>
          <w:szCs w:val="24"/>
          <w:highlight w:val="none"/>
          <w:u w:val="single"/>
        </w:rPr>
        <w:t>是/否</w:t>
      </w:r>
      <w:r>
        <w:rPr>
          <w:rFonts w:hint="eastAsia" w:hAnsi="宋体" w:cs="宋体"/>
          <w:bCs/>
          <w:color w:val="auto"/>
          <w:kern w:val="2"/>
          <w:sz w:val="24"/>
          <w:szCs w:val="24"/>
          <w:highlight w:val="none"/>
        </w:rPr>
        <w:t>公告期限：</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
          <w:color w:val="auto"/>
          <w:kern w:val="2"/>
          <w:sz w:val="24"/>
          <w:szCs w:val="24"/>
          <w:highlight w:val="none"/>
        </w:rPr>
      </w:pPr>
      <w:r>
        <w:rPr>
          <w:rFonts w:hint="eastAsia" w:hAnsi="宋体" w:cs="宋体"/>
          <w:bCs/>
          <w:color w:val="auto"/>
          <w:kern w:val="2"/>
          <w:sz w:val="24"/>
          <w:szCs w:val="24"/>
          <w:highlight w:val="none"/>
        </w:rPr>
        <w:t>采购结果公告：</w:t>
      </w:r>
      <w:r>
        <w:rPr>
          <w:rFonts w:hint="eastAsia" w:hAnsi="宋体" w:cs="宋体"/>
          <w:bCs/>
          <w:color w:val="auto"/>
          <w:kern w:val="2"/>
          <w:sz w:val="24"/>
          <w:szCs w:val="24"/>
          <w:highlight w:val="none"/>
          <w:u w:val="single"/>
        </w:rPr>
        <w:t>是/否</w:t>
      </w:r>
      <w:r>
        <w:rPr>
          <w:rFonts w:hint="eastAsia" w:hAnsi="宋体" w:cs="宋体"/>
          <w:bCs/>
          <w:color w:val="auto"/>
          <w:kern w:val="2"/>
          <w:sz w:val="24"/>
          <w:szCs w:val="24"/>
          <w:highlight w:val="none"/>
        </w:rPr>
        <w:t>公告期限：</w:t>
      </w:r>
      <w:r>
        <w:rPr>
          <w:rFonts w:hint="eastAsia" w:hAnsi="宋体" w:cs="宋体"/>
          <w:bCs/>
          <w:color w:val="auto"/>
          <w:kern w:val="2"/>
          <w:sz w:val="24"/>
          <w:szCs w:val="24"/>
          <w:highlight w:val="none"/>
          <w:u w:val="single"/>
        </w:rPr>
        <w:t xml:space="preserve">                                          </w:t>
      </w:r>
    </w:p>
    <w:p>
      <w:pPr>
        <w:pStyle w:val="18"/>
        <w:spacing w:line="500" w:lineRule="exact"/>
        <w:ind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三、质疑基本情况</w:t>
      </w:r>
    </w:p>
    <w:p>
      <w:pPr>
        <w:pStyle w:val="18"/>
        <w:spacing w:line="50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投诉人于</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年</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月</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日，向</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提出质疑，质疑事项为：</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color w:val="auto"/>
          <w:kern w:val="2"/>
          <w:sz w:val="24"/>
          <w:szCs w:val="24"/>
          <w:highlight w:val="none"/>
        </w:rPr>
      </w:pPr>
      <w:r>
        <w:rPr>
          <w:rFonts w:hint="eastAsia" w:hAnsi="宋体" w:cs="宋体"/>
          <w:bCs/>
          <w:color w:val="auto"/>
          <w:kern w:val="2"/>
          <w:sz w:val="24"/>
          <w:szCs w:val="24"/>
          <w:highlight w:val="none"/>
          <w:u w:val="single"/>
        </w:rPr>
        <w:t>采购人/代理机构</w:t>
      </w:r>
      <w:r>
        <w:rPr>
          <w:rFonts w:hint="eastAsia" w:hAnsi="宋体" w:cs="宋体"/>
          <w:bCs/>
          <w:color w:val="auto"/>
          <w:kern w:val="2"/>
          <w:sz w:val="24"/>
          <w:szCs w:val="24"/>
          <w:highlight w:val="none"/>
        </w:rPr>
        <w:t>于</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年</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月</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日，</w:t>
      </w:r>
      <w:r>
        <w:rPr>
          <w:rFonts w:hint="eastAsia" w:hAnsi="宋体" w:cs="宋体"/>
          <w:bCs/>
          <w:color w:val="auto"/>
          <w:kern w:val="2"/>
          <w:sz w:val="24"/>
          <w:szCs w:val="24"/>
          <w:highlight w:val="none"/>
        </w:rPr>
        <w:t xml:space="preserve">就质疑事项作出了答复/没有在法定期限内作出答复。 </w:t>
      </w:r>
    </w:p>
    <w:p>
      <w:pPr>
        <w:pStyle w:val="18"/>
        <w:spacing w:line="500" w:lineRule="exact"/>
        <w:ind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四、投诉事项具体内容</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color w:val="auto"/>
          <w:kern w:val="2"/>
          <w:sz w:val="24"/>
          <w:szCs w:val="24"/>
          <w:highlight w:val="none"/>
        </w:rPr>
        <w:t>投诉事项1：</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事实依据：</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法律依据：</w:t>
      </w:r>
      <w:r>
        <w:rPr>
          <w:rFonts w:hint="eastAsia" w:hAnsi="宋体" w:cs="宋体"/>
          <w:bCs/>
          <w:color w:val="auto"/>
          <w:kern w:val="2"/>
          <w:sz w:val="24"/>
          <w:szCs w:val="24"/>
          <w:highlight w:val="none"/>
          <w:u w:val="single"/>
        </w:rPr>
        <w:t xml:space="preserve">                                                             </w:t>
      </w:r>
    </w:p>
    <w:p>
      <w:pPr>
        <w:pStyle w:val="18"/>
        <w:spacing w:line="500" w:lineRule="exact"/>
        <w:ind w:firstLine="480" w:firstLineChars="200"/>
        <w:rPr>
          <w:rFonts w:hAnsi="宋体" w:cs="宋体"/>
          <w:bCs/>
          <w:color w:val="auto"/>
          <w:kern w:val="2"/>
          <w:sz w:val="24"/>
          <w:szCs w:val="24"/>
          <w:highlight w:val="none"/>
        </w:rPr>
      </w:pPr>
      <w:r>
        <w:rPr>
          <w:rFonts w:hint="eastAsia" w:hAnsi="宋体" w:cs="宋体"/>
          <w:color w:val="auto"/>
          <w:kern w:val="2"/>
          <w:sz w:val="24"/>
          <w:szCs w:val="24"/>
          <w:highlight w:val="none"/>
        </w:rPr>
        <w:t>投诉事项2</w:t>
      </w:r>
      <w:r>
        <w:rPr>
          <w:rFonts w:hint="eastAsia" w:hAnsi="宋体" w:cs="宋体"/>
          <w:bCs/>
          <w:color w:val="auto"/>
          <w:kern w:val="2"/>
          <w:sz w:val="24"/>
          <w:szCs w:val="24"/>
          <w:highlight w:val="none"/>
        </w:rPr>
        <w:t>……</w:t>
      </w:r>
    </w:p>
    <w:p>
      <w:pPr>
        <w:pStyle w:val="18"/>
        <w:spacing w:line="500" w:lineRule="exact"/>
        <w:ind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五、与投诉事项相关的投诉请求：</w:t>
      </w:r>
    </w:p>
    <w:p>
      <w:pPr>
        <w:pStyle w:val="18"/>
        <w:spacing w:line="40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请求：</w:t>
      </w:r>
      <w:r>
        <w:rPr>
          <w:rFonts w:hint="eastAsia" w:hAnsi="宋体" w:cs="宋体"/>
          <w:bCs/>
          <w:color w:val="auto"/>
          <w:kern w:val="2"/>
          <w:sz w:val="24"/>
          <w:szCs w:val="24"/>
          <w:highlight w:val="none"/>
          <w:u w:val="single"/>
        </w:rPr>
        <w:t xml:space="preserve">                                                                 </w:t>
      </w:r>
    </w:p>
    <w:p>
      <w:pPr>
        <w:pStyle w:val="18"/>
        <w:spacing w:line="360" w:lineRule="auto"/>
        <w:ind w:left="25" w:leftChars="12" w:firstLine="352" w:firstLineChars="147"/>
        <w:rPr>
          <w:rFonts w:hAnsi="宋体" w:cs="宋体"/>
          <w:color w:val="auto"/>
          <w:kern w:val="2"/>
          <w:sz w:val="24"/>
          <w:szCs w:val="24"/>
          <w:highlight w:val="none"/>
        </w:rPr>
      </w:pPr>
    </w:p>
    <w:p>
      <w:pPr>
        <w:pStyle w:val="18"/>
        <w:spacing w:line="360" w:lineRule="auto"/>
        <w:ind w:left="25" w:leftChars="12" w:firstLine="472" w:firstLineChars="197"/>
        <w:rPr>
          <w:rFonts w:hAnsi="宋体" w:cs="宋体"/>
          <w:color w:val="auto"/>
          <w:kern w:val="2"/>
          <w:sz w:val="24"/>
          <w:szCs w:val="24"/>
          <w:highlight w:val="none"/>
        </w:rPr>
      </w:pPr>
      <w:r>
        <w:rPr>
          <w:rFonts w:hint="eastAsia" w:hAnsi="宋体" w:cs="宋体"/>
          <w:color w:val="auto"/>
          <w:kern w:val="2"/>
          <w:sz w:val="24"/>
          <w:szCs w:val="24"/>
          <w:highlight w:val="none"/>
        </w:rPr>
        <w:t>签字（签章）：                             公章：</w:t>
      </w:r>
    </w:p>
    <w:p>
      <w:pPr>
        <w:pStyle w:val="18"/>
        <w:spacing w:line="360" w:lineRule="auto"/>
        <w:ind w:left="25" w:leftChars="12" w:firstLine="352" w:firstLineChars="147"/>
        <w:rPr>
          <w:rFonts w:hAnsi="宋体" w:cs="宋体"/>
          <w:color w:val="auto"/>
          <w:kern w:val="2"/>
          <w:sz w:val="24"/>
          <w:szCs w:val="24"/>
          <w:highlight w:val="none"/>
        </w:rPr>
      </w:pPr>
    </w:p>
    <w:p>
      <w:pPr>
        <w:pStyle w:val="18"/>
        <w:spacing w:line="360" w:lineRule="auto"/>
        <w:ind w:left="25" w:leftChars="12" w:firstLine="472" w:firstLineChars="197"/>
        <w:rPr>
          <w:rFonts w:hAnsi="宋体" w:cs="宋体"/>
          <w:color w:val="auto"/>
          <w:kern w:val="2"/>
          <w:sz w:val="24"/>
          <w:szCs w:val="24"/>
          <w:highlight w:val="none"/>
        </w:rPr>
      </w:pPr>
      <w:r>
        <w:rPr>
          <w:rFonts w:hint="eastAsia" w:hAnsi="宋体" w:cs="宋体"/>
          <w:color w:val="auto"/>
          <w:kern w:val="2"/>
          <w:sz w:val="24"/>
          <w:szCs w:val="24"/>
          <w:highlight w:val="none"/>
        </w:rPr>
        <w:t>日期：</w:t>
      </w:r>
    </w:p>
    <w:p>
      <w:pPr>
        <w:pStyle w:val="18"/>
        <w:spacing w:line="360" w:lineRule="auto"/>
        <w:ind w:left="25" w:leftChars="12" w:firstLine="472" w:firstLineChars="197"/>
        <w:rPr>
          <w:rFonts w:hAnsi="宋体" w:cs="宋体"/>
          <w:color w:val="auto"/>
          <w:kern w:val="2"/>
          <w:sz w:val="24"/>
          <w:szCs w:val="24"/>
          <w:highlight w:val="none"/>
        </w:rPr>
      </w:pPr>
    </w:p>
    <w:p>
      <w:pPr>
        <w:pStyle w:val="18"/>
        <w:spacing w:line="360" w:lineRule="auto"/>
        <w:rPr>
          <w:rFonts w:hAnsi="宋体" w:cs="宋体"/>
          <w:b/>
          <w:color w:val="auto"/>
          <w:kern w:val="2"/>
          <w:sz w:val="24"/>
          <w:szCs w:val="24"/>
          <w:highlight w:val="none"/>
        </w:rPr>
      </w:pPr>
      <w:r>
        <w:rPr>
          <w:rFonts w:hint="eastAsia" w:hAnsi="宋体" w:cs="宋体"/>
          <w:b/>
          <w:color w:val="auto"/>
          <w:kern w:val="2"/>
          <w:sz w:val="24"/>
          <w:szCs w:val="24"/>
          <w:highlight w:val="none"/>
        </w:rPr>
        <w:t>说明：</w:t>
      </w:r>
    </w:p>
    <w:p>
      <w:pPr>
        <w:pStyle w:val="18"/>
        <w:spacing w:line="360" w:lineRule="auto"/>
        <w:ind w:left="25" w:leftChars="12" w:firstLine="354" w:firstLineChars="147"/>
        <w:rPr>
          <w:rFonts w:hAnsi="宋体" w:cs="宋体"/>
          <w:b/>
          <w:bCs/>
          <w:color w:val="auto"/>
          <w:kern w:val="2"/>
          <w:sz w:val="24"/>
          <w:szCs w:val="24"/>
          <w:highlight w:val="none"/>
        </w:rPr>
      </w:pPr>
      <w:r>
        <w:rPr>
          <w:rFonts w:hint="eastAsia" w:hAnsi="宋体" w:cs="宋体"/>
          <w:b/>
          <w:color w:val="auto"/>
          <w:kern w:val="2"/>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kern w:val="2"/>
          <w:sz w:val="24"/>
          <w:szCs w:val="24"/>
          <w:highlight w:val="none"/>
        </w:rPr>
        <w:t>。</w:t>
      </w:r>
    </w:p>
    <w:p>
      <w:pPr>
        <w:pStyle w:val="18"/>
        <w:spacing w:line="360" w:lineRule="auto"/>
        <w:ind w:left="25" w:leftChars="12" w:firstLine="354" w:firstLineChars="147"/>
        <w:rPr>
          <w:rFonts w:hAnsi="宋体" w:cs="宋体"/>
          <w:b/>
          <w:color w:val="auto"/>
          <w:kern w:val="2"/>
          <w:sz w:val="24"/>
          <w:szCs w:val="24"/>
          <w:highlight w:val="none"/>
        </w:rPr>
      </w:pPr>
      <w:r>
        <w:rPr>
          <w:rFonts w:hint="eastAsia" w:hAnsi="宋体" w:cs="宋体"/>
          <w:b/>
          <w:color w:val="auto"/>
          <w:kern w:val="2"/>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8"/>
        <w:spacing w:line="360" w:lineRule="auto"/>
        <w:ind w:left="25" w:leftChars="12" w:firstLine="354" w:firstLineChars="147"/>
        <w:rPr>
          <w:rFonts w:hAnsi="宋体" w:cs="宋体"/>
          <w:b/>
          <w:color w:val="auto"/>
          <w:kern w:val="2"/>
          <w:sz w:val="24"/>
          <w:szCs w:val="24"/>
          <w:highlight w:val="none"/>
        </w:rPr>
      </w:pPr>
      <w:r>
        <w:rPr>
          <w:rFonts w:hint="eastAsia" w:hAnsi="宋体" w:cs="宋体"/>
          <w:b/>
          <w:color w:val="auto"/>
          <w:kern w:val="2"/>
          <w:sz w:val="24"/>
          <w:szCs w:val="24"/>
          <w:highlight w:val="none"/>
        </w:rPr>
        <w:t>3.投诉书应简要列明质疑事项，质疑函、质疑答复等作为附件材料提供。</w:t>
      </w:r>
    </w:p>
    <w:p>
      <w:pPr>
        <w:pStyle w:val="18"/>
        <w:spacing w:line="360" w:lineRule="auto"/>
        <w:ind w:left="25" w:leftChars="12" w:firstLine="354" w:firstLineChars="147"/>
        <w:rPr>
          <w:rFonts w:hAnsi="宋体" w:cs="宋体"/>
          <w:b/>
          <w:color w:val="auto"/>
          <w:kern w:val="2"/>
          <w:sz w:val="24"/>
          <w:szCs w:val="24"/>
          <w:highlight w:val="none"/>
        </w:rPr>
      </w:pPr>
      <w:r>
        <w:rPr>
          <w:rFonts w:hint="eastAsia" w:hAnsi="宋体" w:cs="宋体"/>
          <w:b/>
          <w:color w:val="auto"/>
          <w:kern w:val="2"/>
          <w:sz w:val="24"/>
          <w:szCs w:val="24"/>
          <w:highlight w:val="none"/>
        </w:rPr>
        <w:t>4.投诉书的投诉事项应具体、明确，并有必要的事实依据和法律依据。</w:t>
      </w:r>
    </w:p>
    <w:p>
      <w:pPr>
        <w:pStyle w:val="18"/>
        <w:spacing w:line="360" w:lineRule="auto"/>
        <w:ind w:left="25" w:leftChars="12" w:firstLine="354" w:firstLineChars="147"/>
        <w:rPr>
          <w:rFonts w:hAnsi="宋体" w:cs="宋体"/>
          <w:b/>
          <w:color w:val="auto"/>
          <w:kern w:val="2"/>
          <w:sz w:val="24"/>
          <w:szCs w:val="24"/>
          <w:highlight w:val="none"/>
        </w:rPr>
      </w:pPr>
      <w:r>
        <w:rPr>
          <w:rFonts w:hint="eastAsia" w:hAnsi="宋体" w:cs="宋体"/>
          <w:b/>
          <w:color w:val="auto"/>
          <w:kern w:val="2"/>
          <w:sz w:val="24"/>
          <w:szCs w:val="24"/>
          <w:highlight w:val="none"/>
        </w:rPr>
        <w:t>5.投诉书的投诉请求应与投诉事项相关。</w:t>
      </w:r>
    </w:p>
    <w:p>
      <w:pPr>
        <w:pStyle w:val="18"/>
        <w:spacing w:line="360" w:lineRule="auto"/>
        <w:ind w:left="25" w:leftChars="12" w:firstLine="354" w:firstLineChars="147"/>
        <w:rPr>
          <w:rFonts w:hAnsi="宋体" w:cs="宋体"/>
          <w:b/>
          <w:color w:val="auto"/>
          <w:kern w:val="2"/>
          <w:highlight w:val="none"/>
        </w:rPr>
      </w:pPr>
      <w:r>
        <w:rPr>
          <w:rFonts w:hint="eastAsia" w:hAnsi="宋体" w:cs="宋体"/>
          <w:b/>
          <w:color w:val="auto"/>
          <w:kern w:val="2"/>
          <w:sz w:val="24"/>
          <w:szCs w:val="24"/>
          <w:highlight w:val="none"/>
        </w:rPr>
        <w:t>6.投诉人为法人或者其他组织的，投诉书应由法定代表人、主要负责人，或者其授权代表签字或者盖章，并加盖公章。</w:t>
      </w:r>
    </w:p>
    <w:p>
      <w:pPr>
        <w:rPr>
          <w:rFonts w:ascii="宋体" w:hAnsi="宋体" w:cs="宋体"/>
          <w:color w:val="auto"/>
          <w:highlight w:val="none"/>
        </w:rPr>
      </w:pPr>
    </w:p>
    <w:p>
      <w:pPr>
        <w:rPr>
          <w:rFonts w:ascii="宋体" w:hAnsi="宋体" w:cs="宋体"/>
          <w:color w:val="auto"/>
          <w:highlight w:val="none"/>
        </w:rPr>
      </w:pPr>
    </w:p>
    <w:sectPr>
      <w:footerReference r:id="rId7" w:type="first"/>
      <w:headerReference r:id="rId5" w:type="default"/>
      <w:footerReference r:id="rId6" w:type="default"/>
      <w:pgSz w:w="11911" w:h="16838"/>
      <w:pgMar w:top="1418" w:right="1418" w:bottom="1418" w:left="1418" w:header="851" w:footer="96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Times New Roman)">
    <w:altName w:val="微软雅黑"/>
    <w:panose1 w:val="00000000000000000000"/>
    <w:charset w:val="00"/>
    <w:family w:val="auto"/>
    <w:pitch w:val="default"/>
    <w:sig w:usb0="00000000" w:usb1="00000000" w:usb2="00000000" w:usb3="00000000" w:csb0="00040001"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Ìå">
    <w:altName w:val="Times New Roman"/>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4002009F" w:csb1="DFD70000"/>
  </w:font>
  <w:font w:name="MingLiU_HKSCS">
    <w:altName w:val="PMingLiU-ExtB"/>
    <w:panose1 w:val="02020500000000000000"/>
    <w:charset w:val="88"/>
    <w:family w:val="roman"/>
    <w:pitch w:val="default"/>
    <w:sig w:usb0="00000000" w:usb1="00000000" w:usb2="00000016" w:usb3="00000000" w:csb0="0010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仿宋_GB2312"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lear" w:pos="4153"/>
        <w:tab w:val="clear"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841"/>
                            <w:docPartObj>
                              <w:docPartGallery w:val="autotext"/>
                            </w:docPartObj>
                          </w:sdtPr>
                          <w:sdtContent>
                            <w:p>
                              <w:pPr>
                                <w:pStyle w:val="21"/>
                                <w:tabs>
                                  <w:tab w:val="clear" w:pos="4153"/>
                                  <w:tab w:val="clear" w:pos="8306"/>
                                </w:tabs>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2841"/>
                      <w:docPartObj>
                        <w:docPartGallery w:val="autotext"/>
                      </w:docPartObj>
                    </w:sdtPr>
                    <w:sdtContent>
                      <w:p>
                        <w:pPr>
                          <w:pStyle w:val="21"/>
                          <w:tabs>
                            <w:tab w:val="clear" w:pos="4153"/>
                            <w:tab w:val="clear" w:pos="8306"/>
                          </w:tabs>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p>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1">
                      <a:spAutoFit/>
                    </wps:bodyPr>
                  </wps:wsp>
                </a:graphicData>
              </a:graphic>
            </wp:anchor>
          </w:drawing>
        </mc:Choice>
        <mc:Fallback>
          <w:pict>
            <v:shape id="文本框 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9H5iRzAEAAJwDAAAOAAAAAAAAAAEAIAAAAB4BAABkcnMvZTJv&#10;RG9jLnhtbFBLBQYAAAAABgAGAFkBAABc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 w:val="clear" w:pos="8306"/>
      </w:tabs>
      <w:rPr>
        <w:rFonts w:ascii="宋体" w:hAnsi="宋体"/>
        <w:kern w:val="2"/>
      </w:rPr>
    </w:pPr>
    <w:r>
      <w:rPr>
        <w:rFonts w:hint="eastAsia" w:ascii="宋体" w:hAnsi="宋体" w:cs="仿宋"/>
        <w:bCs/>
        <w:kern w:val="2"/>
        <w:lang w:eastAsia="zh-CN"/>
      </w:rPr>
      <w:t>六堡茶种质资源圃建设项目</w:t>
    </w:r>
    <w:r>
      <w:rPr>
        <w:rFonts w:hint="eastAsia" w:ascii="宋体" w:hAnsi="宋体" w:cs="仿宋"/>
        <w:bCs/>
        <w:kern w:val="2"/>
      </w:rPr>
      <w:t>（项目编号：</w:t>
    </w:r>
    <w:r>
      <w:rPr>
        <w:rFonts w:hint="eastAsia" w:ascii="宋体" w:hAnsi="宋体" w:cs="仿宋"/>
        <w:bCs/>
        <w:kern w:val="2"/>
        <w:highlight w:val="none"/>
        <w:lang w:eastAsia="zh-CN"/>
      </w:rPr>
      <w:t>WZZC2026-C2-050015-GXHH</w:t>
    </w:r>
    <w:r>
      <w:rPr>
        <w:rFonts w:hint="eastAsia" w:ascii="宋体" w:hAnsi="宋体" w:cs="仿宋"/>
        <w:bCs/>
        <w:kern w:val="2"/>
        <w:highlight w:val="non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19DA1"/>
    <w:multiLevelType w:val="singleLevel"/>
    <w:tmpl w:val="B7519DA1"/>
    <w:lvl w:ilvl="0" w:tentative="0">
      <w:start w:val="3"/>
      <w:numFmt w:val="decimal"/>
      <w:suff w:val="nothing"/>
      <w:lvlText w:val="（%1）"/>
      <w:lvlJc w:val="left"/>
    </w:lvl>
  </w:abstractNum>
  <w:abstractNum w:abstractNumId="1">
    <w:nsid w:val="7FF7084E"/>
    <w:multiLevelType w:val="singleLevel"/>
    <w:tmpl w:val="7FF7084E"/>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Mzg3ZTkwOTBiN2Y3Yjk5ZWFiYTMwODk3MWZlMmUifQ=="/>
    <w:docVar w:name="KSO_WPS_MARK_KEY" w:val="78991176-0e16-4ce6-9976-3a9ce0fcae2e"/>
  </w:docVars>
  <w:rsids>
    <w:rsidRoot w:val="004F1E6F"/>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47578"/>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72A"/>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126"/>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18B7"/>
    <w:rsid w:val="00266165"/>
    <w:rsid w:val="002662FE"/>
    <w:rsid w:val="00266F2C"/>
    <w:rsid w:val="002701D8"/>
    <w:rsid w:val="0027125E"/>
    <w:rsid w:val="00271767"/>
    <w:rsid w:val="00272293"/>
    <w:rsid w:val="002723C8"/>
    <w:rsid w:val="00273C2A"/>
    <w:rsid w:val="00273CBE"/>
    <w:rsid w:val="002746B1"/>
    <w:rsid w:val="00274BAD"/>
    <w:rsid w:val="00282D56"/>
    <w:rsid w:val="002835B0"/>
    <w:rsid w:val="00283BE2"/>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511C"/>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5FA2"/>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6591"/>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0D2"/>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6862"/>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A7F51"/>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1E6F"/>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0B95"/>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C4A"/>
    <w:rsid w:val="005E3F85"/>
    <w:rsid w:val="005E4384"/>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B7C6C"/>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AF3"/>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64D4"/>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911"/>
    <w:rsid w:val="007B7490"/>
    <w:rsid w:val="007C0525"/>
    <w:rsid w:val="007C13F7"/>
    <w:rsid w:val="007C218D"/>
    <w:rsid w:val="007C2D28"/>
    <w:rsid w:val="007C3E22"/>
    <w:rsid w:val="007C5B90"/>
    <w:rsid w:val="007C6079"/>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CF2"/>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5CC"/>
    <w:rsid w:val="008F091F"/>
    <w:rsid w:val="008F17B2"/>
    <w:rsid w:val="008F22B3"/>
    <w:rsid w:val="008F357B"/>
    <w:rsid w:val="008F3B1D"/>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7AF"/>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09C"/>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F8B"/>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7311"/>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7AD"/>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999"/>
    <w:rsid w:val="00C72F53"/>
    <w:rsid w:val="00C74035"/>
    <w:rsid w:val="00C748EA"/>
    <w:rsid w:val="00C77818"/>
    <w:rsid w:val="00C8063F"/>
    <w:rsid w:val="00C80F2C"/>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BE7"/>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559B"/>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051"/>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5C3A"/>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1748B"/>
    <w:rsid w:val="014A1E41"/>
    <w:rsid w:val="018727B9"/>
    <w:rsid w:val="01AF3D99"/>
    <w:rsid w:val="02511F9D"/>
    <w:rsid w:val="02550C99"/>
    <w:rsid w:val="03A314B8"/>
    <w:rsid w:val="03D82B98"/>
    <w:rsid w:val="03F83E8B"/>
    <w:rsid w:val="04473791"/>
    <w:rsid w:val="05044FD5"/>
    <w:rsid w:val="057D6BA8"/>
    <w:rsid w:val="05C56868"/>
    <w:rsid w:val="07B72767"/>
    <w:rsid w:val="08077E72"/>
    <w:rsid w:val="086B47A6"/>
    <w:rsid w:val="08882DD0"/>
    <w:rsid w:val="088E3CD3"/>
    <w:rsid w:val="09226B0F"/>
    <w:rsid w:val="09986D97"/>
    <w:rsid w:val="09CC2AAC"/>
    <w:rsid w:val="09D26E76"/>
    <w:rsid w:val="09E2580B"/>
    <w:rsid w:val="0A652D3E"/>
    <w:rsid w:val="0ACE2917"/>
    <w:rsid w:val="0B326F2A"/>
    <w:rsid w:val="0BB4635D"/>
    <w:rsid w:val="0BDC4B87"/>
    <w:rsid w:val="0C1E2888"/>
    <w:rsid w:val="0C92213C"/>
    <w:rsid w:val="0D84032B"/>
    <w:rsid w:val="0E236E8B"/>
    <w:rsid w:val="0E7A2B4C"/>
    <w:rsid w:val="0EC5775B"/>
    <w:rsid w:val="0F2A74C4"/>
    <w:rsid w:val="0FD70683"/>
    <w:rsid w:val="10A27F31"/>
    <w:rsid w:val="11847051"/>
    <w:rsid w:val="11927058"/>
    <w:rsid w:val="11DA398C"/>
    <w:rsid w:val="134F66BB"/>
    <w:rsid w:val="13882BF9"/>
    <w:rsid w:val="13AF4F03"/>
    <w:rsid w:val="13E901E3"/>
    <w:rsid w:val="1410303C"/>
    <w:rsid w:val="14736E66"/>
    <w:rsid w:val="147F458F"/>
    <w:rsid w:val="14D958EC"/>
    <w:rsid w:val="1534169A"/>
    <w:rsid w:val="15BB2916"/>
    <w:rsid w:val="15C03E03"/>
    <w:rsid w:val="162A25EB"/>
    <w:rsid w:val="16FD2A55"/>
    <w:rsid w:val="17067C1A"/>
    <w:rsid w:val="17117A8B"/>
    <w:rsid w:val="17366761"/>
    <w:rsid w:val="177C01F0"/>
    <w:rsid w:val="17CE6630"/>
    <w:rsid w:val="18640C92"/>
    <w:rsid w:val="18AE0D86"/>
    <w:rsid w:val="1921046B"/>
    <w:rsid w:val="1961477C"/>
    <w:rsid w:val="19741FD7"/>
    <w:rsid w:val="1AFF0AFE"/>
    <w:rsid w:val="1B086846"/>
    <w:rsid w:val="1B4F19F8"/>
    <w:rsid w:val="1BEC75F7"/>
    <w:rsid w:val="1BEE7F95"/>
    <w:rsid w:val="1C226F03"/>
    <w:rsid w:val="1CBA0FA6"/>
    <w:rsid w:val="1DC43018"/>
    <w:rsid w:val="1ECC44FA"/>
    <w:rsid w:val="1F063325"/>
    <w:rsid w:val="1F3E6060"/>
    <w:rsid w:val="1F71456F"/>
    <w:rsid w:val="1FBC5DF5"/>
    <w:rsid w:val="1FF90588"/>
    <w:rsid w:val="20071A17"/>
    <w:rsid w:val="2054789A"/>
    <w:rsid w:val="20C3623F"/>
    <w:rsid w:val="21722C92"/>
    <w:rsid w:val="21781212"/>
    <w:rsid w:val="218C669E"/>
    <w:rsid w:val="21B83F86"/>
    <w:rsid w:val="21F235CB"/>
    <w:rsid w:val="221178A8"/>
    <w:rsid w:val="221213CF"/>
    <w:rsid w:val="22217745"/>
    <w:rsid w:val="22327A92"/>
    <w:rsid w:val="22963C78"/>
    <w:rsid w:val="231D53A2"/>
    <w:rsid w:val="234B49EE"/>
    <w:rsid w:val="236D5383"/>
    <w:rsid w:val="23B7504C"/>
    <w:rsid w:val="23F36A58"/>
    <w:rsid w:val="24571307"/>
    <w:rsid w:val="24640B89"/>
    <w:rsid w:val="24F06295"/>
    <w:rsid w:val="25110A2A"/>
    <w:rsid w:val="252648A0"/>
    <w:rsid w:val="256C0944"/>
    <w:rsid w:val="25DE37A7"/>
    <w:rsid w:val="26446DE3"/>
    <w:rsid w:val="269669E7"/>
    <w:rsid w:val="26D7699F"/>
    <w:rsid w:val="2810627B"/>
    <w:rsid w:val="296C5BF2"/>
    <w:rsid w:val="29A16BD4"/>
    <w:rsid w:val="29B03871"/>
    <w:rsid w:val="2A067935"/>
    <w:rsid w:val="2AF04C32"/>
    <w:rsid w:val="2B0F281A"/>
    <w:rsid w:val="2B774624"/>
    <w:rsid w:val="2C372028"/>
    <w:rsid w:val="2C390172"/>
    <w:rsid w:val="2C7A72BE"/>
    <w:rsid w:val="2C9A7D75"/>
    <w:rsid w:val="2CC17412"/>
    <w:rsid w:val="2CF35FD9"/>
    <w:rsid w:val="2D947BEA"/>
    <w:rsid w:val="2E9067E6"/>
    <w:rsid w:val="2E9976CE"/>
    <w:rsid w:val="2F3F5C82"/>
    <w:rsid w:val="2F401D3C"/>
    <w:rsid w:val="2F5B24E1"/>
    <w:rsid w:val="2F6A44C2"/>
    <w:rsid w:val="2FA95C88"/>
    <w:rsid w:val="3041370F"/>
    <w:rsid w:val="30B05A06"/>
    <w:rsid w:val="3105430C"/>
    <w:rsid w:val="312B50A3"/>
    <w:rsid w:val="32453A27"/>
    <w:rsid w:val="3263064A"/>
    <w:rsid w:val="327C1720"/>
    <w:rsid w:val="32A43132"/>
    <w:rsid w:val="32AC0C06"/>
    <w:rsid w:val="33231A92"/>
    <w:rsid w:val="33344EF5"/>
    <w:rsid w:val="3422003D"/>
    <w:rsid w:val="344F1CC6"/>
    <w:rsid w:val="346C4000"/>
    <w:rsid w:val="35020CF9"/>
    <w:rsid w:val="35323592"/>
    <w:rsid w:val="3537750C"/>
    <w:rsid w:val="3537798C"/>
    <w:rsid w:val="35C13FC9"/>
    <w:rsid w:val="364257B6"/>
    <w:rsid w:val="36CD0B0F"/>
    <w:rsid w:val="36E04F7F"/>
    <w:rsid w:val="370C21A2"/>
    <w:rsid w:val="373B602E"/>
    <w:rsid w:val="374365F8"/>
    <w:rsid w:val="37EA5922"/>
    <w:rsid w:val="3810372D"/>
    <w:rsid w:val="38276B93"/>
    <w:rsid w:val="386E1832"/>
    <w:rsid w:val="38AC3431"/>
    <w:rsid w:val="38BD416F"/>
    <w:rsid w:val="38C239DC"/>
    <w:rsid w:val="39133709"/>
    <w:rsid w:val="392F2E16"/>
    <w:rsid w:val="39A131D7"/>
    <w:rsid w:val="39E00529"/>
    <w:rsid w:val="3A0B64A7"/>
    <w:rsid w:val="3A485400"/>
    <w:rsid w:val="3A574DDA"/>
    <w:rsid w:val="3A890E8D"/>
    <w:rsid w:val="3AD3075A"/>
    <w:rsid w:val="3AEC6CD7"/>
    <w:rsid w:val="3AEF12CB"/>
    <w:rsid w:val="3AF74C02"/>
    <w:rsid w:val="3BD00225"/>
    <w:rsid w:val="3C0059A5"/>
    <w:rsid w:val="3C134E78"/>
    <w:rsid w:val="3C931ABD"/>
    <w:rsid w:val="3CFC2AEE"/>
    <w:rsid w:val="3D0A1093"/>
    <w:rsid w:val="3DEC7285"/>
    <w:rsid w:val="3DF6345D"/>
    <w:rsid w:val="3DF6798C"/>
    <w:rsid w:val="3E2B5515"/>
    <w:rsid w:val="3E4D4F28"/>
    <w:rsid w:val="3EE13701"/>
    <w:rsid w:val="3F1A4BB3"/>
    <w:rsid w:val="3F57272F"/>
    <w:rsid w:val="40192BA6"/>
    <w:rsid w:val="40E12FE8"/>
    <w:rsid w:val="41766EA9"/>
    <w:rsid w:val="42550A18"/>
    <w:rsid w:val="429D496A"/>
    <w:rsid w:val="42E36B0E"/>
    <w:rsid w:val="42F473A1"/>
    <w:rsid w:val="43444075"/>
    <w:rsid w:val="437D79C7"/>
    <w:rsid w:val="43E81080"/>
    <w:rsid w:val="441E62C0"/>
    <w:rsid w:val="45307029"/>
    <w:rsid w:val="45325D14"/>
    <w:rsid w:val="45811C7C"/>
    <w:rsid w:val="45906116"/>
    <w:rsid w:val="45C7085C"/>
    <w:rsid w:val="46097500"/>
    <w:rsid w:val="46120A5E"/>
    <w:rsid w:val="468B3EFB"/>
    <w:rsid w:val="470A6193"/>
    <w:rsid w:val="47385210"/>
    <w:rsid w:val="476A1AE5"/>
    <w:rsid w:val="47DC4F5C"/>
    <w:rsid w:val="47E630FF"/>
    <w:rsid w:val="48681B97"/>
    <w:rsid w:val="48B40671"/>
    <w:rsid w:val="499B5738"/>
    <w:rsid w:val="499F244D"/>
    <w:rsid w:val="4A973F3F"/>
    <w:rsid w:val="4A9C151B"/>
    <w:rsid w:val="4AF96BC7"/>
    <w:rsid w:val="4B2C48CA"/>
    <w:rsid w:val="4B5A416B"/>
    <w:rsid w:val="4B8464B4"/>
    <w:rsid w:val="4B862A85"/>
    <w:rsid w:val="4BAC011F"/>
    <w:rsid w:val="4BD00440"/>
    <w:rsid w:val="4BF92A1F"/>
    <w:rsid w:val="4C0A76DF"/>
    <w:rsid w:val="4C373048"/>
    <w:rsid w:val="4C843359"/>
    <w:rsid w:val="4CEF36E2"/>
    <w:rsid w:val="4CEF4DC5"/>
    <w:rsid w:val="4D5B14E9"/>
    <w:rsid w:val="4D6C5694"/>
    <w:rsid w:val="4DA00144"/>
    <w:rsid w:val="4DA31FC0"/>
    <w:rsid w:val="4DFF0198"/>
    <w:rsid w:val="4E257655"/>
    <w:rsid w:val="4E8E7871"/>
    <w:rsid w:val="4F372380"/>
    <w:rsid w:val="4F372FFB"/>
    <w:rsid w:val="5025116D"/>
    <w:rsid w:val="508C2CB2"/>
    <w:rsid w:val="510C6DD7"/>
    <w:rsid w:val="51F4595F"/>
    <w:rsid w:val="52395ECD"/>
    <w:rsid w:val="52756157"/>
    <w:rsid w:val="52C10D75"/>
    <w:rsid w:val="53177392"/>
    <w:rsid w:val="53C27FF8"/>
    <w:rsid w:val="54093C27"/>
    <w:rsid w:val="549E1A80"/>
    <w:rsid w:val="54AD765E"/>
    <w:rsid w:val="54C658F4"/>
    <w:rsid w:val="550C4BD7"/>
    <w:rsid w:val="554C1D56"/>
    <w:rsid w:val="55572986"/>
    <w:rsid w:val="55C062DD"/>
    <w:rsid w:val="565340FA"/>
    <w:rsid w:val="5723343E"/>
    <w:rsid w:val="572A6AD0"/>
    <w:rsid w:val="572E5D14"/>
    <w:rsid w:val="573D7EAB"/>
    <w:rsid w:val="575812C4"/>
    <w:rsid w:val="5813465D"/>
    <w:rsid w:val="594A2AEB"/>
    <w:rsid w:val="596D1422"/>
    <w:rsid w:val="59745801"/>
    <w:rsid w:val="59AA36DA"/>
    <w:rsid w:val="5A2F2CC8"/>
    <w:rsid w:val="5ABD4ED3"/>
    <w:rsid w:val="5B1D730F"/>
    <w:rsid w:val="5B45014B"/>
    <w:rsid w:val="5BA26962"/>
    <w:rsid w:val="5C10702D"/>
    <w:rsid w:val="5C152601"/>
    <w:rsid w:val="5C487568"/>
    <w:rsid w:val="5C591F03"/>
    <w:rsid w:val="5C5A3793"/>
    <w:rsid w:val="5C8A1B2F"/>
    <w:rsid w:val="5CC04E72"/>
    <w:rsid w:val="5D914004"/>
    <w:rsid w:val="5E927ECD"/>
    <w:rsid w:val="5F561B72"/>
    <w:rsid w:val="606007BB"/>
    <w:rsid w:val="60AB4D25"/>
    <w:rsid w:val="60AC7F66"/>
    <w:rsid w:val="60CB53F6"/>
    <w:rsid w:val="612B4F61"/>
    <w:rsid w:val="61A00B17"/>
    <w:rsid w:val="61B807C5"/>
    <w:rsid w:val="61BF10D9"/>
    <w:rsid w:val="61DA3D4C"/>
    <w:rsid w:val="620860BA"/>
    <w:rsid w:val="62375E95"/>
    <w:rsid w:val="624D53FA"/>
    <w:rsid w:val="627817B8"/>
    <w:rsid w:val="62A1490D"/>
    <w:rsid w:val="62AC22DC"/>
    <w:rsid w:val="637833E8"/>
    <w:rsid w:val="63902642"/>
    <w:rsid w:val="63FF44D2"/>
    <w:rsid w:val="64834B05"/>
    <w:rsid w:val="64B1461A"/>
    <w:rsid w:val="64E45EF7"/>
    <w:rsid w:val="65903189"/>
    <w:rsid w:val="65C5379C"/>
    <w:rsid w:val="662809AB"/>
    <w:rsid w:val="664F01C9"/>
    <w:rsid w:val="6691014E"/>
    <w:rsid w:val="66C87CCE"/>
    <w:rsid w:val="66D44D17"/>
    <w:rsid w:val="671D183F"/>
    <w:rsid w:val="677435B2"/>
    <w:rsid w:val="67EF75F1"/>
    <w:rsid w:val="68D85823"/>
    <w:rsid w:val="68DE4FFE"/>
    <w:rsid w:val="69124F16"/>
    <w:rsid w:val="694A5205"/>
    <w:rsid w:val="69561038"/>
    <w:rsid w:val="69701E94"/>
    <w:rsid w:val="69CD5C14"/>
    <w:rsid w:val="69CF0D33"/>
    <w:rsid w:val="6ABD1215"/>
    <w:rsid w:val="6B9946B3"/>
    <w:rsid w:val="6C662189"/>
    <w:rsid w:val="6C7007C7"/>
    <w:rsid w:val="6CDC1F9A"/>
    <w:rsid w:val="6DE76850"/>
    <w:rsid w:val="6E075319"/>
    <w:rsid w:val="6E103324"/>
    <w:rsid w:val="6E391EF1"/>
    <w:rsid w:val="6E420FDA"/>
    <w:rsid w:val="6FB20BD4"/>
    <w:rsid w:val="6FB650F7"/>
    <w:rsid w:val="6FBA59BE"/>
    <w:rsid w:val="6FC36CCC"/>
    <w:rsid w:val="6FD40C52"/>
    <w:rsid w:val="70296B3E"/>
    <w:rsid w:val="70611204"/>
    <w:rsid w:val="7064403B"/>
    <w:rsid w:val="70A03AD5"/>
    <w:rsid w:val="71741C9C"/>
    <w:rsid w:val="71BA664B"/>
    <w:rsid w:val="72A244E4"/>
    <w:rsid w:val="73445350"/>
    <w:rsid w:val="734463A5"/>
    <w:rsid w:val="740B6F86"/>
    <w:rsid w:val="74B36F66"/>
    <w:rsid w:val="74D72778"/>
    <w:rsid w:val="74D7619B"/>
    <w:rsid w:val="74DA48CB"/>
    <w:rsid w:val="74FA2C30"/>
    <w:rsid w:val="754461E9"/>
    <w:rsid w:val="754D5C4B"/>
    <w:rsid w:val="75B461D0"/>
    <w:rsid w:val="75BC5076"/>
    <w:rsid w:val="75E12DDE"/>
    <w:rsid w:val="761B5373"/>
    <w:rsid w:val="769B08D7"/>
    <w:rsid w:val="76C240A7"/>
    <w:rsid w:val="76EF3F3F"/>
    <w:rsid w:val="76F854DD"/>
    <w:rsid w:val="775246B7"/>
    <w:rsid w:val="776350D3"/>
    <w:rsid w:val="77BD2F8C"/>
    <w:rsid w:val="77BF60D1"/>
    <w:rsid w:val="781E69D1"/>
    <w:rsid w:val="78E13F00"/>
    <w:rsid w:val="795B0086"/>
    <w:rsid w:val="7A011223"/>
    <w:rsid w:val="7A263B6B"/>
    <w:rsid w:val="7AF46346"/>
    <w:rsid w:val="7B0F5EBF"/>
    <w:rsid w:val="7B130FB9"/>
    <w:rsid w:val="7BF64EDE"/>
    <w:rsid w:val="7C377F63"/>
    <w:rsid w:val="7C400C1E"/>
    <w:rsid w:val="7D166E9A"/>
    <w:rsid w:val="7D717AD0"/>
    <w:rsid w:val="7DD11708"/>
    <w:rsid w:val="7E1C20FA"/>
    <w:rsid w:val="7EBD579E"/>
    <w:rsid w:val="7EC167BD"/>
    <w:rsid w:val="7EF71157"/>
    <w:rsid w:val="7F246C24"/>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2"/>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43"/>
    <w:qFormat/>
    <w:uiPriority w:val="9"/>
    <w:pPr>
      <w:keepNext/>
      <w:keepLines/>
      <w:spacing w:before="280" w:after="290" w:line="376" w:lineRule="auto"/>
      <w:outlineLvl w:val="4"/>
    </w:pPr>
    <w:rPr>
      <w:b/>
      <w:bCs/>
      <w:sz w:val="28"/>
      <w:szCs w:val="28"/>
    </w:rPr>
  </w:style>
  <w:style w:type="paragraph" w:styleId="8">
    <w:name w:val="heading 8"/>
    <w:basedOn w:val="1"/>
    <w:next w:val="1"/>
    <w:link w:val="44"/>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annotation text"/>
    <w:basedOn w:val="1"/>
    <w:link w:val="45"/>
    <w:qFormat/>
    <w:uiPriority w:val="0"/>
    <w:pPr>
      <w:jc w:val="left"/>
    </w:pPr>
  </w:style>
  <w:style w:type="paragraph" w:styleId="12">
    <w:name w:val="Body Text 3"/>
    <w:basedOn w:val="1"/>
    <w:link w:val="46"/>
    <w:qFormat/>
    <w:uiPriority w:val="99"/>
    <w:pPr>
      <w:spacing w:after="120"/>
    </w:pPr>
    <w:rPr>
      <w:sz w:val="16"/>
      <w:szCs w:val="16"/>
    </w:rPr>
  </w:style>
  <w:style w:type="paragraph" w:styleId="13">
    <w:name w:val="Body Text"/>
    <w:basedOn w:val="1"/>
    <w:next w:val="1"/>
    <w:link w:val="39"/>
    <w:qFormat/>
    <w:uiPriority w:val="99"/>
  </w:style>
  <w:style w:type="paragraph" w:styleId="14">
    <w:name w:val="Body Text Indent"/>
    <w:basedOn w:val="1"/>
    <w:link w:val="47"/>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Block Text"/>
    <w:basedOn w:val="1"/>
    <w:unhideWhenUsed/>
    <w:qFormat/>
    <w:uiPriority w:val="99"/>
    <w:pPr>
      <w:spacing w:line="480" w:lineRule="atLeast"/>
      <w:ind w:left="-57" w:right="69"/>
    </w:pPr>
    <w:rPr>
      <w:rFonts w:ascii="宋体" w:hAnsi="Times New Roman" w:eastAsia="宋体"/>
      <w:b/>
      <w:sz w:val="24"/>
      <w:szCs w:val="20"/>
    </w:rPr>
  </w:style>
  <w:style w:type="paragraph" w:styleId="17">
    <w:name w:val="toc 3"/>
    <w:basedOn w:val="1"/>
    <w:next w:val="1"/>
    <w:qFormat/>
    <w:uiPriority w:val="0"/>
    <w:pPr>
      <w:ind w:left="840" w:leftChars="400"/>
    </w:pPr>
  </w:style>
  <w:style w:type="paragraph" w:styleId="18">
    <w:name w:val="Plain Text"/>
    <w:basedOn w:val="1"/>
    <w:next w:val="5"/>
    <w:link w:val="48"/>
    <w:qFormat/>
    <w:uiPriority w:val="0"/>
    <w:rPr>
      <w:rFonts w:ascii="宋体" w:hAnsi="Courier New"/>
      <w:kern w:val="0"/>
      <w:sz w:val="20"/>
      <w:szCs w:val="21"/>
    </w:rPr>
  </w:style>
  <w:style w:type="paragraph" w:styleId="19">
    <w:name w:val="Date"/>
    <w:basedOn w:val="1"/>
    <w:next w:val="1"/>
    <w:link w:val="49"/>
    <w:qFormat/>
    <w:uiPriority w:val="99"/>
    <w:pPr>
      <w:ind w:left="100" w:leftChars="2500"/>
    </w:pPr>
  </w:style>
  <w:style w:type="paragraph" w:styleId="20">
    <w:name w:val="Balloon Text"/>
    <w:basedOn w:val="1"/>
    <w:link w:val="50"/>
    <w:qFormat/>
    <w:uiPriority w:val="0"/>
    <w:rPr>
      <w:sz w:val="18"/>
      <w:szCs w:val="18"/>
    </w:rPr>
  </w:style>
  <w:style w:type="paragraph" w:styleId="21">
    <w:name w:val="footer"/>
    <w:basedOn w:val="1"/>
    <w:next w:val="1"/>
    <w:link w:val="51"/>
    <w:qFormat/>
    <w:uiPriority w:val="99"/>
    <w:pPr>
      <w:tabs>
        <w:tab w:val="center" w:pos="4153"/>
        <w:tab w:val="right" w:pos="8306"/>
      </w:tabs>
      <w:snapToGrid w:val="0"/>
      <w:jc w:val="left"/>
    </w:pPr>
    <w:rPr>
      <w:kern w:val="0"/>
      <w:sz w:val="18"/>
      <w:szCs w:val="18"/>
    </w:rPr>
  </w:style>
  <w:style w:type="paragraph" w:styleId="22">
    <w:name w:val="header"/>
    <w:basedOn w:val="1"/>
    <w:link w:val="52"/>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0"/>
    <w:rPr>
      <w:rFonts w:ascii="Calibri" w:hAnsi="Calibri"/>
      <w:kern w:val="0"/>
      <w:sz w:val="24"/>
    </w:rPr>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paragraph" w:styleId="28">
    <w:name w:val="annotation subject"/>
    <w:basedOn w:val="11"/>
    <w:next w:val="11"/>
    <w:link w:val="53"/>
    <w:qFormat/>
    <w:uiPriority w:val="99"/>
    <w:rPr>
      <w:b/>
      <w:bCs/>
    </w:rPr>
  </w:style>
  <w:style w:type="paragraph" w:styleId="29">
    <w:name w:val="Body Text First Indent"/>
    <w:basedOn w:val="13"/>
    <w:next w:val="1"/>
    <w:unhideWhenUsed/>
    <w:qFormat/>
    <w:uiPriority w:val="99"/>
    <w:pPr>
      <w:ind w:firstLine="420" w:firstLineChars="100"/>
    </w:pPr>
  </w:style>
  <w:style w:type="table" w:styleId="31">
    <w:name w:val="Table Grid"/>
    <w:basedOn w:val="3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endnote reference"/>
    <w:qFormat/>
    <w:uiPriority w:val="0"/>
    <w:rPr>
      <w:vertAlign w:val="superscript"/>
    </w:rPr>
  </w:style>
  <w:style w:type="character" w:styleId="35">
    <w:name w:val="page number"/>
    <w:basedOn w:val="32"/>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正文文本 Char1"/>
    <w:link w:val="13"/>
    <w:qFormat/>
    <w:uiPriority w:val="0"/>
    <w:rPr>
      <w:kern w:val="2"/>
      <w:sz w:val="21"/>
      <w:szCs w:val="24"/>
    </w:rPr>
  </w:style>
  <w:style w:type="character" w:customStyle="1" w:styleId="40">
    <w:name w:val="标题 1 Char"/>
    <w:link w:val="2"/>
    <w:qFormat/>
    <w:uiPriority w:val="9"/>
    <w:rPr>
      <w:b/>
      <w:bCs/>
      <w:kern w:val="44"/>
      <w:sz w:val="44"/>
      <w:szCs w:val="44"/>
    </w:rPr>
  </w:style>
  <w:style w:type="character" w:customStyle="1" w:styleId="41">
    <w:name w:val="标题 2 Char1"/>
    <w:link w:val="3"/>
    <w:qFormat/>
    <w:uiPriority w:val="9"/>
    <w:rPr>
      <w:rFonts w:ascii="Cambria" w:hAnsi="Cambria" w:eastAsia="宋体" w:cs="Times New Roman"/>
      <w:b/>
      <w:bCs/>
      <w:kern w:val="2"/>
      <w:sz w:val="32"/>
      <w:szCs w:val="32"/>
    </w:rPr>
  </w:style>
  <w:style w:type="character" w:customStyle="1" w:styleId="42">
    <w:name w:val="标题 3 Char"/>
    <w:link w:val="4"/>
    <w:qFormat/>
    <w:uiPriority w:val="9"/>
    <w:rPr>
      <w:b/>
      <w:bCs/>
      <w:kern w:val="2"/>
      <w:sz w:val="32"/>
      <w:szCs w:val="32"/>
    </w:rPr>
  </w:style>
  <w:style w:type="character" w:customStyle="1" w:styleId="43">
    <w:name w:val="标题 5 Char"/>
    <w:link w:val="6"/>
    <w:qFormat/>
    <w:uiPriority w:val="9"/>
    <w:rPr>
      <w:rFonts w:ascii="Times New Roman" w:hAnsi="Times New Roman"/>
      <w:b/>
      <w:bCs/>
      <w:kern w:val="2"/>
      <w:sz w:val="28"/>
      <w:szCs w:val="28"/>
    </w:rPr>
  </w:style>
  <w:style w:type="character" w:customStyle="1" w:styleId="44">
    <w:name w:val="标题 8 Char1"/>
    <w:link w:val="8"/>
    <w:qFormat/>
    <w:uiPriority w:val="9"/>
    <w:rPr>
      <w:rFonts w:ascii="等线 Light" w:hAnsi="等线 Light" w:eastAsia="等线 Light" w:cs="Times New Roman"/>
      <w:kern w:val="2"/>
      <w:sz w:val="24"/>
      <w:szCs w:val="24"/>
    </w:rPr>
  </w:style>
  <w:style w:type="character" w:customStyle="1" w:styleId="45">
    <w:name w:val="批注文字 Char1"/>
    <w:link w:val="11"/>
    <w:qFormat/>
    <w:uiPriority w:val="0"/>
    <w:rPr>
      <w:rFonts w:ascii="Times New Roman" w:hAnsi="Times New Roman"/>
      <w:kern w:val="2"/>
      <w:sz w:val="21"/>
      <w:szCs w:val="24"/>
    </w:rPr>
  </w:style>
  <w:style w:type="character" w:customStyle="1" w:styleId="46">
    <w:name w:val="正文文本 3 Char"/>
    <w:link w:val="12"/>
    <w:qFormat/>
    <w:uiPriority w:val="99"/>
    <w:rPr>
      <w:kern w:val="2"/>
      <w:sz w:val="16"/>
      <w:szCs w:val="16"/>
    </w:rPr>
  </w:style>
  <w:style w:type="character" w:customStyle="1" w:styleId="47">
    <w:name w:val="正文文本缩进 Char"/>
    <w:link w:val="14"/>
    <w:qFormat/>
    <w:uiPriority w:val="0"/>
    <w:rPr>
      <w:rFonts w:ascii="仿宋_GB2312" w:hAnsi="Times New Roman" w:eastAsia="仿宋_GB2312" w:cs="Times New Roman"/>
      <w:sz w:val="32"/>
      <w:szCs w:val="20"/>
    </w:rPr>
  </w:style>
  <w:style w:type="character" w:customStyle="1" w:styleId="48">
    <w:name w:val="纯文本 Char1"/>
    <w:link w:val="18"/>
    <w:qFormat/>
    <w:uiPriority w:val="0"/>
    <w:rPr>
      <w:rFonts w:ascii="宋体" w:hAnsi="Courier New" w:eastAsia="宋体" w:cs="Courier New"/>
      <w:szCs w:val="21"/>
    </w:rPr>
  </w:style>
  <w:style w:type="character" w:customStyle="1" w:styleId="49">
    <w:name w:val="日期 Char"/>
    <w:link w:val="19"/>
    <w:qFormat/>
    <w:uiPriority w:val="99"/>
    <w:rPr>
      <w:rFonts w:ascii="Times New Roman" w:hAnsi="Times New Roman"/>
      <w:kern w:val="2"/>
      <w:sz w:val="21"/>
      <w:szCs w:val="24"/>
    </w:rPr>
  </w:style>
  <w:style w:type="character" w:customStyle="1" w:styleId="50">
    <w:name w:val="批注框文本 Char"/>
    <w:link w:val="20"/>
    <w:semiHidden/>
    <w:qFormat/>
    <w:uiPriority w:val="0"/>
    <w:rPr>
      <w:kern w:val="2"/>
      <w:sz w:val="18"/>
      <w:szCs w:val="18"/>
    </w:rPr>
  </w:style>
  <w:style w:type="character" w:customStyle="1" w:styleId="51">
    <w:name w:val="页脚 Char"/>
    <w:link w:val="21"/>
    <w:qFormat/>
    <w:uiPriority w:val="99"/>
    <w:rPr>
      <w:sz w:val="18"/>
      <w:szCs w:val="18"/>
    </w:rPr>
  </w:style>
  <w:style w:type="character" w:customStyle="1" w:styleId="52">
    <w:name w:val="页眉 Char"/>
    <w:link w:val="22"/>
    <w:qFormat/>
    <w:uiPriority w:val="99"/>
    <w:rPr>
      <w:sz w:val="18"/>
      <w:szCs w:val="18"/>
    </w:rPr>
  </w:style>
  <w:style w:type="character" w:customStyle="1" w:styleId="53">
    <w:name w:val="批注主题 Char"/>
    <w:link w:val="28"/>
    <w:qFormat/>
    <w:uiPriority w:val="99"/>
    <w:rPr>
      <w:rFonts w:ascii="Times New Roman" w:hAnsi="Times New Roman"/>
      <w:b/>
      <w:bCs/>
      <w:kern w:val="2"/>
      <w:sz w:val="21"/>
      <w:szCs w:val="24"/>
    </w:rPr>
  </w:style>
  <w:style w:type="paragraph" w:customStyle="1" w:styleId="54">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character" w:customStyle="1" w:styleId="55">
    <w:name w:val="纯文本 字符2"/>
    <w:qFormat/>
    <w:uiPriority w:val="0"/>
    <w:rPr>
      <w:rFonts w:ascii="宋体" w:hAnsi="Courier New" w:eastAsia="宋体" w:cs="Courier New"/>
      <w:szCs w:val="21"/>
    </w:rPr>
  </w:style>
  <w:style w:type="character" w:customStyle="1" w:styleId="56">
    <w:name w:val="apple-style-span"/>
    <w:qFormat/>
    <w:uiPriority w:val="0"/>
  </w:style>
  <w:style w:type="character" w:customStyle="1" w:styleId="57">
    <w:name w:val="标题 2 Char"/>
    <w:qFormat/>
    <w:uiPriority w:val="9"/>
    <w:rPr>
      <w:rFonts w:ascii="Cambria" w:hAnsi="Cambria" w:eastAsia="宋体" w:cs="Times New Roman"/>
      <w:b/>
      <w:bCs/>
      <w:kern w:val="2"/>
      <w:sz w:val="32"/>
      <w:szCs w:val="32"/>
    </w:rPr>
  </w:style>
  <w:style w:type="character" w:customStyle="1" w:styleId="58">
    <w:name w:val="纯文本 字符"/>
    <w:qFormat/>
    <w:uiPriority w:val="0"/>
    <w:rPr>
      <w:rFonts w:ascii="宋体" w:hAnsi="Courier New" w:eastAsia="宋体" w:cs="Courier New"/>
      <w:szCs w:val="21"/>
    </w:rPr>
  </w:style>
  <w:style w:type="character" w:customStyle="1" w:styleId="59">
    <w:name w:val="纯文本 字符1"/>
    <w:qFormat/>
    <w:uiPriority w:val="0"/>
    <w:rPr>
      <w:rFonts w:ascii="宋体" w:hAnsi="Courier New"/>
    </w:rPr>
  </w:style>
  <w:style w:type="character" w:customStyle="1" w:styleId="60">
    <w:name w:val="标题 8 Char"/>
    <w:qFormat/>
    <w:uiPriority w:val="0"/>
    <w:rPr>
      <w:rFonts w:ascii="Arial" w:hAnsi="Arial" w:eastAsia="黑体"/>
      <w:kern w:val="2"/>
      <w:sz w:val="24"/>
      <w:szCs w:val="24"/>
    </w:rPr>
  </w:style>
  <w:style w:type="character" w:customStyle="1" w:styleId="61">
    <w:name w:val="纯文本 Char"/>
    <w:qFormat/>
    <w:uiPriority w:val="0"/>
    <w:rPr>
      <w:rFonts w:ascii="宋体" w:hAnsi="Courier New" w:eastAsia="宋体" w:cs="Courier New"/>
      <w:szCs w:val="21"/>
    </w:rPr>
  </w:style>
  <w:style w:type="character" w:customStyle="1" w:styleId="62">
    <w:name w:val="正文文本 Char"/>
    <w:qFormat/>
    <w:uiPriority w:val="99"/>
    <w:rPr>
      <w:rFonts w:ascii="Times New Roman" w:hAnsi="Times New Roman"/>
      <w:kern w:val="2"/>
      <w:sz w:val="21"/>
      <w:szCs w:val="24"/>
    </w:rPr>
  </w:style>
  <w:style w:type="character" w:customStyle="1" w:styleId="63">
    <w:name w:val="批注文字 字符1"/>
    <w:qFormat/>
    <w:uiPriority w:val="0"/>
    <w:rPr>
      <w:rFonts w:ascii="Times New Roman" w:hAnsi="Times New Roman"/>
      <w:kern w:val="2"/>
      <w:sz w:val="21"/>
      <w:szCs w:val="24"/>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标题 1 字符1"/>
    <w:qFormat/>
    <w:uiPriority w:val="0"/>
    <w:rPr>
      <w:b/>
      <w:bCs/>
      <w:kern w:val="44"/>
      <w:sz w:val="44"/>
      <w:szCs w:val="44"/>
    </w:rPr>
  </w:style>
  <w:style w:type="character" w:customStyle="1" w:styleId="66">
    <w:name w:val="正文文本 字符"/>
    <w:qFormat/>
    <w:uiPriority w:val="0"/>
    <w:rPr>
      <w:rFonts w:ascii="Times New Roman" w:hAnsi="Times New Roman"/>
      <w:kern w:val="2"/>
      <w:sz w:val="21"/>
      <w:szCs w:val="24"/>
    </w:rPr>
  </w:style>
  <w:style w:type="character" w:customStyle="1" w:styleId="67">
    <w:name w:val="批注文字 字符"/>
    <w:qFormat/>
    <w:uiPriority w:val="0"/>
    <w:rPr>
      <w:rFonts w:ascii="Times New Roman" w:hAnsi="Times New Roman"/>
      <w:kern w:val="2"/>
      <w:sz w:val="21"/>
      <w:szCs w:val="24"/>
    </w:rPr>
  </w:style>
  <w:style w:type="character" w:customStyle="1" w:styleId="68">
    <w:name w:val="textcontents"/>
    <w:qFormat/>
    <w:uiPriority w:val="0"/>
  </w:style>
  <w:style w:type="character" w:customStyle="1" w:styleId="69">
    <w:name w:val="批注文字 Char"/>
    <w:qFormat/>
    <w:uiPriority w:val="0"/>
    <w:rPr>
      <w:rFonts w:ascii="Times New Roman" w:hAnsi="Times New Roman"/>
      <w:kern w:val="2"/>
      <w:sz w:val="21"/>
      <w:szCs w:val="24"/>
    </w:rPr>
  </w:style>
  <w:style w:type="paragraph" w:customStyle="1" w:styleId="7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1">
    <w:name w:val="List Paragraph"/>
    <w:basedOn w:val="1"/>
    <w:qFormat/>
    <w:uiPriority w:val="99"/>
    <w:pPr>
      <w:ind w:firstLine="420" w:firstLineChars="200"/>
    </w:pPr>
  </w:style>
  <w:style w:type="paragraph" w:customStyle="1" w:styleId="72">
    <w:name w:val="默认段落字体 Para Char Char Char Char Char Char Char Char Char1 Char Char Char Char"/>
    <w:basedOn w:val="1"/>
    <w:qFormat/>
    <w:uiPriority w:val="0"/>
    <w:rPr>
      <w:rFonts w:ascii="Tahoma" w:hAnsi="Tahoma"/>
      <w:sz w:val="24"/>
      <w:szCs w:val="20"/>
    </w:rPr>
  </w:style>
  <w:style w:type="paragraph" w:customStyle="1" w:styleId="73">
    <w:name w:val="Table Paragraph"/>
    <w:basedOn w:val="1"/>
    <w:qFormat/>
    <w:uiPriority w:val="1"/>
    <w:pPr>
      <w:jc w:val="left"/>
    </w:pPr>
    <w:rPr>
      <w:rFonts w:ascii="Calibri" w:hAnsi="Calibri"/>
      <w:kern w:val="0"/>
      <w:sz w:val="22"/>
      <w:szCs w:val="22"/>
      <w:lang w:eastAsia="en-US"/>
    </w:rPr>
  </w:style>
  <w:style w:type="paragraph" w:customStyle="1" w:styleId="74">
    <w:name w:val="Char Char Char Char"/>
    <w:basedOn w:val="1"/>
    <w:qFormat/>
    <w:uiPriority w:val="0"/>
    <w:pPr>
      <w:widowControl/>
      <w:spacing w:after="160" w:line="240" w:lineRule="exact"/>
      <w:jc w:val="left"/>
    </w:pPr>
  </w:style>
  <w:style w:type="character" w:customStyle="1" w:styleId="75">
    <w:name w:val="未处理的提及"/>
    <w:unhideWhenUsed/>
    <w:qFormat/>
    <w:uiPriority w:val="99"/>
    <w:rPr>
      <w:color w:val="605E5C"/>
      <w:shd w:val="clear" w:color="auto" w:fill="E1DFDD"/>
    </w:rPr>
  </w:style>
  <w:style w:type="paragraph" w:customStyle="1" w:styleId="76">
    <w:name w:val="TOC Heading"/>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7">
    <w:name w:val="正文2 Char Char"/>
    <w:link w:val="78"/>
    <w:qFormat/>
    <w:uiPriority w:val="0"/>
    <w:rPr>
      <w:sz w:val="24"/>
    </w:rPr>
  </w:style>
  <w:style w:type="paragraph" w:customStyle="1" w:styleId="78">
    <w:name w:val="正文2"/>
    <w:basedOn w:val="1"/>
    <w:link w:val="77"/>
    <w:qFormat/>
    <w:uiPriority w:val="0"/>
    <w:pPr>
      <w:adjustRightInd w:val="0"/>
      <w:spacing w:before="156" w:line="360" w:lineRule="auto"/>
      <w:ind w:firstLine="510" w:firstLineChars="200"/>
    </w:pPr>
    <w:rPr>
      <w:kern w:val="0"/>
      <w:sz w:val="24"/>
      <w:szCs w:val="20"/>
    </w:rPr>
  </w:style>
  <w:style w:type="paragraph" w:customStyle="1" w:styleId="7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0">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1">
    <w:name w:val="标题 1 字符"/>
    <w:qFormat/>
    <w:uiPriority w:val="9"/>
    <w:rPr>
      <w:b/>
      <w:bCs/>
      <w:kern w:val="44"/>
      <w:sz w:val="44"/>
      <w:szCs w:val="44"/>
    </w:rPr>
  </w:style>
  <w:style w:type="character" w:customStyle="1" w:styleId="82">
    <w:name w:val="标题 2 字符"/>
    <w:qFormat/>
    <w:uiPriority w:val="9"/>
    <w:rPr>
      <w:rFonts w:ascii="Cambria" w:hAnsi="Cambria"/>
      <w:b/>
      <w:bCs/>
      <w:kern w:val="2"/>
      <w:sz w:val="32"/>
      <w:szCs w:val="32"/>
    </w:rPr>
  </w:style>
  <w:style w:type="character" w:customStyle="1" w:styleId="83">
    <w:name w:val="标题 3 字符"/>
    <w:qFormat/>
    <w:uiPriority w:val="9"/>
    <w:rPr>
      <w:b/>
      <w:bCs/>
      <w:kern w:val="2"/>
      <w:sz w:val="32"/>
      <w:szCs w:val="32"/>
    </w:rPr>
  </w:style>
  <w:style w:type="character" w:customStyle="1" w:styleId="84">
    <w:name w:val="标题 5 字符"/>
    <w:qFormat/>
    <w:uiPriority w:val="9"/>
    <w:rPr>
      <w:b/>
      <w:bCs/>
      <w:kern w:val="2"/>
      <w:sz w:val="28"/>
      <w:szCs w:val="28"/>
    </w:rPr>
  </w:style>
  <w:style w:type="character" w:customStyle="1" w:styleId="85">
    <w:name w:val="标题 8 字符"/>
    <w:qFormat/>
    <w:uiPriority w:val="9"/>
    <w:rPr>
      <w:rFonts w:ascii="等线 Light" w:hAnsi="等线 Light" w:eastAsia="等线 Light"/>
      <w:kern w:val="2"/>
      <w:sz w:val="24"/>
      <w:szCs w:val="24"/>
    </w:rPr>
  </w:style>
  <w:style w:type="character" w:customStyle="1" w:styleId="86">
    <w:name w:val="批注文字 字符2"/>
    <w:qFormat/>
    <w:uiPriority w:val="0"/>
    <w:rPr>
      <w:kern w:val="2"/>
      <w:sz w:val="21"/>
      <w:szCs w:val="24"/>
    </w:rPr>
  </w:style>
  <w:style w:type="character" w:customStyle="1" w:styleId="87">
    <w:name w:val="正文文本 3 字符"/>
    <w:qFormat/>
    <w:uiPriority w:val="99"/>
    <w:rPr>
      <w:kern w:val="2"/>
      <w:sz w:val="16"/>
      <w:szCs w:val="16"/>
    </w:rPr>
  </w:style>
  <w:style w:type="character" w:customStyle="1" w:styleId="88">
    <w:name w:val="正文文本 字符1"/>
    <w:qFormat/>
    <w:uiPriority w:val="0"/>
    <w:rPr>
      <w:kern w:val="2"/>
      <w:sz w:val="21"/>
      <w:szCs w:val="24"/>
    </w:rPr>
  </w:style>
  <w:style w:type="character" w:customStyle="1" w:styleId="89">
    <w:name w:val="正文文本缩进 字符"/>
    <w:qFormat/>
    <w:uiPriority w:val="0"/>
    <w:rPr>
      <w:rFonts w:ascii="仿宋_GB2312" w:eastAsia="仿宋_GB2312"/>
      <w:sz w:val="32"/>
    </w:rPr>
  </w:style>
  <w:style w:type="character" w:customStyle="1" w:styleId="90">
    <w:name w:val="纯文本 字符3"/>
    <w:qFormat/>
    <w:uiPriority w:val="0"/>
    <w:rPr>
      <w:rFonts w:ascii="宋体" w:hAnsi="Courier New"/>
      <w:szCs w:val="21"/>
    </w:rPr>
  </w:style>
  <w:style w:type="character" w:customStyle="1" w:styleId="91">
    <w:name w:val="日期 字符"/>
    <w:qFormat/>
    <w:uiPriority w:val="99"/>
    <w:rPr>
      <w:kern w:val="2"/>
      <w:sz w:val="21"/>
      <w:szCs w:val="24"/>
    </w:rPr>
  </w:style>
  <w:style w:type="character" w:customStyle="1" w:styleId="92">
    <w:name w:val="页脚 字符"/>
    <w:qFormat/>
    <w:uiPriority w:val="99"/>
    <w:rPr>
      <w:sz w:val="18"/>
      <w:szCs w:val="18"/>
    </w:rPr>
  </w:style>
  <w:style w:type="character" w:customStyle="1" w:styleId="93">
    <w:name w:val="页眉 字符"/>
    <w:qFormat/>
    <w:uiPriority w:val="99"/>
    <w:rPr>
      <w:sz w:val="18"/>
      <w:szCs w:val="18"/>
    </w:rPr>
  </w:style>
  <w:style w:type="character" w:customStyle="1" w:styleId="94">
    <w:name w:val="批注主题 字符"/>
    <w:qFormat/>
    <w:uiPriority w:val="99"/>
    <w:rPr>
      <w:rFonts w:ascii="Times New Roman" w:hAnsi="Times New Roman"/>
      <w:b/>
      <w:bCs/>
      <w:kern w:val="2"/>
      <w:sz w:val="21"/>
      <w:szCs w:val="24"/>
    </w:rPr>
  </w:style>
  <w:style w:type="paragraph" w:customStyle="1" w:styleId="95">
    <w:name w:val="_Style 94"/>
    <w:basedOn w:val="1"/>
    <w:unhideWhenUsed/>
    <w:qFormat/>
    <w:uiPriority w:val="99"/>
  </w:style>
  <w:style w:type="paragraph" w:customStyle="1" w:styleId="96">
    <w:name w:val="_Style 95"/>
    <w:basedOn w:val="1"/>
    <w:unhideWhenUsed/>
    <w:qFormat/>
    <w:uiPriority w:val="99"/>
  </w:style>
  <w:style w:type="paragraph" w:customStyle="1" w:styleId="97">
    <w:name w:val="首行缩进"/>
    <w:basedOn w:val="1"/>
    <w:qFormat/>
    <w:uiPriority w:val="0"/>
    <w:pPr>
      <w:ind w:firstLine="480" w:firstLineChars="200"/>
    </w:pPr>
    <w:rPr>
      <w:lang w:val="zh-CN"/>
    </w:rPr>
  </w:style>
  <w:style w:type="character" w:customStyle="1" w:styleId="98">
    <w:name w:val="NormalCharacter"/>
    <w:semiHidden/>
    <w:qFormat/>
    <w:uiPriority w:val="0"/>
    <w:rPr>
      <w:rFonts w:ascii="Calibri" w:hAnsi="Calibri" w:eastAsia="宋体" w:cs="Times New Roman"/>
    </w:rPr>
  </w:style>
  <w:style w:type="paragraph" w:customStyle="1" w:styleId="99">
    <w:name w:val="样式29"/>
    <w:basedOn w:val="100"/>
    <w:qFormat/>
    <w:uiPriority w:val="0"/>
    <w:rPr>
      <w:rFonts w:eastAsia="楷体_GB2312"/>
    </w:rPr>
  </w:style>
  <w:style w:type="paragraph" w:customStyle="1" w:styleId="100">
    <w:name w:val="样式9 Char"/>
    <w:basedOn w:val="1"/>
    <w:qFormat/>
    <w:uiPriority w:val="0"/>
    <w:pPr>
      <w:spacing w:line="440" w:lineRule="exact"/>
      <w:ind w:firstLine="200" w:firstLineChars="200"/>
    </w:pPr>
    <w:rPr>
      <w:spacing w:val="6"/>
      <w:sz w:val="24"/>
    </w:rPr>
  </w:style>
  <w:style w:type="paragraph" w:customStyle="1" w:styleId="101">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3">
    <w:name w:val="样式7"/>
    <w:basedOn w:val="1"/>
    <w:qFormat/>
    <w:uiPriority w:val="0"/>
    <w:pPr>
      <w:spacing w:line="480" w:lineRule="exact"/>
      <w:jc w:val="center"/>
    </w:pPr>
    <w:rPr>
      <w:rFonts w:eastAsia="方正大标宋简体"/>
      <w:spacing w:val="6"/>
      <w:sz w:val="44"/>
    </w:rPr>
  </w:style>
  <w:style w:type="paragraph" w:customStyle="1" w:styleId="104">
    <w:name w:val="标题 5（有编号）（绿盟科技）"/>
    <w:basedOn w:val="1"/>
    <w:next w:val="105"/>
    <w:qFormat/>
    <w:uiPriority w:val="99"/>
    <w:pPr>
      <w:keepNext/>
      <w:keepLines/>
      <w:spacing w:before="280" w:after="156" w:line="377" w:lineRule="auto"/>
      <w:outlineLvl w:val="4"/>
    </w:pPr>
    <w:rPr>
      <w:rFonts w:ascii="Arial" w:hAnsi="Arial" w:eastAsia="黑体" w:cs="Arial"/>
      <w:b/>
      <w:bCs/>
      <w:sz w:val="24"/>
    </w:rPr>
  </w:style>
  <w:style w:type="paragraph" w:customStyle="1" w:styleId="105">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106">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107">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0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无间隔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103</Pages>
  <Words>56172</Words>
  <Characters>59236</Characters>
  <Lines>517</Lines>
  <Paragraphs>145</Paragraphs>
  <TotalTime>286</TotalTime>
  <ScaleCrop>false</ScaleCrop>
  <LinksUpToDate>false</LinksUpToDate>
  <CharactersWithSpaces>68147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2024-10-29T14:23:00Z</dcterms:created>
  <dc:creator>唐冰</dc:creator>
  <cp:lastModifiedBy>WPS_1631861521</cp:lastModifiedBy>
  <cp:lastPrinted>2022-07-15T09:23:00Z</cp:lastPrinted>
  <dcterms:modified xsi:type="dcterms:W3CDTF">2026-06-08T08:23:04Z</dcterms:modified>
  <dc:title>竞争性谈判文件规范</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5CBAB153F63E4A6CAF28157AFF082C70_13</vt:lpwstr>
  </property>
  <property fmtid="{D5CDD505-2E9C-101B-9397-08002B2CF9AE}" pid="4" name="KSOTemplateDocerSaveRecord">
    <vt:lpwstr>eyJoZGlkIjoiYTEwMDAxM2M3Y2E5YjMwZDQwNTlmNWM0M2NmNWI1ZjgiLCJ1c2VySWQiOiI5Mjg5MzEzMjAifQ==</vt:lpwstr>
  </property>
</Properties>
</file>