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F9CCE">
      <w:pPr>
        <w:pStyle w:val="2"/>
        <w:jc w:val="center"/>
        <w:rPr>
          <w:rFonts w:hint="eastAsia"/>
          <w:color w:val="auto"/>
          <w:highlight w:val="none"/>
        </w:rPr>
      </w:pPr>
      <w:r>
        <w:rPr>
          <w:rFonts w:hint="eastAsia"/>
          <w:color w:val="auto"/>
          <w:highlight w:val="none"/>
        </w:rPr>
        <w:t>采购需求</w:t>
      </w:r>
    </w:p>
    <w:p w14:paraId="5F24600B">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3A4AA2D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4365B998">
      <w:pPr>
        <w:spacing w:line="360" w:lineRule="auto"/>
        <w:ind w:firstLine="420" w:firstLineChars="200"/>
        <w:jc w:val="left"/>
        <w:rPr>
          <w:rFonts w:hint="eastAsia"/>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7822C6BC">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551723D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68917768">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3.供应商应根据自身实际情况如实响应磋商文件</w:t>
      </w:r>
      <w:r>
        <w:rPr>
          <w:rFonts w:hint="eastAsia" w:ascii="宋体" w:hAnsi="宋体"/>
          <w:color w:val="auto"/>
          <w:szCs w:val="21"/>
          <w:highlight w:val="none"/>
        </w:rPr>
        <w:t>，不得仅将</w:t>
      </w:r>
      <w:r>
        <w:rPr>
          <w:rFonts w:hint="eastAsia" w:ascii="宋体" w:hAnsi="宋体" w:cs="宋体"/>
          <w:color w:val="auto"/>
          <w:szCs w:val="21"/>
          <w:highlight w:val="none"/>
        </w:rPr>
        <w:t>磋商文件</w:t>
      </w:r>
      <w:r>
        <w:rPr>
          <w:rFonts w:hint="eastAsia" w:ascii="宋体" w:hAnsi="宋体"/>
          <w:color w:val="auto"/>
          <w:szCs w:val="21"/>
          <w:highlight w:val="none"/>
        </w:rPr>
        <w:t>内容简单复制粘贴作为竞标响应，还应当提供相关证明材料，否则将按无效响应处理。</w:t>
      </w:r>
      <w:r>
        <w:rPr>
          <w:rFonts w:hint="eastAsia"/>
          <w:color w:val="auto"/>
          <w:highlight w:val="none"/>
        </w:rPr>
        <w:t>对于重要技术条款或技术参数应当在响应文件中提供技术支持资料，技术支持资料以磋商文件中规定的形式为准，否则将视为无效技术支持资料。</w:t>
      </w:r>
    </w:p>
    <w:p w14:paraId="5C72BF83">
      <w:pPr>
        <w:spacing w:line="360" w:lineRule="auto"/>
        <w:ind w:firstLine="424" w:firstLineChars="202"/>
        <w:jc w:val="left"/>
        <w:rPr>
          <w:rFonts w:hint="eastAsia" w:ascii="宋体" w:hAnsi="宋体"/>
          <w:color w:val="auto"/>
          <w:szCs w:val="21"/>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p w14:paraId="7884A741">
      <w:pPr>
        <w:spacing w:line="360" w:lineRule="auto"/>
        <w:ind w:firstLine="308" w:firstLineChars="147"/>
        <w:jc w:val="left"/>
        <w:rPr>
          <w:rFonts w:hint="eastAsia" w:ascii="宋体" w:hAnsi="宋体" w:cs="Arial"/>
          <w:bCs/>
          <w:iCs/>
          <w:color w:val="auto"/>
          <w:szCs w:val="21"/>
          <w:highlight w:val="none"/>
        </w:rPr>
      </w:pPr>
      <w:r>
        <w:rPr>
          <w:rFonts w:hint="eastAsia" w:ascii="宋体" w:hAnsi="宋体" w:cs="Arial"/>
          <w:bCs/>
          <w:iCs/>
          <w:color w:val="auto"/>
          <w:szCs w:val="21"/>
          <w:highlight w:val="none"/>
        </w:rPr>
        <w:t>5.</w:t>
      </w:r>
      <w:r>
        <w:rPr>
          <w:rFonts w:hint="eastAsia" w:ascii="宋体" w:hAnsi="宋体"/>
          <w:b/>
          <w:color w:val="auto"/>
          <w:szCs w:val="21"/>
          <w:highlight w:val="none"/>
        </w:rPr>
        <w:t xml:space="preserve"> 采购预算：</w:t>
      </w:r>
      <w:r>
        <w:rPr>
          <w:rFonts w:hint="eastAsia" w:ascii="宋体" w:hAnsi="宋体" w:cs="Arial"/>
          <w:bCs/>
          <w:iCs/>
          <w:color w:val="auto"/>
          <w:szCs w:val="21"/>
          <w:highlight w:val="none"/>
        </w:rPr>
        <w:t>人民币</w:t>
      </w:r>
      <w:r>
        <w:rPr>
          <w:rFonts w:hint="eastAsia" w:ascii="宋体" w:hAnsi="宋体" w:cs="Arial"/>
          <w:bCs/>
          <w:iCs/>
          <w:color w:val="auto"/>
          <w:szCs w:val="21"/>
          <w:highlight w:val="none"/>
          <w:lang w:val="en-US" w:eastAsia="zh-CN"/>
        </w:rPr>
        <w:t>壹佰玖拾玖万柒仟玖佰贰拾伍元玖角玖分</w:t>
      </w:r>
      <w:r>
        <w:rPr>
          <w:rFonts w:hint="eastAsia" w:ascii="宋体" w:hAnsi="宋体" w:cs="Arial"/>
          <w:bCs/>
          <w:iCs/>
          <w:color w:val="auto"/>
          <w:szCs w:val="21"/>
          <w:highlight w:val="none"/>
        </w:rPr>
        <w:t>（¥</w:t>
      </w:r>
      <w:r>
        <w:rPr>
          <w:rFonts w:hint="eastAsia" w:ascii="宋体" w:hAnsi="宋体" w:cs="Arial"/>
          <w:bCs/>
          <w:iCs/>
          <w:color w:val="auto"/>
          <w:szCs w:val="21"/>
          <w:highlight w:val="none"/>
          <w:lang w:eastAsia="zh-CN"/>
        </w:rPr>
        <w:t>1997925.99</w:t>
      </w:r>
      <w:r>
        <w:rPr>
          <w:rFonts w:hint="eastAsia" w:ascii="宋体" w:hAnsi="宋体" w:cs="Arial"/>
          <w:bCs/>
          <w:iCs/>
          <w:color w:val="auto"/>
          <w:szCs w:val="21"/>
          <w:highlight w:val="none"/>
        </w:rPr>
        <w:t>）</w:t>
      </w:r>
    </w:p>
    <w:tbl>
      <w:tblPr>
        <w:tblStyle w:val="5"/>
        <w:tblW w:w="92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874"/>
        <w:gridCol w:w="666"/>
        <w:gridCol w:w="687"/>
        <w:gridCol w:w="6369"/>
      </w:tblGrid>
      <w:tr w14:paraId="124B8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7F9ABAD2">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874" w:type="dxa"/>
            <w:noWrap w:val="0"/>
            <w:vAlign w:val="center"/>
          </w:tcPr>
          <w:p w14:paraId="4B2A4CC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666" w:type="dxa"/>
            <w:noWrap w:val="0"/>
            <w:vAlign w:val="center"/>
          </w:tcPr>
          <w:p w14:paraId="3059BFB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687" w:type="dxa"/>
            <w:noWrap w:val="0"/>
            <w:vAlign w:val="center"/>
          </w:tcPr>
          <w:p w14:paraId="68CC98B0">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w:t>
            </w:r>
          </w:p>
          <w:p w14:paraId="2C331EA8">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行业</w:t>
            </w:r>
          </w:p>
        </w:tc>
        <w:tc>
          <w:tcPr>
            <w:tcW w:w="6369" w:type="dxa"/>
            <w:noWrap w:val="0"/>
            <w:vAlign w:val="center"/>
          </w:tcPr>
          <w:p w14:paraId="4E11D041">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▲服务要求</w:t>
            </w:r>
          </w:p>
        </w:tc>
      </w:tr>
      <w:tr w14:paraId="37694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655" w:type="dxa"/>
            <w:noWrap w:val="0"/>
            <w:vAlign w:val="center"/>
          </w:tcPr>
          <w:p w14:paraId="749B549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874" w:type="dxa"/>
            <w:noWrap w:val="0"/>
            <w:vAlign w:val="center"/>
          </w:tcPr>
          <w:p w14:paraId="458C8BD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rPr>
              <w:t>防城港市公安局警官食堂整体服务管理</w:t>
            </w:r>
          </w:p>
        </w:tc>
        <w:tc>
          <w:tcPr>
            <w:tcW w:w="666" w:type="dxa"/>
            <w:noWrap w:val="0"/>
            <w:vAlign w:val="center"/>
          </w:tcPr>
          <w:p w14:paraId="7B3023DC">
            <w:pPr>
              <w:tabs>
                <w:tab w:val="left" w:pos="180"/>
                <w:tab w:val="left" w:pos="1620"/>
              </w:tabs>
              <w:spacing w:line="360" w:lineRule="auto"/>
              <w:jc w:val="center"/>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年</w:t>
            </w:r>
          </w:p>
        </w:tc>
        <w:tc>
          <w:tcPr>
            <w:tcW w:w="687" w:type="dxa"/>
            <w:noWrap w:val="0"/>
            <w:vAlign w:val="center"/>
          </w:tcPr>
          <w:p w14:paraId="6EEDEEB4">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其他未列明行业</w:t>
            </w:r>
          </w:p>
        </w:tc>
        <w:tc>
          <w:tcPr>
            <w:tcW w:w="6369" w:type="dxa"/>
            <w:noWrap w:val="0"/>
            <w:vAlign w:val="center"/>
          </w:tcPr>
          <w:p w14:paraId="78CC7289">
            <w:pPr>
              <w:spacing w:line="360" w:lineRule="auto"/>
              <w:jc w:val="left"/>
              <w:rPr>
                <w:rFonts w:hint="eastAsia" w:ascii="宋体" w:hAnsi="宋体"/>
                <w:b/>
                <w:color w:val="auto"/>
                <w:szCs w:val="21"/>
                <w:highlight w:val="none"/>
              </w:rPr>
            </w:pPr>
            <w:r>
              <w:rPr>
                <w:rFonts w:hint="eastAsia" w:ascii="宋体" w:hAnsi="宋体" w:cs="Arial"/>
                <w:b/>
                <w:bCs/>
                <w:iCs/>
                <w:color w:val="auto"/>
                <w:szCs w:val="21"/>
                <w:highlight w:val="none"/>
              </w:rPr>
              <w:t>一、</w:t>
            </w:r>
            <w:r>
              <w:rPr>
                <w:rFonts w:hint="eastAsia" w:ascii="宋体" w:hAnsi="宋体"/>
                <w:b/>
                <w:color w:val="auto"/>
                <w:szCs w:val="21"/>
                <w:highlight w:val="none"/>
              </w:rPr>
              <w:t>服务范围及服务要求</w:t>
            </w:r>
          </w:p>
          <w:p w14:paraId="5B61C1F2">
            <w:pPr>
              <w:spacing w:line="360" w:lineRule="auto"/>
              <w:rPr>
                <w:rFonts w:hint="eastAsia" w:ascii="宋体" w:hAnsi="宋体"/>
                <w:color w:val="auto"/>
                <w:szCs w:val="21"/>
                <w:highlight w:val="none"/>
              </w:rPr>
            </w:pPr>
            <w:r>
              <w:rPr>
                <w:rFonts w:hint="eastAsia" w:ascii="宋体" w:hAnsi="宋体"/>
                <w:b/>
                <w:color w:val="auto"/>
                <w:szCs w:val="21"/>
                <w:highlight w:val="none"/>
              </w:rPr>
              <w:t>（一）食堂管理服务：</w:t>
            </w:r>
            <w:r>
              <w:rPr>
                <w:rFonts w:hint="eastAsia" w:ascii="宋体" w:hAnsi="宋体"/>
                <w:color w:val="auto"/>
                <w:szCs w:val="21"/>
                <w:highlight w:val="none"/>
                <w:lang w:val="en-US" w:eastAsia="zh-CN"/>
              </w:rPr>
              <w:t>供应商</w:t>
            </w:r>
            <w:r>
              <w:rPr>
                <w:rFonts w:hint="eastAsia" w:ascii="宋体" w:hAnsi="宋体"/>
                <w:color w:val="auto"/>
                <w:szCs w:val="21"/>
                <w:highlight w:val="none"/>
              </w:rPr>
              <w:t>负责防城港市公安局金花茶</w:t>
            </w:r>
            <w:r>
              <w:rPr>
                <w:rFonts w:hint="eastAsia" w:ascii="宋体" w:hAnsi="宋体"/>
                <w:color w:val="auto"/>
                <w:szCs w:val="21"/>
                <w:highlight w:val="none"/>
                <w:lang w:eastAsia="zh-CN"/>
              </w:rPr>
              <w:t>食堂</w:t>
            </w:r>
            <w:r>
              <w:rPr>
                <w:rFonts w:hint="eastAsia" w:ascii="宋体" w:hAnsi="宋体"/>
                <w:color w:val="auto"/>
                <w:szCs w:val="21"/>
                <w:highlight w:val="none"/>
              </w:rPr>
              <w:t>、常山</w:t>
            </w:r>
            <w:r>
              <w:rPr>
                <w:rFonts w:hint="eastAsia" w:ascii="宋体" w:hAnsi="宋体"/>
                <w:color w:val="auto"/>
                <w:szCs w:val="21"/>
                <w:highlight w:val="none"/>
                <w:lang w:eastAsia="zh-CN"/>
              </w:rPr>
              <w:t>食堂</w:t>
            </w:r>
            <w:r>
              <w:rPr>
                <w:rFonts w:hint="eastAsia" w:ascii="宋体" w:hAnsi="宋体"/>
                <w:color w:val="auto"/>
                <w:szCs w:val="21"/>
                <w:highlight w:val="none"/>
              </w:rPr>
              <w:t>及桃花湾食堂区域的所有管理和服务工作，服务内容包括但不限于：</w:t>
            </w:r>
          </w:p>
          <w:p w14:paraId="363B524F">
            <w:pPr>
              <w:spacing w:line="360" w:lineRule="auto"/>
              <w:rPr>
                <w:rFonts w:hint="eastAsia" w:ascii="宋体" w:hAnsi="宋体"/>
                <w:color w:val="auto"/>
                <w:szCs w:val="21"/>
                <w:highlight w:val="none"/>
              </w:rPr>
            </w:pPr>
            <w:r>
              <w:rPr>
                <w:rFonts w:hint="eastAsia" w:ascii="宋体" w:hAnsi="宋体"/>
                <w:color w:val="auto"/>
                <w:szCs w:val="21"/>
                <w:highlight w:val="none"/>
              </w:rPr>
              <w:t>1、负责每日出品及餐厅服务，保证食堂每日三餐的正常供餐；</w:t>
            </w:r>
          </w:p>
          <w:p w14:paraId="5C233C3E">
            <w:pPr>
              <w:spacing w:line="360" w:lineRule="auto"/>
              <w:rPr>
                <w:rFonts w:hint="eastAsia" w:ascii="宋体" w:hAnsi="宋体"/>
                <w:color w:val="auto"/>
                <w:szCs w:val="21"/>
                <w:highlight w:val="none"/>
              </w:rPr>
            </w:pPr>
            <w:r>
              <w:rPr>
                <w:rFonts w:hint="eastAsia" w:ascii="宋体" w:hAnsi="宋体"/>
                <w:color w:val="auto"/>
                <w:szCs w:val="21"/>
                <w:highlight w:val="none"/>
              </w:rPr>
              <w:t>2、负责警官食堂会议、培训用餐及公务接待的供餐及服务；</w:t>
            </w:r>
          </w:p>
          <w:p w14:paraId="6E4B0443">
            <w:pPr>
              <w:spacing w:line="360" w:lineRule="auto"/>
              <w:rPr>
                <w:rFonts w:hint="eastAsia" w:ascii="宋体" w:hAnsi="宋体"/>
                <w:color w:val="auto"/>
                <w:szCs w:val="21"/>
                <w:highlight w:val="none"/>
              </w:rPr>
            </w:pPr>
            <w:r>
              <w:rPr>
                <w:rFonts w:hint="eastAsia" w:ascii="宋体" w:hAnsi="宋体"/>
                <w:color w:val="auto"/>
                <w:szCs w:val="21"/>
                <w:highlight w:val="none"/>
              </w:rPr>
              <w:t>3、负责烧卤、面点外卖制作销售工作；</w:t>
            </w:r>
          </w:p>
          <w:p w14:paraId="7DA73C1E">
            <w:pPr>
              <w:spacing w:line="360" w:lineRule="auto"/>
              <w:rPr>
                <w:rFonts w:hint="eastAsia" w:ascii="宋体" w:hAnsi="宋体"/>
                <w:color w:val="auto"/>
                <w:szCs w:val="21"/>
                <w:highlight w:val="none"/>
              </w:rPr>
            </w:pPr>
            <w:r>
              <w:rPr>
                <w:rFonts w:hint="eastAsia" w:ascii="宋体" w:hAnsi="宋体"/>
                <w:color w:val="auto"/>
                <w:szCs w:val="21"/>
                <w:highlight w:val="none"/>
              </w:rPr>
              <w:t>4、负责食材物品的统一采购、管理工作；</w:t>
            </w:r>
          </w:p>
          <w:p w14:paraId="4A33C12B">
            <w:pPr>
              <w:spacing w:line="360" w:lineRule="auto"/>
              <w:rPr>
                <w:rFonts w:hint="eastAsia"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、在采购人的监督下负责菜品定价、成本核算等工作；</w:t>
            </w:r>
          </w:p>
          <w:p w14:paraId="61AF07A9">
            <w:pPr>
              <w:spacing w:line="360" w:lineRule="auto"/>
              <w:rPr>
                <w:rFonts w:hint="eastAsia"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、负责食堂卫生保洁、配合做好除四害工作，确保食品卫生安全及环境整洁。</w:t>
            </w:r>
          </w:p>
          <w:p w14:paraId="02AFC048">
            <w:pPr>
              <w:spacing w:line="360" w:lineRule="auto"/>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、负责食品及物料的接收、清理、分类和入库工作；</w:t>
            </w:r>
          </w:p>
          <w:p w14:paraId="568253A1">
            <w:pPr>
              <w:spacing w:line="360" w:lineRule="auto"/>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、负责按照相关规定做好餐厨垃圾的处理；</w:t>
            </w:r>
          </w:p>
          <w:p w14:paraId="6DC0E56D">
            <w:pPr>
              <w:spacing w:line="360" w:lineRule="auto"/>
              <w:rPr>
                <w:rFonts w:hint="eastAsia" w:ascii="宋体" w:hAnsi="宋体"/>
                <w:color w:val="auto"/>
                <w:szCs w:val="21"/>
                <w:highlight w:val="none"/>
              </w:rPr>
            </w:pPr>
            <w:r>
              <w:rPr>
                <w:rFonts w:ascii="宋体" w:hAnsi="宋体"/>
                <w:color w:val="auto"/>
                <w:szCs w:val="21"/>
                <w:highlight w:val="none"/>
              </w:rPr>
              <w:t>9</w:t>
            </w:r>
            <w:r>
              <w:rPr>
                <w:rFonts w:hint="eastAsia" w:ascii="宋体" w:hAnsi="宋体"/>
                <w:color w:val="auto"/>
                <w:szCs w:val="21"/>
                <w:highlight w:val="none"/>
              </w:rPr>
              <w:t>、负责保障大型用餐服务任务或其他紧急任务时，按采购人要求增加服务人员数量，保证各项服务达到服务标准；</w:t>
            </w:r>
          </w:p>
          <w:p w14:paraId="5AEBA53C">
            <w:pPr>
              <w:spacing w:line="360" w:lineRule="auto"/>
              <w:rPr>
                <w:rFonts w:hint="eastAsia"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、负责做好食堂疫情防控工作；</w:t>
            </w:r>
          </w:p>
          <w:p w14:paraId="79B80405">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w:t>
            </w:r>
            <w:r>
              <w:rPr>
                <w:rFonts w:hint="eastAsia" w:ascii="宋体" w:hAnsi="宋体"/>
                <w:color w:val="auto"/>
                <w:szCs w:val="21"/>
                <w:highlight w:val="none"/>
              </w:rPr>
              <w:t>、落实消费扶贫相关政策按相关规定购买扶贫产品；</w:t>
            </w:r>
          </w:p>
          <w:p w14:paraId="6789CCCE">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2</w:t>
            </w:r>
            <w:r>
              <w:rPr>
                <w:rFonts w:hint="eastAsia" w:ascii="宋体" w:hAnsi="宋体"/>
                <w:color w:val="auto"/>
                <w:szCs w:val="21"/>
                <w:highlight w:val="none"/>
              </w:rPr>
              <w:t>、膳食品种标准及要求</w:t>
            </w:r>
          </w:p>
          <w:p w14:paraId="4893E3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要求一天三餐及二周内菜谱不重复，一月内菜谱重复率不超过5</w:t>
            </w:r>
            <w:r>
              <w:rPr>
                <w:rFonts w:ascii="宋体" w:hAnsi="宋体"/>
                <w:color w:val="auto"/>
                <w:szCs w:val="21"/>
                <w:highlight w:val="none"/>
              </w:rPr>
              <w:t>0%</w:t>
            </w:r>
            <w:r>
              <w:rPr>
                <w:rFonts w:hint="eastAsia" w:ascii="宋体" w:hAnsi="宋体"/>
                <w:color w:val="auto"/>
                <w:szCs w:val="21"/>
                <w:highlight w:val="none"/>
              </w:rPr>
              <w:t>，每个月推出5个以上或与上月不重复菜品；</w:t>
            </w:r>
          </w:p>
          <w:p w14:paraId="664C0402">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（1）食堂餐厅</w:t>
            </w:r>
          </w:p>
          <w:p w14:paraId="4BF313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供应商</w:t>
            </w:r>
            <w:r>
              <w:rPr>
                <w:rFonts w:hint="eastAsia" w:ascii="宋体" w:hAnsi="宋体"/>
                <w:color w:val="auto"/>
                <w:szCs w:val="21"/>
                <w:highlight w:val="none"/>
              </w:rPr>
              <w:t>在规定用餐时间内，提供多个菜式品种供用餐者选择，同时还要根据就餐人员需求和季节变化及时调整蔬菜品种（不定期推出各地风味特色菜品）。包含但不限于以下品种：</w:t>
            </w:r>
          </w:p>
          <w:p w14:paraId="3F9BBFE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①金花茶</w:t>
            </w:r>
            <w:r>
              <w:rPr>
                <w:rFonts w:hint="eastAsia" w:ascii="宋体" w:hAnsi="宋体"/>
                <w:color w:val="auto"/>
                <w:szCs w:val="21"/>
                <w:highlight w:val="none"/>
                <w:lang w:eastAsia="zh-CN"/>
              </w:rPr>
              <w:t>食堂</w:t>
            </w:r>
            <w:r>
              <w:rPr>
                <w:rFonts w:hint="eastAsia" w:ascii="宋体" w:hAnsi="宋体"/>
                <w:color w:val="auto"/>
                <w:szCs w:val="21"/>
                <w:highlight w:val="none"/>
              </w:rPr>
              <w:t>、桃花湾</w:t>
            </w:r>
            <w:r>
              <w:rPr>
                <w:rFonts w:hint="eastAsia" w:ascii="宋体" w:hAnsi="宋体"/>
                <w:color w:val="auto"/>
                <w:szCs w:val="21"/>
                <w:highlight w:val="none"/>
                <w:lang w:eastAsia="zh-CN"/>
              </w:rPr>
              <w:t>食堂</w:t>
            </w:r>
            <w:r>
              <w:rPr>
                <w:rFonts w:hint="eastAsia" w:ascii="宋体" w:hAnsi="宋体"/>
                <w:color w:val="auto"/>
                <w:szCs w:val="21"/>
                <w:highlight w:val="none"/>
              </w:rPr>
              <w:t>及常山</w:t>
            </w:r>
            <w:r>
              <w:rPr>
                <w:rFonts w:hint="eastAsia" w:ascii="宋体" w:hAnsi="宋体"/>
                <w:color w:val="auto"/>
                <w:szCs w:val="21"/>
                <w:highlight w:val="none"/>
                <w:lang w:eastAsia="zh-CN"/>
              </w:rPr>
              <w:t>食堂</w:t>
            </w:r>
            <w:r>
              <w:rPr>
                <w:rFonts w:hint="eastAsia" w:ascii="宋体" w:hAnsi="宋体"/>
                <w:color w:val="auto"/>
                <w:szCs w:val="21"/>
                <w:highlight w:val="none"/>
              </w:rPr>
              <w:t>早餐：包含粉（面）、面点、热菜（蛋、鱼、肉）、热饮、粥、咸菜（不少于3种）、辣椒酱等调料；</w:t>
            </w:r>
          </w:p>
          <w:p w14:paraId="750E97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②金花茶</w:t>
            </w:r>
            <w:r>
              <w:rPr>
                <w:rFonts w:hint="eastAsia" w:ascii="宋体" w:hAnsi="宋体"/>
                <w:color w:val="auto"/>
                <w:szCs w:val="21"/>
                <w:highlight w:val="none"/>
                <w:lang w:eastAsia="zh-CN"/>
              </w:rPr>
              <w:t>食堂</w:t>
            </w:r>
            <w:r>
              <w:rPr>
                <w:rFonts w:hint="eastAsia" w:ascii="宋体" w:hAnsi="宋体"/>
                <w:color w:val="auto"/>
                <w:szCs w:val="21"/>
                <w:highlight w:val="none"/>
              </w:rPr>
              <w:t>午餐及晚餐：</w:t>
            </w:r>
            <w:r>
              <w:rPr>
                <w:rFonts w:ascii="宋体" w:hAnsi="宋体"/>
                <w:color w:val="auto"/>
                <w:szCs w:val="21"/>
                <w:highlight w:val="none"/>
              </w:rPr>
              <w:t>3</w:t>
            </w:r>
            <w:r>
              <w:rPr>
                <w:rFonts w:hint="eastAsia" w:ascii="宋体" w:hAnsi="宋体"/>
                <w:color w:val="auto"/>
                <w:szCs w:val="21"/>
                <w:highlight w:val="none"/>
              </w:rPr>
              <w:t>款荤菜（每餐要包含红肉类、禽类、鱼虾贝类起码一种，重量不少于1</w:t>
            </w:r>
            <w:r>
              <w:rPr>
                <w:rFonts w:ascii="宋体" w:hAnsi="宋体"/>
                <w:color w:val="auto"/>
                <w:szCs w:val="21"/>
                <w:highlight w:val="none"/>
              </w:rPr>
              <w:t>50g</w:t>
            </w:r>
            <w:r>
              <w:rPr>
                <w:rFonts w:hint="eastAsia" w:ascii="宋体" w:hAnsi="宋体"/>
                <w:color w:val="auto"/>
                <w:szCs w:val="21"/>
                <w:highlight w:val="none"/>
              </w:rPr>
              <w:t>，每份价格不超过人民币</w:t>
            </w:r>
            <w:r>
              <w:rPr>
                <w:rFonts w:ascii="宋体" w:hAnsi="宋体"/>
                <w:color w:val="auto"/>
                <w:szCs w:val="21"/>
                <w:highlight w:val="none"/>
              </w:rPr>
              <w:t>7</w:t>
            </w:r>
            <w:r>
              <w:rPr>
                <w:rFonts w:hint="eastAsia" w:ascii="宋体" w:hAnsi="宋体"/>
                <w:color w:val="auto"/>
                <w:szCs w:val="21"/>
                <w:highlight w:val="none"/>
              </w:rPr>
              <w:t>元），</w:t>
            </w:r>
            <w:r>
              <w:rPr>
                <w:rFonts w:ascii="宋体" w:hAnsi="宋体"/>
                <w:color w:val="auto"/>
                <w:szCs w:val="21"/>
                <w:highlight w:val="none"/>
              </w:rPr>
              <w:t>3</w:t>
            </w:r>
            <w:r>
              <w:rPr>
                <w:rFonts w:hint="eastAsia" w:ascii="宋体" w:hAnsi="宋体"/>
                <w:color w:val="auto"/>
                <w:szCs w:val="21"/>
                <w:highlight w:val="none"/>
              </w:rPr>
              <w:t>款半荤菜（每份重量不少于1</w:t>
            </w:r>
            <w:r>
              <w:rPr>
                <w:rFonts w:ascii="宋体" w:hAnsi="宋体"/>
                <w:color w:val="auto"/>
                <w:szCs w:val="21"/>
                <w:highlight w:val="none"/>
              </w:rPr>
              <w:t>50g</w:t>
            </w:r>
            <w:r>
              <w:rPr>
                <w:rFonts w:hint="eastAsia" w:ascii="宋体" w:hAnsi="宋体"/>
                <w:color w:val="auto"/>
                <w:szCs w:val="21"/>
                <w:highlight w:val="none"/>
              </w:rPr>
              <w:t>，荤类不少于7</w:t>
            </w:r>
            <w:r>
              <w:rPr>
                <w:rFonts w:ascii="宋体" w:hAnsi="宋体"/>
                <w:color w:val="auto"/>
                <w:szCs w:val="21"/>
                <w:highlight w:val="none"/>
              </w:rPr>
              <w:t>0</w:t>
            </w:r>
            <w:r>
              <w:rPr>
                <w:rFonts w:hint="eastAsia" w:ascii="宋体" w:hAnsi="宋体"/>
                <w:color w:val="auto"/>
                <w:szCs w:val="21"/>
                <w:highlight w:val="none"/>
              </w:rPr>
              <w:t>g，价格不超过人民币3元），2款净素（每份重量不少于1</w:t>
            </w:r>
            <w:r>
              <w:rPr>
                <w:rFonts w:ascii="宋体" w:hAnsi="宋体"/>
                <w:color w:val="auto"/>
                <w:szCs w:val="21"/>
                <w:highlight w:val="none"/>
              </w:rPr>
              <w:t>50g</w:t>
            </w:r>
            <w:r>
              <w:rPr>
                <w:rFonts w:hint="eastAsia" w:ascii="宋体" w:hAnsi="宋体"/>
                <w:color w:val="auto"/>
                <w:szCs w:val="21"/>
                <w:highlight w:val="none"/>
              </w:rPr>
              <w:t>，价格不超过人民币1元），2款咸菜，1款汤，1款米饭（大米价格不能低于3元</w:t>
            </w:r>
            <w:r>
              <w:rPr>
                <w:rFonts w:ascii="宋体" w:hAnsi="宋体"/>
                <w:color w:val="auto"/>
                <w:szCs w:val="21"/>
                <w:highlight w:val="none"/>
              </w:rPr>
              <w:t>/</w:t>
            </w:r>
            <w:r>
              <w:rPr>
                <w:rFonts w:hint="eastAsia" w:ascii="宋体" w:hAnsi="宋体"/>
                <w:color w:val="auto"/>
                <w:szCs w:val="21"/>
                <w:highlight w:val="none"/>
              </w:rPr>
              <w:t>斤），1款粥，辣椒酱等调料；</w:t>
            </w:r>
          </w:p>
          <w:p w14:paraId="4A7639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③桃花湾</w:t>
            </w:r>
            <w:r>
              <w:rPr>
                <w:rFonts w:hint="eastAsia" w:ascii="宋体" w:hAnsi="宋体"/>
                <w:color w:val="auto"/>
                <w:szCs w:val="21"/>
                <w:highlight w:val="none"/>
                <w:lang w:eastAsia="zh-CN"/>
              </w:rPr>
              <w:t>食堂</w:t>
            </w:r>
            <w:r>
              <w:rPr>
                <w:rFonts w:hint="eastAsia" w:ascii="宋体" w:hAnsi="宋体"/>
                <w:color w:val="auto"/>
                <w:szCs w:val="21"/>
                <w:highlight w:val="none"/>
              </w:rPr>
              <w:t>午餐及晚餐：</w:t>
            </w:r>
            <w:r>
              <w:rPr>
                <w:rFonts w:ascii="宋体" w:hAnsi="宋体"/>
                <w:color w:val="auto"/>
                <w:szCs w:val="21"/>
                <w:highlight w:val="none"/>
              </w:rPr>
              <w:t>3</w:t>
            </w:r>
            <w:r>
              <w:rPr>
                <w:rFonts w:hint="eastAsia" w:ascii="宋体" w:hAnsi="宋体"/>
                <w:color w:val="auto"/>
                <w:szCs w:val="21"/>
                <w:highlight w:val="none"/>
              </w:rPr>
              <w:t>款荤菜（每餐要包含红肉类、禽类、鱼虾贝类起码一种，重量不少于1</w:t>
            </w:r>
            <w:r>
              <w:rPr>
                <w:rFonts w:ascii="宋体" w:hAnsi="宋体"/>
                <w:color w:val="auto"/>
                <w:szCs w:val="21"/>
                <w:highlight w:val="none"/>
              </w:rPr>
              <w:t>50g</w:t>
            </w:r>
            <w:r>
              <w:rPr>
                <w:rFonts w:hint="eastAsia" w:ascii="宋体" w:hAnsi="宋体"/>
                <w:color w:val="auto"/>
                <w:szCs w:val="21"/>
                <w:highlight w:val="none"/>
              </w:rPr>
              <w:t>，每份价格不超过人民币</w:t>
            </w:r>
            <w:r>
              <w:rPr>
                <w:rFonts w:ascii="宋体" w:hAnsi="宋体"/>
                <w:color w:val="auto"/>
                <w:szCs w:val="21"/>
                <w:highlight w:val="none"/>
              </w:rPr>
              <w:t>7</w:t>
            </w:r>
            <w:r>
              <w:rPr>
                <w:rFonts w:hint="eastAsia" w:ascii="宋体" w:hAnsi="宋体"/>
                <w:color w:val="auto"/>
                <w:szCs w:val="21"/>
                <w:highlight w:val="none"/>
              </w:rPr>
              <w:t>元），</w:t>
            </w:r>
            <w:r>
              <w:rPr>
                <w:rFonts w:ascii="宋体" w:hAnsi="宋体"/>
                <w:color w:val="auto"/>
                <w:szCs w:val="21"/>
                <w:highlight w:val="none"/>
              </w:rPr>
              <w:t>3</w:t>
            </w:r>
            <w:r>
              <w:rPr>
                <w:rFonts w:hint="eastAsia" w:ascii="宋体" w:hAnsi="宋体"/>
                <w:color w:val="auto"/>
                <w:szCs w:val="21"/>
                <w:highlight w:val="none"/>
              </w:rPr>
              <w:t>款半荤菜（每份重量不少于1</w:t>
            </w:r>
            <w:r>
              <w:rPr>
                <w:rFonts w:ascii="宋体" w:hAnsi="宋体"/>
                <w:color w:val="auto"/>
                <w:szCs w:val="21"/>
                <w:highlight w:val="none"/>
              </w:rPr>
              <w:t>50g</w:t>
            </w:r>
            <w:r>
              <w:rPr>
                <w:rFonts w:hint="eastAsia" w:ascii="宋体" w:hAnsi="宋体"/>
                <w:color w:val="auto"/>
                <w:szCs w:val="21"/>
                <w:highlight w:val="none"/>
              </w:rPr>
              <w:t>，荤类不少于7</w:t>
            </w:r>
            <w:r>
              <w:rPr>
                <w:rFonts w:ascii="宋体" w:hAnsi="宋体"/>
                <w:color w:val="auto"/>
                <w:szCs w:val="21"/>
                <w:highlight w:val="none"/>
              </w:rPr>
              <w:t>0</w:t>
            </w:r>
            <w:r>
              <w:rPr>
                <w:rFonts w:hint="eastAsia" w:ascii="宋体" w:hAnsi="宋体"/>
                <w:color w:val="auto"/>
                <w:szCs w:val="21"/>
                <w:highlight w:val="none"/>
              </w:rPr>
              <w:t>g，价格不超过人民币3元），</w:t>
            </w:r>
            <w:r>
              <w:rPr>
                <w:rFonts w:ascii="宋体" w:hAnsi="宋体"/>
                <w:color w:val="auto"/>
                <w:szCs w:val="21"/>
                <w:highlight w:val="none"/>
              </w:rPr>
              <w:t>2</w:t>
            </w:r>
            <w:r>
              <w:rPr>
                <w:rFonts w:hint="eastAsia" w:ascii="宋体" w:hAnsi="宋体"/>
                <w:color w:val="auto"/>
                <w:szCs w:val="21"/>
                <w:highlight w:val="none"/>
              </w:rPr>
              <w:t>款净素（每份重量不少于1</w:t>
            </w:r>
            <w:r>
              <w:rPr>
                <w:rFonts w:ascii="宋体" w:hAnsi="宋体"/>
                <w:color w:val="auto"/>
                <w:szCs w:val="21"/>
                <w:highlight w:val="none"/>
              </w:rPr>
              <w:t>50g</w:t>
            </w:r>
            <w:r>
              <w:rPr>
                <w:rFonts w:hint="eastAsia" w:ascii="宋体" w:hAnsi="宋体"/>
                <w:color w:val="auto"/>
                <w:szCs w:val="21"/>
                <w:highlight w:val="none"/>
              </w:rPr>
              <w:t>，价格不超过人民币1元），2款咸菜，1款汤，1款米饭（大米价格不能低于3元</w:t>
            </w:r>
            <w:r>
              <w:rPr>
                <w:rFonts w:ascii="宋体" w:hAnsi="宋体"/>
                <w:color w:val="auto"/>
                <w:szCs w:val="21"/>
                <w:highlight w:val="none"/>
              </w:rPr>
              <w:t>/</w:t>
            </w:r>
            <w:r>
              <w:rPr>
                <w:rFonts w:hint="eastAsia" w:ascii="宋体" w:hAnsi="宋体"/>
                <w:color w:val="auto"/>
                <w:szCs w:val="21"/>
                <w:highlight w:val="none"/>
              </w:rPr>
              <w:t>斤），1款粥，辣椒酱等调料；</w:t>
            </w:r>
          </w:p>
          <w:p w14:paraId="7A0E5F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④常山</w:t>
            </w:r>
            <w:r>
              <w:rPr>
                <w:rFonts w:hint="eastAsia" w:ascii="宋体" w:hAnsi="宋体"/>
                <w:color w:val="auto"/>
                <w:szCs w:val="21"/>
                <w:highlight w:val="none"/>
                <w:lang w:eastAsia="zh-CN"/>
              </w:rPr>
              <w:t>食堂</w:t>
            </w:r>
            <w:r>
              <w:rPr>
                <w:rFonts w:hint="eastAsia" w:ascii="宋体" w:hAnsi="宋体"/>
                <w:color w:val="auto"/>
                <w:szCs w:val="21"/>
                <w:highlight w:val="none"/>
              </w:rPr>
              <w:t>午餐及晚餐：</w:t>
            </w:r>
            <w:r>
              <w:rPr>
                <w:rFonts w:ascii="宋体" w:hAnsi="宋体"/>
                <w:color w:val="auto"/>
                <w:szCs w:val="21"/>
                <w:highlight w:val="none"/>
              </w:rPr>
              <w:t>2</w:t>
            </w:r>
            <w:r>
              <w:rPr>
                <w:rFonts w:hint="eastAsia" w:ascii="宋体" w:hAnsi="宋体"/>
                <w:color w:val="auto"/>
                <w:szCs w:val="21"/>
                <w:highlight w:val="none"/>
              </w:rPr>
              <w:t>款荤菜（每餐要包含红肉类、禽类、鱼虾贝类起码一种，重量不少于150g，每份价格不超过人民币7元），</w:t>
            </w:r>
            <w:r>
              <w:rPr>
                <w:rFonts w:ascii="宋体" w:hAnsi="宋体"/>
                <w:color w:val="auto"/>
                <w:szCs w:val="21"/>
                <w:highlight w:val="none"/>
              </w:rPr>
              <w:t>2</w:t>
            </w:r>
            <w:r>
              <w:rPr>
                <w:rFonts w:hint="eastAsia" w:ascii="宋体" w:hAnsi="宋体"/>
                <w:color w:val="auto"/>
                <w:szCs w:val="21"/>
                <w:highlight w:val="none"/>
              </w:rPr>
              <w:t>款半荤菜（每份重量不少于150g，荤类不少于70g，价格不超过人民币3元），</w:t>
            </w:r>
            <w:r>
              <w:rPr>
                <w:rFonts w:ascii="宋体" w:hAnsi="宋体"/>
                <w:color w:val="auto"/>
                <w:szCs w:val="21"/>
                <w:highlight w:val="none"/>
              </w:rPr>
              <w:t>1</w:t>
            </w:r>
            <w:r>
              <w:rPr>
                <w:rFonts w:hint="eastAsia" w:ascii="宋体" w:hAnsi="宋体"/>
                <w:color w:val="auto"/>
                <w:szCs w:val="21"/>
                <w:highlight w:val="none"/>
              </w:rPr>
              <w:t>款净素（每份重量不少于150g，价格不超过人民币1元），2款咸菜，1款汤，1款米饭（大米价格不能低于3元/斤），1款粥，辣椒酱等调料；</w:t>
            </w:r>
          </w:p>
          <w:p w14:paraId="2F223B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每天所出菜式不能全部顶格定价，每日菜品定价须报</w:t>
            </w:r>
            <w:r>
              <w:rPr>
                <w:rFonts w:hint="eastAsia" w:ascii="宋体" w:hAnsi="宋体"/>
                <w:color w:val="auto"/>
                <w:szCs w:val="21"/>
                <w:highlight w:val="none"/>
                <w:lang w:eastAsia="zh-CN"/>
              </w:rPr>
              <w:t>防城港市公安局机关后勤服务中心</w:t>
            </w:r>
            <w:r>
              <w:rPr>
                <w:rFonts w:hint="eastAsia" w:ascii="宋体" w:hAnsi="宋体"/>
                <w:color w:val="auto"/>
                <w:szCs w:val="21"/>
                <w:highlight w:val="none"/>
              </w:rPr>
              <w:t>审批。</w:t>
            </w:r>
            <w:r>
              <w:rPr>
                <w:rFonts w:hint="eastAsia" w:ascii="宋体" w:hAnsi="宋体"/>
                <w:color w:val="auto"/>
                <w:szCs w:val="21"/>
                <w:highlight w:val="none"/>
                <w:lang w:val="en-US" w:eastAsia="zh-CN"/>
              </w:rPr>
              <w:t>供应商</w:t>
            </w:r>
            <w:r>
              <w:rPr>
                <w:rFonts w:hint="eastAsia" w:ascii="宋体" w:hAnsi="宋体"/>
                <w:color w:val="auto"/>
                <w:szCs w:val="21"/>
                <w:highlight w:val="none"/>
              </w:rPr>
              <w:t>所管理的三个办公区</w:t>
            </w:r>
            <w:r>
              <w:rPr>
                <w:rFonts w:hint="eastAsia" w:ascii="宋体" w:hAnsi="宋体"/>
                <w:color w:val="auto"/>
                <w:szCs w:val="21"/>
                <w:highlight w:val="none"/>
                <w:lang w:eastAsia="zh-CN"/>
              </w:rPr>
              <w:t>食堂</w:t>
            </w:r>
            <w:r>
              <w:rPr>
                <w:rFonts w:hint="eastAsia" w:ascii="宋体" w:hAnsi="宋体"/>
                <w:color w:val="auto"/>
                <w:szCs w:val="21"/>
                <w:highlight w:val="none"/>
              </w:rPr>
              <w:t>每个月都要推出5个以上与上月不重复的菜品，</w:t>
            </w:r>
            <w:r>
              <w:rPr>
                <w:rFonts w:ascii="宋体" w:hAnsi="宋体"/>
                <w:color w:val="auto"/>
                <w:szCs w:val="21"/>
                <w:highlight w:val="none"/>
              </w:rPr>
              <w:t>每份饭须搭配</w:t>
            </w:r>
            <w:r>
              <w:rPr>
                <w:rFonts w:hint="eastAsia" w:ascii="宋体" w:hAnsi="宋体"/>
                <w:color w:val="auto"/>
                <w:szCs w:val="21"/>
                <w:highlight w:val="none"/>
              </w:rPr>
              <w:t>1</w:t>
            </w:r>
            <w:r>
              <w:rPr>
                <w:rFonts w:ascii="宋体" w:hAnsi="宋体"/>
                <w:color w:val="auto"/>
                <w:szCs w:val="21"/>
                <w:highlight w:val="none"/>
              </w:rPr>
              <w:t>份水果或甜点</w:t>
            </w:r>
            <w:r>
              <w:rPr>
                <w:rFonts w:hint="eastAsia" w:ascii="宋体" w:hAnsi="宋体"/>
                <w:color w:val="auto"/>
                <w:szCs w:val="21"/>
                <w:highlight w:val="none"/>
              </w:rPr>
              <w:t>。</w:t>
            </w:r>
          </w:p>
          <w:p w14:paraId="71E85936">
            <w:pPr>
              <w:spacing w:line="360" w:lineRule="auto"/>
              <w:ind w:firstLine="420"/>
              <w:rPr>
                <w:rFonts w:ascii="宋体" w:hAnsi="宋体"/>
                <w:b/>
                <w:color w:val="auto"/>
                <w:szCs w:val="21"/>
                <w:highlight w:val="none"/>
              </w:rPr>
            </w:pPr>
            <w:r>
              <w:rPr>
                <w:rFonts w:hint="eastAsia" w:ascii="宋体" w:hAnsi="宋体"/>
                <w:b/>
                <w:color w:val="auto"/>
                <w:szCs w:val="21"/>
                <w:highlight w:val="none"/>
              </w:rPr>
              <w:t>（2）接待餐厅</w:t>
            </w:r>
          </w:p>
          <w:p w14:paraId="6261FD9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接待菜品要求食材新鲜，品种丰富，满足多样化需求。在接到接待任务后，必须按采购人要求制定接待菜谱，并报</w:t>
            </w:r>
            <w:r>
              <w:rPr>
                <w:rFonts w:hint="eastAsia" w:ascii="宋体" w:hAnsi="宋体"/>
                <w:color w:val="auto"/>
                <w:szCs w:val="21"/>
                <w:highlight w:val="none"/>
                <w:lang w:eastAsia="zh-CN"/>
              </w:rPr>
              <w:t>防城港市公安局机关后勤服务中心</w:t>
            </w:r>
            <w:r>
              <w:rPr>
                <w:rFonts w:hint="eastAsia" w:ascii="宋体" w:hAnsi="宋体"/>
                <w:color w:val="auto"/>
                <w:szCs w:val="21"/>
                <w:highlight w:val="none"/>
              </w:rPr>
              <w:t>把关，接待用餐标准及餐品价格要严格按照广西公务接待的相关规定。</w:t>
            </w:r>
          </w:p>
          <w:p w14:paraId="097460B7">
            <w:pPr>
              <w:spacing w:line="360" w:lineRule="auto"/>
              <w:ind w:firstLine="422" w:firstLineChars="200"/>
              <w:jc w:val="left"/>
              <w:rPr>
                <w:rFonts w:hint="eastAsia" w:ascii="宋体" w:hAnsi="宋体"/>
                <w:b/>
                <w:color w:val="auto"/>
                <w:szCs w:val="21"/>
                <w:highlight w:val="none"/>
              </w:rPr>
            </w:pPr>
            <w:r>
              <w:rPr>
                <w:rFonts w:hint="eastAsia" w:ascii="宋体" w:hAnsi="宋体"/>
                <w:b/>
                <w:color w:val="auto"/>
                <w:szCs w:val="21"/>
                <w:highlight w:val="none"/>
              </w:rPr>
              <w:t>（二）暖警服务：</w:t>
            </w:r>
          </w:p>
          <w:p w14:paraId="1E1A25D0">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1、可根据采购人需求设立暖警超市，经营范围包括但不限于快速食品、包装食品、水果、糕点等。</w:t>
            </w:r>
          </w:p>
          <w:p w14:paraId="3E3301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2、营业时间：上午8：0</w:t>
            </w:r>
            <w:r>
              <w:rPr>
                <w:rFonts w:ascii="宋体" w:hAnsi="宋体"/>
                <w:color w:val="auto"/>
                <w:szCs w:val="21"/>
                <w:highlight w:val="none"/>
              </w:rPr>
              <w:t>0-</w:t>
            </w:r>
            <w:r>
              <w:rPr>
                <w:rFonts w:hint="eastAsia" w:ascii="宋体" w:hAnsi="宋体"/>
                <w:color w:val="auto"/>
                <w:szCs w:val="21"/>
                <w:highlight w:val="none"/>
              </w:rPr>
              <w:t>晚上2</w:t>
            </w:r>
            <w:r>
              <w:rPr>
                <w:rFonts w:ascii="宋体" w:hAnsi="宋体"/>
                <w:color w:val="auto"/>
                <w:szCs w:val="21"/>
                <w:highlight w:val="none"/>
              </w:rPr>
              <w:t>2</w:t>
            </w:r>
            <w:r>
              <w:rPr>
                <w:rFonts w:hint="eastAsia" w:ascii="宋体" w:hAnsi="宋体"/>
                <w:color w:val="auto"/>
                <w:szCs w:val="21"/>
                <w:highlight w:val="none"/>
              </w:rPr>
              <w:t>：0</w:t>
            </w:r>
            <w:r>
              <w:rPr>
                <w:rFonts w:ascii="宋体" w:hAnsi="宋体"/>
                <w:color w:val="auto"/>
                <w:szCs w:val="21"/>
                <w:highlight w:val="none"/>
              </w:rPr>
              <w:t>0</w:t>
            </w:r>
          </w:p>
          <w:p w14:paraId="1087BA8C">
            <w:pPr>
              <w:spacing w:line="360" w:lineRule="auto"/>
              <w:ind w:firstLine="407" w:firstLineChars="194"/>
              <w:rPr>
                <w:rFonts w:hint="eastAsia" w:eastAsia="宋体"/>
                <w:color w:val="auto"/>
                <w:highlight w:val="none"/>
                <w:lang w:eastAsia="zh-CN"/>
              </w:rPr>
            </w:pPr>
            <w:r>
              <w:rPr>
                <w:rFonts w:hint="eastAsia" w:ascii="宋体" w:hAnsi="宋体"/>
                <w:color w:val="auto"/>
                <w:szCs w:val="21"/>
                <w:highlight w:val="none"/>
              </w:rPr>
              <w:t>3、暖警服务地点位于防城港市公安局金花茶办公区内，服务范围包括三个办公区，提供预订，免费配送等服务。</w:t>
            </w:r>
          </w:p>
          <w:p w14:paraId="5F9284D2">
            <w:pPr>
              <w:spacing w:line="360" w:lineRule="auto"/>
              <w:ind w:firstLine="407" w:firstLineChars="194"/>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Cs/>
                <w:color w:val="auto"/>
                <w:szCs w:val="21"/>
                <w:highlight w:val="none"/>
              </w:rPr>
              <w:t>全面实行食品准入制度，超市进货索票，索票率达100%。严把进货关、操作关、存放关、销售关，规范超市管理及食品采购、销售过程的管理，逐一落实责任，严格细化管理。杜绝超标霉变、超质保期、无QS/SC认证标志、无产址、无产品合格证、无生产日期的“三无”产品。</w:t>
            </w:r>
          </w:p>
          <w:p w14:paraId="0ED772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、服务期内，采购人如因单位建设及上级有关要求需要停止超市管理的，</w:t>
            </w:r>
            <w:r>
              <w:rPr>
                <w:rFonts w:hint="eastAsia" w:ascii="宋体" w:hAnsi="宋体"/>
                <w:color w:val="auto"/>
                <w:szCs w:val="21"/>
                <w:highlight w:val="none"/>
                <w:lang w:val="en-US" w:eastAsia="zh-CN"/>
              </w:rPr>
              <w:t>供应商</w:t>
            </w:r>
            <w:r>
              <w:rPr>
                <w:rFonts w:hint="eastAsia" w:ascii="宋体" w:hAnsi="宋体"/>
                <w:color w:val="auto"/>
                <w:szCs w:val="21"/>
                <w:highlight w:val="none"/>
              </w:rPr>
              <w:t>应积极响应配合采购人，无条件退出超市管理，</w:t>
            </w:r>
            <w:r>
              <w:rPr>
                <w:rFonts w:hint="eastAsia" w:ascii="宋体" w:hAnsi="宋体"/>
                <w:color w:val="auto"/>
                <w:szCs w:val="21"/>
                <w:highlight w:val="none"/>
                <w:lang w:eastAsia="zh-CN"/>
              </w:rPr>
              <w:t>供应商</w:t>
            </w:r>
            <w:r>
              <w:rPr>
                <w:rFonts w:hint="eastAsia" w:ascii="宋体" w:hAnsi="宋体"/>
                <w:color w:val="auto"/>
                <w:szCs w:val="21"/>
                <w:highlight w:val="none"/>
              </w:rPr>
              <w:t>自行处理超市内属于</w:t>
            </w:r>
            <w:r>
              <w:rPr>
                <w:rFonts w:hint="eastAsia" w:ascii="宋体" w:hAnsi="宋体"/>
                <w:color w:val="auto"/>
                <w:szCs w:val="21"/>
                <w:highlight w:val="none"/>
                <w:lang w:eastAsia="zh-CN"/>
              </w:rPr>
              <w:t>供应商</w:t>
            </w:r>
            <w:r>
              <w:rPr>
                <w:rFonts w:hint="eastAsia" w:ascii="宋体" w:hAnsi="宋体"/>
                <w:color w:val="auto"/>
                <w:szCs w:val="21"/>
                <w:highlight w:val="none"/>
              </w:rPr>
              <w:t>的物品。</w:t>
            </w:r>
          </w:p>
          <w:p w14:paraId="1924CB16">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三</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商品销售价格及食材购买价格的确定：</w:t>
            </w:r>
          </w:p>
          <w:p w14:paraId="15025870">
            <w:pPr>
              <w:spacing w:line="360" w:lineRule="auto"/>
              <w:ind w:firstLine="420" w:firstLineChars="200"/>
              <w:rPr>
                <w:rFonts w:hint="default" w:ascii="宋体" w:hAnsi="宋体"/>
                <w:color w:val="auto"/>
                <w:szCs w:val="21"/>
                <w:highlight w:val="none"/>
                <w:lang w:val="en-US" w:eastAsia="zh-CN"/>
              </w:rPr>
            </w:pPr>
            <w:r>
              <w:rPr>
                <w:rFonts w:hint="default" w:ascii="宋体" w:hAnsi="宋体"/>
                <w:color w:val="auto"/>
                <w:szCs w:val="21"/>
                <w:highlight w:val="none"/>
                <w:lang w:val="en-US" w:eastAsia="zh-CN"/>
              </w:rPr>
              <w:t>服务期内，</w:t>
            </w:r>
            <w:r>
              <w:rPr>
                <w:rFonts w:hint="eastAsia" w:ascii="宋体" w:hAnsi="宋体"/>
                <w:color w:val="auto"/>
                <w:szCs w:val="21"/>
                <w:highlight w:val="none"/>
                <w:lang w:val="en-US" w:eastAsia="zh-CN"/>
              </w:rPr>
              <w:t>所有</w:t>
            </w:r>
            <w:r>
              <w:rPr>
                <w:rFonts w:hint="default" w:ascii="宋体" w:hAnsi="宋体"/>
                <w:color w:val="auto"/>
                <w:szCs w:val="21"/>
                <w:highlight w:val="none"/>
                <w:lang w:val="en-US" w:eastAsia="zh-CN"/>
              </w:rPr>
              <w:t>商品</w:t>
            </w:r>
            <w:r>
              <w:rPr>
                <w:rFonts w:hint="eastAsia" w:ascii="宋体" w:hAnsi="宋体"/>
                <w:color w:val="auto"/>
                <w:szCs w:val="21"/>
                <w:highlight w:val="none"/>
                <w:lang w:val="en-US" w:eastAsia="zh-CN"/>
              </w:rPr>
              <w:t>销售</w:t>
            </w:r>
            <w:r>
              <w:rPr>
                <w:rFonts w:hint="default" w:ascii="宋体" w:hAnsi="宋体"/>
                <w:color w:val="auto"/>
                <w:szCs w:val="21"/>
                <w:highlight w:val="none"/>
                <w:lang w:val="en-US" w:eastAsia="zh-CN"/>
              </w:rPr>
              <w:t>价格</w:t>
            </w:r>
            <w:r>
              <w:rPr>
                <w:rFonts w:hint="eastAsia" w:ascii="宋体" w:hAnsi="宋体"/>
                <w:color w:val="auto"/>
                <w:szCs w:val="21"/>
                <w:highlight w:val="none"/>
                <w:lang w:val="en-US" w:eastAsia="zh-CN"/>
              </w:rPr>
              <w:t>及食材购买价格</w:t>
            </w:r>
            <w:r>
              <w:rPr>
                <w:rFonts w:hint="default" w:ascii="宋体" w:hAnsi="宋体"/>
                <w:color w:val="auto"/>
                <w:szCs w:val="21"/>
                <w:highlight w:val="none"/>
                <w:lang w:val="en-US" w:eastAsia="zh-CN"/>
              </w:rPr>
              <w:t>不得高于市场价格，并接受采购人监督。采购人每个季度开展1次</w:t>
            </w:r>
            <w:r>
              <w:rPr>
                <w:rFonts w:hint="eastAsia" w:ascii="宋体" w:hAnsi="宋体"/>
                <w:color w:val="auto"/>
                <w:szCs w:val="21"/>
                <w:highlight w:val="none"/>
                <w:lang w:val="en-US" w:eastAsia="zh-CN"/>
              </w:rPr>
              <w:t>对</w:t>
            </w:r>
            <w:r>
              <w:rPr>
                <w:rFonts w:hint="default" w:ascii="宋体" w:hAnsi="宋体"/>
                <w:color w:val="auto"/>
                <w:szCs w:val="21"/>
                <w:highlight w:val="none"/>
                <w:lang w:val="en-US" w:eastAsia="zh-CN"/>
              </w:rPr>
              <w:t>商品市场零售价</w:t>
            </w:r>
            <w:r>
              <w:rPr>
                <w:rFonts w:hint="eastAsia" w:ascii="宋体" w:hAnsi="宋体"/>
                <w:color w:val="auto"/>
                <w:szCs w:val="21"/>
                <w:highlight w:val="none"/>
                <w:lang w:val="en-US" w:eastAsia="zh-CN"/>
              </w:rPr>
              <w:t>及</w:t>
            </w:r>
            <w:r>
              <w:rPr>
                <w:rFonts w:hint="default" w:ascii="宋体" w:hAnsi="宋体"/>
                <w:color w:val="auto"/>
                <w:szCs w:val="21"/>
                <w:highlight w:val="none"/>
                <w:lang w:val="en-US" w:eastAsia="zh-CN"/>
              </w:rPr>
              <w:t>食材购买价格调查核实工作。</w:t>
            </w:r>
            <w:r>
              <w:rPr>
                <w:rFonts w:hint="eastAsia" w:ascii="宋体" w:hAnsi="宋体"/>
                <w:color w:val="auto"/>
                <w:szCs w:val="21"/>
                <w:highlight w:val="none"/>
                <w:lang w:val="en-US" w:eastAsia="zh-CN"/>
              </w:rPr>
              <w:t>供应商</w:t>
            </w:r>
            <w:r>
              <w:rPr>
                <w:rFonts w:hint="default" w:ascii="宋体" w:hAnsi="宋体"/>
                <w:color w:val="auto"/>
                <w:szCs w:val="21"/>
                <w:highlight w:val="none"/>
                <w:lang w:val="en-US" w:eastAsia="zh-CN"/>
              </w:rPr>
              <w:t>须在接到通知后5日内向采购人提供详细商品清单</w:t>
            </w:r>
            <w:r>
              <w:rPr>
                <w:rFonts w:hint="eastAsia" w:ascii="宋体" w:hAnsi="宋体"/>
                <w:color w:val="auto"/>
                <w:szCs w:val="21"/>
                <w:highlight w:val="none"/>
                <w:lang w:val="en-US" w:eastAsia="zh-CN"/>
              </w:rPr>
              <w:t>及食材清单</w:t>
            </w:r>
            <w:r>
              <w:rPr>
                <w:rFonts w:hint="default" w:ascii="宋体" w:hAnsi="宋体"/>
                <w:color w:val="auto"/>
                <w:szCs w:val="21"/>
                <w:highlight w:val="none"/>
                <w:lang w:val="en-US" w:eastAsia="zh-CN"/>
              </w:rPr>
              <w:t>供核对；由采购人组织询价小组分别前往防城港市防城区第一市场、防城港市港口区德城市场、防城港市港口区金海市场，核查各商品市场零售价</w:t>
            </w:r>
            <w:r>
              <w:rPr>
                <w:rFonts w:hint="eastAsia" w:ascii="宋体" w:hAnsi="宋体"/>
                <w:color w:val="auto"/>
                <w:szCs w:val="21"/>
                <w:highlight w:val="none"/>
                <w:lang w:val="en-US" w:eastAsia="zh-CN"/>
              </w:rPr>
              <w:t>及食材市场销售价</w:t>
            </w:r>
            <w:r>
              <w:rPr>
                <w:rFonts w:hint="default" w:ascii="宋体" w:hAnsi="宋体"/>
                <w:color w:val="auto"/>
                <w:szCs w:val="21"/>
                <w:highlight w:val="none"/>
                <w:lang w:val="en-US" w:eastAsia="zh-CN"/>
              </w:rPr>
              <w:t>。每个季度商品定价</w:t>
            </w:r>
            <w:r>
              <w:rPr>
                <w:rFonts w:hint="eastAsia" w:ascii="宋体" w:hAnsi="宋体"/>
                <w:color w:val="auto"/>
                <w:szCs w:val="21"/>
                <w:highlight w:val="none"/>
                <w:lang w:val="en-US" w:eastAsia="zh-CN"/>
              </w:rPr>
              <w:t>及食材购买价格</w:t>
            </w:r>
            <w:r>
              <w:rPr>
                <w:rFonts w:hint="default" w:ascii="宋体" w:hAnsi="宋体"/>
                <w:color w:val="auto"/>
                <w:szCs w:val="21"/>
                <w:highlight w:val="none"/>
                <w:lang w:val="en-US" w:eastAsia="zh-CN"/>
              </w:rPr>
              <w:t>以三个市场询价价格的平均值为准；若个别商品</w:t>
            </w:r>
            <w:r>
              <w:rPr>
                <w:rFonts w:hint="eastAsia" w:ascii="宋体" w:hAnsi="宋体"/>
                <w:color w:val="auto"/>
                <w:szCs w:val="21"/>
                <w:highlight w:val="none"/>
                <w:lang w:val="en-US" w:eastAsia="zh-CN"/>
              </w:rPr>
              <w:t>及食材</w:t>
            </w:r>
            <w:r>
              <w:rPr>
                <w:rFonts w:hint="default" w:ascii="宋体" w:hAnsi="宋体"/>
                <w:color w:val="auto"/>
                <w:szCs w:val="21"/>
                <w:highlight w:val="none"/>
                <w:lang w:val="en-US" w:eastAsia="zh-CN"/>
              </w:rPr>
              <w:t>无市场公开价格，则以采购人询价小组的调查价格为准，且定价不得高于市场询价最高价。经采购人核对价格无误后，</w:t>
            </w:r>
            <w:r>
              <w:rPr>
                <w:rFonts w:hint="eastAsia" w:ascii="宋体" w:hAnsi="宋体"/>
                <w:color w:val="auto"/>
                <w:szCs w:val="21"/>
                <w:highlight w:val="none"/>
                <w:lang w:val="en-US" w:eastAsia="zh-CN"/>
              </w:rPr>
              <w:t>供应商</w:t>
            </w:r>
            <w:r>
              <w:rPr>
                <w:rFonts w:hint="default" w:ascii="宋体" w:hAnsi="宋体"/>
                <w:color w:val="auto"/>
                <w:szCs w:val="21"/>
                <w:highlight w:val="none"/>
                <w:lang w:val="en-US" w:eastAsia="zh-CN"/>
              </w:rPr>
              <w:t>可对商品进行标价销售</w:t>
            </w:r>
            <w:r>
              <w:rPr>
                <w:rFonts w:hint="eastAsia" w:ascii="宋体" w:hAnsi="宋体"/>
                <w:color w:val="auto"/>
                <w:szCs w:val="21"/>
                <w:highlight w:val="none"/>
                <w:lang w:val="en-US" w:eastAsia="zh-CN"/>
              </w:rPr>
              <w:t>及食材的购买</w:t>
            </w:r>
            <w:r>
              <w:rPr>
                <w:rFonts w:hint="default" w:ascii="宋体" w:hAnsi="宋体"/>
                <w:color w:val="auto"/>
                <w:szCs w:val="21"/>
                <w:highlight w:val="none"/>
                <w:lang w:val="en-US" w:eastAsia="zh-CN"/>
              </w:rPr>
              <w:t>。</w:t>
            </w:r>
          </w:p>
          <w:p w14:paraId="56C2FDC3">
            <w:pPr>
              <w:spacing w:line="360" w:lineRule="auto"/>
              <w:rPr>
                <w:rFonts w:hint="eastAsia" w:ascii="宋体" w:hAnsi="宋体"/>
                <w:b/>
                <w:color w:val="auto"/>
                <w:szCs w:val="21"/>
                <w:highlight w:val="none"/>
              </w:rPr>
            </w:pPr>
            <w:r>
              <w:rPr>
                <w:rFonts w:hint="eastAsia" w:ascii="宋体" w:hAnsi="宋体"/>
                <w:b/>
                <w:color w:val="auto"/>
                <w:szCs w:val="21"/>
                <w:highlight w:val="none"/>
              </w:rPr>
              <w:t>二、管理模式要求</w:t>
            </w:r>
          </w:p>
          <w:p w14:paraId="211E00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1、采购人按</w:t>
            </w:r>
            <w:r>
              <w:rPr>
                <w:rFonts w:hint="eastAsia" w:ascii="宋体" w:hAnsi="宋体"/>
                <w:color w:val="auto"/>
                <w:szCs w:val="21"/>
                <w:highlight w:val="none"/>
                <w:lang w:val="en-US" w:eastAsia="zh-CN"/>
              </w:rPr>
              <w:t>季度</w:t>
            </w:r>
            <w:r>
              <w:rPr>
                <w:rFonts w:hint="eastAsia" w:ascii="宋体" w:hAnsi="宋体"/>
                <w:color w:val="auto"/>
                <w:szCs w:val="21"/>
                <w:highlight w:val="none"/>
              </w:rPr>
              <w:t>支付管理费服务给</w:t>
            </w:r>
            <w:r>
              <w:rPr>
                <w:rFonts w:hint="eastAsia" w:ascii="宋体" w:hAnsi="宋体"/>
                <w:color w:val="auto"/>
                <w:szCs w:val="21"/>
                <w:highlight w:val="none"/>
                <w:lang w:val="en-US" w:eastAsia="zh-CN"/>
              </w:rPr>
              <w:t>供应商</w:t>
            </w:r>
            <w:r>
              <w:rPr>
                <w:rFonts w:hint="eastAsia" w:ascii="宋体" w:hAnsi="宋体"/>
                <w:color w:val="auto"/>
                <w:szCs w:val="21"/>
                <w:highlight w:val="none"/>
              </w:rPr>
              <w:t>。</w:t>
            </w:r>
          </w:p>
          <w:p w14:paraId="1271D6C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采购人根据点餐平台的配套服务每月将干部职工伙食补贴转账给</w:t>
            </w:r>
            <w:r>
              <w:rPr>
                <w:rFonts w:hint="eastAsia" w:ascii="宋体" w:hAnsi="宋体"/>
                <w:color w:val="auto"/>
                <w:szCs w:val="21"/>
                <w:highlight w:val="none"/>
                <w:lang w:val="en-US" w:eastAsia="zh-CN"/>
              </w:rPr>
              <w:t>供应商</w:t>
            </w:r>
            <w:r>
              <w:rPr>
                <w:rFonts w:hint="eastAsia"/>
                <w:color w:val="auto"/>
                <w:highlight w:val="none"/>
              </w:rPr>
              <w:t>。</w:t>
            </w:r>
          </w:p>
          <w:p w14:paraId="7BE245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3、采购人可根据食堂的管理实际，优化管理模式，经与</w:t>
            </w:r>
            <w:r>
              <w:rPr>
                <w:rFonts w:hint="eastAsia" w:ascii="宋体" w:hAnsi="宋体"/>
                <w:color w:val="auto"/>
                <w:szCs w:val="21"/>
                <w:highlight w:val="none"/>
                <w:lang w:val="en-US" w:eastAsia="zh-CN"/>
              </w:rPr>
              <w:t>供应商</w:t>
            </w:r>
            <w:r>
              <w:rPr>
                <w:rFonts w:hint="eastAsia" w:ascii="宋体" w:hAnsi="宋体"/>
                <w:color w:val="auto"/>
                <w:szCs w:val="21"/>
                <w:highlight w:val="none"/>
              </w:rPr>
              <w:t>协商后实施。</w:t>
            </w:r>
          </w:p>
          <w:p w14:paraId="20206F84">
            <w:pPr>
              <w:spacing w:line="360" w:lineRule="auto"/>
              <w:rPr>
                <w:rFonts w:hint="eastAsia" w:ascii="宋体" w:hAnsi="宋体"/>
                <w:color w:val="auto"/>
                <w:szCs w:val="21"/>
                <w:highlight w:val="none"/>
              </w:rPr>
            </w:pPr>
            <w:r>
              <w:rPr>
                <w:rFonts w:hint="eastAsia" w:ascii="宋体" w:hAnsi="宋体"/>
                <w:b/>
                <w:color w:val="auto"/>
                <w:szCs w:val="21"/>
                <w:highlight w:val="none"/>
              </w:rPr>
              <w:t>三、服务地点：</w:t>
            </w:r>
            <w:r>
              <w:rPr>
                <w:rFonts w:hint="eastAsia" w:ascii="宋体" w:hAnsi="宋体"/>
                <w:color w:val="auto"/>
                <w:szCs w:val="21"/>
                <w:highlight w:val="none"/>
              </w:rPr>
              <w:t>金花茶</w:t>
            </w:r>
            <w:r>
              <w:rPr>
                <w:rFonts w:hint="eastAsia" w:ascii="宋体" w:hAnsi="宋体"/>
                <w:color w:val="auto"/>
                <w:szCs w:val="21"/>
                <w:highlight w:val="none"/>
                <w:lang w:eastAsia="zh-CN"/>
              </w:rPr>
              <w:t>食堂</w:t>
            </w:r>
            <w:r>
              <w:rPr>
                <w:rFonts w:hint="eastAsia" w:ascii="宋体" w:hAnsi="宋体"/>
                <w:color w:val="auto"/>
                <w:szCs w:val="21"/>
                <w:highlight w:val="none"/>
              </w:rPr>
              <w:t>（地址：防城港市港口区金花茶大道6</w:t>
            </w:r>
            <w:r>
              <w:rPr>
                <w:rFonts w:ascii="宋体" w:hAnsi="宋体"/>
                <w:color w:val="auto"/>
                <w:szCs w:val="21"/>
                <w:highlight w:val="none"/>
              </w:rPr>
              <w:t>9</w:t>
            </w:r>
            <w:r>
              <w:rPr>
                <w:rFonts w:hint="eastAsia" w:ascii="宋体" w:hAnsi="宋体"/>
                <w:color w:val="auto"/>
                <w:szCs w:val="21"/>
                <w:highlight w:val="none"/>
              </w:rPr>
              <w:t>号）、常山</w:t>
            </w:r>
            <w:r>
              <w:rPr>
                <w:rFonts w:hint="eastAsia" w:ascii="宋体" w:hAnsi="宋体"/>
                <w:color w:val="auto"/>
                <w:szCs w:val="21"/>
                <w:highlight w:val="none"/>
                <w:lang w:eastAsia="zh-CN"/>
              </w:rPr>
              <w:t>食堂</w:t>
            </w:r>
            <w:r>
              <w:rPr>
                <w:rFonts w:hint="eastAsia" w:ascii="宋体" w:hAnsi="宋体"/>
                <w:color w:val="auto"/>
                <w:szCs w:val="21"/>
                <w:highlight w:val="none"/>
              </w:rPr>
              <w:t>（地址防城港市港口区赤港街常山办公区）、桃花湾</w:t>
            </w:r>
            <w:r>
              <w:rPr>
                <w:rFonts w:hint="eastAsia" w:ascii="宋体" w:hAnsi="宋体"/>
                <w:color w:val="auto"/>
                <w:szCs w:val="21"/>
                <w:highlight w:val="none"/>
                <w:lang w:eastAsia="zh-CN"/>
              </w:rPr>
              <w:t>食堂</w:t>
            </w:r>
            <w:r>
              <w:rPr>
                <w:rFonts w:hint="eastAsia" w:ascii="宋体" w:hAnsi="宋体"/>
                <w:color w:val="auto"/>
                <w:szCs w:val="21"/>
                <w:highlight w:val="none"/>
              </w:rPr>
              <w:t>（防城港市港口区广场环路1号）。</w:t>
            </w:r>
          </w:p>
          <w:p w14:paraId="1827EA06">
            <w:pPr>
              <w:spacing w:line="360" w:lineRule="auto"/>
              <w:rPr>
                <w:rFonts w:hint="eastAsia" w:ascii="宋体" w:hAnsi="宋体"/>
                <w:b/>
                <w:color w:val="auto"/>
                <w:szCs w:val="21"/>
                <w:highlight w:val="none"/>
              </w:rPr>
            </w:pPr>
            <w:r>
              <w:rPr>
                <w:rFonts w:hint="eastAsia" w:ascii="宋体" w:hAnsi="宋体"/>
                <w:b/>
                <w:color w:val="auto"/>
                <w:szCs w:val="21"/>
                <w:highlight w:val="none"/>
              </w:rPr>
              <w:t>四、服务对象包括但不限于：</w:t>
            </w:r>
          </w:p>
          <w:p w14:paraId="23974B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1、金花茶办公区、常山办公区、桃花湾办公区办公的在职在编人员、聘用人员、借调人员及临时办事、参加会议人员、培训人员。</w:t>
            </w:r>
          </w:p>
          <w:p w14:paraId="00CB1D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2、需要固定在警官食堂就餐的其他市直机关事业单位工作人员。</w:t>
            </w:r>
          </w:p>
          <w:p w14:paraId="2C5265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3、采购人因工作需要安排的其他人员。</w:t>
            </w:r>
          </w:p>
          <w:p w14:paraId="0D9FC7E4">
            <w:pPr>
              <w:spacing w:line="360" w:lineRule="auto"/>
              <w:rPr>
                <w:rFonts w:hint="eastAsia" w:ascii="宋体" w:hAnsi="宋体"/>
                <w:b/>
                <w:color w:val="auto"/>
                <w:szCs w:val="21"/>
                <w:highlight w:val="none"/>
              </w:rPr>
            </w:pPr>
            <w:r>
              <w:rPr>
                <w:rFonts w:hint="eastAsia" w:ascii="宋体" w:hAnsi="宋体"/>
                <w:b/>
                <w:color w:val="auto"/>
                <w:szCs w:val="21"/>
                <w:highlight w:val="none"/>
              </w:rPr>
              <w:t>五、人员配备及要求：</w:t>
            </w:r>
            <w:r>
              <w:rPr>
                <w:rFonts w:hint="eastAsia" w:ascii="宋体" w:hAnsi="宋体"/>
                <w:color w:val="auto"/>
                <w:szCs w:val="21"/>
                <w:highlight w:val="none"/>
              </w:rPr>
              <w:t>拟投入的人员必须在卫生部门取得健康证，品行端正，业务熟练，无违法犯罪记录，年满18 周岁以上60周岁以下。服务人员总数不得少于1</w:t>
            </w:r>
            <w:r>
              <w:rPr>
                <w:rFonts w:ascii="宋体" w:hAnsi="宋体"/>
                <w:color w:val="auto"/>
                <w:szCs w:val="21"/>
                <w:highlight w:val="none"/>
              </w:rPr>
              <w:t>6</w:t>
            </w:r>
            <w:r>
              <w:rPr>
                <w:rFonts w:hint="eastAsia" w:ascii="宋体" w:hAnsi="宋体"/>
                <w:color w:val="auto"/>
                <w:szCs w:val="21"/>
                <w:highlight w:val="none"/>
              </w:rPr>
              <w:t>人。人员数量只作为岗位服务具体体现，但不限于以上人数，以岗位达标为准，只能增加，不能减少。采购人可以根据需要，适当调整个别人员岗位。具体人员数量及基本要求如下：</w:t>
            </w:r>
          </w:p>
          <w:p w14:paraId="655CD0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供应商</w:t>
            </w:r>
            <w:r>
              <w:rPr>
                <w:rFonts w:hint="eastAsia" w:ascii="宋体" w:hAnsi="宋体"/>
                <w:color w:val="auto"/>
                <w:szCs w:val="21"/>
                <w:highlight w:val="none"/>
              </w:rPr>
              <w:t>必须配备有公司授权并有权限全面管理食堂的职业经理（或负责人）。其中，金花茶</w:t>
            </w:r>
            <w:r>
              <w:rPr>
                <w:rFonts w:hint="eastAsia" w:ascii="宋体" w:hAnsi="宋体"/>
                <w:color w:val="auto"/>
                <w:szCs w:val="21"/>
                <w:highlight w:val="none"/>
                <w:lang w:eastAsia="zh-CN"/>
              </w:rPr>
              <w:t>食堂</w:t>
            </w:r>
            <w:r>
              <w:rPr>
                <w:rFonts w:hint="eastAsia" w:ascii="宋体" w:hAnsi="宋体"/>
                <w:color w:val="auto"/>
                <w:szCs w:val="21"/>
                <w:highlight w:val="none"/>
              </w:rPr>
              <w:t>1人，桃花湾和常山</w:t>
            </w:r>
            <w:r>
              <w:rPr>
                <w:rFonts w:hint="eastAsia" w:ascii="宋体" w:hAnsi="宋体"/>
                <w:color w:val="auto"/>
                <w:szCs w:val="21"/>
                <w:highlight w:val="none"/>
                <w:lang w:eastAsia="zh-CN"/>
              </w:rPr>
              <w:t>食堂</w:t>
            </w:r>
            <w:r>
              <w:rPr>
                <w:rFonts w:hint="eastAsia" w:ascii="宋体" w:hAnsi="宋体"/>
                <w:color w:val="auto"/>
                <w:szCs w:val="21"/>
                <w:highlight w:val="none"/>
              </w:rPr>
              <w:t>1人，年龄不超过45周岁，具有类似餐饮项目管理或餐饮接待经验3 年以上，具有健康证。桃花湾</w:t>
            </w:r>
            <w:r>
              <w:rPr>
                <w:rFonts w:hint="eastAsia" w:ascii="宋体" w:hAnsi="宋体"/>
                <w:color w:val="auto"/>
                <w:szCs w:val="21"/>
                <w:highlight w:val="none"/>
                <w:lang w:eastAsia="zh-CN"/>
              </w:rPr>
              <w:t>食堂</w:t>
            </w:r>
            <w:r>
              <w:rPr>
                <w:rFonts w:hint="eastAsia" w:ascii="宋体" w:hAnsi="宋体"/>
                <w:color w:val="auto"/>
                <w:szCs w:val="21"/>
                <w:highlight w:val="none"/>
              </w:rPr>
              <w:t>不设置专职职业经理（或负责人），</w:t>
            </w:r>
            <w:r>
              <w:rPr>
                <w:rFonts w:hint="eastAsia" w:ascii="宋体" w:hAnsi="宋体"/>
                <w:color w:val="auto"/>
                <w:szCs w:val="21"/>
                <w:highlight w:val="none"/>
                <w:lang w:eastAsia="zh-CN"/>
              </w:rPr>
              <w:t>供应商</w:t>
            </w:r>
            <w:r>
              <w:rPr>
                <w:rFonts w:hint="eastAsia" w:ascii="宋体" w:hAnsi="宋体"/>
                <w:color w:val="auto"/>
                <w:szCs w:val="21"/>
                <w:highlight w:val="none"/>
              </w:rPr>
              <w:t>负责统筹做好该</w:t>
            </w:r>
            <w:r>
              <w:rPr>
                <w:rFonts w:hint="eastAsia" w:ascii="宋体" w:hAnsi="宋体"/>
                <w:color w:val="auto"/>
                <w:szCs w:val="21"/>
                <w:highlight w:val="none"/>
                <w:lang w:eastAsia="zh-CN"/>
              </w:rPr>
              <w:t>食堂</w:t>
            </w:r>
            <w:r>
              <w:rPr>
                <w:rFonts w:hint="eastAsia" w:ascii="宋体" w:hAnsi="宋体"/>
                <w:color w:val="auto"/>
                <w:szCs w:val="21"/>
                <w:highlight w:val="none"/>
              </w:rPr>
              <w:t>原有工勤人员的管理工作。</w:t>
            </w:r>
          </w:p>
          <w:p w14:paraId="57923C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2、根据各岗位需要合理配备相关从业人员(厨师、刀工、面点师、接待员、勤杂工等)。所有聘用的员工要持有相关证件(居民身份证、健康证等) 方能上岗，并报采购人相关职能部门备案。</w:t>
            </w:r>
          </w:p>
          <w:p w14:paraId="1F2F6A6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工作人员上岗统一着装，必须实行岗前检查制度（晨检制度），每天上班前，要对食堂从业人员进行身体状况检查，一旦发现皮肤病、胃肠不适、感冒发烧、腹泻等有碍食品安全的疾病，必须立即休息，不准上岗。</w:t>
            </w:r>
          </w:p>
          <w:p w14:paraId="54098A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4、因岗位人员自动离职、辞职、开除等原因引起人员不足的，</w:t>
            </w:r>
            <w:r>
              <w:rPr>
                <w:rFonts w:hint="eastAsia" w:ascii="宋体" w:hAnsi="宋体"/>
                <w:color w:val="auto"/>
                <w:szCs w:val="21"/>
                <w:highlight w:val="none"/>
                <w:lang w:eastAsia="zh-CN"/>
              </w:rPr>
              <w:t>供应商</w:t>
            </w:r>
            <w:r>
              <w:rPr>
                <w:rFonts w:hint="eastAsia" w:ascii="宋体" w:hAnsi="宋体"/>
                <w:color w:val="auto"/>
                <w:szCs w:val="21"/>
                <w:highlight w:val="none"/>
              </w:rPr>
              <w:t>须1</w:t>
            </w:r>
            <w:r>
              <w:rPr>
                <w:rFonts w:ascii="宋体" w:hAnsi="宋体"/>
                <w:color w:val="auto"/>
                <w:szCs w:val="21"/>
                <w:highlight w:val="none"/>
              </w:rPr>
              <w:t>5</w:t>
            </w:r>
            <w:r>
              <w:rPr>
                <w:rFonts w:hint="eastAsia" w:ascii="宋体" w:hAnsi="宋体"/>
                <w:color w:val="auto"/>
                <w:szCs w:val="21"/>
                <w:highlight w:val="none"/>
              </w:rPr>
              <w:t>日内及时补足岗位人员，并提前向采购人报备，不能影响食堂的正常运营。因岗位人员调整，</w:t>
            </w:r>
            <w:r>
              <w:rPr>
                <w:rFonts w:hint="eastAsia" w:ascii="宋体" w:hAnsi="宋体"/>
                <w:color w:val="auto"/>
                <w:szCs w:val="21"/>
                <w:highlight w:val="none"/>
                <w:lang w:eastAsia="zh-CN"/>
              </w:rPr>
              <w:t>供应商</w:t>
            </w:r>
            <w:r>
              <w:rPr>
                <w:rFonts w:hint="eastAsia" w:ascii="宋体" w:hAnsi="宋体"/>
                <w:color w:val="auto"/>
                <w:szCs w:val="21"/>
                <w:highlight w:val="none"/>
              </w:rPr>
              <w:t>须5日内向采购人报备。</w:t>
            </w:r>
          </w:p>
          <w:p w14:paraId="01C16CBC">
            <w:pPr>
              <w:spacing w:line="360" w:lineRule="auto"/>
              <w:rPr>
                <w:rFonts w:hint="eastAsia" w:ascii="宋体" w:hAnsi="宋体"/>
                <w:color w:val="auto"/>
                <w:szCs w:val="21"/>
                <w:highlight w:val="none"/>
              </w:rPr>
            </w:pPr>
            <w:r>
              <w:rPr>
                <w:rFonts w:hint="eastAsia" w:ascii="宋体" w:hAnsi="宋体"/>
                <w:b/>
                <w:color w:val="auto"/>
                <w:szCs w:val="21"/>
                <w:highlight w:val="none"/>
              </w:rPr>
              <w:t>六、采购预算测算：</w:t>
            </w:r>
            <w:r>
              <w:rPr>
                <w:rFonts w:hint="eastAsia" w:ascii="宋体" w:hAnsi="宋体"/>
                <w:b/>
                <w:color w:val="auto"/>
                <w:szCs w:val="21"/>
                <w:highlight w:val="none"/>
                <w:lang w:val="en-US" w:eastAsia="zh-CN"/>
              </w:rPr>
              <w:t>1、</w:t>
            </w:r>
            <w:r>
              <w:rPr>
                <w:rFonts w:hint="eastAsia" w:ascii="宋体" w:hAnsi="宋体"/>
                <w:color w:val="auto"/>
                <w:szCs w:val="21"/>
                <w:highlight w:val="none"/>
              </w:rPr>
              <w:t>本项目采购预算金额为</w:t>
            </w:r>
            <w:r>
              <w:rPr>
                <w:rFonts w:hint="eastAsia" w:ascii="宋体" w:hAnsi="宋体"/>
                <w:color w:val="auto"/>
                <w:szCs w:val="21"/>
                <w:highlight w:val="none"/>
                <w:lang w:val="en-US" w:eastAsia="zh-CN"/>
              </w:rPr>
              <w:t>1997925.99</w:t>
            </w:r>
            <w:r>
              <w:rPr>
                <w:rFonts w:hint="eastAsia" w:ascii="宋体" w:hAnsi="宋体"/>
                <w:color w:val="auto"/>
                <w:szCs w:val="21"/>
                <w:highlight w:val="none"/>
              </w:rPr>
              <w:t>元</w:t>
            </w:r>
            <w:r>
              <w:rPr>
                <w:rFonts w:hint="eastAsia" w:ascii="宋体" w:hAnsi="宋体"/>
                <w:color w:val="auto"/>
                <w:szCs w:val="21"/>
                <w:highlight w:val="none"/>
                <w:lang w:eastAsia="zh-CN"/>
              </w:rPr>
              <w:t>。</w:t>
            </w:r>
            <w:r>
              <w:rPr>
                <w:rFonts w:hint="eastAsia" w:ascii="宋体" w:hAnsi="宋体"/>
                <w:color w:val="auto"/>
                <w:szCs w:val="21"/>
                <w:highlight w:val="none"/>
              </w:rPr>
              <w:t>采购人的采购预算测算明细如下：</w:t>
            </w:r>
          </w:p>
          <w:tbl>
            <w:tblPr>
              <w:tblStyle w:val="5"/>
              <w:tblW w:w="61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593"/>
              <w:gridCol w:w="782"/>
              <w:gridCol w:w="404"/>
              <w:gridCol w:w="300"/>
              <w:gridCol w:w="392"/>
              <w:gridCol w:w="199"/>
              <w:gridCol w:w="655"/>
              <w:gridCol w:w="508"/>
              <w:gridCol w:w="981"/>
              <w:gridCol w:w="101"/>
              <w:gridCol w:w="597"/>
            </w:tblGrid>
            <w:tr w14:paraId="58BBF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6105" w:type="dxa"/>
                  <w:gridSpan w:val="12"/>
                  <w:tcBorders>
                    <w:top w:val="single" w:color="000000" w:sz="4" w:space="0"/>
                    <w:left w:val="single" w:color="000000" w:sz="4" w:space="0"/>
                    <w:bottom w:val="single" w:color="000000" w:sz="4" w:space="0"/>
                    <w:right w:val="single" w:color="000000" w:sz="4" w:space="0"/>
                  </w:tcBorders>
                  <w:noWrap w:val="0"/>
                  <w:vAlign w:val="center"/>
                </w:tcPr>
                <w:p w14:paraId="666689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一、人员工资</w:t>
                  </w:r>
                </w:p>
              </w:tc>
            </w:tr>
            <w:tr w14:paraId="340D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6BD69ED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项目岗位</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DE37B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人数</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2B3C10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月基本工资（元）</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531F826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月社会保险费用（元）</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4EF5FB4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月工资小计</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9AB59C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数量（月）</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2517F67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单项合计（元）</w:t>
                  </w:r>
                </w:p>
              </w:tc>
              <w:tc>
                <w:tcPr>
                  <w:tcW w:w="698" w:type="dxa"/>
                  <w:gridSpan w:val="2"/>
                  <w:tcBorders>
                    <w:top w:val="single" w:color="000000" w:sz="4" w:space="0"/>
                    <w:left w:val="single" w:color="000000" w:sz="4" w:space="0"/>
                    <w:bottom w:val="single" w:color="000000" w:sz="4" w:space="0"/>
                    <w:right w:val="single" w:color="000000" w:sz="4" w:space="0"/>
                  </w:tcBorders>
                  <w:noWrap w:val="0"/>
                  <w:vAlign w:val="center"/>
                </w:tcPr>
                <w:p w14:paraId="08E037F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说明</w:t>
                  </w:r>
                </w:p>
              </w:tc>
            </w:tr>
            <w:tr w14:paraId="7D234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1CDD0E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经理</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0EB4C1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0C330C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4400</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451A7B6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1416.76</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29872FD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5816.76</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702782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29A80FC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279204.48</w:t>
                  </w:r>
                </w:p>
              </w:tc>
              <w:tc>
                <w:tcPr>
                  <w:tcW w:w="69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44C1CAA">
                  <w:pPr>
                    <w:keepNext w:val="0"/>
                    <w:keepLines w:val="0"/>
                    <w:widowControl/>
                    <w:suppressLineNumbers w:val="0"/>
                    <w:jc w:val="both"/>
                    <w:textAlignment w:val="center"/>
                    <w:rPr>
                      <w:rFonts w:hint="eastAsia" w:ascii="宋体" w:hAnsi="宋体" w:eastAsia="宋体" w:cs="宋体"/>
                      <w:i w:val="0"/>
                      <w:iCs w:val="0"/>
                      <w:color w:val="auto"/>
                      <w:sz w:val="16"/>
                      <w:szCs w:val="16"/>
                      <w:highlight w:val="none"/>
                      <w:u w:val="none"/>
                    </w:rPr>
                  </w:pPr>
                  <w:r>
                    <w:rPr>
                      <w:rStyle w:val="7"/>
                      <w:rFonts w:hint="eastAsia" w:ascii="宋体" w:hAnsi="宋体" w:eastAsia="宋体" w:cs="宋体"/>
                      <w:color w:val="auto"/>
                      <w:sz w:val="16"/>
                      <w:szCs w:val="16"/>
                      <w:highlight w:val="none"/>
                      <w:lang w:val="en-US" w:eastAsia="zh-CN" w:bidi="ar"/>
                    </w:rPr>
                    <w:t>月社会保险费用按广西最低缴纳额</w:t>
                  </w:r>
                  <w:r>
                    <w:rPr>
                      <w:rStyle w:val="8"/>
                      <w:rFonts w:hint="eastAsia" w:ascii="宋体" w:hAnsi="宋体" w:eastAsia="宋体" w:cs="宋体"/>
                      <w:color w:val="auto"/>
                      <w:sz w:val="16"/>
                      <w:szCs w:val="16"/>
                      <w:highlight w:val="none"/>
                      <w:lang w:val="en-US" w:eastAsia="zh-CN" w:bidi="ar"/>
                    </w:rPr>
                    <w:t>3863</w:t>
                  </w:r>
                  <w:r>
                    <w:rPr>
                      <w:rStyle w:val="7"/>
                      <w:rFonts w:hint="eastAsia" w:ascii="宋体" w:hAnsi="宋体" w:eastAsia="宋体" w:cs="宋体"/>
                      <w:color w:val="auto"/>
                      <w:sz w:val="16"/>
                      <w:szCs w:val="16"/>
                      <w:highlight w:val="none"/>
                      <w:lang w:val="en-US" w:eastAsia="zh-CN" w:bidi="ar"/>
                    </w:rPr>
                    <w:t>元测算，包含</w:t>
                  </w:r>
                  <w:r>
                    <w:rPr>
                      <w:rStyle w:val="8"/>
                      <w:rFonts w:hint="eastAsia" w:ascii="宋体" w:hAnsi="宋体" w:eastAsia="宋体" w:cs="宋体"/>
                      <w:color w:val="auto"/>
                      <w:sz w:val="16"/>
                      <w:szCs w:val="16"/>
                      <w:highlight w:val="none"/>
                      <w:lang w:val="en-US" w:eastAsia="zh-CN" w:bidi="ar"/>
                    </w:rPr>
                    <w:t>90</w:t>
                  </w:r>
                  <w:r>
                    <w:rPr>
                      <w:rStyle w:val="7"/>
                      <w:rFonts w:hint="eastAsia" w:ascii="宋体" w:hAnsi="宋体" w:eastAsia="宋体" w:cs="宋体"/>
                      <w:color w:val="auto"/>
                      <w:sz w:val="16"/>
                      <w:szCs w:val="16"/>
                      <w:highlight w:val="none"/>
                      <w:lang w:val="en-US" w:eastAsia="zh-CN" w:bidi="ar"/>
                    </w:rPr>
                    <w:t>元大额医疗保险</w:t>
                  </w:r>
                </w:p>
              </w:tc>
            </w:tr>
            <w:tr w14:paraId="7FEC3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B45FC1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厨师</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2A22375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17D7C6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4400</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2294758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1416.76</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4CC80C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5816.76</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01F2FB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7C0229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558408.96</w:t>
                  </w:r>
                </w:p>
              </w:tc>
              <w:tc>
                <w:tcPr>
                  <w:tcW w:w="6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71F681">
                  <w:pPr>
                    <w:jc w:val="both"/>
                    <w:rPr>
                      <w:rFonts w:hint="eastAsia" w:ascii="宋体" w:hAnsi="宋体" w:eastAsia="宋体" w:cs="宋体"/>
                      <w:i w:val="0"/>
                      <w:iCs w:val="0"/>
                      <w:color w:val="auto"/>
                      <w:sz w:val="16"/>
                      <w:szCs w:val="16"/>
                      <w:highlight w:val="none"/>
                      <w:u w:val="none"/>
                    </w:rPr>
                  </w:pPr>
                </w:p>
              </w:tc>
            </w:tr>
            <w:tr w14:paraId="227A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D0DC5B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刀工</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46EABC3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4175615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3400</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6E8C030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1416.76</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3A8FCE4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4816.76</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4679145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3C0499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115602.24</w:t>
                  </w:r>
                </w:p>
              </w:tc>
              <w:tc>
                <w:tcPr>
                  <w:tcW w:w="6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19EBC5">
                  <w:pPr>
                    <w:jc w:val="both"/>
                    <w:rPr>
                      <w:rFonts w:hint="eastAsia" w:ascii="宋体" w:hAnsi="宋体" w:eastAsia="宋体" w:cs="宋体"/>
                      <w:i w:val="0"/>
                      <w:iCs w:val="0"/>
                      <w:color w:val="auto"/>
                      <w:sz w:val="16"/>
                      <w:szCs w:val="16"/>
                      <w:highlight w:val="none"/>
                      <w:u w:val="none"/>
                    </w:rPr>
                  </w:pPr>
                </w:p>
              </w:tc>
            </w:tr>
            <w:tr w14:paraId="5DFF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CEA049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面点师</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75F0927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26A15C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3400</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451A466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1416.76</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214D482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4816.76</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1377B7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03529600">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115602.24</w:t>
                  </w:r>
                </w:p>
              </w:tc>
              <w:tc>
                <w:tcPr>
                  <w:tcW w:w="6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B7E1D2">
                  <w:pPr>
                    <w:jc w:val="both"/>
                    <w:rPr>
                      <w:rFonts w:hint="eastAsia" w:ascii="宋体" w:hAnsi="宋体" w:eastAsia="宋体" w:cs="宋体"/>
                      <w:i w:val="0"/>
                      <w:iCs w:val="0"/>
                      <w:color w:val="auto"/>
                      <w:sz w:val="16"/>
                      <w:szCs w:val="16"/>
                      <w:highlight w:val="none"/>
                      <w:u w:val="none"/>
                    </w:rPr>
                  </w:pPr>
                </w:p>
              </w:tc>
            </w:tr>
            <w:tr w14:paraId="74BB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260687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接待员</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053C490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D9728D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2300</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240C76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1416.76</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4E264C1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3716.76</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621A20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291892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89202.24</w:t>
                  </w:r>
                </w:p>
              </w:tc>
              <w:tc>
                <w:tcPr>
                  <w:tcW w:w="6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88CDE5">
                  <w:pPr>
                    <w:jc w:val="both"/>
                    <w:rPr>
                      <w:rFonts w:hint="eastAsia" w:ascii="宋体" w:hAnsi="宋体" w:eastAsia="宋体" w:cs="宋体"/>
                      <w:i w:val="0"/>
                      <w:iCs w:val="0"/>
                      <w:color w:val="auto"/>
                      <w:sz w:val="16"/>
                      <w:szCs w:val="16"/>
                      <w:highlight w:val="none"/>
                      <w:u w:val="none"/>
                    </w:rPr>
                  </w:pPr>
                </w:p>
              </w:tc>
            </w:tr>
            <w:tr w14:paraId="09E8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738EFD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超市管理员</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A2DA1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72B1926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2300</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6B66D5E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1416.76</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7948C8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3716.76</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30D8B68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38C5C16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89202.24</w:t>
                  </w:r>
                </w:p>
              </w:tc>
              <w:tc>
                <w:tcPr>
                  <w:tcW w:w="6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AE2051">
                  <w:pPr>
                    <w:jc w:val="both"/>
                    <w:rPr>
                      <w:rFonts w:hint="eastAsia" w:ascii="宋体" w:hAnsi="宋体" w:eastAsia="宋体" w:cs="宋体"/>
                      <w:i w:val="0"/>
                      <w:iCs w:val="0"/>
                      <w:color w:val="auto"/>
                      <w:sz w:val="16"/>
                      <w:szCs w:val="16"/>
                      <w:highlight w:val="none"/>
                      <w:u w:val="none"/>
                    </w:rPr>
                  </w:pPr>
                </w:p>
              </w:tc>
            </w:tr>
            <w:tr w14:paraId="10CAF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7DEF40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勤杂工</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F26811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6</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6C6B9B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2200</w:t>
                  </w:r>
                </w:p>
              </w:tc>
              <w:tc>
                <w:tcPr>
                  <w:tcW w:w="1096" w:type="dxa"/>
                  <w:gridSpan w:val="3"/>
                  <w:tcBorders>
                    <w:top w:val="single" w:color="000000" w:sz="4" w:space="0"/>
                    <w:left w:val="single" w:color="000000" w:sz="4" w:space="0"/>
                    <w:bottom w:val="single" w:color="000000" w:sz="4" w:space="0"/>
                    <w:right w:val="single" w:color="000000" w:sz="4" w:space="0"/>
                  </w:tcBorders>
                  <w:noWrap w:val="0"/>
                  <w:vAlign w:val="center"/>
                </w:tcPr>
                <w:p w14:paraId="5897BCA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1416.76</w:t>
                  </w:r>
                </w:p>
              </w:tc>
              <w:tc>
                <w:tcPr>
                  <w:tcW w:w="854" w:type="dxa"/>
                  <w:gridSpan w:val="2"/>
                  <w:tcBorders>
                    <w:top w:val="single" w:color="000000" w:sz="4" w:space="0"/>
                    <w:left w:val="single" w:color="000000" w:sz="4" w:space="0"/>
                    <w:bottom w:val="single" w:color="000000" w:sz="4" w:space="0"/>
                    <w:right w:val="single" w:color="000000" w:sz="4" w:space="0"/>
                  </w:tcBorders>
                  <w:noWrap w:val="0"/>
                  <w:vAlign w:val="center"/>
                </w:tcPr>
                <w:p w14:paraId="59B1984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3616.76</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F4B228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24</w:t>
                  </w: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11469B3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520813.44</w:t>
                  </w:r>
                </w:p>
              </w:tc>
              <w:tc>
                <w:tcPr>
                  <w:tcW w:w="6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04BAB73">
                  <w:pPr>
                    <w:jc w:val="both"/>
                    <w:rPr>
                      <w:rFonts w:hint="eastAsia" w:ascii="宋体" w:hAnsi="宋体" w:eastAsia="宋体" w:cs="宋体"/>
                      <w:i w:val="0"/>
                      <w:iCs w:val="0"/>
                      <w:color w:val="auto"/>
                      <w:sz w:val="16"/>
                      <w:szCs w:val="16"/>
                      <w:highlight w:val="none"/>
                      <w:u w:val="none"/>
                    </w:rPr>
                  </w:pPr>
                </w:p>
              </w:tc>
            </w:tr>
            <w:tr w14:paraId="4D17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14:paraId="6826BAA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工资合计</w:t>
                  </w:r>
                </w:p>
              </w:tc>
              <w:tc>
                <w:tcPr>
                  <w:tcW w:w="4221" w:type="dxa"/>
                  <w:gridSpan w:val="8"/>
                  <w:tcBorders>
                    <w:top w:val="single" w:color="000000" w:sz="4" w:space="0"/>
                    <w:left w:val="single" w:color="000000" w:sz="4" w:space="0"/>
                    <w:bottom w:val="single" w:color="000000" w:sz="4" w:space="0"/>
                    <w:right w:val="single" w:color="000000" w:sz="4" w:space="0"/>
                  </w:tcBorders>
                  <w:noWrap w:val="0"/>
                  <w:vAlign w:val="center"/>
                </w:tcPr>
                <w:p w14:paraId="6AEFC10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1768035.84</w:t>
                  </w:r>
                </w:p>
              </w:tc>
              <w:tc>
                <w:tcPr>
                  <w:tcW w:w="69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727B4E">
                  <w:pPr>
                    <w:jc w:val="both"/>
                    <w:rPr>
                      <w:rFonts w:hint="eastAsia" w:ascii="宋体" w:hAnsi="宋体" w:eastAsia="宋体" w:cs="宋体"/>
                      <w:i w:val="0"/>
                      <w:iCs w:val="0"/>
                      <w:color w:val="auto"/>
                      <w:sz w:val="16"/>
                      <w:szCs w:val="16"/>
                      <w:highlight w:val="none"/>
                      <w:u w:val="none"/>
                    </w:rPr>
                  </w:pPr>
                </w:p>
              </w:tc>
            </w:tr>
            <w:tr w14:paraId="4EDF1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105" w:type="dxa"/>
                  <w:gridSpan w:val="12"/>
                  <w:tcBorders>
                    <w:top w:val="single" w:color="000000" w:sz="4" w:space="0"/>
                    <w:left w:val="single" w:color="000000" w:sz="4" w:space="0"/>
                    <w:bottom w:val="single" w:color="000000" w:sz="4" w:space="0"/>
                    <w:right w:val="single" w:color="000000" w:sz="4" w:space="0"/>
                  </w:tcBorders>
                  <w:noWrap w:val="0"/>
                  <w:vAlign w:val="center"/>
                </w:tcPr>
                <w:p w14:paraId="00FAF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二、福利费，制服费</w:t>
                  </w:r>
                </w:p>
              </w:tc>
            </w:tr>
            <w:tr w14:paraId="62CB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4E21998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3F3BE1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单价（元）</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5E71F84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人数</w:t>
                  </w:r>
                </w:p>
              </w:tc>
              <w:tc>
                <w:tcPr>
                  <w:tcW w:w="704" w:type="dxa"/>
                  <w:gridSpan w:val="2"/>
                  <w:tcBorders>
                    <w:top w:val="single" w:color="000000" w:sz="4" w:space="0"/>
                    <w:left w:val="single" w:color="000000" w:sz="4" w:space="0"/>
                    <w:bottom w:val="single" w:color="000000" w:sz="4" w:space="0"/>
                    <w:right w:val="single" w:color="000000" w:sz="4" w:space="0"/>
                  </w:tcBorders>
                  <w:noWrap w:val="0"/>
                  <w:vAlign w:val="center"/>
                </w:tcPr>
                <w:p w14:paraId="6AE6743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数量（年）</w:t>
                  </w:r>
                </w:p>
              </w:tc>
              <w:tc>
                <w:tcPr>
                  <w:tcW w:w="2836" w:type="dxa"/>
                  <w:gridSpan w:val="6"/>
                  <w:tcBorders>
                    <w:top w:val="single" w:color="000000" w:sz="4" w:space="0"/>
                    <w:left w:val="single" w:color="000000" w:sz="4" w:space="0"/>
                    <w:bottom w:val="single" w:color="000000" w:sz="4" w:space="0"/>
                    <w:right w:val="nil"/>
                  </w:tcBorders>
                  <w:noWrap w:val="0"/>
                  <w:vAlign w:val="center"/>
                </w:tcPr>
                <w:p w14:paraId="08CDB3D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合计费用（元）</w:t>
                  </w:r>
                </w:p>
              </w:tc>
              <w:tc>
                <w:tcPr>
                  <w:tcW w:w="597" w:type="dxa"/>
                  <w:tcBorders>
                    <w:top w:val="single" w:color="000000" w:sz="4" w:space="0"/>
                    <w:left w:val="single" w:color="000000" w:sz="4" w:space="0"/>
                    <w:bottom w:val="nil"/>
                    <w:right w:val="single" w:color="000000" w:sz="4" w:space="0"/>
                  </w:tcBorders>
                  <w:noWrap w:val="0"/>
                  <w:vAlign w:val="center"/>
                </w:tcPr>
                <w:p w14:paraId="72FA0BDD">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备注</w:t>
                  </w:r>
                </w:p>
              </w:tc>
            </w:tr>
            <w:tr w14:paraId="5B8B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ACFD95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福利费</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1D5EBF3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300</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3DCCF2C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704" w:type="dxa"/>
                  <w:gridSpan w:val="2"/>
                  <w:tcBorders>
                    <w:top w:val="single" w:color="000000" w:sz="4" w:space="0"/>
                    <w:left w:val="single" w:color="000000" w:sz="4" w:space="0"/>
                    <w:bottom w:val="single" w:color="000000" w:sz="4" w:space="0"/>
                    <w:right w:val="single" w:color="000000" w:sz="4" w:space="0"/>
                  </w:tcBorders>
                  <w:noWrap w:val="0"/>
                  <w:vAlign w:val="center"/>
                </w:tcPr>
                <w:p w14:paraId="78D9F9F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2836" w:type="dxa"/>
                  <w:gridSpan w:val="6"/>
                  <w:tcBorders>
                    <w:top w:val="single" w:color="000000" w:sz="4" w:space="0"/>
                    <w:left w:val="single" w:color="000000" w:sz="4" w:space="0"/>
                    <w:bottom w:val="single" w:color="000000" w:sz="4" w:space="0"/>
                    <w:right w:val="nil"/>
                  </w:tcBorders>
                  <w:noWrap w:val="0"/>
                  <w:vAlign w:val="center"/>
                </w:tcPr>
                <w:p w14:paraId="39D1E278">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9600</w:t>
                  </w:r>
                </w:p>
              </w:tc>
              <w:tc>
                <w:tcPr>
                  <w:tcW w:w="597" w:type="dxa"/>
                  <w:tcBorders>
                    <w:top w:val="single" w:color="000000" w:sz="4" w:space="0"/>
                    <w:left w:val="single" w:color="000000" w:sz="4" w:space="0"/>
                    <w:bottom w:val="nil"/>
                    <w:right w:val="single" w:color="000000" w:sz="4" w:space="0"/>
                  </w:tcBorders>
                  <w:noWrap w:val="0"/>
                  <w:vAlign w:val="center"/>
                </w:tcPr>
                <w:p w14:paraId="1F7FBA83">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春节200元、中秋100元</w:t>
                  </w:r>
                </w:p>
              </w:tc>
            </w:tr>
            <w:tr w14:paraId="3AA7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109B8ECB">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制服费</w:t>
                  </w:r>
                </w:p>
              </w:tc>
              <w:tc>
                <w:tcPr>
                  <w:tcW w:w="593" w:type="dxa"/>
                  <w:tcBorders>
                    <w:top w:val="single" w:color="000000" w:sz="4" w:space="0"/>
                    <w:left w:val="single" w:color="000000" w:sz="4" w:space="0"/>
                    <w:bottom w:val="single" w:color="000000" w:sz="4" w:space="0"/>
                    <w:right w:val="single" w:color="000000" w:sz="4" w:space="0"/>
                  </w:tcBorders>
                  <w:noWrap w:val="0"/>
                  <w:vAlign w:val="center"/>
                </w:tcPr>
                <w:p w14:paraId="591749BC">
                  <w:pPr>
                    <w:keepNext w:val="0"/>
                    <w:keepLines w:val="0"/>
                    <w:widowControl/>
                    <w:suppressLineNumbers w:val="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225</w:t>
                  </w:r>
                </w:p>
              </w:tc>
              <w:tc>
                <w:tcPr>
                  <w:tcW w:w="782" w:type="dxa"/>
                  <w:tcBorders>
                    <w:top w:val="single" w:color="000000" w:sz="4" w:space="0"/>
                    <w:left w:val="single" w:color="000000" w:sz="4" w:space="0"/>
                    <w:bottom w:val="single" w:color="000000" w:sz="4" w:space="0"/>
                    <w:right w:val="single" w:color="000000" w:sz="4" w:space="0"/>
                  </w:tcBorders>
                  <w:noWrap w:val="0"/>
                  <w:vAlign w:val="center"/>
                </w:tcPr>
                <w:p w14:paraId="0FCFFF4E">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16</w:t>
                  </w:r>
                </w:p>
              </w:tc>
              <w:tc>
                <w:tcPr>
                  <w:tcW w:w="704" w:type="dxa"/>
                  <w:gridSpan w:val="2"/>
                  <w:tcBorders>
                    <w:top w:val="single" w:color="000000" w:sz="4" w:space="0"/>
                    <w:left w:val="single" w:color="000000" w:sz="4" w:space="0"/>
                    <w:bottom w:val="single" w:color="000000" w:sz="4" w:space="0"/>
                    <w:right w:val="single" w:color="000000" w:sz="4" w:space="0"/>
                  </w:tcBorders>
                  <w:noWrap w:val="0"/>
                  <w:vAlign w:val="center"/>
                </w:tcPr>
                <w:p w14:paraId="0243D1A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2836" w:type="dxa"/>
                  <w:gridSpan w:val="6"/>
                  <w:tcBorders>
                    <w:top w:val="single" w:color="000000" w:sz="4" w:space="0"/>
                    <w:left w:val="single" w:color="000000" w:sz="4" w:space="0"/>
                    <w:bottom w:val="single" w:color="000000" w:sz="4" w:space="0"/>
                    <w:right w:val="single" w:color="000000" w:sz="4" w:space="0"/>
                  </w:tcBorders>
                  <w:noWrap w:val="0"/>
                  <w:vAlign w:val="center"/>
                </w:tcPr>
                <w:p w14:paraId="6C65065A">
                  <w:pPr>
                    <w:keepNext w:val="0"/>
                    <w:keepLines w:val="0"/>
                    <w:widowControl/>
                    <w:suppressLineNumbers w:val="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7200</w:t>
                  </w:r>
                </w:p>
              </w:tc>
              <w:tc>
                <w:tcPr>
                  <w:tcW w:w="597" w:type="dxa"/>
                  <w:tcBorders>
                    <w:top w:val="single" w:color="000000" w:sz="4" w:space="0"/>
                    <w:left w:val="nil"/>
                    <w:bottom w:val="single" w:color="000000" w:sz="4" w:space="0"/>
                    <w:right w:val="single" w:color="000000" w:sz="4" w:space="0"/>
                  </w:tcBorders>
                  <w:noWrap w:val="0"/>
                  <w:vAlign w:val="center"/>
                </w:tcPr>
                <w:p w14:paraId="62BD55F0">
                  <w:pPr>
                    <w:rPr>
                      <w:rFonts w:hint="eastAsia" w:ascii="宋体" w:hAnsi="宋体" w:eastAsia="宋体" w:cs="宋体"/>
                      <w:i w:val="0"/>
                      <w:iCs w:val="0"/>
                      <w:color w:val="auto"/>
                      <w:sz w:val="16"/>
                      <w:szCs w:val="16"/>
                      <w:highlight w:val="none"/>
                      <w:u w:val="none"/>
                    </w:rPr>
                  </w:pPr>
                </w:p>
              </w:tc>
            </w:tr>
            <w:tr w14:paraId="534E1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2372" w:type="dxa"/>
                  <w:gridSpan w:val="4"/>
                  <w:tcBorders>
                    <w:top w:val="single" w:color="000000" w:sz="4" w:space="0"/>
                    <w:left w:val="single" w:color="000000" w:sz="4" w:space="0"/>
                    <w:bottom w:val="single" w:color="000000" w:sz="4" w:space="0"/>
                    <w:right w:val="single" w:color="000000" w:sz="4" w:space="0"/>
                  </w:tcBorders>
                  <w:noWrap w:val="0"/>
                  <w:vAlign w:val="center"/>
                </w:tcPr>
                <w:p w14:paraId="09CA568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小计</w:t>
                  </w:r>
                </w:p>
              </w:tc>
              <w:tc>
                <w:tcPr>
                  <w:tcW w:w="3733" w:type="dxa"/>
                  <w:gridSpan w:val="8"/>
                  <w:tcBorders>
                    <w:top w:val="single" w:color="000000" w:sz="4" w:space="0"/>
                    <w:left w:val="single" w:color="000000" w:sz="4" w:space="0"/>
                    <w:bottom w:val="single" w:color="000000" w:sz="4" w:space="0"/>
                    <w:right w:val="single" w:color="000000" w:sz="4" w:space="0"/>
                  </w:tcBorders>
                  <w:noWrap w:val="0"/>
                  <w:vAlign w:val="center"/>
                </w:tcPr>
                <w:p w14:paraId="4B3208B0">
                  <w:pPr>
                    <w:keepNext w:val="0"/>
                    <w:keepLines w:val="0"/>
                    <w:widowControl/>
                    <w:suppressLineNumbers w:val="0"/>
                    <w:jc w:val="center"/>
                    <w:textAlignment w:val="center"/>
                    <w:rPr>
                      <w:rFonts w:hint="default" w:ascii="宋体" w:hAnsi="宋体" w:eastAsia="宋体" w:cs="宋体"/>
                      <w:i w:val="0"/>
                      <w:iCs w:val="0"/>
                      <w:color w:val="auto"/>
                      <w:sz w:val="16"/>
                      <w:szCs w:val="16"/>
                      <w:highlight w:val="none"/>
                      <w:u w:val="none"/>
                      <w:lang w:val="en-US"/>
                    </w:rPr>
                  </w:pPr>
                  <w:r>
                    <w:rPr>
                      <w:rFonts w:hint="eastAsia" w:ascii="宋体" w:hAnsi="宋体" w:eastAsia="宋体" w:cs="宋体"/>
                      <w:i w:val="0"/>
                      <w:iCs w:val="0"/>
                      <w:color w:val="auto"/>
                      <w:kern w:val="0"/>
                      <w:sz w:val="16"/>
                      <w:szCs w:val="16"/>
                      <w:highlight w:val="none"/>
                      <w:u w:val="none"/>
                      <w:lang w:val="en-US" w:eastAsia="zh-CN" w:bidi="ar"/>
                    </w:rPr>
                    <w:t>16800</w:t>
                  </w:r>
                </w:p>
              </w:tc>
            </w:tr>
            <w:tr w14:paraId="6091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105" w:type="dxa"/>
                  <w:gridSpan w:val="12"/>
                  <w:tcBorders>
                    <w:top w:val="single" w:color="000000" w:sz="4" w:space="0"/>
                    <w:left w:val="single" w:color="000000" w:sz="4" w:space="0"/>
                    <w:bottom w:val="single" w:color="000000" w:sz="4" w:space="0"/>
                    <w:right w:val="single" w:color="000000" w:sz="4" w:space="0"/>
                  </w:tcBorders>
                  <w:noWrap w:val="0"/>
                  <w:vAlign w:val="center"/>
                </w:tcPr>
                <w:p w14:paraId="458CEF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三、公司管理费</w:t>
                  </w:r>
                </w:p>
              </w:tc>
            </w:tr>
            <w:tr w14:paraId="3A850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0F3BC51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0491DBF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单价（元）</w:t>
                  </w:r>
                </w:p>
              </w:tc>
              <w:tc>
                <w:tcPr>
                  <w:tcW w:w="704" w:type="dxa"/>
                  <w:gridSpan w:val="2"/>
                  <w:tcBorders>
                    <w:top w:val="single" w:color="000000" w:sz="4" w:space="0"/>
                    <w:left w:val="single" w:color="000000" w:sz="4" w:space="0"/>
                    <w:bottom w:val="single" w:color="000000" w:sz="4" w:space="0"/>
                    <w:right w:val="single" w:color="000000" w:sz="4" w:space="0"/>
                  </w:tcBorders>
                  <w:noWrap w:val="0"/>
                  <w:vAlign w:val="center"/>
                </w:tcPr>
                <w:p w14:paraId="35188227">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数量（年）</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577040E6">
                  <w:pPr>
                    <w:keepNext w:val="0"/>
                    <w:keepLines w:val="0"/>
                    <w:widowControl/>
                    <w:suppressLineNumbers w:val="0"/>
                    <w:jc w:val="left"/>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合计费用</w:t>
                  </w:r>
                </w:p>
              </w:tc>
              <w:tc>
                <w:tcPr>
                  <w:tcW w:w="2842" w:type="dxa"/>
                  <w:gridSpan w:val="5"/>
                  <w:tcBorders>
                    <w:top w:val="single" w:color="000000" w:sz="4" w:space="0"/>
                    <w:left w:val="nil"/>
                    <w:bottom w:val="single" w:color="000000" w:sz="4" w:space="0"/>
                    <w:right w:val="single" w:color="000000" w:sz="4" w:space="0"/>
                  </w:tcBorders>
                  <w:noWrap w:val="0"/>
                  <w:vAlign w:val="center"/>
                </w:tcPr>
                <w:p w14:paraId="61DE0999">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说明</w:t>
                  </w:r>
                </w:p>
              </w:tc>
            </w:tr>
            <w:tr w14:paraId="53DAC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93" w:type="dxa"/>
                  <w:tcBorders>
                    <w:top w:val="single" w:color="000000" w:sz="4" w:space="0"/>
                    <w:left w:val="single" w:color="000000" w:sz="4" w:space="0"/>
                    <w:bottom w:val="single" w:color="000000" w:sz="4" w:space="0"/>
                    <w:right w:val="single" w:color="000000" w:sz="4" w:space="0"/>
                  </w:tcBorders>
                  <w:noWrap w:val="0"/>
                  <w:vAlign w:val="center"/>
                </w:tcPr>
                <w:p w14:paraId="281976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管理费</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40D3D06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50000</w:t>
                  </w:r>
                </w:p>
              </w:tc>
              <w:tc>
                <w:tcPr>
                  <w:tcW w:w="704" w:type="dxa"/>
                  <w:gridSpan w:val="2"/>
                  <w:tcBorders>
                    <w:top w:val="single" w:color="000000" w:sz="4" w:space="0"/>
                    <w:left w:val="single" w:color="000000" w:sz="4" w:space="0"/>
                    <w:bottom w:val="single" w:color="000000" w:sz="4" w:space="0"/>
                    <w:right w:val="single" w:color="000000" w:sz="4" w:space="0"/>
                  </w:tcBorders>
                  <w:noWrap w:val="0"/>
                  <w:vAlign w:val="center"/>
                </w:tcPr>
                <w:p w14:paraId="113CD09F">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2</w:t>
                  </w:r>
                </w:p>
              </w:tc>
              <w:tc>
                <w:tcPr>
                  <w:tcW w:w="591" w:type="dxa"/>
                  <w:gridSpan w:val="2"/>
                  <w:tcBorders>
                    <w:top w:val="single" w:color="000000" w:sz="4" w:space="0"/>
                    <w:left w:val="single" w:color="000000" w:sz="4" w:space="0"/>
                    <w:bottom w:val="single" w:color="000000" w:sz="4" w:space="0"/>
                    <w:right w:val="single" w:color="000000" w:sz="4" w:space="0"/>
                  </w:tcBorders>
                  <w:noWrap w:val="0"/>
                  <w:vAlign w:val="center"/>
                </w:tcPr>
                <w:p w14:paraId="3D080685">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100000</w:t>
                  </w:r>
                </w:p>
              </w:tc>
              <w:tc>
                <w:tcPr>
                  <w:tcW w:w="2842" w:type="dxa"/>
                  <w:gridSpan w:val="5"/>
                  <w:tcBorders>
                    <w:top w:val="single" w:color="000000" w:sz="4" w:space="0"/>
                    <w:left w:val="nil"/>
                    <w:bottom w:val="single" w:color="000000" w:sz="4" w:space="0"/>
                    <w:right w:val="single" w:color="000000" w:sz="4" w:space="0"/>
                  </w:tcBorders>
                  <w:noWrap w:val="0"/>
                  <w:vAlign w:val="center"/>
                </w:tcPr>
                <w:p w14:paraId="1F321FCF">
                  <w:pPr>
                    <w:keepNext w:val="0"/>
                    <w:keepLines w:val="0"/>
                    <w:widowControl/>
                    <w:suppressLineNumbers w:val="0"/>
                    <w:jc w:val="both"/>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经询价对比研究，根据各方出价，以最低标准5%作为管理费用预算，管理费一年预算5万元，两年共计10万元。</w:t>
                  </w:r>
                </w:p>
              </w:tc>
            </w:tr>
            <w:tr w14:paraId="3294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105" w:type="dxa"/>
                  <w:gridSpan w:val="12"/>
                  <w:tcBorders>
                    <w:top w:val="single" w:color="000000" w:sz="4" w:space="0"/>
                    <w:left w:val="single" w:color="000000" w:sz="4" w:space="0"/>
                    <w:bottom w:val="single" w:color="000000" w:sz="4" w:space="0"/>
                    <w:right w:val="single" w:color="000000" w:sz="4" w:space="0"/>
                  </w:tcBorders>
                  <w:noWrap w:val="0"/>
                  <w:vAlign w:val="center"/>
                </w:tcPr>
                <w:p w14:paraId="23B7C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四、法定税费</w:t>
                  </w:r>
                </w:p>
              </w:tc>
            </w:tr>
            <w:tr w14:paraId="3E93E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14:paraId="0ADD1A3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w:t>
                  </w:r>
                </w:p>
              </w:tc>
              <w:tc>
                <w:tcPr>
                  <w:tcW w:w="3240" w:type="dxa"/>
                  <w:gridSpan w:val="7"/>
                  <w:tcBorders>
                    <w:top w:val="single" w:color="000000" w:sz="4" w:space="0"/>
                    <w:left w:val="single" w:color="000000" w:sz="4" w:space="0"/>
                    <w:bottom w:val="single" w:color="000000" w:sz="4" w:space="0"/>
                    <w:right w:val="single" w:color="000000" w:sz="4" w:space="0"/>
                  </w:tcBorders>
                  <w:noWrap w:val="0"/>
                  <w:vAlign w:val="center"/>
                </w:tcPr>
                <w:p w14:paraId="1455BE46">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测算标准</w:t>
                  </w:r>
                </w:p>
              </w:tc>
              <w:tc>
                <w:tcPr>
                  <w:tcW w:w="1679" w:type="dxa"/>
                  <w:gridSpan w:val="3"/>
                  <w:tcBorders>
                    <w:top w:val="single" w:color="000000" w:sz="4" w:space="0"/>
                    <w:left w:val="single" w:color="000000" w:sz="4" w:space="0"/>
                    <w:bottom w:val="single" w:color="000000" w:sz="4" w:space="0"/>
                    <w:right w:val="single" w:color="000000" w:sz="4" w:space="0"/>
                  </w:tcBorders>
                  <w:noWrap w:val="0"/>
                  <w:vAlign w:val="center"/>
                </w:tcPr>
                <w:p w14:paraId="6D29825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合计费用（元）</w:t>
                  </w:r>
                </w:p>
              </w:tc>
            </w:tr>
            <w:tr w14:paraId="7213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14:paraId="44430EEA">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法定税费</w:t>
                  </w:r>
                </w:p>
              </w:tc>
              <w:tc>
                <w:tcPr>
                  <w:tcW w:w="3240" w:type="dxa"/>
                  <w:gridSpan w:val="7"/>
                  <w:tcBorders>
                    <w:top w:val="single" w:color="000000" w:sz="4" w:space="0"/>
                    <w:left w:val="single" w:color="000000" w:sz="4" w:space="0"/>
                    <w:bottom w:val="single" w:color="000000" w:sz="4" w:space="0"/>
                    <w:right w:val="single" w:color="000000" w:sz="4" w:space="0"/>
                  </w:tcBorders>
                  <w:noWrap w:val="0"/>
                  <w:vAlign w:val="center"/>
                </w:tcPr>
                <w:p w14:paraId="5947CF7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Style w:val="7"/>
                      <w:rFonts w:hint="eastAsia" w:ascii="宋体" w:hAnsi="宋体" w:eastAsia="宋体" w:cs="宋体"/>
                      <w:color w:val="auto"/>
                      <w:sz w:val="16"/>
                      <w:szCs w:val="16"/>
                      <w:highlight w:val="none"/>
                      <w:lang w:val="en-US" w:eastAsia="zh-CN" w:bidi="ar"/>
                    </w:rPr>
                    <w:t>以上一至三费用合计×</w:t>
                  </w:r>
                  <w:r>
                    <w:rPr>
                      <w:rStyle w:val="8"/>
                      <w:rFonts w:hint="eastAsia" w:ascii="宋体" w:hAnsi="宋体" w:eastAsia="宋体" w:cs="宋体"/>
                      <w:color w:val="auto"/>
                      <w:sz w:val="16"/>
                      <w:szCs w:val="16"/>
                      <w:highlight w:val="none"/>
                      <w:lang w:val="en-US" w:eastAsia="zh-CN" w:bidi="ar"/>
                    </w:rPr>
                    <w:t>6%</w:t>
                  </w:r>
                </w:p>
              </w:tc>
              <w:tc>
                <w:tcPr>
                  <w:tcW w:w="1679" w:type="dxa"/>
                  <w:gridSpan w:val="3"/>
                  <w:tcBorders>
                    <w:top w:val="single" w:color="000000" w:sz="4" w:space="0"/>
                    <w:left w:val="single" w:color="000000" w:sz="4" w:space="0"/>
                    <w:bottom w:val="single" w:color="000000" w:sz="4" w:space="0"/>
                    <w:right w:val="single" w:color="000000" w:sz="4" w:space="0"/>
                  </w:tcBorders>
                  <w:noWrap w:val="0"/>
                  <w:vAlign w:val="center"/>
                </w:tcPr>
                <w:p w14:paraId="3A227E5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113090.1504</w:t>
                  </w:r>
                </w:p>
              </w:tc>
            </w:tr>
            <w:tr w14:paraId="597D2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105" w:type="dxa"/>
                  <w:gridSpan w:val="12"/>
                  <w:tcBorders>
                    <w:top w:val="single" w:color="000000" w:sz="4" w:space="0"/>
                    <w:left w:val="single" w:color="000000" w:sz="4" w:space="0"/>
                    <w:bottom w:val="single" w:color="000000" w:sz="4" w:space="0"/>
                    <w:right w:val="single" w:color="000000" w:sz="4" w:space="0"/>
                  </w:tcBorders>
                  <w:noWrap w:val="0"/>
                  <w:vAlign w:val="center"/>
                </w:tcPr>
                <w:p w14:paraId="2962B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五、管理服务费合计</w:t>
                  </w:r>
                </w:p>
              </w:tc>
            </w:tr>
            <w:tr w14:paraId="360D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14:paraId="03C7E2A1">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项目</w:t>
                  </w:r>
                </w:p>
              </w:tc>
              <w:tc>
                <w:tcPr>
                  <w:tcW w:w="3240" w:type="dxa"/>
                  <w:gridSpan w:val="7"/>
                  <w:tcBorders>
                    <w:top w:val="single" w:color="000000" w:sz="4" w:space="0"/>
                    <w:left w:val="single" w:color="000000" w:sz="4" w:space="0"/>
                    <w:bottom w:val="single" w:color="000000" w:sz="4" w:space="0"/>
                    <w:right w:val="single" w:color="000000" w:sz="4" w:space="0"/>
                  </w:tcBorders>
                  <w:noWrap w:val="0"/>
                  <w:vAlign w:val="center"/>
                </w:tcPr>
                <w:p w14:paraId="0206F3F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测算标准</w:t>
                  </w:r>
                </w:p>
              </w:tc>
              <w:tc>
                <w:tcPr>
                  <w:tcW w:w="1679" w:type="dxa"/>
                  <w:gridSpan w:val="3"/>
                  <w:tcBorders>
                    <w:top w:val="single" w:color="000000" w:sz="4" w:space="0"/>
                    <w:left w:val="single" w:color="000000" w:sz="4" w:space="0"/>
                    <w:bottom w:val="single" w:color="000000" w:sz="4" w:space="0"/>
                    <w:right w:val="single" w:color="000000" w:sz="4" w:space="0"/>
                  </w:tcBorders>
                  <w:noWrap w:val="0"/>
                  <w:vAlign w:val="center"/>
                </w:tcPr>
                <w:p w14:paraId="5FB0431C">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合计费用</w:t>
                  </w:r>
                </w:p>
              </w:tc>
            </w:tr>
            <w:tr w14:paraId="3E072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14:paraId="5EF014D3">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服务费</w:t>
                  </w:r>
                </w:p>
              </w:tc>
              <w:tc>
                <w:tcPr>
                  <w:tcW w:w="3240" w:type="dxa"/>
                  <w:gridSpan w:val="7"/>
                  <w:tcBorders>
                    <w:top w:val="single" w:color="000000" w:sz="4" w:space="0"/>
                    <w:left w:val="single" w:color="000000" w:sz="4" w:space="0"/>
                    <w:bottom w:val="single" w:color="000000" w:sz="4" w:space="0"/>
                    <w:right w:val="single" w:color="000000" w:sz="4" w:space="0"/>
                  </w:tcBorders>
                  <w:noWrap w:val="0"/>
                  <w:vAlign w:val="center"/>
                </w:tcPr>
                <w:p w14:paraId="22F9D0F4">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以上一至四项费用合计</w:t>
                  </w:r>
                </w:p>
              </w:tc>
              <w:tc>
                <w:tcPr>
                  <w:tcW w:w="1679" w:type="dxa"/>
                  <w:gridSpan w:val="3"/>
                  <w:tcBorders>
                    <w:top w:val="single" w:color="000000" w:sz="4" w:space="0"/>
                    <w:left w:val="single" w:color="000000" w:sz="4" w:space="0"/>
                    <w:bottom w:val="single" w:color="000000" w:sz="4" w:space="0"/>
                    <w:right w:val="single" w:color="000000" w:sz="4" w:space="0"/>
                  </w:tcBorders>
                  <w:noWrap w:val="0"/>
                  <w:vAlign w:val="center"/>
                </w:tcPr>
                <w:p w14:paraId="556C2622">
                  <w:pPr>
                    <w:keepNext w:val="0"/>
                    <w:keepLines w:val="0"/>
                    <w:widowControl/>
                    <w:suppressLineNumbers w:val="0"/>
                    <w:jc w:val="center"/>
                    <w:textAlignment w:val="center"/>
                    <w:rPr>
                      <w:rFonts w:hint="eastAsia" w:ascii="宋体" w:hAnsi="宋体" w:eastAsia="宋体" w:cs="宋体"/>
                      <w:i w:val="0"/>
                      <w:iCs w:val="0"/>
                      <w:color w:val="auto"/>
                      <w:sz w:val="16"/>
                      <w:szCs w:val="16"/>
                      <w:highlight w:val="none"/>
                      <w:u w:val="none"/>
                    </w:rPr>
                  </w:pPr>
                  <w:r>
                    <w:rPr>
                      <w:rFonts w:hint="eastAsia" w:ascii="宋体" w:hAnsi="宋体" w:eastAsia="宋体" w:cs="宋体"/>
                      <w:i w:val="0"/>
                      <w:iCs w:val="0"/>
                      <w:color w:val="auto"/>
                      <w:kern w:val="0"/>
                      <w:sz w:val="16"/>
                      <w:szCs w:val="16"/>
                      <w:highlight w:val="none"/>
                      <w:u w:val="none"/>
                      <w:lang w:val="en-US" w:eastAsia="zh-CN" w:bidi="ar"/>
                    </w:rPr>
                    <w:t>1997925.99</w:t>
                  </w:r>
                </w:p>
              </w:tc>
            </w:tr>
          </w:tbl>
          <w:p w14:paraId="067BD937">
            <w:pPr>
              <w:spacing w:line="360" w:lineRule="auto"/>
              <w:rPr>
                <w:rFonts w:hint="eastAsia" w:ascii="宋体" w:hAnsi="宋体"/>
                <w:color w:val="auto"/>
                <w:szCs w:val="21"/>
                <w:highlight w:val="none"/>
              </w:rPr>
            </w:pPr>
            <w:r>
              <w:rPr>
                <w:rFonts w:hint="eastAsia" w:ascii="宋体" w:hAnsi="宋体"/>
                <w:b/>
                <w:color w:val="auto"/>
                <w:szCs w:val="21"/>
                <w:highlight w:val="none"/>
              </w:rPr>
              <w:t>七、设备设施投入要求：</w:t>
            </w:r>
            <w:r>
              <w:rPr>
                <w:rFonts w:hint="eastAsia" w:ascii="宋体" w:hAnsi="宋体" w:cs="宋体"/>
                <w:bCs/>
                <w:color w:val="auto"/>
                <w:szCs w:val="21"/>
                <w:highlight w:val="none"/>
              </w:rPr>
              <w:t>服务期间，</w:t>
            </w:r>
            <w:r>
              <w:rPr>
                <w:rFonts w:hint="eastAsia" w:ascii="宋体" w:hAnsi="宋体"/>
                <w:color w:val="auto"/>
                <w:szCs w:val="21"/>
                <w:highlight w:val="none"/>
              </w:rPr>
              <w:t>由采购人提供场地和原有的</w:t>
            </w:r>
            <w:r>
              <w:rPr>
                <w:rFonts w:hint="eastAsia" w:ascii="宋体" w:hAnsi="宋体" w:cs="宋体"/>
                <w:bCs/>
                <w:color w:val="auto"/>
                <w:szCs w:val="21"/>
                <w:highlight w:val="none"/>
              </w:rPr>
              <w:t>设备设施（包括：炉具、厨房厨具、餐具、售卖台、点餐、刷卡售卖系统）</w:t>
            </w:r>
            <w:r>
              <w:rPr>
                <w:rFonts w:hint="eastAsia" w:ascii="宋体" w:hAnsi="宋体"/>
                <w:color w:val="auto"/>
                <w:szCs w:val="21"/>
                <w:highlight w:val="none"/>
              </w:rPr>
              <w:t>供</w:t>
            </w:r>
            <w:r>
              <w:rPr>
                <w:rFonts w:hint="eastAsia" w:ascii="宋体" w:hAnsi="宋体"/>
                <w:color w:val="auto"/>
                <w:szCs w:val="21"/>
                <w:highlight w:val="none"/>
                <w:lang w:eastAsia="zh-CN"/>
              </w:rPr>
              <w:t>供应商</w:t>
            </w:r>
            <w:r>
              <w:rPr>
                <w:rFonts w:hint="eastAsia" w:ascii="宋体" w:hAnsi="宋体"/>
                <w:color w:val="auto"/>
                <w:szCs w:val="21"/>
                <w:highlight w:val="none"/>
              </w:rPr>
              <w:t>使用。</w:t>
            </w:r>
            <w:r>
              <w:rPr>
                <w:rFonts w:hint="eastAsia" w:ascii="宋体" w:hAnsi="宋体"/>
                <w:color w:val="auto"/>
                <w:szCs w:val="21"/>
                <w:highlight w:val="none"/>
                <w:lang w:eastAsia="zh-CN"/>
              </w:rPr>
              <w:t>供应商</w:t>
            </w:r>
            <w:r>
              <w:rPr>
                <w:rFonts w:hint="eastAsia" w:ascii="宋体" w:hAnsi="宋体"/>
                <w:color w:val="auto"/>
                <w:szCs w:val="21"/>
                <w:highlight w:val="none"/>
              </w:rPr>
              <w:t>进场服务前，须对采购人提供的交接清单进行确认，如认为交接清单中的原有物品数量不足或存在无法使用的情况，</w:t>
            </w:r>
            <w:r>
              <w:rPr>
                <w:rFonts w:hint="eastAsia" w:ascii="宋体" w:hAnsi="宋体"/>
                <w:color w:val="auto"/>
                <w:szCs w:val="21"/>
                <w:highlight w:val="none"/>
                <w:lang w:eastAsia="zh-CN"/>
              </w:rPr>
              <w:t>供应商</w:t>
            </w:r>
            <w:r>
              <w:rPr>
                <w:rFonts w:hint="eastAsia" w:ascii="宋体" w:hAnsi="宋体"/>
                <w:color w:val="auto"/>
                <w:szCs w:val="21"/>
                <w:highlight w:val="none"/>
              </w:rPr>
              <w:t>可向采购人提出书面申请，下一年度的物品申请则在第一个年度服务期限结束前15日内向采购人提出，采购人对</w:t>
            </w:r>
            <w:r>
              <w:rPr>
                <w:rFonts w:hint="eastAsia" w:ascii="宋体" w:hAnsi="宋体"/>
                <w:color w:val="auto"/>
                <w:szCs w:val="21"/>
                <w:highlight w:val="none"/>
                <w:lang w:eastAsia="zh-CN"/>
              </w:rPr>
              <w:t>供应商</w:t>
            </w:r>
            <w:r>
              <w:rPr>
                <w:rFonts w:hint="eastAsia" w:ascii="宋体" w:hAnsi="宋体"/>
                <w:color w:val="auto"/>
                <w:szCs w:val="21"/>
                <w:highlight w:val="none"/>
              </w:rPr>
              <w:t>提出的物品申请进行核实后，</w:t>
            </w:r>
            <w:r>
              <w:rPr>
                <w:rFonts w:hint="eastAsia" w:ascii="宋体" w:hAnsi="宋体"/>
                <w:color w:val="auto"/>
                <w:szCs w:val="21"/>
                <w:highlight w:val="none"/>
                <w:lang w:val="en-US" w:eastAsia="zh-CN"/>
              </w:rPr>
              <w:t>根据实际情况</w:t>
            </w:r>
            <w:r>
              <w:rPr>
                <w:rFonts w:hint="eastAsia" w:ascii="宋体" w:hAnsi="宋体"/>
                <w:color w:val="auto"/>
                <w:szCs w:val="21"/>
                <w:highlight w:val="none"/>
              </w:rPr>
              <w:t>在本年度服务期内进行相应的补足。除上述内容外，服务期内采购人不再提供其他设备设施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如有不足的，由供应商自行投入</w:t>
            </w:r>
            <w:r>
              <w:rPr>
                <w:rFonts w:hint="eastAsia" w:ascii="宋体" w:hAnsi="宋体"/>
                <w:color w:val="auto"/>
                <w:szCs w:val="21"/>
                <w:highlight w:val="none"/>
              </w:rPr>
              <w:t>。</w:t>
            </w:r>
          </w:p>
          <w:p w14:paraId="52BB15E9">
            <w:pPr>
              <w:spacing w:line="360" w:lineRule="auto"/>
              <w:rPr>
                <w:rFonts w:hint="eastAsia" w:ascii="宋体" w:hAnsi="宋体"/>
                <w:color w:val="auto"/>
                <w:szCs w:val="21"/>
                <w:highlight w:val="none"/>
              </w:rPr>
            </w:pPr>
            <w:r>
              <w:rPr>
                <w:rFonts w:hint="eastAsia" w:ascii="宋体" w:hAnsi="宋体"/>
                <w:b/>
                <w:color w:val="auto"/>
                <w:szCs w:val="21"/>
                <w:highlight w:val="none"/>
              </w:rPr>
              <w:t>八、管理期间的相关费用</w:t>
            </w:r>
          </w:p>
          <w:p w14:paraId="116289FB">
            <w:pPr>
              <w:spacing w:line="360" w:lineRule="auto"/>
              <w:rPr>
                <w:rFonts w:ascii="宋体" w:hAnsi="宋体"/>
                <w:color w:val="auto"/>
                <w:szCs w:val="21"/>
                <w:highlight w:val="none"/>
              </w:rPr>
            </w:pPr>
            <w:r>
              <w:rPr>
                <w:rFonts w:hint="eastAsia" w:ascii="宋体" w:hAnsi="宋体"/>
                <w:color w:val="auto"/>
                <w:szCs w:val="21"/>
                <w:highlight w:val="none"/>
              </w:rPr>
              <w:t>1、服务期间的</w:t>
            </w:r>
            <w:r>
              <w:rPr>
                <w:rFonts w:hint="eastAsia" w:ascii="宋体" w:hAnsi="宋体" w:cs="宋体"/>
                <w:bCs/>
                <w:color w:val="auto"/>
                <w:szCs w:val="21"/>
                <w:highlight w:val="none"/>
              </w:rPr>
              <w:t>水费、电费、燃气费、办公区域房屋及配套设施设备的大修费用</w:t>
            </w:r>
            <w:r>
              <w:rPr>
                <w:rFonts w:hint="eastAsia" w:ascii="宋体" w:hAnsi="宋体" w:cs="宋体"/>
                <w:bCs/>
                <w:color w:val="auto"/>
                <w:szCs w:val="21"/>
                <w:highlight w:val="none"/>
                <w:lang w:eastAsia="zh-CN"/>
              </w:rPr>
              <w:t>（</w:t>
            </w:r>
            <w:r>
              <w:rPr>
                <w:rFonts w:hint="eastAsia" w:ascii="宋体" w:hAnsi="宋体" w:cs="宋体"/>
                <w:bCs/>
                <w:color w:val="auto"/>
                <w:szCs w:val="21"/>
                <w:highlight w:val="none"/>
                <w:lang w:val="en-US" w:eastAsia="zh-CN"/>
              </w:rPr>
              <w:t>但因供应商人员故意损坏或重大过失损坏的，由供应负责维修）</w:t>
            </w:r>
            <w:r>
              <w:rPr>
                <w:rFonts w:hint="eastAsia" w:ascii="宋体" w:hAnsi="宋体" w:cs="宋体"/>
                <w:bCs/>
                <w:color w:val="auto"/>
                <w:szCs w:val="21"/>
                <w:highlight w:val="none"/>
              </w:rPr>
              <w:t>由采购人负责；</w:t>
            </w:r>
            <w:r>
              <w:rPr>
                <w:rFonts w:hint="eastAsia" w:ascii="宋体" w:hAnsi="宋体"/>
                <w:color w:val="auto"/>
                <w:szCs w:val="21"/>
                <w:highlight w:val="none"/>
              </w:rPr>
              <w:t>员工工资、社保、福利、员工食宿费用、员工服装费用、技术服务费、所需所有的原材料、食堂物料消耗品（如洗洁剂、纸巾、牙签等）、须增添的厨房设备（除由</w:t>
            </w:r>
            <w:r>
              <w:rPr>
                <w:rFonts w:hint="eastAsia" w:ascii="宋体" w:hAnsi="宋体"/>
                <w:color w:val="auto"/>
                <w:szCs w:val="21"/>
                <w:highlight w:val="none"/>
                <w:lang w:val="en-US" w:eastAsia="zh-CN"/>
              </w:rPr>
              <w:t>供应商</w:t>
            </w:r>
            <w:r>
              <w:rPr>
                <w:rFonts w:hint="eastAsia" w:ascii="宋体" w:hAnsi="宋体"/>
                <w:color w:val="auto"/>
                <w:szCs w:val="21"/>
                <w:highlight w:val="none"/>
              </w:rPr>
              <w:t>提出申请后经采购人另行补足的设备外）及其他一切不可预见的费用等由</w:t>
            </w:r>
            <w:r>
              <w:rPr>
                <w:rFonts w:hint="eastAsia" w:ascii="宋体" w:hAnsi="宋体"/>
                <w:color w:val="auto"/>
                <w:szCs w:val="21"/>
                <w:highlight w:val="none"/>
                <w:lang w:val="en-US" w:eastAsia="zh-CN"/>
              </w:rPr>
              <w:t>供应商</w:t>
            </w:r>
            <w:r>
              <w:rPr>
                <w:rFonts w:hint="eastAsia" w:ascii="宋体" w:hAnsi="宋体"/>
                <w:color w:val="auto"/>
                <w:szCs w:val="21"/>
                <w:highlight w:val="none"/>
              </w:rPr>
              <w:t>支付，</w:t>
            </w:r>
            <w:r>
              <w:rPr>
                <w:rFonts w:hint="eastAsia" w:ascii="宋体" w:hAnsi="宋体"/>
                <w:color w:val="auto"/>
                <w:szCs w:val="21"/>
                <w:highlight w:val="none"/>
                <w:lang w:val="en-US" w:eastAsia="zh-CN"/>
              </w:rPr>
              <w:t>如有逾期的</w:t>
            </w:r>
            <w:r>
              <w:rPr>
                <w:rFonts w:hint="eastAsia" w:ascii="宋体" w:hAnsi="宋体"/>
                <w:color w:val="auto"/>
                <w:szCs w:val="21"/>
                <w:highlight w:val="none"/>
              </w:rPr>
              <w:t>由</w:t>
            </w:r>
            <w:r>
              <w:rPr>
                <w:rFonts w:hint="eastAsia" w:ascii="宋体" w:hAnsi="宋体"/>
                <w:color w:val="auto"/>
                <w:szCs w:val="21"/>
                <w:highlight w:val="none"/>
                <w:lang w:val="en-US" w:eastAsia="zh-CN"/>
              </w:rPr>
              <w:t>供应商自行</w:t>
            </w:r>
            <w:r>
              <w:rPr>
                <w:rFonts w:hint="eastAsia" w:ascii="宋体" w:hAnsi="宋体"/>
                <w:color w:val="auto"/>
                <w:szCs w:val="21"/>
                <w:highlight w:val="none"/>
              </w:rPr>
              <w:t>承担延期付款的违约责任。</w:t>
            </w:r>
          </w:p>
          <w:p w14:paraId="7350E711">
            <w:pPr>
              <w:spacing w:line="360" w:lineRule="auto"/>
              <w:rPr>
                <w:rFonts w:ascii="宋体" w:hAnsi="宋体"/>
                <w:color w:val="auto"/>
                <w:szCs w:val="21"/>
                <w:highlight w:val="none"/>
              </w:rPr>
            </w:pPr>
            <w:r>
              <w:rPr>
                <w:rFonts w:hint="eastAsia" w:ascii="宋体" w:hAnsi="宋体"/>
                <w:color w:val="auto"/>
                <w:szCs w:val="21"/>
                <w:highlight w:val="none"/>
              </w:rPr>
              <w:t>2、食品经营许可证的办证费、年审费、评级费及食堂员工健康证的办证费，培训费等由</w:t>
            </w:r>
            <w:r>
              <w:rPr>
                <w:rFonts w:hint="eastAsia" w:ascii="宋体" w:hAnsi="宋体"/>
                <w:color w:val="auto"/>
                <w:szCs w:val="21"/>
                <w:highlight w:val="none"/>
                <w:lang w:val="en-US" w:eastAsia="zh-CN"/>
              </w:rPr>
              <w:t>供应商自行承担</w:t>
            </w:r>
            <w:r>
              <w:rPr>
                <w:rFonts w:hint="eastAsia" w:ascii="宋体" w:hAnsi="宋体"/>
                <w:color w:val="auto"/>
                <w:szCs w:val="21"/>
                <w:highlight w:val="none"/>
              </w:rPr>
              <w:t>。</w:t>
            </w:r>
          </w:p>
          <w:p w14:paraId="26E5C291">
            <w:pPr>
              <w:spacing w:line="360" w:lineRule="auto"/>
              <w:rPr>
                <w:rFonts w:ascii="宋体" w:hAnsi="宋体"/>
                <w:color w:val="auto"/>
                <w:szCs w:val="21"/>
                <w:highlight w:val="none"/>
              </w:rPr>
            </w:pPr>
            <w:r>
              <w:rPr>
                <w:rFonts w:hint="eastAsia" w:ascii="宋体" w:hAnsi="宋体"/>
                <w:color w:val="auto"/>
                <w:szCs w:val="21"/>
                <w:highlight w:val="none"/>
              </w:rPr>
              <w:t>3、涉及食堂的其他未明确的费用由</w:t>
            </w:r>
            <w:r>
              <w:rPr>
                <w:rFonts w:hint="eastAsia" w:ascii="宋体" w:hAnsi="宋体"/>
                <w:color w:val="auto"/>
                <w:szCs w:val="21"/>
                <w:highlight w:val="none"/>
                <w:lang w:val="en-US" w:eastAsia="zh-CN"/>
              </w:rPr>
              <w:t>供应商</w:t>
            </w:r>
            <w:r>
              <w:rPr>
                <w:rFonts w:hint="eastAsia" w:ascii="宋体" w:hAnsi="宋体"/>
                <w:color w:val="auto"/>
                <w:szCs w:val="21"/>
                <w:highlight w:val="none"/>
              </w:rPr>
              <w:t>负责。</w:t>
            </w:r>
          </w:p>
          <w:p w14:paraId="3E969150">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4、</w:t>
            </w:r>
            <w:r>
              <w:rPr>
                <w:rFonts w:hint="eastAsia" w:ascii="宋体" w:hAnsi="宋体"/>
                <w:color w:val="auto"/>
                <w:szCs w:val="21"/>
                <w:highlight w:val="none"/>
                <w:lang w:val="en-US" w:eastAsia="zh-CN"/>
              </w:rPr>
              <w:t>供应商</w:t>
            </w:r>
            <w:r>
              <w:rPr>
                <w:rFonts w:hint="eastAsia" w:ascii="宋体" w:hAnsi="宋体"/>
                <w:color w:val="auto"/>
                <w:szCs w:val="21"/>
                <w:highlight w:val="none"/>
              </w:rPr>
              <w:t>负责为所有食堂工作人员购买包含工伤险种的社保。（所有食堂工作人员发生工伤、</w:t>
            </w:r>
            <w:r>
              <w:rPr>
                <w:rFonts w:hint="eastAsia" w:ascii="宋体" w:hAnsi="宋体"/>
                <w:color w:val="auto"/>
                <w:szCs w:val="21"/>
                <w:highlight w:val="none"/>
                <w:lang w:val="en-US" w:eastAsia="zh-CN"/>
              </w:rPr>
              <w:t>意外事故、</w:t>
            </w:r>
            <w:r>
              <w:rPr>
                <w:rFonts w:hint="eastAsia" w:ascii="宋体" w:hAnsi="宋体"/>
                <w:color w:val="auto"/>
                <w:szCs w:val="21"/>
                <w:highlight w:val="none"/>
              </w:rPr>
              <w:t>劳动纠纷</w:t>
            </w:r>
            <w:r>
              <w:rPr>
                <w:rFonts w:hint="eastAsia" w:ascii="宋体" w:hAnsi="宋体"/>
                <w:color w:val="auto"/>
                <w:szCs w:val="21"/>
                <w:highlight w:val="none"/>
                <w:lang w:val="en-US" w:eastAsia="zh-CN"/>
              </w:rPr>
              <w:t>等均</w:t>
            </w:r>
            <w:r>
              <w:rPr>
                <w:rFonts w:hint="eastAsia" w:ascii="宋体" w:hAnsi="宋体"/>
                <w:color w:val="auto"/>
                <w:szCs w:val="21"/>
                <w:highlight w:val="none"/>
              </w:rPr>
              <w:t>由</w:t>
            </w:r>
            <w:r>
              <w:rPr>
                <w:rFonts w:hint="eastAsia" w:ascii="宋体" w:hAnsi="宋体"/>
                <w:color w:val="auto"/>
                <w:szCs w:val="21"/>
                <w:highlight w:val="none"/>
                <w:lang w:val="en-US" w:eastAsia="zh-CN"/>
              </w:rPr>
              <w:t>供应商</w:t>
            </w:r>
            <w:r>
              <w:rPr>
                <w:rFonts w:hint="eastAsia" w:ascii="宋体" w:hAnsi="宋体"/>
                <w:color w:val="auto"/>
                <w:szCs w:val="21"/>
                <w:highlight w:val="none"/>
              </w:rPr>
              <w:t>负责，</w:t>
            </w:r>
            <w:r>
              <w:rPr>
                <w:rFonts w:hint="eastAsia" w:ascii="宋体" w:hAnsi="宋体"/>
                <w:color w:val="auto"/>
                <w:szCs w:val="21"/>
                <w:highlight w:val="none"/>
                <w:lang w:val="en-US" w:eastAsia="zh-CN"/>
              </w:rPr>
              <w:t>供应商</w:t>
            </w:r>
            <w:r>
              <w:rPr>
                <w:rFonts w:hint="eastAsia" w:ascii="宋体" w:hAnsi="宋体"/>
                <w:color w:val="auto"/>
                <w:szCs w:val="21"/>
                <w:highlight w:val="none"/>
              </w:rPr>
              <w:t>应对工作人员进行安全培训）</w:t>
            </w:r>
            <w:r>
              <w:rPr>
                <w:rFonts w:hint="eastAsia" w:ascii="宋体" w:hAnsi="宋体"/>
                <w:color w:val="auto"/>
                <w:szCs w:val="21"/>
                <w:highlight w:val="none"/>
                <w:lang w:eastAsia="zh-CN"/>
              </w:rPr>
              <w:t>。</w:t>
            </w:r>
          </w:p>
          <w:p w14:paraId="7AB59E7C">
            <w:pPr>
              <w:spacing w:line="360" w:lineRule="auto"/>
              <w:rPr>
                <w:rFonts w:hint="eastAsia" w:ascii="宋体" w:hAnsi="宋体"/>
                <w:b/>
                <w:color w:val="auto"/>
                <w:szCs w:val="21"/>
                <w:highlight w:val="none"/>
              </w:rPr>
            </w:pPr>
            <w:r>
              <w:rPr>
                <w:rFonts w:hint="eastAsia" w:ascii="宋体" w:hAnsi="宋体"/>
                <w:b/>
                <w:color w:val="auto"/>
                <w:szCs w:val="21"/>
                <w:highlight w:val="none"/>
              </w:rPr>
              <w:t>九、工作要求</w:t>
            </w:r>
          </w:p>
          <w:p w14:paraId="369762CE">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供应商</w:t>
            </w:r>
            <w:r>
              <w:rPr>
                <w:rFonts w:hint="eastAsia" w:ascii="宋体" w:hAnsi="宋体"/>
                <w:color w:val="auto"/>
                <w:szCs w:val="21"/>
                <w:highlight w:val="none"/>
              </w:rPr>
              <w:t>承诺成交后，在正式进场服务前在本项目服务地点按有关规定办理</w:t>
            </w:r>
            <w:r>
              <w:rPr>
                <w:rFonts w:hint="eastAsia" w:ascii="宋体" w:hAnsi="宋体"/>
                <w:color w:val="auto"/>
                <w:szCs w:val="21"/>
                <w:highlight w:val="none"/>
                <w:lang w:val="en-US" w:eastAsia="zh-CN"/>
              </w:rPr>
              <w:t>新</w:t>
            </w:r>
            <w:r>
              <w:rPr>
                <w:rFonts w:hint="eastAsia" w:ascii="宋体" w:hAnsi="宋体"/>
                <w:color w:val="auto"/>
                <w:szCs w:val="21"/>
                <w:highlight w:val="none"/>
              </w:rPr>
              <w:t>的《食品经营许可证》。</w:t>
            </w:r>
          </w:p>
          <w:p w14:paraId="49F8DB68">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供应商</w:t>
            </w:r>
            <w:r>
              <w:rPr>
                <w:rFonts w:hint="eastAsia" w:ascii="宋体" w:hAnsi="宋体"/>
                <w:color w:val="auto"/>
                <w:szCs w:val="21"/>
                <w:highlight w:val="none"/>
              </w:rPr>
              <w:t>制定有完整的管理制度、完善的员工培训制度、完善的考核奖惩制度，根据食堂规范要求建立各类管理台账，制定各类应急方案，根据采购人要求参加各类活动及出席有关会议，按采购人要求每月对采购物品价格及每月食堂消费总额进行公示，按要求做好员工劳务合同、工资表、食材检验检疫证明、合格证书、食堂规范管理相关台账，随时提供给采购人检查。</w:t>
            </w:r>
          </w:p>
          <w:p w14:paraId="580492D6">
            <w:pPr>
              <w:spacing w:line="360" w:lineRule="auto"/>
              <w:rPr>
                <w:rFonts w:hint="eastAsia" w:ascii="宋体" w:hAnsi="宋体"/>
                <w:color w:val="auto"/>
                <w:szCs w:val="21"/>
                <w:highlight w:val="none"/>
              </w:rPr>
            </w:pPr>
            <w:r>
              <w:rPr>
                <w:rFonts w:hint="eastAsia" w:ascii="宋体" w:hAnsi="宋体"/>
                <w:color w:val="auto"/>
                <w:szCs w:val="21"/>
                <w:highlight w:val="none"/>
              </w:rPr>
              <w:t>3、坚持“服务第一”宗旨，按采购人规定时间为就餐人员提供优质服务，不得提前或延迟开饭时间（如遇特殊情况须征得采购人同意），做到文明待人、热情服务。</w:t>
            </w:r>
          </w:p>
          <w:p w14:paraId="61FB5FB5">
            <w:pPr>
              <w:spacing w:line="360" w:lineRule="auto"/>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供应商</w:t>
            </w:r>
            <w:r>
              <w:rPr>
                <w:rFonts w:hint="eastAsia" w:ascii="宋体" w:hAnsi="宋体"/>
                <w:color w:val="auto"/>
                <w:szCs w:val="21"/>
                <w:highlight w:val="none"/>
              </w:rPr>
              <w:t>按国家食堂和饮食行业的有关规定，按照GB 31654-2021《食品安全国家标准 餐饮服务通用卫生规范》的管理标准进行管理。</w:t>
            </w:r>
            <w:r>
              <w:rPr>
                <w:rFonts w:hint="eastAsia" w:ascii="宋体" w:hAnsi="宋体"/>
                <w:bCs/>
                <w:color w:val="auto"/>
                <w:szCs w:val="21"/>
                <w:highlight w:val="none"/>
              </w:rPr>
              <w:t>严格遵守《中华人民共和国食品安全法》，并确保销售食品的安全性，建立餐品留样制度，建立健全食品安全管理制度；建立失误中毒和其他食物性疾患等突发事件的报告和应急处理机制。</w:t>
            </w:r>
          </w:p>
          <w:p w14:paraId="372A0D2E">
            <w:pPr>
              <w:spacing w:line="360" w:lineRule="auto"/>
              <w:rPr>
                <w:rFonts w:ascii="宋体" w:hAnsi="宋体"/>
                <w:color w:val="auto"/>
                <w:szCs w:val="21"/>
                <w:highlight w:val="none"/>
              </w:rPr>
            </w:pPr>
            <w:r>
              <w:rPr>
                <w:rFonts w:hint="eastAsia" w:ascii="宋体" w:hAnsi="宋体"/>
                <w:color w:val="auto"/>
                <w:szCs w:val="21"/>
                <w:highlight w:val="none"/>
              </w:rPr>
              <w:t>5、计划每天食品、菜品用量、严格检查食品、菜品，严禁经营腐烂变质的食品。</w:t>
            </w:r>
            <w:r>
              <w:rPr>
                <w:rFonts w:hint="eastAsia" w:ascii="宋体" w:hAnsi="宋体"/>
                <w:color w:val="auto"/>
                <w:szCs w:val="21"/>
                <w:highlight w:val="none"/>
                <w:lang w:eastAsia="zh-CN"/>
              </w:rPr>
              <w:t>供应商</w:t>
            </w:r>
            <w:r>
              <w:rPr>
                <w:rFonts w:hint="eastAsia" w:ascii="宋体" w:hAnsi="宋体"/>
                <w:color w:val="auto"/>
                <w:szCs w:val="21"/>
                <w:highlight w:val="none"/>
              </w:rPr>
              <w:t>所采购的必须为新鲜食品。</w:t>
            </w:r>
          </w:p>
          <w:p w14:paraId="166B611B">
            <w:pPr>
              <w:spacing w:line="360" w:lineRule="auto"/>
              <w:rPr>
                <w:rFonts w:hint="eastAsia" w:ascii="宋体" w:hAnsi="宋体"/>
                <w:color w:val="auto"/>
                <w:szCs w:val="21"/>
                <w:highlight w:val="none"/>
              </w:rPr>
            </w:pPr>
            <w:r>
              <w:rPr>
                <w:rFonts w:hint="eastAsia" w:ascii="宋体" w:hAnsi="宋体"/>
                <w:color w:val="auto"/>
                <w:szCs w:val="21"/>
                <w:highlight w:val="none"/>
              </w:rPr>
              <w:t>6、做好安全工作，使用炊事械具或用具要严格遵守操作规程，防止事故发生；严禁违规使用燃料，确保安全用电，杜绝火灾事故，严禁随带无关人员进入厨房；易燃、易爆物品要严格按规定放置，杜绝意外事故发生；食堂工作人员下班前，要关好门窗，检查各类电源开关、设备等。</w:t>
            </w:r>
            <w:r>
              <w:rPr>
                <w:rFonts w:hint="eastAsia" w:ascii="宋体" w:hAnsi="宋体"/>
                <w:color w:val="auto"/>
                <w:szCs w:val="21"/>
                <w:highlight w:val="none"/>
                <w:lang w:val="en-US" w:eastAsia="zh-CN"/>
              </w:rPr>
              <w:t>供应商</w:t>
            </w:r>
            <w:r>
              <w:rPr>
                <w:rFonts w:hint="eastAsia" w:ascii="宋体" w:hAnsi="宋体"/>
                <w:color w:val="auto"/>
                <w:szCs w:val="21"/>
                <w:highlight w:val="none"/>
              </w:rPr>
              <w:t>要经常督促检查、做好防盗防火工作。因</w:t>
            </w:r>
            <w:r>
              <w:rPr>
                <w:rFonts w:hint="eastAsia" w:ascii="宋体" w:hAnsi="宋体"/>
                <w:color w:val="auto"/>
                <w:szCs w:val="21"/>
                <w:highlight w:val="none"/>
                <w:lang w:val="en-US" w:eastAsia="zh-CN"/>
              </w:rPr>
              <w:t>供应商</w:t>
            </w:r>
            <w:r>
              <w:rPr>
                <w:rFonts w:hint="eastAsia" w:ascii="宋体" w:hAnsi="宋体"/>
                <w:color w:val="auto"/>
                <w:szCs w:val="21"/>
                <w:highlight w:val="none"/>
              </w:rPr>
              <w:t>管理不善造成火灾等安全事故，或受到市场监督管理部门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应急管理部门等行政</w:t>
            </w:r>
            <w:r>
              <w:rPr>
                <w:rFonts w:hint="eastAsia" w:ascii="宋体" w:hAnsi="宋体"/>
                <w:color w:val="auto"/>
                <w:szCs w:val="21"/>
                <w:highlight w:val="none"/>
              </w:rPr>
              <w:t>处罚</w:t>
            </w:r>
            <w:r>
              <w:rPr>
                <w:rFonts w:hint="eastAsia" w:ascii="宋体" w:hAnsi="宋体"/>
                <w:color w:val="auto"/>
                <w:szCs w:val="21"/>
                <w:highlight w:val="none"/>
                <w:lang w:val="en-US" w:eastAsia="zh-CN"/>
              </w:rPr>
              <w:t>的</w:t>
            </w:r>
            <w:r>
              <w:rPr>
                <w:rFonts w:hint="eastAsia" w:ascii="宋体" w:hAnsi="宋体"/>
                <w:color w:val="auto"/>
                <w:szCs w:val="21"/>
                <w:highlight w:val="none"/>
              </w:rPr>
              <w:t>，由</w:t>
            </w:r>
            <w:r>
              <w:rPr>
                <w:rFonts w:hint="eastAsia" w:ascii="宋体" w:hAnsi="宋体"/>
                <w:color w:val="auto"/>
                <w:szCs w:val="21"/>
                <w:highlight w:val="none"/>
                <w:lang w:eastAsia="zh-CN"/>
              </w:rPr>
              <w:t>供应商</w:t>
            </w:r>
            <w:r>
              <w:rPr>
                <w:rFonts w:hint="eastAsia" w:ascii="宋体" w:hAnsi="宋体"/>
                <w:color w:val="auto"/>
                <w:szCs w:val="21"/>
                <w:highlight w:val="none"/>
              </w:rPr>
              <w:t>承担一切责任。</w:t>
            </w:r>
          </w:p>
          <w:p w14:paraId="03D6417A">
            <w:pPr>
              <w:spacing w:line="360" w:lineRule="auto"/>
              <w:rPr>
                <w:rFonts w:hint="eastAsia" w:ascii="宋体" w:hAnsi="宋体"/>
                <w:color w:val="auto"/>
                <w:szCs w:val="21"/>
                <w:highlight w:val="none"/>
              </w:rPr>
            </w:pPr>
            <w:r>
              <w:rPr>
                <w:rFonts w:hint="eastAsia" w:ascii="宋体" w:hAnsi="宋体"/>
                <w:color w:val="auto"/>
                <w:szCs w:val="21"/>
                <w:highlight w:val="none"/>
              </w:rPr>
              <w:t>7、原材料的采购必须符合国家检验检疫方面的要求，食堂所有原材料必须符合事故品安全标准；所采购食品原料及相关产品，要查验供货商的许可证和产品合格证明文件，对无法提供合格证明文件的食品原料，应当依照食品安全标准进行检验，不得采购或者使用不符合食品安全标准的食品原料及相关食品；建立食品采购索证台账，要做到检查时能溯源；定期检查库存食品，及时清埋变质或超过保质期的食品。</w:t>
            </w:r>
          </w:p>
          <w:p w14:paraId="4EF07F74">
            <w:pPr>
              <w:spacing w:line="360" w:lineRule="auto"/>
              <w:rPr>
                <w:rFonts w:hint="eastAsia" w:ascii="宋体" w:hAnsi="宋体"/>
                <w:color w:val="auto"/>
                <w:szCs w:val="21"/>
                <w:highlight w:val="none"/>
              </w:rPr>
            </w:pPr>
            <w:r>
              <w:rPr>
                <w:rFonts w:hint="eastAsia" w:ascii="宋体" w:hAnsi="宋体"/>
                <w:color w:val="auto"/>
                <w:szCs w:val="21"/>
                <w:highlight w:val="none"/>
              </w:rPr>
              <w:t>8、所销售的食品及商品质量必须符合国家卫生安全标准，做到每一餐足量(每份饭菜数量足量、满足用餐总人数的需求)、优质(质量保证)、味美(色香味俱全)、品种多样化(每天列出供应品种，每周列出下周菜谱，每个月要有新菜品出品)食材新鲜(不售卖隔夜菜)、保温保质，定期回访用餐职工满意率达到80%以上。</w:t>
            </w:r>
          </w:p>
          <w:p w14:paraId="1E05CA87">
            <w:pPr>
              <w:spacing w:line="360" w:lineRule="auto"/>
              <w:rPr>
                <w:rFonts w:ascii="宋体" w:hAnsi="宋体"/>
                <w:color w:val="auto"/>
                <w:szCs w:val="21"/>
                <w:highlight w:val="none"/>
              </w:rPr>
            </w:pPr>
            <w:r>
              <w:rPr>
                <w:rFonts w:hint="eastAsia" w:ascii="宋体" w:hAnsi="宋体"/>
                <w:color w:val="auto"/>
                <w:szCs w:val="21"/>
                <w:highlight w:val="none"/>
              </w:rPr>
              <w:t>9、蔬菜加工做到一拣、二洗、三切手艺，洗净的蔬菜无腐烂、泥沙、杂质、昆虫等。</w:t>
            </w:r>
          </w:p>
          <w:p w14:paraId="156D065D">
            <w:pPr>
              <w:spacing w:line="360" w:lineRule="auto"/>
              <w:rPr>
                <w:rFonts w:hint="eastAsia" w:ascii="宋体" w:hAnsi="宋体"/>
                <w:color w:val="auto"/>
                <w:szCs w:val="21"/>
                <w:highlight w:val="none"/>
              </w:rPr>
            </w:pPr>
            <w:r>
              <w:rPr>
                <w:rFonts w:hint="eastAsia" w:ascii="宋体" w:hAnsi="宋体"/>
                <w:color w:val="auto"/>
                <w:szCs w:val="21"/>
                <w:highlight w:val="none"/>
              </w:rPr>
              <w:t>10、严格按照卫生操作规程，坚持做好生进熟出，生熟严格分开，防止交叉感染，避免食品接触有毒或不洁物品；禁止使用非食品原料生产的食品和其他可能危害人体健康物质的食品，或者用回收食品作为原料生产食品；不制作、销售腐败变质或感官性状异常的食品；不销售隔夜食品；禁止加工销售不符合食品安全标准或者要求的食品。</w:t>
            </w:r>
          </w:p>
          <w:p w14:paraId="3EBB5863">
            <w:pPr>
              <w:spacing w:line="360" w:lineRule="auto"/>
              <w:rPr>
                <w:rFonts w:hint="eastAsia" w:ascii="宋体" w:hAnsi="宋体"/>
                <w:color w:val="auto"/>
                <w:szCs w:val="21"/>
                <w:highlight w:val="none"/>
              </w:rPr>
            </w:pPr>
            <w:r>
              <w:rPr>
                <w:rFonts w:hint="eastAsia" w:ascii="宋体" w:hAnsi="宋体"/>
                <w:color w:val="auto"/>
                <w:szCs w:val="21"/>
                <w:highlight w:val="none"/>
              </w:rPr>
              <w:t>11、食堂炊事人员在烧煮操作须用小碗，禁止用勺直接尝试，更不能用手直接抓食。</w:t>
            </w:r>
          </w:p>
          <w:p w14:paraId="16294B7A">
            <w:pPr>
              <w:spacing w:line="360" w:lineRule="auto"/>
              <w:rPr>
                <w:rFonts w:hint="eastAsia" w:ascii="宋体" w:hAnsi="宋体"/>
                <w:color w:val="auto"/>
                <w:szCs w:val="21"/>
                <w:highlight w:val="none"/>
              </w:rPr>
            </w:pPr>
            <w:r>
              <w:rPr>
                <w:rFonts w:hint="eastAsia" w:ascii="宋体" w:hAnsi="宋体"/>
                <w:color w:val="auto"/>
                <w:szCs w:val="21"/>
                <w:highlight w:val="none"/>
              </w:rPr>
              <w:t>12、日常工作中要坚持做好室内、外环境卫生，配备与生产经营相适应的设备和设施，及时处理垃圾和废弃物，采取消除四害的有力措施，防止传染病的发生。定期对食堂内的卫生死角（如冰箱、储物间等）进行清理。</w:t>
            </w:r>
          </w:p>
          <w:p w14:paraId="3C89B55A">
            <w:pPr>
              <w:spacing w:line="360" w:lineRule="auto"/>
              <w:rPr>
                <w:rFonts w:hint="eastAsia" w:ascii="宋体" w:hAnsi="宋体"/>
                <w:color w:val="auto"/>
                <w:szCs w:val="21"/>
                <w:highlight w:val="none"/>
              </w:rPr>
            </w:pPr>
            <w:r>
              <w:rPr>
                <w:rFonts w:hint="eastAsia" w:ascii="宋体" w:hAnsi="宋体"/>
                <w:color w:val="auto"/>
                <w:szCs w:val="21"/>
                <w:highlight w:val="none"/>
              </w:rPr>
              <w:t>13、</w:t>
            </w:r>
            <w:r>
              <w:rPr>
                <w:rFonts w:hint="eastAsia" w:ascii="宋体" w:hAnsi="宋体"/>
                <w:color w:val="auto"/>
                <w:szCs w:val="21"/>
                <w:highlight w:val="none"/>
                <w:lang w:eastAsia="zh-CN"/>
              </w:rPr>
              <w:t>供应商</w:t>
            </w:r>
            <w:r>
              <w:rPr>
                <w:rFonts w:hint="eastAsia" w:ascii="宋体" w:hAnsi="宋体"/>
                <w:color w:val="auto"/>
                <w:szCs w:val="21"/>
                <w:highlight w:val="none"/>
              </w:rPr>
              <w:t>现场工作人员必须身心健康、综合素质较好年满18 周岁以上60周岁以下，从业人员必须持证上岗，按规定进行健康检查，取得有效健康证明和食品安全知识培训合格证后方可上岗; 加强对从业人员食品安全知识培训，建立并执行从业人员健康管理制度; 从业人员要保持个人卫生，生产销售食品时，要将手洗净，穿戴清洁的工作服，实行文明用语，微笑服务、挂牌服务，配合采购人的防疫工作。</w:t>
            </w:r>
          </w:p>
          <w:p w14:paraId="2B8524FC">
            <w:pPr>
              <w:spacing w:line="360" w:lineRule="auto"/>
              <w:rPr>
                <w:rFonts w:hint="eastAsia" w:ascii="宋体" w:hAnsi="宋体"/>
                <w:color w:val="auto"/>
                <w:szCs w:val="21"/>
                <w:highlight w:val="none"/>
              </w:rPr>
            </w:pPr>
            <w:r>
              <w:rPr>
                <w:rFonts w:hint="eastAsia" w:ascii="宋体" w:hAnsi="宋体"/>
                <w:color w:val="auto"/>
                <w:szCs w:val="21"/>
                <w:highlight w:val="none"/>
              </w:rPr>
              <w:t>14、</w:t>
            </w:r>
            <w:r>
              <w:rPr>
                <w:rFonts w:hint="eastAsia" w:ascii="宋体" w:hAnsi="宋体"/>
                <w:color w:val="auto"/>
                <w:szCs w:val="21"/>
                <w:highlight w:val="none"/>
                <w:lang w:val="en-US" w:eastAsia="zh-CN"/>
              </w:rPr>
              <w:t>供应商</w:t>
            </w:r>
            <w:r>
              <w:rPr>
                <w:rFonts w:hint="eastAsia" w:ascii="宋体" w:hAnsi="宋体"/>
                <w:color w:val="auto"/>
                <w:szCs w:val="21"/>
                <w:highlight w:val="none"/>
              </w:rPr>
              <w:t>现场工作人员与采购人不存在劳动关系、劳务派遣关系或与之类似的关系，</w:t>
            </w:r>
            <w:r>
              <w:rPr>
                <w:rFonts w:hint="eastAsia" w:ascii="宋体" w:hAnsi="宋体"/>
                <w:color w:val="auto"/>
                <w:szCs w:val="21"/>
                <w:highlight w:val="none"/>
                <w:lang w:eastAsia="zh-CN"/>
              </w:rPr>
              <w:t>供应商</w:t>
            </w:r>
            <w:r>
              <w:rPr>
                <w:rFonts w:hint="eastAsia" w:ascii="宋体" w:hAnsi="宋体"/>
                <w:color w:val="auto"/>
                <w:szCs w:val="21"/>
                <w:highlight w:val="none"/>
              </w:rPr>
              <w:t>承担用人单位的责任和义务，用工方面的劳务纠纷和劳动事故全部由</w:t>
            </w:r>
            <w:r>
              <w:rPr>
                <w:rFonts w:hint="eastAsia" w:ascii="宋体" w:hAnsi="宋体"/>
                <w:color w:val="auto"/>
                <w:szCs w:val="21"/>
                <w:highlight w:val="none"/>
                <w:lang w:eastAsia="zh-CN"/>
              </w:rPr>
              <w:t>供应商</w:t>
            </w:r>
            <w:r>
              <w:rPr>
                <w:rFonts w:hint="eastAsia" w:ascii="宋体" w:hAnsi="宋体"/>
                <w:color w:val="auto"/>
                <w:szCs w:val="21"/>
                <w:highlight w:val="none"/>
              </w:rPr>
              <w:t>承担责任。</w:t>
            </w:r>
            <w:r>
              <w:rPr>
                <w:rFonts w:hint="eastAsia" w:ascii="宋体" w:hAnsi="宋体"/>
                <w:color w:val="auto"/>
                <w:szCs w:val="21"/>
                <w:highlight w:val="none"/>
                <w:lang w:eastAsia="zh-CN"/>
              </w:rPr>
              <w:t>供应商</w:t>
            </w:r>
            <w:r>
              <w:rPr>
                <w:rFonts w:hint="eastAsia" w:ascii="宋体" w:hAnsi="宋体"/>
                <w:color w:val="auto"/>
                <w:szCs w:val="21"/>
                <w:highlight w:val="none"/>
              </w:rPr>
              <w:t>负责现场工作人员的管理，教育员工遵守防城港市公安局有关制度，加强员工的思想教育，组织员工培训学习，增强员工责任意识和服务意识。</w:t>
            </w:r>
          </w:p>
          <w:p w14:paraId="4E846077">
            <w:pPr>
              <w:spacing w:line="360" w:lineRule="auto"/>
              <w:rPr>
                <w:rFonts w:hint="eastAsia" w:ascii="宋体" w:hAnsi="宋体"/>
                <w:color w:val="auto"/>
                <w:szCs w:val="21"/>
                <w:highlight w:val="none"/>
              </w:rPr>
            </w:pPr>
            <w:r>
              <w:rPr>
                <w:rFonts w:hint="eastAsia" w:ascii="宋体" w:hAnsi="宋体"/>
                <w:color w:val="auto"/>
                <w:szCs w:val="21"/>
                <w:highlight w:val="none"/>
              </w:rPr>
              <w:t>15、</w:t>
            </w:r>
            <w:r>
              <w:rPr>
                <w:rFonts w:hint="eastAsia" w:ascii="宋体" w:hAnsi="宋体"/>
                <w:color w:val="auto"/>
                <w:szCs w:val="21"/>
                <w:highlight w:val="none"/>
                <w:lang w:eastAsia="zh-CN"/>
              </w:rPr>
              <w:t>供应商</w:t>
            </w:r>
            <w:r>
              <w:rPr>
                <w:rFonts w:hint="eastAsia" w:ascii="宋体" w:hAnsi="宋体"/>
                <w:color w:val="auto"/>
                <w:szCs w:val="21"/>
                <w:highlight w:val="none"/>
              </w:rPr>
              <w:t>按国家相关要求进行留样，对所进的蔬菜进行农残检测，做好消毒记录。</w:t>
            </w:r>
          </w:p>
          <w:p w14:paraId="07514F34">
            <w:pPr>
              <w:spacing w:line="360" w:lineRule="auto"/>
              <w:rPr>
                <w:rFonts w:hint="eastAsia" w:ascii="宋体" w:hAnsi="宋体"/>
                <w:color w:val="auto"/>
                <w:szCs w:val="21"/>
                <w:highlight w:val="none"/>
              </w:rPr>
            </w:pPr>
            <w:r>
              <w:rPr>
                <w:rFonts w:hint="eastAsia" w:ascii="宋体" w:hAnsi="宋体"/>
                <w:color w:val="auto"/>
                <w:szCs w:val="21"/>
                <w:highlight w:val="none"/>
              </w:rPr>
              <w:t>16、把好消毒关。餐具、饮具和盛放直接入口食品的容器，应达到食品级安全要求，使用前必须洗净、保洁、消毒。</w:t>
            </w:r>
          </w:p>
          <w:p w14:paraId="41928CF8">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7</w:t>
            </w:r>
            <w:r>
              <w:rPr>
                <w:rFonts w:hint="eastAsia" w:ascii="宋体" w:hAnsi="宋体"/>
                <w:color w:val="auto"/>
                <w:szCs w:val="21"/>
                <w:highlight w:val="none"/>
              </w:rPr>
              <w:t>、</w:t>
            </w:r>
            <w:r>
              <w:rPr>
                <w:rFonts w:hint="eastAsia" w:ascii="宋体" w:hAnsi="宋体"/>
                <w:bCs/>
                <w:color w:val="auto"/>
                <w:szCs w:val="21"/>
                <w:highlight w:val="none"/>
              </w:rPr>
              <w:t>鼓励</w:t>
            </w:r>
            <w:r>
              <w:rPr>
                <w:rFonts w:hint="eastAsia" w:ascii="宋体" w:hAnsi="宋体"/>
                <w:color w:val="auto"/>
                <w:szCs w:val="21"/>
                <w:highlight w:val="none"/>
              </w:rPr>
              <w:t>进行信息化管理，实行数字化点餐用餐管理。</w:t>
            </w:r>
          </w:p>
          <w:p w14:paraId="0C649A00">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8</w:t>
            </w:r>
            <w:r>
              <w:rPr>
                <w:rFonts w:hint="eastAsia" w:ascii="宋体" w:hAnsi="宋体"/>
                <w:color w:val="auto"/>
                <w:szCs w:val="21"/>
                <w:highlight w:val="none"/>
              </w:rPr>
              <w:t>、建立节能、节约方面的工作制度，</w:t>
            </w:r>
            <w:r>
              <w:rPr>
                <w:rFonts w:hint="eastAsia" w:ascii="宋体" w:hAnsi="宋体"/>
                <w:color w:val="auto"/>
                <w:szCs w:val="21"/>
                <w:highlight w:val="none"/>
                <w:lang w:eastAsia="zh-CN"/>
              </w:rPr>
              <w:t>供应商</w:t>
            </w:r>
            <w:r>
              <w:rPr>
                <w:rFonts w:hint="eastAsia" w:ascii="宋体" w:hAnsi="宋体"/>
                <w:color w:val="auto"/>
                <w:szCs w:val="21"/>
                <w:highlight w:val="none"/>
              </w:rPr>
              <w:t>要教育员工做好节能工作，在工作过程中，须爱护设施设备，对食材及餐厨用品要合理安排、节约使用、杜绝浪费。</w:t>
            </w:r>
          </w:p>
          <w:p w14:paraId="34E34468">
            <w:pPr>
              <w:spacing w:line="360" w:lineRule="auto"/>
              <w:rPr>
                <w:rFonts w:ascii="宋体" w:hAnsi="宋体"/>
                <w:color w:val="auto"/>
                <w:szCs w:val="21"/>
                <w:highlight w:val="none"/>
              </w:rPr>
            </w:pPr>
            <w:r>
              <w:rPr>
                <w:rFonts w:ascii="宋体" w:hAnsi="宋体"/>
                <w:color w:val="auto"/>
                <w:szCs w:val="21"/>
                <w:highlight w:val="none"/>
              </w:rPr>
              <w:t>19</w:t>
            </w:r>
            <w:r>
              <w:rPr>
                <w:rFonts w:hint="eastAsia" w:ascii="宋体" w:hAnsi="宋体"/>
                <w:color w:val="auto"/>
                <w:szCs w:val="21"/>
                <w:highlight w:val="none"/>
              </w:rPr>
              <w:t>、爱护采购人提供的房产和餐饮炊具等设备，负责日常使用管理并做好维保工作，如造成物品丢失或人为损坏的，</w:t>
            </w:r>
            <w:r>
              <w:rPr>
                <w:rFonts w:hint="eastAsia" w:ascii="宋体" w:hAnsi="宋体"/>
                <w:color w:val="auto"/>
                <w:szCs w:val="21"/>
                <w:highlight w:val="none"/>
                <w:lang w:eastAsia="zh-CN"/>
              </w:rPr>
              <w:t>供应商</w:t>
            </w:r>
            <w:r>
              <w:rPr>
                <w:rFonts w:hint="eastAsia" w:ascii="宋体" w:hAnsi="宋体"/>
                <w:color w:val="auto"/>
                <w:szCs w:val="21"/>
                <w:highlight w:val="none"/>
              </w:rPr>
              <w:t>须照价赔偿</w:t>
            </w:r>
            <w:r>
              <w:rPr>
                <w:rFonts w:ascii="宋体" w:hAnsi="宋体"/>
                <w:color w:val="auto"/>
                <w:szCs w:val="21"/>
                <w:highlight w:val="none"/>
              </w:rPr>
              <w:t xml:space="preserve"> </w:t>
            </w:r>
            <w:r>
              <w:rPr>
                <w:rFonts w:hint="eastAsia" w:ascii="宋体" w:hAnsi="宋体"/>
                <w:color w:val="auto"/>
                <w:szCs w:val="21"/>
                <w:highlight w:val="none"/>
              </w:rPr>
              <w:t>(自然损耗的除外)。不得变更房屋结构，不得变换基本设施。如因经营服务服务需要，对经营场所进行装修，需书面报告采购人同意后方可实施。</w:t>
            </w:r>
          </w:p>
          <w:p w14:paraId="4B2715BE">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0</w:t>
            </w:r>
            <w:r>
              <w:rPr>
                <w:rFonts w:hint="eastAsia" w:ascii="宋体" w:hAnsi="宋体"/>
                <w:color w:val="auto"/>
                <w:szCs w:val="21"/>
                <w:highlight w:val="none"/>
              </w:rPr>
              <w:t>、食堂的环境卫生、设备设施状况、生产管理过程必须符合国家</w:t>
            </w:r>
            <w:r>
              <w:rPr>
                <w:rFonts w:hint="eastAsia" w:ascii="宋体" w:hAnsi="宋体"/>
                <w:color w:val="auto"/>
                <w:szCs w:val="21"/>
                <w:highlight w:val="none"/>
                <w:lang w:val="en-US" w:eastAsia="zh-CN"/>
              </w:rPr>
              <w:t>相关的法律法规</w:t>
            </w:r>
            <w:r>
              <w:rPr>
                <w:rFonts w:hint="eastAsia" w:ascii="宋体" w:hAnsi="宋体"/>
                <w:color w:val="auto"/>
                <w:szCs w:val="21"/>
                <w:highlight w:val="none"/>
              </w:rPr>
              <w:t>。落实食材采购、服务水平、饭菜品种质量管理、利润管理、环境卫生、消防安全，应急处置等规章制度并保证有效执行。</w:t>
            </w:r>
          </w:p>
          <w:p w14:paraId="68B7276F">
            <w:pPr>
              <w:spacing w:line="360" w:lineRule="auto"/>
              <w:rPr>
                <w:rFonts w:hint="eastAsia" w:ascii="宋体" w:hAnsi="宋体" w:cs="Arial"/>
                <w:b/>
                <w:color w:val="auto"/>
                <w:szCs w:val="21"/>
                <w:highlight w:val="none"/>
              </w:rPr>
            </w:pPr>
            <w:r>
              <w:rPr>
                <w:rFonts w:hint="eastAsia" w:ascii="宋体" w:hAnsi="宋体"/>
                <w:b/>
                <w:color w:val="auto"/>
                <w:szCs w:val="21"/>
                <w:highlight w:val="none"/>
              </w:rPr>
              <w:t>十、</w:t>
            </w:r>
            <w:r>
              <w:rPr>
                <w:rFonts w:hint="eastAsia" w:ascii="宋体" w:hAnsi="宋体" w:cs="Arial"/>
                <w:b/>
                <w:color w:val="auto"/>
                <w:szCs w:val="21"/>
                <w:highlight w:val="none"/>
              </w:rPr>
              <w:t>入场和撤场交接</w:t>
            </w:r>
          </w:p>
          <w:p w14:paraId="476655F2">
            <w:pPr>
              <w:spacing w:line="360" w:lineRule="auto"/>
              <w:rPr>
                <w:rFonts w:hint="eastAsia" w:ascii="宋体" w:hAnsi="宋体" w:cs="Arial"/>
                <w:color w:val="auto"/>
                <w:szCs w:val="21"/>
                <w:highlight w:val="none"/>
              </w:rPr>
            </w:pPr>
            <w:r>
              <w:rPr>
                <w:rFonts w:hint="eastAsia" w:ascii="宋体" w:hAnsi="宋体" w:cs="Arial"/>
                <w:color w:val="auto"/>
                <w:szCs w:val="21"/>
                <w:highlight w:val="none"/>
              </w:rPr>
              <w:t>1、在合同到期或提前终止后，</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应按照采购人指定的撤场交接方案，办理有关手续和清理工作。</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须提供详细的接手方案，列出具体交接物品清单及交接期限，并经过采购人确认后执行。如</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逾期未完成交接，采购人有权自行处理留置物品。</w:t>
            </w:r>
          </w:p>
          <w:p w14:paraId="1906C6FF">
            <w:pPr>
              <w:spacing w:line="360" w:lineRule="auto"/>
              <w:rPr>
                <w:rFonts w:ascii="宋体" w:hAnsi="宋体" w:cs="Arial"/>
                <w:color w:val="auto"/>
                <w:szCs w:val="21"/>
                <w:highlight w:val="none"/>
              </w:rPr>
            </w:pPr>
            <w:r>
              <w:rPr>
                <w:rFonts w:hint="eastAsia" w:ascii="宋体" w:hAnsi="宋体" w:cs="Arial"/>
                <w:color w:val="auto"/>
                <w:szCs w:val="21"/>
                <w:highlight w:val="none"/>
              </w:rPr>
              <w:t>2、若在合同到期后新</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未产生，</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必须继续履行原合同，直至采购人指定的最后日期。采购人将按合同约定支付</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在此期间产生的相应管理费用。</w:t>
            </w:r>
          </w:p>
          <w:p w14:paraId="41C82514">
            <w:pPr>
              <w:spacing w:line="360" w:lineRule="auto"/>
              <w:rPr>
                <w:rFonts w:hint="eastAsia" w:ascii="宋体" w:hAnsi="宋体" w:eastAsia="宋体" w:cs="Arial"/>
                <w:color w:val="auto"/>
                <w:szCs w:val="21"/>
                <w:highlight w:val="none"/>
              </w:rPr>
            </w:pPr>
            <w:r>
              <w:rPr>
                <w:rFonts w:hint="eastAsia" w:ascii="宋体" w:hAnsi="宋体" w:eastAsia="宋体" w:cs="Arial"/>
                <w:color w:val="auto"/>
                <w:szCs w:val="21"/>
                <w:highlight w:val="none"/>
              </w:rPr>
              <w:t>3、如在合同到期后，新的</w:t>
            </w:r>
            <w:r>
              <w:rPr>
                <w:rFonts w:hint="eastAsia" w:ascii="宋体" w:hAnsi="宋体" w:eastAsia="宋体" w:cs="Arial"/>
                <w:color w:val="auto"/>
                <w:szCs w:val="21"/>
                <w:highlight w:val="none"/>
                <w:lang w:eastAsia="zh-CN"/>
              </w:rPr>
              <w:t>供应商</w:t>
            </w:r>
            <w:r>
              <w:rPr>
                <w:rFonts w:hint="eastAsia" w:ascii="宋体" w:hAnsi="宋体" w:eastAsia="宋体" w:cs="Arial"/>
                <w:color w:val="auto"/>
                <w:szCs w:val="21"/>
                <w:highlight w:val="none"/>
              </w:rPr>
              <w:t>已产生，但未正式进场开展管理工作的，</w:t>
            </w:r>
            <w:r>
              <w:rPr>
                <w:rFonts w:hint="eastAsia" w:ascii="宋体" w:hAnsi="宋体" w:eastAsia="宋体" w:cs="Arial"/>
                <w:color w:val="auto"/>
                <w:szCs w:val="21"/>
                <w:highlight w:val="none"/>
                <w:lang w:eastAsia="zh-CN"/>
              </w:rPr>
              <w:t>供应商</w:t>
            </w:r>
            <w:r>
              <w:rPr>
                <w:rFonts w:hint="eastAsia" w:ascii="宋体" w:hAnsi="宋体" w:eastAsia="宋体" w:cs="Arial"/>
                <w:color w:val="auto"/>
                <w:szCs w:val="21"/>
                <w:highlight w:val="none"/>
              </w:rPr>
              <w:t>必须配合采购人要求与新</w:t>
            </w:r>
            <w:r>
              <w:rPr>
                <w:rFonts w:hint="eastAsia" w:ascii="宋体" w:hAnsi="宋体" w:eastAsia="宋体" w:cs="Arial"/>
                <w:color w:val="auto"/>
                <w:szCs w:val="21"/>
                <w:highlight w:val="none"/>
                <w:lang w:eastAsia="zh-CN"/>
              </w:rPr>
              <w:t>供应商</w:t>
            </w:r>
            <w:r>
              <w:rPr>
                <w:rFonts w:hint="eastAsia" w:ascii="宋体" w:hAnsi="宋体" w:eastAsia="宋体" w:cs="Arial"/>
                <w:color w:val="auto"/>
                <w:szCs w:val="21"/>
                <w:highlight w:val="none"/>
              </w:rPr>
              <w:t>做好交接工作，交接采取以老带新的模式，</w:t>
            </w:r>
            <w:r>
              <w:rPr>
                <w:rFonts w:hint="eastAsia" w:ascii="宋体" w:hAnsi="宋体" w:eastAsia="宋体" w:cs="Arial"/>
                <w:color w:val="auto"/>
                <w:szCs w:val="21"/>
                <w:highlight w:val="none"/>
                <w:lang w:eastAsia="zh-CN"/>
              </w:rPr>
              <w:t>供应商</w:t>
            </w:r>
            <w:r>
              <w:rPr>
                <w:rFonts w:hint="eastAsia" w:ascii="宋体" w:hAnsi="宋体" w:eastAsia="宋体" w:cs="Arial"/>
                <w:color w:val="auto"/>
                <w:szCs w:val="21"/>
                <w:highlight w:val="none"/>
              </w:rPr>
              <w:t>必须继续履行原合同，直至新</w:t>
            </w:r>
            <w:r>
              <w:rPr>
                <w:rFonts w:hint="eastAsia" w:ascii="宋体" w:hAnsi="宋体" w:eastAsia="宋体" w:cs="Arial"/>
                <w:color w:val="auto"/>
                <w:szCs w:val="21"/>
                <w:highlight w:val="none"/>
                <w:lang w:eastAsia="zh-CN"/>
              </w:rPr>
              <w:t>供应商</w:t>
            </w:r>
            <w:r>
              <w:rPr>
                <w:rFonts w:hint="eastAsia" w:ascii="宋体" w:hAnsi="宋体" w:eastAsia="宋体" w:cs="Arial"/>
                <w:color w:val="auto"/>
                <w:szCs w:val="21"/>
                <w:highlight w:val="none"/>
              </w:rPr>
              <w:t>正式进场开展工作，</w:t>
            </w:r>
            <w:r>
              <w:rPr>
                <w:rFonts w:hint="eastAsia" w:ascii="宋体" w:hAnsi="宋体" w:eastAsia="宋体" w:cs="Arial"/>
                <w:color w:val="auto"/>
                <w:szCs w:val="21"/>
                <w:highlight w:val="none"/>
                <w:lang w:val="en-US" w:eastAsia="zh-CN"/>
              </w:rPr>
              <w:t>交接期间中因</w:t>
            </w:r>
            <w:r>
              <w:rPr>
                <w:rFonts w:hint="eastAsia" w:ascii="宋体" w:hAnsi="宋体" w:eastAsia="宋体" w:cs="Arial"/>
                <w:color w:val="auto"/>
                <w:szCs w:val="21"/>
                <w:highlight w:val="none"/>
              </w:rPr>
              <w:t>履行合同</w:t>
            </w:r>
            <w:r>
              <w:rPr>
                <w:rFonts w:hint="eastAsia" w:ascii="宋体" w:hAnsi="宋体" w:eastAsia="宋体" w:cs="Arial"/>
                <w:color w:val="auto"/>
                <w:szCs w:val="21"/>
                <w:highlight w:val="none"/>
                <w:lang w:val="en-US" w:eastAsia="zh-CN"/>
              </w:rPr>
              <w:t>所</w:t>
            </w:r>
            <w:r>
              <w:rPr>
                <w:rFonts w:hint="eastAsia" w:ascii="宋体" w:hAnsi="宋体" w:eastAsia="宋体" w:cs="Arial"/>
                <w:color w:val="auto"/>
                <w:szCs w:val="21"/>
                <w:highlight w:val="none"/>
              </w:rPr>
              <w:t>产生的管理费用由新</w:t>
            </w:r>
            <w:r>
              <w:rPr>
                <w:rFonts w:hint="eastAsia" w:ascii="宋体" w:hAnsi="宋体" w:eastAsia="宋体" w:cs="Arial"/>
                <w:color w:val="auto"/>
                <w:szCs w:val="21"/>
                <w:highlight w:val="none"/>
                <w:lang w:eastAsia="zh-CN"/>
              </w:rPr>
              <w:t>供应商</w:t>
            </w:r>
            <w:r>
              <w:rPr>
                <w:rFonts w:hint="eastAsia" w:ascii="宋体" w:hAnsi="宋体" w:eastAsia="宋体" w:cs="Arial"/>
                <w:color w:val="auto"/>
                <w:szCs w:val="21"/>
                <w:highlight w:val="none"/>
              </w:rPr>
              <w:t>负责承担。</w:t>
            </w:r>
          </w:p>
          <w:p w14:paraId="11E1309E">
            <w:pPr>
              <w:spacing w:line="360" w:lineRule="auto"/>
              <w:rPr>
                <w:rFonts w:hint="eastAsia" w:ascii="宋体" w:hAnsi="宋体" w:cs="Arial"/>
                <w:color w:val="auto"/>
                <w:szCs w:val="21"/>
                <w:highlight w:val="none"/>
              </w:rPr>
            </w:pPr>
            <w:r>
              <w:rPr>
                <w:rFonts w:ascii="宋体" w:hAnsi="宋体" w:cs="Arial"/>
                <w:color w:val="auto"/>
                <w:szCs w:val="21"/>
                <w:highlight w:val="none"/>
              </w:rPr>
              <w:t>4</w:t>
            </w:r>
            <w:r>
              <w:rPr>
                <w:rFonts w:hint="eastAsia" w:ascii="宋体" w:hAnsi="宋体" w:cs="Arial"/>
                <w:color w:val="auto"/>
                <w:szCs w:val="21"/>
                <w:highlight w:val="none"/>
              </w:rPr>
              <w:t>、</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应建立本项目的管理档案并负责及时记载有关变更情况。在合同期满时，</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须向采购人移交详细的各类管理档案资料和交接清单。对于无法移交或不符合标准的物品，</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须另行妥善处理。</w:t>
            </w:r>
          </w:p>
          <w:p w14:paraId="32D7735E">
            <w:pPr>
              <w:spacing w:line="360" w:lineRule="auto"/>
              <w:rPr>
                <w:rFonts w:hint="eastAsia" w:ascii="宋体" w:hAnsi="宋体" w:cs="Arial"/>
                <w:color w:val="auto"/>
                <w:szCs w:val="21"/>
                <w:highlight w:val="none"/>
              </w:rPr>
            </w:pPr>
            <w:r>
              <w:rPr>
                <w:rFonts w:ascii="宋体" w:hAnsi="宋体" w:cs="Arial"/>
                <w:color w:val="auto"/>
                <w:szCs w:val="21"/>
                <w:highlight w:val="none"/>
              </w:rPr>
              <w:t>5</w:t>
            </w:r>
            <w:r>
              <w:rPr>
                <w:rFonts w:hint="eastAsia" w:ascii="宋体" w:hAnsi="宋体" w:cs="Arial"/>
                <w:color w:val="auto"/>
                <w:szCs w:val="21"/>
                <w:highlight w:val="none"/>
              </w:rPr>
              <w:t>、</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自行购买的用具及设备应明确归</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所有。对于采购人提供或借用的设备及用具，列出清单并进行交接，</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应按照约定进行保管和维护，当合同到期或提前终止时，应一并交还给采购人。</w:t>
            </w:r>
          </w:p>
          <w:p w14:paraId="26FD13BF">
            <w:pPr>
              <w:spacing w:line="360" w:lineRule="auto"/>
              <w:rPr>
                <w:rFonts w:hint="eastAsia" w:ascii="宋体" w:hAnsi="宋体" w:cs="Arial"/>
                <w:color w:val="auto"/>
                <w:szCs w:val="21"/>
                <w:highlight w:val="none"/>
              </w:rPr>
            </w:pPr>
            <w:r>
              <w:rPr>
                <w:rFonts w:ascii="宋体" w:hAnsi="宋体" w:cs="Arial"/>
                <w:color w:val="auto"/>
                <w:szCs w:val="21"/>
                <w:highlight w:val="none"/>
              </w:rPr>
              <w:t>6</w:t>
            </w:r>
            <w:r>
              <w:rPr>
                <w:rFonts w:hint="eastAsia" w:ascii="宋体" w:hAnsi="宋体" w:cs="Arial"/>
                <w:color w:val="auto"/>
                <w:szCs w:val="21"/>
                <w:highlight w:val="none"/>
              </w:rPr>
              <w:t>、提供撤场交接方案以及退出方案将作为采购评审的重要条件之一。</w:t>
            </w:r>
            <w:r>
              <w:rPr>
                <w:rFonts w:hint="eastAsia" w:ascii="宋体" w:hAnsi="宋体" w:cs="Arial"/>
                <w:color w:val="auto"/>
                <w:szCs w:val="21"/>
                <w:highlight w:val="none"/>
                <w:lang w:eastAsia="zh-CN"/>
              </w:rPr>
              <w:t>供应商</w:t>
            </w:r>
            <w:r>
              <w:rPr>
                <w:rFonts w:hint="eastAsia" w:ascii="宋体" w:hAnsi="宋体" w:cs="Arial"/>
                <w:color w:val="auto"/>
                <w:szCs w:val="21"/>
                <w:highlight w:val="none"/>
              </w:rPr>
              <w:t>需在响应文件中详细说明自己的入场和撤场交接方案，并作出保证，确保顺利完成管理工作转移。</w:t>
            </w:r>
          </w:p>
          <w:p w14:paraId="11E08A79">
            <w:pPr>
              <w:spacing w:line="360" w:lineRule="auto"/>
              <w:rPr>
                <w:rFonts w:hint="eastAsia" w:ascii="宋体" w:hAnsi="宋体" w:eastAsia="宋体" w:cs="Arial"/>
                <w:color w:val="auto"/>
                <w:szCs w:val="21"/>
                <w:highlight w:val="none"/>
                <w:lang w:val="en-US" w:eastAsia="zh-CN"/>
              </w:rPr>
            </w:pPr>
            <w:r>
              <w:rPr>
                <w:rFonts w:hint="eastAsia" w:ascii="宋体" w:hAnsi="宋体" w:cs="Arial"/>
                <w:color w:val="auto"/>
                <w:szCs w:val="21"/>
                <w:highlight w:val="none"/>
                <w:lang w:val="en-US" w:eastAsia="zh-CN"/>
              </w:rPr>
              <w:t>7、</w:t>
            </w:r>
            <w:r>
              <w:rPr>
                <w:rFonts w:hint="eastAsia" w:ascii="宋体" w:hAnsi="宋体" w:cs="Arial"/>
                <w:color w:val="auto"/>
                <w:szCs w:val="21"/>
                <w:highlight w:val="none"/>
                <w:lang w:eastAsia="zh-CN"/>
              </w:rPr>
              <w:t>供应商</w:t>
            </w:r>
            <w:r>
              <w:rPr>
                <w:rFonts w:hint="eastAsia" w:ascii="宋体" w:hAnsi="宋体" w:cs="Arial"/>
                <w:color w:val="auto"/>
                <w:szCs w:val="21"/>
                <w:highlight w:val="none"/>
                <w:lang w:val="en-US" w:eastAsia="zh-CN"/>
              </w:rPr>
              <w:t>须对上一服务周期食堂存量未消费餐费结余资金进行专项清算，责成原成交服务商全额划转该笔剩余资金；划转到位后，由本项目下一成交单位承接接管，按原有规则供就餐人员后续正常消费抵扣。</w:t>
            </w:r>
          </w:p>
          <w:p w14:paraId="2176891D">
            <w:pPr>
              <w:spacing w:line="360" w:lineRule="auto"/>
              <w:rPr>
                <w:rFonts w:hint="eastAsia" w:ascii="宋体" w:hAnsi="宋体"/>
                <w:b/>
                <w:color w:val="auto"/>
                <w:szCs w:val="21"/>
                <w:highlight w:val="none"/>
              </w:rPr>
            </w:pPr>
            <w:r>
              <w:rPr>
                <w:rFonts w:hint="eastAsia" w:ascii="宋体" w:hAnsi="宋体"/>
                <w:b/>
                <w:color w:val="auto"/>
                <w:szCs w:val="21"/>
                <w:highlight w:val="none"/>
              </w:rPr>
              <w:t>十一、合同终止</w:t>
            </w:r>
          </w:p>
          <w:p w14:paraId="03B925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1、合同服务期限届满的，合同自动终止。</w:t>
            </w:r>
          </w:p>
          <w:p w14:paraId="5826EB0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2.合同期内，</w:t>
            </w:r>
            <w:r>
              <w:rPr>
                <w:rFonts w:hint="eastAsia" w:ascii="宋体" w:hAnsi="宋体"/>
                <w:color w:val="auto"/>
                <w:szCs w:val="21"/>
                <w:highlight w:val="none"/>
                <w:lang w:eastAsia="zh-CN"/>
              </w:rPr>
              <w:t>供应商</w:t>
            </w:r>
            <w:r>
              <w:rPr>
                <w:rFonts w:hint="eastAsia" w:ascii="宋体" w:hAnsi="宋体"/>
                <w:color w:val="auto"/>
                <w:szCs w:val="21"/>
                <w:highlight w:val="none"/>
              </w:rPr>
              <w:t>在经营过程中出现下列情况之一者，属</w:t>
            </w:r>
            <w:r>
              <w:rPr>
                <w:rFonts w:hint="eastAsia" w:ascii="宋体" w:hAnsi="宋体"/>
                <w:color w:val="auto"/>
                <w:szCs w:val="21"/>
                <w:highlight w:val="none"/>
                <w:lang w:eastAsia="zh-CN"/>
              </w:rPr>
              <w:t>供应商</w:t>
            </w:r>
            <w:r>
              <w:rPr>
                <w:rFonts w:hint="eastAsia" w:ascii="宋体" w:hAnsi="宋体"/>
                <w:color w:val="auto"/>
                <w:szCs w:val="21"/>
                <w:highlight w:val="none"/>
              </w:rPr>
              <w:t>违约，采购人将报政府采购监督管理部门同意后终止合同，取消其管理资格责令限期退出，并</w:t>
            </w:r>
            <w:r>
              <w:rPr>
                <w:rFonts w:hint="eastAsia" w:ascii="宋体" w:hAnsi="宋体"/>
                <w:color w:val="auto"/>
                <w:szCs w:val="21"/>
                <w:highlight w:val="none"/>
                <w:lang w:val="en-US" w:eastAsia="zh-CN"/>
              </w:rPr>
              <w:t>要求供应商承担违约责任</w:t>
            </w:r>
            <w:r>
              <w:rPr>
                <w:rFonts w:hint="eastAsia" w:ascii="宋体" w:hAnsi="宋体"/>
                <w:color w:val="auto"/>
                <w:szCs w:val="21"/>
                <w:highlight w:val="none"/>
              </w:rPr>
              <w:t>，</w:t>
            </w:r>
            <w:r>
              <w:rPr>
                <w:rFonts w:hint="eastAsia" w:ascii="宋体" w:hAnsi="宋体"/>
                <w:color w:val="auto"/>
                <w:szCs w:val="21"/>
                <w:highlight w:val="none"/>
                <w:lang w:val="en-US" w:eastAsia="zh-CN"/>
              </w:rPr>
              <w:t>供应商赔偿</w:t>
            </w:r>
            <w:r>
              <w:rPr>
                <w:rFonts w:hint="eastAsia" w:ascii="宋体" w:hAnsi="宋体"/>
                <w:color w:val="auto"/>
                <w:szCs w:val="21"/>
                <w:highlight w:val="none"/>
              </w:rPr>
              <w:t>金额不足的部分以</w:t>
            </w:r>
            <w:r>
              <w:rPr>
                <w:rFonts w:hint="eastAsia" w:ascii="宋体" w:hAnsi="宋体"/>
                <w:color w:val="auto"/>
                <w:szCs w:val="21"/>
                <w:highlight w:val="none"/>
                <w:lang w:eastAsia="zh-CN"/>
              </w:rPr>
              <w:t>供应商</w:t>
            </w:r>
            <w:r>
              <w:rPr>
                <w:rFonts w:hint="eastAsia" w:ascii="宋体" w:hAnsi="宋体"/>
                <w:color w:val="auto"/>
                <w:szCs w:val="21"/>
                <w:highlight w:val="none"/>
              </w:rPr>
              <w:t>投资的设备折价或</w:t>
            </w:r>
            <w:r>
              <w:rPr>
                <w:rFonts w:hint="eastAsia" w:ascii="宋体" w:hAnsi="宋体"/>
                <w:color w:val="auto"/>
                <w:szCs w:val="21"/>
                <w:highlight w:val="none"/>
                <w:lang w:eastAsia="zh-CN"/>
              </w:rPr>
              <w:t>供应商</w:t>
            </w:r>
            <w:r>
              <w:rPr>
                <w:rFonts w:hint="eastAsia" w:ascii="宋体" w:hAnsi="宋体"/>
                <w:color w:val="auto"/>
                <w:szCs w:val="21"/>
                <w:highlight w:val="none"/>
              </w:rPr>
              <w:t>所有财产优先受偿，直至</w:t>
            </w:r>
            <w:r>
              <w:rPr>
                <w:rFonts w:hint="eastAsia" w:ascii="宋体" w:hAnsi="宋体"/>
                <w:color w:val="auto"/>
                <w:szCs w:val="21"/>
                <w:highlight w:val="none"/>
                <w:lang w:val="en-US" w:eastAsia="zh-CN"/>
              </w:rPr>
              <w:t>承担完毕全部</w:t>
            </w:r>
            <w:r>
              <w:rPr>
                <w:rFonts w:hint="eastAsia" w:ascii="宋体" w:hAnsi="宋体"/>
                <w:color w:val="auto"/>
                <w:szCs w:val="21"/>
                <w:highlight w:val="none"/>
              </w:rPr>
              <w:t>法律责任。因</w:t>
            </w:r>
            <w:r>
              <w:rPr>
                <w:rFonts w:hint="eastAsia" w:ascii="宋体" w:hAnsi="宋体"/>
                <w:color w:val="auto"/>
                <w:szCs w:val="21"/>
                <w:highlight w:val="none"/>
                <w:lang w:eastAsia="zh-CN"/>
              </w:rPr>
              <w:t>供应商</w:t>
            </w:r>
            <w:r>
              <w:rPr>
                <w:rFonts w:hint="eastAsia" w:ascii="宋体" w:hAnsi="宋体"/>
                <w:color w:val="auto"/>
                <w:szCs w:val="21"/>
                <w:highlight w:val="none"/>
              </w:rPr>
              <w:t>管理不当导致采购人或其他第三方的人身、财产安全受到损害、设施设备损坏、工作受阻、环境污染或遭破坏等情况发生，情节较轻的，</w:t>
            </w:r>
            <w:r>
              <w:rPr>
                <w:rFonts w:hint="eastAsia" w:ascii="宋体" w:hAnsi="宋体"/>
                <w:color w:val="auto"/>
                <w:szCs w:val="21"/>
                <w:highlight w:val="none"/>
                <w:lang w:eastAsia="zh-CN"/>
              </w:rPr>
              <w:t>供应商</w:t>
            </w:r>
            <w:r>
              <w:rPr>
                <w:rFonts w:hint="eastAsia" w:ascii="宋体" w:hAnsi="宋体"/>
                <w:color w:val="auto"/>
                <w:szCs w:val="21"/>
                <w:highlight w:val="none"/>
              </w:rPr>
              <w:t>承担赔偿责任并落实整改到位，情节严重的，</w:t>
            </w:r>
            <w:r>
              <w:rPr>
                <w:rFonts w:hint="eastAsia" w:ascii="宋体" w:hAnsi="宋体"/>
                <w:color w:val="auto"/>
                <w:szCs w:val="21"/>
                <w:highlight w:val="none"/>
                <w:lang w:eastAsia="zh-CN"/>
              </w:rPr>
              <w:t>供应商</w:t>
            </w:r>
            <w:r>
              <w:rPr>
                <w:rFonts w:hint="eastAsia" w:ascii="宋体" w:hAnsi="宋体"/>
                <w:color w:val="auto"/>
                <w:szCs w:val="21"/>
                <w:highlight w:val="none"/>
              </w:rPr>
              <w:t>应当依法承担相应的法律责任</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包含行事责任、行政处罚、民事责任等）</w:t>
            </w:r>
            <w:r>
              <w:rPr>
                <w:rFonts w:hint="eastAsia" w:ascii="宋体" w:hAnsi="宋体"/>
                <w:color w:val="auto"/>
                <w:szCs w:val="21"/>
                <w:highlight w:val="none"/>
              </w:rPr>
              <w:t>及经济赔偿。服务期内因</w:t>
            </w:r>
            <w:r>
              <w:rPr>
                <w:rFonts w:hint="eastAsia" w:ascii="宋体" w:hAnsi="宋体"/>
                <w:color w:val="auto"/>
                <w:szCs w:val="21"/>
                <w:highlight w:val="none"/>
                <w:lang w:eastAsia="zh-CN"/>
              </w:rPr>
              <w:t>供应商</w:t>
            </w:r>
            <w:r>
              <w:rPr>
                <w:rFonts w:hint="eastAsia" w:ascii="宋体" w:hAnsi="宋体"/>
                <w:color w:val="auto"/>
                <w:szCs w:val="21"/>
                <w:highlight w:val="none"/>
              </w:rPr>
              <w:t>原因无法继续履行服务合同，</w:t>
            </w:r>
            <w:r>
              <w:rPr>
                <w:rFonts w:hint="eastAsia" w:ascii="宋体" w:hAnsi="宋体"/>
                <w:color w:val="auto"/>
                <w:szCs w:val="21"/>
                <w:highlight w:val="none"/>
                <w:lang w:eastAsia="zh-CN"/>
              </w:rPr>
              <w:t>供应商</w:t>
            </w:r>
            <w:r>
              <w:rPr>
                <w:rFonts w:hint="eastAsia" w:ascii="宋体" w:hAnsi="宋体"/>
                <w:color w:val="auto"/>
                <w:szCs w:val="21"/>
                <w:highlight w:val="none"/>
              </w:rPr>
              <w:t>所投入的所有设备等资产无偿归甲方所有。</w:t>
            </w:r>
          </w:p>
          <w:p w14:paraId="6E43E9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供应商</w:t>
            </w:r>
            <w:r>
              <w:rPr>
                <w:rFonts w:hint="eastAsia" w:ascii="宋体" w:hAnsi="宋体"/>
                <w:color w:val="auto"/>
                <w:szCs w:val="21"/>
                <w:highlight w:val="none"/>
              </w:rPr>
              <w:t>如使用食品食材等相关材料不符合国家有关强制性的技术规范，食品原料采购、制作、加工过程中出现食品非法添加行为、食品滥用添加行为，使用有毒、有害的非食品原料加工食品的行为等违法违规行为的；</w:t>
            </w:r>
          </w:p>
          <w:p w14:paraId="440400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（2）发生3人以上食物中毒，食品需进行送检（注：送检所产生的费用由</w:t>
            </w:r>
            <w:r>
              <w:rPr>
                <w:rFonts w:hint="eastAsia" w:ascii="宋体" w:hAnsi="宋体"/>
                <w:color w:val="auto"/>
                <w:szCs w:val="21"/>
                <w:highlight w:val="none"/>
                <w:lang w:eastAsia="zh-CN"/>
              </w:rPr>
              <w:t>供应商</w:t>
            </w:r>
            <w:r>
              <w:rPr>
                <w:rFonts w:hint="eastAsia" w:ascii="宋体" w:hAnsi="宋体"/>
                <w:color w:val="auto"/>
                <w:szCs w:val="21"/>
                <w:highlight w:val="none"/>
              </w:rPr>
              <w:t>承担），被食品安全管理部门确定为食堂提供餐食原因的，或消防等安全生产责任事故，造成严重后果的；</w:t>
            </w:r>
          </w:p>
          <w:p w14:paraId="1A712E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（3）因食品价格、质量、卫生和服务等引发多数民辅警投诉，影响恶劣的；</w:t>
            </w:r>
          </w:p>
          <w:p w14:paraId="4C109D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（4）因</w:t>
            </w:r>
            <w:r>
              <w:rPr>
                <w:rFonts w:hint="eastAsia" w:ascii="宋体" w:hAnsi="宋体"/>
                <w:color w:val="auto"/>
                <w:szCs w:val="21"/>
                <w:highlight w:val="none"/>
                <w:lang w:eastAsia="zh-CN"/>
              </w:rPr>
              <w:t>供应商</w:t>
            </w:r>
            <w:r>
              <w:rPr>
                <w:rFonts w:hint="eastAsia" w:ascii="宋体" w:hAnsi="宋体"/>
                <w:color w:val="auto"/>
                <w:szCs w:val="21"/>
                <w:highlight w:val="none"/>
              </w:rPr>
              <w:t>责任，导致所管理的</w:t>
            </w:r>
            <w:r>
              <w:rPr>
                <w:rFonts w:hint="eastAsia" w:ascii="宋体" w:hAnsi="宋体"/>
                <w:color w:val="auto"/>
                <w:szCs w:val="21"/>
                <w:highlight w:val="none"/>
                <w:lang w:eastAsia="zh-CN"/>
              </w:rPr>
              <w:t>食堂</w:t>
            </w:r>
            <w:r>
              <w:rPr>
                <w:rFonts w:hint="eastAsia" w:ascii="宋体" w:hAnsi="宋体"/>
                <w:color w:val="auto"/>
                <w:szCs w:val="21"/>
                <w:highlight w:val="none"/>
              </w:rPr>
              <w:t>未在规定期限内取得饮食行业经营资格的；</w:t>
            </w:r>
          </w:p>
          <w:p w14:paraId="655CF5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（5）在经营过程中，出现掺杂作假、销售无证食品、未按照经营范围经营等违规行为，经采购人规劝，限期整改依然无效且情节严重的；</w:t>
            </w:r>
          </w:p>
          <w:p w14:paraId="3848C5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（6）在经营过程中存在转包、分包经营或挂靠经营行为的；</w:t>
            </w:r>
          </w:p>
          <w:p w14:paraId="079B72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（7）在经营过程中，因</w:t>
            </w:r>
            <w:r>
              <w:rPr>
                <w:rFonts w:hint="eastAsia" w:ascii="宋体" w:hAnsi="宋体"/>
                <w:color w:val="auto"/>
                <w:szCs w:val="21"/>
                <w:highlight w:val="none"/>
                <w:lang w:eastAsia="zh-CN"/>
              </w:rPr>
              <w:t>供应商</w:t>
            </w:r>
            <w:r>
              <w:rPr>
                <w:rFonts w:hint="eastAsia" w:ascii="宋体" w:hAnsi="宋体"/>
                <w:color w:val="auto"/>
                <w:szCs w:val="21"/>
                <w:highlight w:val="none"/>
              </w:rPr>
              <w:t>过失导致采购人被行政处罚或其他违反法律导致严重后果的行为的；</w:t>
            </w:r>
          </w:p>
          <w:p w14:paraId="34E771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（8）与伙食供应商勾结私开、增开发票、做假账。</w:t>
            </w:r>
          </w:p>
          <w:p w14:paraId="19A3C64F">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.服务期内非</w:t>
            </w:r>
            <w:r>
              <w:rPr>
                <w:rFonts w:hint="eastAsia" w:ascii="宋体" w:hAnsi="宋体"/>
                <w:color w:val="auto"/>
                <w:szCs w:val="21"/>
                <w:highlight w:val="none"/>
                <w:lang w:eastAsia="zh-CN"/>
              </w:rPr>
              <w:t>供应商</w:t>
            </w:r>
            <w:r>
              <w:rPr>
                <w:rFonts w:hint="eastAsia" w:ascii="宋体" w:hAnsi="宋体"/>
                <w:color w:val="auto"/>
                <w:szCs w:val="21"/>
                <w:highlight w:val="none"/>
              </w:rPr>
              <w:t>原因无法继续履行服务合同，</w:t>
            </w:r>
            <w:r>
              <w:rPr>
                <w:rFonts w:hint="eastAsia" w:ascii="宋体" w:hAnsi="宋体"/>
                <w:color w:val="auto"/>
                <w:szCs w:val="21"/>
                <w:highlight w:val="none"/>
                <w:lang w:eastAsia="zh-CN"/>
              </w:rPr>
              <w:t>供应商</w:t>
            </w:r>
            <w:r>
              <w:rPr>
                <w:rFonts w:hint="eastAsia" w:ascii="宋体" w:hAnsi="宋体"/>
                <w:color w:val="auto"/>
                <w:szCs w:val="21"/>
                <w:highlight w:val="none"/>
              </w:rPr>
              <w:t>所投入的所有设备等资产</w:t>
            </w:r>
            <w:r>
              <w:rPr>
                <w:rFonts w:hint="eastAsia" w:ascii="宋体" w:hAnsi="宋体"/>
                <w:color w:val="auto"/>
                <w:szCs w:val="21"/>
                <w:highlight w:val="none"/>
                <w:lang w:val="en-US" w:eastAsia="zh-CN"/>
              </w:rPr>
              <w:t>归供应商所有，供应商应在限期退出的期限内自行拆离、搬离；如资产不能拆除的，可</w:t>
            </w:r>
            <w:r>
              <w:rPr>
                <w:rFonts w:hint="eastAsia" w:ascii="宋体" w:hAnsi="宋体"/>
                <w:color w:val="auto"/>
                <w:szCs w:val="21"/>
                <w:highlight w:val="none"/>
              </w:rPr>
              <w:t>由双方评估协商后折旧处理</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如供应商未在限期退出前拆离带走的，视为放弃所有权和处置权，则该等资产无偿归甲方所有并由甲方处置</w:t>
            </w:r>
            <w:r>
              <w:rPr>
                <w:rFonts w:hint="eastAsia" w:ascii="宋体" w:hAnsi="宋体"/>
                <w:color w:val="auto"/>
                <w:szCs w:val="21"/>
                <w:highlight w:val="none"/>
              </w:rPr>
              <w:t>。</w:t>
            </w:r>
          </w:p>
          <w:p w14:paraId="1C6D716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在食品卫生监督部门日常监督检查中，</w:t>
            </w:r>
            <w:r>
              <w:rPr>
                <w:rFonts w:hint="eastAsia" w:ascii="宋体" w:hAnsi="宋体"/>
                <w:color w:val="auto"/>
                <w:szCs w:val="21"/>
                <w:highlight w:val="none"/>
                <w:lang w:val="en-US" w:eastAsia="zh-CN"/>
              </w:rPr>
              <w:t>除</w:t>
            </w:r>
            <w:r>
              <w:rPr>
                <w:rFonts w:hint="eastAsia" w:ascii="宋体" w:hAnsi="宋体"/>
                <w:color w:val="auto"/>
                <w:szCs w:val="21"/>
                <w:highlight w:val="none"/>
              </w:rPr>
              <w:t>被认定为食源性传染性疾病的</w:t>
            </w:r>
            <w:r>
              <w:rPr>
                <w:rFonts w:hint="eastAsia" w:ascii="宋体" w:hAnsi="宋体"/>
                <w:color w:val="auto"/>
                <w:szCs w:val="21"/>
                <w:highlight w:val="none"/>
                <w:lang w:eastAsia="zh-CN"/>
              </w:rPr>
              <w:t>，</w:t>
            </w:r>
            <w:r>
              <w:rPr>
                <w:rFonts w:hint="eastAsia" w:ascii="宋体" w:hAnsi="宋体"/>
                <w:color w:val="auto"/>
                <w:szCs w:val="21"/>
                <w:highlight w:val="none"/>
              </w:rPr>
              <w:t>或被卫生监督部门处罚的除按《食品卫生法》规定进行处罚外，如因</w:t>
            </w:r>
            <w:r>
              <w:rPr>
                <w:rFonts w:hint="eastAsia" w:ascii="宋体" w:hAnsi="宋体"/>
                <w:color w:val="auto"/>
                <w:szCs w:val="21"/>
                <w:highlight w:val="none"/>
                <w:lang w:eastAsia="zh-CN"/>
              </w:rPr>
              <w:t>供应商</w:t>
            </w:r>
            <w:r>
              <w:rPr>
                <w:rFonts w:hint="eastAsia" w:ascii="宋体" w:hAnsi="宋体"/>
                <w:color w:val="auto"/>
                <w:szCs w:val="21"/>
                <w:highlight w:val="none"/>
              </w:rPr>
              <w:t>原因造成情节严重的，采购人有权依法解除或终止本合同，并由</w:t>
            </w:r>
            <w:r>
              <w:rPr>
                <w:rFonts w:hint="eastAsia" w:ascii="宋体" w:hAnsi="宋体"/>
                <w:color w:val="auto"/>
                <w:szCs w:val="21"/>
                <w:highlight w:val="none"/>
                <w:lang w:eastAsia="zh-CN"/>
              </w:rPr>
              <w:t>供应商</w:t>
            </w:r>
            <w:r>
              <w:rPr>
                <w:rFonts w:hint="eastAsia" w:ascii="宋体" w:hAnsi="宋体"/>
                <w:color w:val="auto"/>
                <w:szCs w:val="21"/>
                <w:highlight w:val="none"/>
              </w:rPr>
              <w:t>承担</w:t>
            </w:r>
            <w:r>
              <w:rPr>
                <w:rFonts w:hint="eastAsia" w:ascii="宋体" w:hAnsi="宋体"/>
                <w:color w:val="auto"/>
                <w:szCs w:val="21"/>
                <w:highlight w:val="none"/>
                <w:lang w:val="en-US" w:eastAsia="zh-CN"/>
              </w:rPr>
              <w:t>全部</w:t>
            </w:r>
            <w:r>
              <w:rPr>
                <w:rFonts w:hint="eastAsia" w:ascii="宋体" w:hAnsi="宋体"/>
                <w:color w:val="auto"/>
                <w:szCs w:val="21"/>
                <w:highlight w:val="none"/>
              </w:rPr>
              <w:t>责任。</w:t>
            </w:r>
          </w:p>
          <w:p w14:paraId="7060E4E9">
            <w:pPr>
              <w:spacing w:line="360" w:lineRule="auto"/>
              <w:rPr>
                <w:rFonts w:hint="eastAsia" w:ascii="宋体" w:hAnsi="宋体"/>
                <w:b/>
                <w:color w:val="auto"/>
                <w:szCs w:val="21"/>
                <w:highlight w:val="none"/>
              </w:rPr>
            </w:pPr>
            <w:r>
              <w:rPr>
                <w:rFonts w:hint="eastAsia" w:ascii="宋体" w:hAnsi="宋体"/>
                <w:b/>
                <w:color w:val="auto"/>
                <w:szCs w:val="21"/>
                <w:highlight w:val="none"/>
              </w:rPr>
              <w:t>十二、合同约定</w:t>
            </w:r>
          </w:p>
          <w:p w14:paraId="0C68AD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（一）合同期内，因不可抗</w:t>
            </w:r>
            <w:r>
              <w:rPr>
                <w:rFonts w:hint="eastAsia" w:ascii="宋体" w:hAnsi="宋体"/>
                <w:color w:val="auto"/>
                <w:szCs w:val="21"/>
                <w:highlight w:val="none"/>
                <w:lang w:val="en-US" w:eastAsia="zh-CN"/>
              </w:rPr>
              <w:t>力</w:t>
            </w:r>
            <w:r>
              <w:rPr>
                <w:rFonts w:hint="eastAsia" w:ascii="宋体" w:hAnsi="宋体"/>
                <w:color w:val="auto"/>
                <w:szCs w:val="21"/>
                <w:highlight w:val="none"/>
              </w:rPr>
              <w:t>因素（自然灾害、战争等）造成</w:t>
            </w:r>
            <w:r>
              <w:rPr>
                <w:rFonts w:hint="eastAsia" w:ascii="宋体" w:hAnsi="宋体"/>
                <w:color w:val="auto"/>
                <w:szCs w:val="21"/>
                <w:highlight w:val="none"/>
                <w:lang w:eastAsia="zh-CN"/>
              </w:rPr>
              <w:t>供应商</w:t>
            </w:r>
            <w:r>
              <w:rPr>
                <w:rFonts w:hint="eastAsia" w:ascii="宋体" w:hAnsi="宋体"/>
                <w:color w:val="auto"/>
                <w:szCs w:val="21"/>
                <w:highlight w:val="none"/>
              </w:rPr>
              <w:t>一方提前终止合同，双方均不构成违约。</w:t>
            </w:r>
            <w:r>
              <w:rPr>
                <w:rFonts w:hint="eastAsia" w:ascii="宋体" w:hAnsi="宋体"/>
                <w:color w:val="auto"/>
                <w:szCs w:val="21"/>
                <w:highlight w:val="none"/>
                <w:lang w:eastAsia="zh-CN"/>
              </w:rPr>
              <w:t>供应商</w:t>
            </w:r>
            <w:r>
              <w:rPr>
                <w:rFonts w:hint="eastAsia" w:ascii="宋体" w:hAnsi="宋体"/>
                <w:color w:val="auto"/>
                <w:szCs w:val="21"/>
                <w:highlight w:val="none"/>
              </w:rPr>
              <w:t>使用采购人的设备，按清单完好向采购人缴清。承包方自投资金建设或购置的设备，按照本规范其他约定款项处理。</w:t>
            </w:r>
          </w:p>
          <w:p w14:paraId="49BAD3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（二）合同期内，因采购人的上级部门或国家政策调整等原因，需要提前终止合同，</w:t>
            </w:r>
            <w:r>
              <w:rPr>
                <w:rFonts w:hint="eastAsia" w:ascii="宋体" w:hAnsi="宋体"/>
                <w:color w:val="auto"/>
                <w:szCs w:val="21"/>
                <w:highlight w:val="none"/>
                <w:lang w:eastAsia="zh-CN"/>
              </w:rPr>
              <w:t>供应商</w:t>
            </w:r>
            <w:r>
              <w:rPr>
                <w:rFonts w:hint="eastAsia" w:ascii="宋体" w:hAnsi="宋体"/>
                <w:color w:val="auto"/>
                <w:szCs w:val="21"/>
                <w:highlight w:val="none"/>
              </w:rPr>
              <w:t>应缴清应缴费用。为减少双方的损失及保障民警伙食的正常供应，采购人可以先行接手经营，双方终止合同。</w:t>
            </w:r>
          </w:p>
          <w:p w14:paraId="147C505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（三）除上述（一）、（二）项所列事由外，采购人或</w:t>
            </w:r>
            <w:r>
              <w:rPr>
                <w:rFonts w:hint="eastAsia" w:ascii="宋体" w:hAnsi="宋体"/>
                <w:color w:val="auto"/>
                <w:szCs w:val="21"/>
                <w:highlight w:val="none"/>
                <w:lang w:eastAsia="zh-CN"/>
              </w:rPr>
              <w:t>供应商</w:t>
            </w:r>
            <w:r>
              <w:rPr>
                <w:rFonts w:hint="eastAsia" w:ascii="宋体" w:hAnsi="宋体"/>
                <w:color w:val="auto"/>
                <w:szCs w:val="21"/>
                <w:highlight w:val="none"/>
              </w:rPr>
              <w:t>因其他原因需提前解除合同的，经双方友好协商一致，可提前解除合同。协商不一致的，任何一方不得单方面终止合同的履行，否则视为违约，违约方需向对方支付违约金2</w:t>
            </w:r>
            <w:r>
              <w:rPr>
                <w:rFonts w:ascii="宋体" w:hAnsi="宋体"/>
                <w:color w:val="auto"/>
                <w:szCs w:val="21"/>
                <w:highlight w:val="none"/>
              </w:rPr>
              <w:t>0</w:t>
            </w:r>
            <w:r>
              <w:rPr>
                <w:rFonts w:hint="eastAsia" w:ascii="宋体" w:hAnsi="宋体"/>
                <w:color w:val="auto"/>
                <w:szCs w:val="21"/>
                <w:highlight w:val="none"/>
              </w:rPr>
              <w:t>万元。</w:t>
            </w:r>
          </w:p>
          <w:p w14:paraId="1CDC99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w:t>
            </w:r>
            <w:r>
              <w:rPr>
                <w:rFonts w:hint="eastAsia" w:ascii="宋体" w:hAnsi="宋体"/>
                <w:color w:val="auto"/>
                <w:szCs w:val="21"/>
                <w:highlight w:val="none"/>
                <w:lang w:val="en-US" w:eastAsia="zh-CN"/>
              </w:rPr>
              <w:t>本</w:t>
            </w:r>
            <w:r>
              <w:rPr>
                <w:rFonts w:hint="eastAsia" w:ascii="宋体" w:hAnsi="宋体"/>
                <w:color w:val="auto"/>
                <w:szCs w:val="21"/>
                <w:highlight w:val="none"/>
              </w:rPr>
              <w:t>合同期</w:t>
            </w:r>
            <w:r>
              <w:rPr>
                <w:rFonts w:hint="eastAsia" w:ascii="宋体" w:hAnsi="宋体"/>
                <w:color w:val="auto"/>
                <w:szCs w:val="21"/>
                <w:highlight w:val="none"/>
                <w:lang w:val="en-US" w:eastAsia="zh-CN"/>
              </w:rPr>
              <w:t>自然届</w:t>
            </w:r>
            <w:r>
              <w:rPr>
                <w:rFonts w:hint="eastAsia" w:ascii="宋体" w:hAnsi="宋体"/>
                <w:color w:val="auto"/>
                <w:szCs w:val="21"/>
                <w:highlight w:val="none"/>
              </w:rPr>
              <w:t>满</w:t>
            </w:r>
            <w:r>
              <w:rPr>
                <w:rFonts w:hint="eastAsia" w:ascii="宋体" w:hAnsi="宋体"/>
                <w:color w:val="auto"/>
                <w:szCs w:val="21"/>
                <w:highlight w:val="none"/>
                <w:lang w:val="en-US" w:eastAsia="zh-CN"/>
              </w:rPr>
              <w:t>的</w:t>
            </w:r>
            <w:r>
              <w:rPr>
                <w:rFonts w:hint="eastAsia" w:ascii="宋体" w:hAnsi="宋体"/>
                <w:color w:val="auto"/>
                <w:szCs w:val="21"/>
                <w:highlight w:val="none"/>
              </w:rPr>
              <w:t>，</w:t>
            </w:r>
            <w:r>
              <w:rPr>
                <w:rFonts w:hint="eastAsia" w:ascii="宋体" w:hAnsi="宋体"/>
                <w:color w:val="auto"/>
                <w:szCs w:val="21"/>
                <w:highlight w:val="none"/>
                <w:lang w:eastAsia="zh-CN"/>
              </w:rPr>
              <w:t>供应商</w:t>
            </w:r>
            <w:r>
              <w:rPr>
                <w:rFonts w:hint="eastAsia" w:ascii="宋体" w:hAnsi="宋体"/>
                <w:color w:val="auto"/>
                <w:szCs w:val="21"/>
                <w:highlight w:val="none"/>
              </w:rPr>
              <w:t>所投入的所有装修、设备等资产无偿归采购人所有。</w:t>
            </w:r>
          </w:p>
          <w:p w14:paraId="5EFA91A8">
            <w:pPr>
              <w:spacing w:line="360" w:lineRule="auto"/>
              <w:rPr>
                <w:rFonts w:hint="eastAsia" w:ascii="宋体" w:hAnsi="宋体"/>
                <w:b/>
                <w:color w:val="auto"/>
                <w:szCs w:val="21"/>
                <w:highlight w:val="none"/>
              </w:rPr>
            </w:pPr>
            <w:r>
              <w:rPr>
                <w:rFonts w:hint="eastAsia" w:ascii="宋体" w:hAnsi="宋体"/>
                <w:b/>
                <w:color w:val="auto"/>
                <w:szCs w:val="21"/>
                <w:highlight w:val="none"/>
              </w:rPr>
              <w:t>十三、考核标准</w:t>
            </w:r>
          </w:p>
          <w:p w14:paraId="0C5C56B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每季度由采购人组织相关部门人员根据附件1《防城港市公安局警官食堂管理服务日常考核标准》的相关内容和规定进行考核。</w:t>
            </w:r>
          </w:p>
          <w:p w14:paraId="4FA6343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1、问卷</w:t>
            </w:r>
            <w:r>
              <w:rPr>
                <w:rFonts w:hint="eastAsia" w:ascii="宋体" w:hAnsi="宋体"/>
                <w:color w:val="auto"/>
                <w:szCs w:val="21"/>
                <w:highlight w:val="none"/>
                <w:lang w:val="en-US" w:eastAsia="zh-CN"/>
              </w:rPr>
              <w:t>调查</w:t>
            </w:r>
          </w:p>
          <w:p w14:paraId="078067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采购人每季度向民警发放不记名满意度调查问卷 (总分为100分，</w:t>
            </w:r>
            <w:r>
              <w:rPr>
                <w:rFonts w:hint="eastAsia" w:ascii="宋体" w:hAnsi="宋体"/>
                <w:color w:val="auto"/>
                <w:szCs w:val="21"/>
                <w:highlight w:val="none"/>
                <w:lang w:val="en-US" w:eastAsia="zh-CN"/>
              </w:rPr>
              <w:t>达</w:t>
            </w:r>
            <w:r>
              <w:rPr>
                <w:rFonts w:hint="eastAsia" w:ascii="宋体" w:hAnsi="宋体"/>
                <w:color w:val="auto"/>
                <w:szCs w:val="21"/>
                <w:highlight w:val="none"/>
              </w:rPr>
              <w:t>80分以上</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含本数）</w:t>
            </w:r>
            <w:r>
              <w:rPr>
                <w:rFonts w:hint="eastAsia" w:ascii="宋体" w:hAnsi="宋体"/>
                <w:color w:val="auto"/>
                <w:szCs w:val="21"/>
                <w:highlight w:val="none"/>
              </w:rPr>
              <w:t>为满意，60-79 分为一般，60 分以下</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不含本数）</w:t>
            </w:r>
            <w:r>
              <w:rPr>
                <w:rFonts w:hint="eastAsia" w:ascii="宋体" w:hAnsi="宋体"/>
                <w:color w:val="auto"/>
                <w:szCs w:val="21"/>
                <w:highlight w:val="none"/>
              </w:rPr>
              <w:t>为较差，以收回的问卷数进行满意率调查统计。每季度满意率情况结合考核标准进行综合评定。</w:t>
            </w:r>
          </w:p>
          <w:p w14:paraId="057E5C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季度</w:t>
            </w:r>
            <w:r>
              <w:rPr>
                <w:rFonts w:hint="eastAsia" w:ascii="宋体" w:hAnsi="宋体"/>
                <w:color w:val="auto"/>
                <w:szCs w:val="21"/>
                <w:highlight w:val="none"/>
              </w:rPr>
              <w:t>考核评定</w:t>
            </w:r>
          </w:p>
          <w:p w14:paraId="3DB8EE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采购人组织人员开展不定期的抽查监督，</w:t>
            </w:r>
            <w:r>
              <w:rPr>
                <w:rFonts w:hint="eastAsia" w:ascii="宋体" w:hAnsi="宋体"/>
                <w:color w:val="auto"/>
                <w:szCs w:val="21"/>
                <w:highlight w:val="none"/>
                <w:lang w:val="en-US" w:eastAsia="zh-CN"/>
              </w:rPr>
              <w:t>在每季度考核中作为评分依据</w:t>
            </w:r>
            <w:r>
              <w:rPr>
                <w:rFonts w:hint="eastAsia" w:ascii="宋体" w:hAnsi="宋体"/>
                <w:color w:val="auto"/>
                <w:szCs w:val="21"/>
                <w:highlight w:val="none"/>
              </w:rPr>
              <w:t>。对管理中出现的问题列出问题清单，督促</w:t>
            </w:r>
            <w:r>
              <w:rPr>
                <w:rFonts w:hint="eastAsia" w:ascii="宋体" w:hAnsi="宋体"/>
                <w:color w:val="auto"/>
                <w:szCs w:val="21"/>
                <w:highlight w:val="none"/>
                <w:lang w:eastAsia="zh-CN"/>
              </w:rPr>
              <w:t>供应商</w:t>
            </w:r>
            <w:r>
              <w:rPr>
                <w:rFonts w:hint="eastAsia" w:ascii="宋体" w:hAnsi="宋体"/>
                <w:color w:val="auto"/>
                <w:szCs w:val="21"/>
                <w:highlight w:val="none"/>
              </w:rPr>
              <w:t>限期整改到位，并纳入考核标准综合评定。</w:t>
            </w:r>
          </w:p>
          <w:p w14:paraId="678E0E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3、综合评定</w:t>
            </w:r>
          </w:p>
          <w:p w14:paraId="1FE2ECA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综合评定总分为 100分，每季度进行一次评定，</w:t>
            </w:r>
            <w:r>
              <w:rPr>
                <w:rFonts w:hint="eastAsia" w:ascii="宋体" w:hAnsi="宋体"/>
                <w:color w:val="auto"/>
                <w:szCs w:val="21"/>
                <w:highlight w:val="none"/>
                <w:lang w:val="en-US" w:eastAsia="zh-CN"/>
              </w:rPr>
              <w:t>结合上述</w:t>
            </w:r>
            <w:r>
              <w:rPr>
                <w:rFonts w:hint="eastAsia" w:ascii="宋体" w:hAnsi="宋体"/>
                <w:color w:val="auto"/>
                <w:szCs w:val="21"/>
                <w:highlight w:val="none"/>
              </w:rPr>
              <w:t>问卷调查及季度考核</w:t>
            </w:r>
            <w:r>
              <w:rPr>
                <w:rFonts w:hint="eastAsia" w:ascii="宋体" w:hAnsi="宋体"/>
                <w:color w:val="auto"/>
                <w:szCs w:val="21"/>
                <w:highlight w:val="none"/>
                <w:lang w:val="en-US" w:eastAsia="zh-CN"/>
              </w:rPr>
              <w:t>评定结果</w:t>
            </w:r>
            <w:r>
              <w:rPr>
                <w:rFonts w:hint="eastAsia" w:ascii="宋体" w:hAnsi="宋体"/>
                <w:color w:val="auto"/>
                <w:szCs w:val="21"/>
                <w:highlight w:val="none"/>
              </w:rPr>
              <w:t>的方式进行</w:t>
            </w:r>
            <w:r>
              <w:rPr>
                <w:rFonts w:hint="eastAsia" w:ascii="宋体" w:hAnsi="宋体"/>
                <w:color w:val="auto"/>
                <w:szCs w:val="21"/>
                <w:highlight w:val="none"/>
                <w:lang w:val="en-US" w:eastAsia="zh-CN"/>
              </w:rPr>
              <w:t>综合评定</w:t>
            </w:r>
            <w:r>
              <w:rPr>
                <w:rFonts w:hint="eastAsia" w:ascii="宋体" w:hAnsi="宋体"/>
                <w:color w:val="auto"/>
                <w:szCs w:val="21"/>
                <w:highlight w:val="none"/>
              </w:rPr>
              <w:t>。其中问卷调查权重为20%，季度考核权重为80%。综合评定在80以上（含80分）为合格，80分以下为不合格。不合格进行扣罚处理（扣减该季度管理费6000元），</w:t>
            </w:r>
            <w:r>
              <w:rPr>
                <w:rFonts w:hint="eastAsia" w:ascii="宋体" w:hAnsi="宋体"/>
                <w:color w:val="auto"/>
                <w:szCs w:val="21"/>
                <w:highlight w:val="none"/>
                <w:lang w:val="en-US" w:eastAsia="zh-CN"/>
              </w:rPr>
              <w:t>并给予一个月整改期，整改期满后供应商再次申请考核。如供应商经整改后仍然</w:t>
            </w:r>
            <w:r>
              <w:rPr>
                <w:rFonts w:hint="eastAsia" w:ascii="宋体" w:hAnsi="宋体"/>
                <w:color w:val="auto"/>
                <w:szCs w:val="21"/>
                <w:highlight w:val="none"/>
              </w:rPr>
              <w:t>考核不合格的，采购人有权依法解除合同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且不构成违约</w:t>
            </w:r>
            <w:r>
              <w:rPr>
                <w:rFonts w:hint="eastAsia" w:ascii="宋体" w:hAnsi="宋体"/>
                <w:color w:val="auto"/>
                <w:szCs w:val="21"/>
                <w:highlight w:val="none"/>
              </w:rPr>
              <w:t>。</w:t>
            </w:r>
          </w:p>
        </w:tc>
      </w:tr>
      <w:tr w14:paraId="56140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251" w:type="dxa"/>
            <w:gridSpan w:val="5"/>
            <w:noWrap w:val="0"/>
            <w:vAlign w:val="center"/>
          </w:tcPr>
          <w:p w14:paraId="5AB945C2">
            <w:pPr>
              <w:spacing w:line="360" w:lineRule="auto"/>
              <w:jc w:val="left"/>
              <w:rPr>
                <w:rFonts w:hint="eastAsia" w:ascii="宋体" w:hAnsi="宋体" w:cs="Arial"/>
                <w:b/>
                <w:bCs/>
                <w:iCs/>
                <w:color w:val="auto"/>
                <w:szCs w:val="21"/>
                <w:highlight w:val="none"/>
              </w:rPr>
            </w:pPr>
            <w:r>
              <w:rPr>
                <w:rFonts w:hint="eastAsia" w:ascii="宋体" w:hAnsi="宋体" w:cs="宋体"/>
                <w:color w:val="auto"/>
                <w:szCs w:val="21"/>
                <w:highlight w:val="none"/>
              </w:rPr>
              <w:t>▲</w:t>
            </w:r>
            <w:r>
              <w:rPr>
                <w:rFonts w:hint="eastAsia" w:ascii="宋体" w:hAnsi="宋体" w:cs="Arial"/>
                <w:b/>
                <w:bCs/>
                <w:iCs/>
                <w:color w:val="auto"/>
                <w:szCs w:val="21"/>
                <w:highlight w:val="none"/>
              </w:rPr>
              <w:t>二、商务要求</w:t>
            </w:r>
          </w:p>
        </w:tc>
      </w:tr>
      <w:tr w14:paraId="39CEA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401D035E">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合同签订</w:t>
            </w:r>
          </w:p>
        </w:tc>
        <w:tc>
          <w:tcPr>
            <w:tcW w:w="6369" w:type="dxa"/>
            <w:noWrap w:val="0"/>
            <w:vAlign w:val="center"/>
          </w:tcPr>
          <w:p w14:paraId="51D5E77D">
            <w:pPr>
              <w:spacing w:line="360" w:lineRule="auto"/>
              <w:jc w:val="left"/>
              <w:rPr>
                <w:rFonts w:hint="eastAsia" w:ascii="宋体" w:hAnsi="宋体" w:cs="Arial"/>
                <w:bCs/>
                <w:iCs/>
                <w:color w:val="auto"/>
                <w:szCs w:val="21"/>
                <w:highlight w:val="none"/>
              </w:rPr>
            </w:pPr>
            <w:r>
              <w:rPr>
                <w:rFonts w:hint="eastAsia" w:ascii="宋体" w:hAnsi="宋体" w:cs="Arial"/>
                <w:bCs/>
                <w:iCs/>
                <w:color w:val="auto"/>
                <w:szCs w:val="21"/>
                <w:highlight w:val="none"/>
              </w:rPr>
              <w:t>自成交通知书发出之日起</w:t>
            </w:r>
            <w:r>
              <w:rPr>
                <w:rFonts w:hint="eastAsia" w:ascii="宋体" w:hAnsi="宋体" w:cs="Arial"/>
                <w:bCs/>
                <w:iCs/>
                <w:color w:val="auto"/>
                <w:szCs w:val="21"/>
                <w:highlight w:val="none"/>
                <w:lang w:val="en-US" w:eastAsia="zh-CN"/>
              </w:rPr>
              <w:t>30</w:t>
            </w:r>
            <w:r>
              <w:rPr>
                <w:rFonts w:hint="eastAsia" w:ascii="宋体" w:hAnsi="宋体" w:cs="Arial"/>
                <w:bCs/>
                <w:iCs/>
                <w:color w:val="auto"/>
                <w:szCs w:val="21"/>
                <w:highlight w:val="none"/>
              </w:rPr>
              <w:t>日历天内。</w:t>
            </w:r>
          </w:p>
        </w:tc>
      </w:tr>
      <w:tr w14:paraId="6104C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163F03A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服务期限</w:t>
            </w:r>
          </w:p>
        </w:tc>
        <w:tc>
          <w:tcPr>
            <w:tcW w:w="6369" w:type="dxa"/>
            <w:noWrap w:val="0"/>
            <w:vAlign w:val="center"/>
          </w:tcPr>
          <w:p w14:paraId="20B4ED23">
            <w:pPr>
              <w:spacing w:line="500" w:lineRule="exact"/>
              <w:ind w:firstLine="420" w:firstLineChars="200"/>
              <w:rPr>
                <w:rFonts w:hint="eastAsia" w:ascii="宋体" w:hAnsi="宋体"/>
                <w:color w:val="auto"/>
                <w:highlight w:val="none"/>
              </w:rPr>
            </w:pPr>
            <w:r>
              <w:rPr>
                <w:rFonts w:hint="eastAsia" w:ascii="宋体" w:hAnsi="宋体"/>
                <w:color w:val="auto"/>
                <w:highlight w:val="none"/>
              </w:rPr>
              <w:t>合同服务期限为合同签订生效之日起2年，合同分2期（每期1年）签订，第一年综合考评合格【即第一年度取得3次及以上季度考评合格（含整改后考评合格的）】后，采购双方直接续签第2年合同；如第一年度综合考评不合格的，双方不再续签合同；或季度考评不合格经一个月整改后，再次考核仍不合格的，则采购人有权直接依法解除合同，且采购人行为不构成违约责任。</w:t>
            </w:r>
          </w:p>
        </w:tc>
      </w:tr>
      <w:tr w14:paraId="5BF7B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2882" w:type="dxa"/>
            <w:gridSpan w:val="4"/>
            <w:noWrap w:val="0"/>
            <w:vAlign w:val="center"/>
          </w:tcPr>
          <w:p w14:paraId="0E24825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结算及付款</w:t>
            </w:r>
          </w:p>
        </w:tc>
        <w:tc>
          <w:tcPr>
            <w:tcW w:w="6369" w:type="dxa"/>
            <w:noWrap w:val="0"/>
            <w:vAlign w:val="center"/>
          </w:tcPr>
          <w:p w14:paraId="50BE5DC1">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管理</w:t>
            </w:r>
            <w:r>
              <w:rPr>
                <w:rFonts w:hint="eastAsia" w:ascii="宋体" w:hAnsi="宋体"/>
                <w:color w:val="auto"/>
                <w:szCs w:val="21"/>
                <w:highlight w:val="none"/>
              </w:rPr>
              <w:t>服务费原则上按季度支付，下一个季度支付上一个季度</w:t>
            </w:r>
            <w:r>
              <w:rPr>
                <w:rFonts w:hint="eastAsia" w:ascii="宋体" w:hAnsi="宋体"/>
                <w:color w:val="auto"/>
                <w:szCs w:val="21"/>
                <w:highlight w:val="none"/>
                <w:lang w:val="en-US" w:eastAsia="zh-CN"/>
              </w:rPr>
              <w:t>管理</w:t>
            </w:r>
            <w:r>
              <w:rPr>
                <w:rFonts w:hint="eastAsia" w:ascii="宋体" w:hAnsi="宋体"/>
                <w:color w:val="auto"/>
                <w:szCs w:val="21"/>
                <w:highlight w:val="none"/>
              </w:rPr>
              <w:t>服务费，对因服务质量不达标或其他原因而被处罚的款项均从</w:t>
            </w:r>
            <w:r>
              <w:rPr>
                <w:rFonts w:hint="eastAsia" w:ascii="宋体" w:hAnsi="宋体"/>
                <w:color w:val="auto"/>
                <w:szCs w:val="21"/>
                <w:highlight w:val="none"/>
                <w:lang w:eastAsia="zh-CN"/>
              </w:rPr>
              <w:t>供应商</w:t>
            </w:r>
            <w:r>
              <w:rPr>
                <w:rFonts w:hint="eastAsia" w:ascii="宋体" w:hAnsi="宋体"/>
                <w:color w:val="auto"/>
                <w:szCs w:val="21"/>
                <w:highlight w:val="none"/>
              </w:rPr>
              <w:t>应得的服务费中一次性扣除。签订合同后，采购人确定</w:t>
            </w:r>
            <w:r>
              <w:rPr>
                <w:rFonts w:hint="eastAsia" w:ascii="宋体" w:hAnsi="宋体"/>
                <w:color w:val="auto"/>
                <w:szCs w:val="21"/>
                <w:highlight w:val="none"/>
                <w:lang w:eastAsia="zh-CN"/>
              </w:rPr>
              <w:t>供应商</w:t>
            </w:r>
            <w:r>
              <w:rPr>
                <w:rFonts w:hint="eastAsia" w:ascii="宋体" w:hAnsi="宋体"/>
                <w:color w:val="auto"/>
                <w:szCs w:val="21"/>
                <w:highlight w:val="none"/>
              </w:rPr>
              <w:t>具备正式进场服务条件之日起10个工作日内支付</w:t>
            </w:r>
            <w:r>
              <w:rPr>
                <w:rFonts w:hint="eastAsia" w:ascii="宋体" w:hAnsi="宋体"/>
                <w:color w:val="auto"/>
                <w:szCs w:val="21"/>
                <w:highlight w:val="none"/>
                <w:lang w:eastAsia="zh-CN"/>
              </w:rPr>
              <w:t>项目</w:t>
            </w:r>
            <w:r>
              <w:rPr>
                <w:rFonts w:hint="eastAsia" w:ascii="宋体" w:hAnsi="宋体"/>
                <w:color w:val="auto"/>
                <w:szCs w:val="21"/>
                <w:highlight w:val="none"/>
                <w:lang w:val="en-US" w:eastAsia="zh-CN"/>
              </w:rPr>
              <w:t>成交</w:t>
            </w:r>
            <w:r>
              <w:rPr>
                <w:rFonts w:hint="eastAsia" w:ascii="宋体" w:hAnsi="宋体"/>
                <w:color w:val="auto"/>
                <w:szCs w:val="21"/>
                <w:highlight w:val="none"/>
                <w:lang w:eastAsia="zh-CN"/>
              </w:rPr>
              <w:t>金额</w:t>
            </w:r>
            <w:r>
              <w:rPr>
                <w:rFonts w:hint="eastAsia" w:ascii="宋体" w:hAnsi="宋体"/>
                <w:color w:val="auto"/>
                <w:szCs w:val="21"/>
                <w:highlight w:val="none"/>
                <w:lang w:val="en-US" w:eastAsia="zh-CN"/>
              </w:rPr>
              <w:t>中年度金额</w:t>
            </w:r>
            <w:r>
              <w:rPr>
                <w:rFonts w:hint="eastAsia" w:ascii="宋体" w:hAnsi="宋体"/>
                <w:color w:val="auto"/>
                <w:szCs w:val="21"/>
                <w:highlight w:val="none"/>
                <w:lang w:eastAsia="zh-CN"/>
              </w:rPr>
              <w:t>的30%给</w:t>
            </w:r>
            <w:r>
              <w:rPr>
                <w:rFonts w:hint="eastAsia" w:ascii="宋体" w:hAnsi="宋体"/>
                <w:color w:val="auto"/>
                <w:szCs w:val="21"/>
                <w:highlight w:val="none"/>
              </w:rPr>
              <w:t>成交人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季度管理服务费金额按照项目成交金额减去30%预付款后平均计算</w:t>
            </w:r>
            <w:r>
              <w:rPr>
                <w:rFonts w:hint="eastAsia" w:ascii="宋体" w:hAnsi="宋体"/>
                <w:color w:val="auto"/>
                <w:szCs w:val="21"/>
                <w:highlight w:val="none"/>
              </w:rPr>
              <w:t>。</w:t>
            </w:r>
          </w:p>
          <w:p w14:paraId="0C206436">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2、每季度结束的10日内</w:t>
            </w:r>
            <w:r>
              <w:rPr>
                <w:rFonts w:hint="eastAsia" w:ascii="宋体" w:hAnsi="宋体"/>
                <w:color w:val="auto"/>
                <w:szCs w:val="21"/>
                <w:highlight w:val="none"/>
                <w:lang w:eastAsia="zh-CN"/>
              </w:rPr>
              <w:t>供应商</w:t>
            </w:r>
            <w:r>
              <w:rPr>
                <w:rFonts w:hint="eastAsia" w:ascii="宋体" w:hAnsi="宋体"/>
                <w:color w:val="auto"/>
                <w:szCs w:val="21"/>
                <w:highlight w:val="none"/>
              </w:rPr>
              <w:t>向采购人提供上季度食堂管理</w:t>
            </w:r>
            <w:r>
              <w:rPr>
                <w:rFonts w:hint="eastAsia" w:ascii="宋体" w:hAnsi="宋体"/>
                <w:color w:val="auto"/>
                <w:szCs w:val="21"/>
                <w:highlight w:val="none"/>
                <w:lang w:val="en-US" w:eastAsia="zh-CN"/>
              </w:rPr>
              <w:t>服务</w:t>
            </w:r>
            <w:r>
              <w:rPr>
                <w:rFonts w:hint="eastAsia" w:ascii="宋体" w:hAnsi="宋体"/>
                <w:color w:val="auto"/>
                <w:szCs w:val="21"/>
                <w:highlight w:val="none"/>
              </w:rPr>
              <w:t>费的正规增值税发票，采购人在收到</w:t>
            </w:r>
            <w:r>
              <w:rPr>
                <w:rFonts w:hint="eastAsia" w:ascii="宋体" w:hAnsi="宋体"/>
                <w:color w:val="auto"/>
                <w:szCs w:val="21"/>
                <w:highlight w:val="none"/>
                <w:lang w:eastAsia="zh-CN"/>
              </w:rPr>
              <w:t>供应商</w:t>
            </w:r>
            <w:r>
              <w:rPr>
                <w:rFonts w:hint="eastAsia" w:ascii="宋体" w:hAnsi="宋体"/>
                <w:color w:val="auto"/>
                <w:szCs w:val="21"/>
                <w:highlight w:val="none"/>
              </w:rPr>
              <w:t>开具的正规发票后及时将应付款以转账方式足额转入</w:t>
            </w:r>
            <w:r>
              <w:rPr>
                <w:rFonts w:hint="eastAsia" w:ascii="宋体" w:hAnsi="宋体"/>
                <w:color w:val="auto"/>
                <w:szCs w:val="21"/>
                <w:highlight w:val="none"/>
                <w:lang w:eastAsia="zh-CN"/>
              </w:rPr>
              <w:t>供应商</w:t>
            </w:r>
            <w:r>
              <w:rPr>
                <w:rFonts w:hint="eastAsia" w:ascii="宋体" w:hAnsi="宋体"/>
                <w:color w:val="auto"/>
                <w:szCs w:val="21"/>
                <w:highlight w:val="none"/>
              </w:rPr>
              <w:t>账户。</w:t>
            </w:r>
            <w:r>
              <w:rPr>
                <w:rFonts w:hint="eastAsia" w:ascii="宋体" w:hAnsi="宋体"/>
                <w:color w:val="auto"/>
                <w:szCs w:val="21"/>
                <w:highlight w:val="none"/>
                <w:lang w:eastAsia="zh-CN"/>
              </w:rPr>
              <w:t>供应商</w:t>
            </w:r>
            <w:r>
              <w:rPr>
                <w:rFonts w:hint="eastAsia" w:ascii="宋体" w:hAnsi="宋体"/>
                <w:color w:val="auto"/>
                <w:szCs w:val="21"/>
                <w:highlight w:val="none"/>
              </w:rPr>
              <w:t>未按约定提交发票的，采购人有权延长付款时间而不视为违约。因</w:t>
            </w:r>
            <w:r>
              <w:rPr>
                <w:rFonts w:hint="eastAsia" w:ascii="宋体" w:hAnsi="宋体"/>
                <w:color w:val="auto"/>
                <w:szCs w:val="21"/>
                <w:highlight w:val="none"/>
                <w:lang w:eastAsia="zh-CN"/>
              </w:rPr>
              <w:t>供应商</w:t>
            </w:r>
            <w:r>
              <w:rPr>
                <w:rFonts w:hint="eastAsia" w:ascii="宋体" w:hAnsi="宋体"/>
                <w:color w:val="auto"/>
                <w:szCs w:val="21"/>
                <w:highlight w:val="none"/>
              </w:rPr>
              <w:t>原因造成增值税专用发票无法认证抵扣、发票监控异常面造成损失的，所有法律责任均由</w:t>
            </w:r>
            <w:r>
              <w:rPr>
                <w:rFonts w:hint="eastAsia" w:ascii="宋体" w:hAnsi="宋体"/>
                <w:color w:val="auto"/>
                <w:szCs w:val="21"/>
                <w:highlight w:val="none"/>
                <w:lang w:eastAsia="zh-CN"/>
              </w:rPr>
              <w:t>供应商</w:t>
            </w:r>
            <w:r>
              <w:rPr>
                <w:rFonts w:hint="eastAsia" w:ascii="宋体" w:hAnsi="宋体"/>
                <w:color w:val="auto"/>
                <w:szCs w:val="21"/>
                <w:highlight w:val="none"/>
              </w:rPr>
              <w:t>自行承担；若因此给采购人造成损失的，</w:t>
            </w:r>
            <w:r>
              <w:rPr>
                <w:rFonts w:hint="eastAsia" w:ascii="宋体" w:hAnsi="宋体"/>
                <w:color w:val="auto"/>
                <w:szCs w:val="21"/>
                <w:highlight w:val="none"/>
                <w:lang w:eastAsia="zh-CN"/>
              </w:rPr>
              <w:t>供应商</w:t>
            </w:r>
            <w:r>
              <w:rPr>
                <w:rFonts w:hint="eastAsia" w:ascii="宋体" w:hAnsi="宋体"/>
                <w:color w:val="auto"/>
                <w:szCs w:val="21"/>
                <w:highlight w:val="none"/>
              </w:rPr>
              <w:t>应当承担全部赔偿责任</w:t>
            </w:r>
            <w:r>
              <w:rPr>
                <w:rFonts w:hint="eastAsia" w:ascii="宋体" w:hAnsi="宋体"/>
                <w:color w:val="auto"/>
                <w:szCs w:val="21"/>
                <w:highlight w:val="none"/>
                <w:lang w:eastAsia="zh-CN"/>
              </w:rPr>
              <w:t>。</w:t>
            </w:r>
          </w:p>
          <w:p w14:paraId="1F2CD077">
            <w:pPr>
              <w:spacing w:line="360" w:lineRule="auto"/>
              <w:rPr>
                <w:rFonts w:hint="eastAsia" w:ascii="宋体" w:hAnsi="宋体"/>
                <w:color w:val="auto"/>
                <w:szCs w:val="21"/>
                <w:highlight w:val="none"/>
              </w:rPr>
            </w:pPr>
            <w:r>
              <w:rPr>
                <w:rFonts w:hint="eastAsia" w:ascii="宋体" w:hAnsi="宋体"/>
                <w:color w:val="auto"/>
                <w:szCs w:val="21"/>
                <w:highlight w:val="none"/>
              </w:rPr>
              <w:t>3、如遇法定节假日采购人有加班工作的，</w:t>
            </w:r>
            <w:r>
              <w:rPr>
                <w:rFonts w:hint="eastAsia" w:ascii="宋体" w:hAnsi="宋体"/>
                <w:color w:val="auto"/>
                <w:szCs w:val="21"/>
                <w:highlight w:val="none"/>
                <w:lang w:eastAsia="zh-CN"/>
              </w:rPr>
              <w:t>供应商</w:t>
            </w:r>
            <w:r>
              <w:rPr>
                <w:rFonts w:hint="eastAsia" w:ascii="宋体" w:hAnsi="宋体"/>
                <w:color w:val="auto"/>
                <w:szCs w:val="21"/>
                <w:highlight w:val="none"/>
              </w:rPr>
              <w:t>须根据采购人要求提供相应的用餐服务。</w:t>
            </w:r>
          </w:p>
        </w:tc>
      </w:tr>
      <w:tr w14:paraId="7149B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6E2FAAB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报价要求</w:t>
            </w:r>
          </w:p>
        </w:tc>
        <w:tc>
          <w:tcPr>
            <w:tcW w:w="6369" w:type="dxa"/>
            <w:noWrap w:val="0"/>
            <w:vAlign w:val="center"/>
          </w:tcPr>
          <w:p w14:paraId="48BE01CC">
            <w:pPr>
              <w:pStyle w:val="3"/>
              <w:rPr>
                <w:rFonts w:hint="eastAsia" w:ascii="宋体" w:hAnsi="宋体" w:eastAsia="宋体" w:cs="Times New Roman"/>
                <w:bCs w:val="0"/>
                <w:iCs w:val="0"/>
                <w:color w:val="auto"/>
                <w:szCs w:val="21"/>
                <w:highlight w:val="none"/>
              </w:rPr>
            </w:pPr>
            <w:r>
              <w:rPr>
                <w:rFonts w:hint="eastAsia" w:ascii="宋体" w:hAnsi="宋体" w:eastAsia="宋体" w:cs="Times New Roman"/>
                <w:bCs w:val="0"/>
                <w:color w:val="auto"/>
                <w:szCs w:val="21"/>
                <w:highlight w:val="none"/>
                <w:lang w:val="en-US" w:eastAsia="zh-CN"/>
              </w:rPr>
              <w:t>磋商</w:t>
            </w:r>
            <w:r>
              <w:rPr>
                <w:rFonts w:hint="eastAsia" w:ascii="宋体" w:hAnsi="宋体" w:eastAsia="宋体" w:cs="Times New Roman"/>
                <w:bCs w:val="0"/>
                <w:color w:val="auto"/>
                <w:szCs w:val="21"/>
                <w:highlight w:val="none"/>
              </w:rPr>
              <w:t>报价时供应商根据本项目采购预算金额按</w:t>
            </w:r>
            <w:r>
              <w:rPr>
                <w:rFonts w:hint="eastAsia" w:ascii="宋体" w:hAnsi="宋体" w:eastAsia="宋体" w:cs="Times New Roman"/>
                <w:bCs w:val="0"/>
                <w:iCs w:val="0"/>
                <w:color w:val="auto"/>
                <w:szCs w:val="21"/>
                <w:highlight w:val="none"/>
              </w:rPr>
              <w:t>两年的服务期进行总报价。</w:t>
            </w:r>
            <w:r>
              <w:rPr>
                <w:rFonts w:hint="eastAsia" w:ascii="宋体" w:hAnsi="宋体" w:eastAsia="宋体" w:cs="Times New Roman"/>
                <w:bCs w:val="0"/>
                <w:iCs w:val="0"/>
                <w:color w:val="auto"/>
                <w:szCs w:val="21"/>
                <w:highlight w:val="none"/>
                <w:lang w:val="en-US" w:eastAsia="zh-CN"/>
              </w:rPr>
              <w:t>供应商的报价应当</w:t>
            </w:r>
            <w:r>
              <w:rPr>
                <w:rFonts w:hint="eastAsia" w:ascii="宋体" w:hAnsi="宋体" w:eastAsia="宋体" w:cs="Times New Roman"/>
                <w:bCs w:val="0"/>
                <w:iCs w:val="0"/>
                <w:color w:val="auto"/>
                <w:szCs w:val="21"/>
                <w:highlight w:val="none"/>
              </w:rPr>
              <w:t>包括</w:t>
            </w:r>
            <w:r>
              <w:rPr>
                <w:rFonts w:hint="eastAsia" w:ascii="宋体" w:hAnsi="宋体" w:eastAsia="宋体" w:cs="Times New Roman"/>
                <w:bCs w:val="0"/>
                <w:color w:val="auto"/>
                <w:szCs w:val="21"/>
                <w:highlight w:val="none"/>
              </w:rPr>
              <w:t>食堂劳务服务</w:t>
            </w:r>
            <w:r>
              <w:rPr>
                <w:rFonts w:hint="eastAsia" w:ascii="宋体" w:hAnsi="宋体" w:eastAsia="宋体" w:cs="Times New Roman"/>
                <w:bCs w:val="0"/>
                <w:color w:val="auto"/>
                <w:szCs w:val="21"/>
                <w:highlight w:val="none"/>
                <w:lang w:val="en-US" w:eastAsia="zh-CN"/>
              </w:rPr>
              <w:t>费、保险费、</w:t>
            </w:r>
            <w:r>
              <w:rPr>
                <w:rFonts w:hint="eastAsia" w:ascii="宋体" w:hAnsi="宋体" w:eastAsia="宋体" w:cs="Times New Roman"/>
                <w:bCs w:val="0"/>
                <w:color w:val="auto"/>
                <w:szCs w:val="21"/>
                <w:highlight w:val="none"/>
              </w:rPr>
              <w:t>物资按时运抵指定交货地点的运输费用、紧急运输费用、装卸费、搬运费、售后服务费用、</w:t>
            </w:r>
            <w:r>
              <w:rPr>
                <w:rFonts w:hint="eastAsia" w:ascii="宋体" w:hAnsi="宋体" w:eastAsia="宋体" w:cs="Times New Roman"/>
                <w:bCs w:val="0"/>
                <w:iCs w:val="0"/>
                <w:color w:val="auto"/>
                <w:szCs w:val="21"/>
                <w:highlight w:val="none"/>
              </w:rPr>
              <w:t>岗位人员工资、</w:t>
            </w:r>
            <w:r>
              <w:rPr>
                <w:rFonts w:hint="eastAsia" w:ascii="宋体" w:hAnsi="宋体" w:eastAsia="宋体" w:cs="Times New Roman"/>
                <w:bCs w:val="0"/>
                <w:iCs w:val="0"/>
                <w:color w:val="auto"/>
                <w:szCs w:val="21"/>
                <w:highlight w:val="none"/>
                <w:lang w:val="en-US" w:eastAsia="zh-CN"/>
              </w:rPr>
              <w:t>社保费、</w:t>
            </w:r>
            <w:r>
              <w:rPr>
                <w:rFonts w:hint="eastAsia" w:ascii="宋体" w:hAnsi="宋体" w:eastAsia="宋体" w:cs="Times New Roman"/>
                <w:bCs w:val="0"/>
                <w:iCs w:val="0"/>
                <w:color w:val="auto"/>
                <w:szCs w:val="21"/>
                <w:highlight w:val="none"/>
              </w:rPr>
              <w:t>加班费、制服费、管理费及法定税费</w:t>
            </w:r>
            <w:r>
              <w:rPr>
                <w:rFonts w:hint="eastAsia" w:ascii="宋体" w:hAnsi="宋体" w:eastAsia="宋体" w:cs="Times New Roman"/>
                <w:bCs w:val="0"/>
                <w:iCs w:val="0"/>
                <w:color w:val="auto"/>
                <w:szCs w:val="21"/>
                <w:highlight w:val="none"/>
                <w:lang w:val="en-US" w:eastAsia="zh-CN"/>
              </w:rPr>
              <w:t>等全部项目所需费用</w:t>
            </w:r>
            <w:r>
              <w:rPr>
                <w:rFonts w:hint="eastAsia" w:ascii="宋体" w:hAnsi="宋体" w:eastAsia="宋体" w:cs="Times New Roman"/>
                <w:bCs w:val="0"/>
                <w:iCs w:val="0"/>
                <w:color w:val="auto"/>
                <w:szCs w:val="21"/>
                <w:highlight w:val="none"/>
              </w:rPr>
              <w:t>，</w:t>
            </w:r>
            <w:r>
              <w:rPr>
                <w:rFonts w:hint="eastAsia" w:ascii="宋体" w:hAnsi="宋体" w:eastAsia="宋体" w:cs="Times New Roman"/>
                <w:bCs w:val="0"/>
                <w:color w:val="auto"/>
                <w:szCs w:val="21"/>
                <w:highlight w:val="none"/>
                <w:lang w:val="en-US" w:eastAsia="zh-CN"/>
              </w:rPr>
              <w:t>磋商人应确保报价已经包含其履行合同所可能产生的全部费用，采购人不再支出任何其他费用。</w:t>
            </w:r>
            <w:r>
              <w:rPr>
                <w:rFonts w:hint="eastAsia" w:ascii="宋体" w:hAnsi="宋体" w:eastAsia="宋体" w:cs="Times New Roman"/>
                <w:bCs w:val="0"/>
                <w:iCs w:val="0"/>
                <w:color w:val="auto"/>
                <w:szCs w:val="21"/>
                <w:highlight w:val="none"/>
                <w:lang w:val="en-US" w:eastAsia="zh-CN"/>
              </w:rPr>
              <w:t>但上述报价</w:t>
            </w:r>
            <w:r>
              <w:rPr>
                <w:rFonts w:hint="eastAsia" w:ascii="宋体" w:hAnsi="宋体" w:eastAsia="宋体" w:cs="Times New Roman"/>
                <w:bCs w:val="0"/>
                <w:iCs w:val="0"/>
                <w:color w:val="auto"/>
                <w:szCs w:val="21"/>
                <w:highlight w:val="none"/>
              </w:rPr>
              <w:t>不包含食材物品采购费，食材物品采购费用由</w:t>
            </w:r>
            <w:r>
              <w:rPr>
                <w:rFonts w:hint="eastAsia" w:ascii="宋体" w:hAnsi="宋体" w:eastAsia="宋体" w:cs="Times New Roman"/>
                <w:bCs w:val="0"/>
                <w:iCs w:val="0"/>
                <w:color w:val="auto"/>
                <w:szCs w:val="21"/>
                <w:highlight w:val="none"/>
                <w:lang w:eastAsia="zh-CN"/>
              </w:rPr>
              <w:t>供应商</w:t>
            </w:r>
            <w:r>
              <w:rPr>
                <w:rFonts w:hint="eastAsia" w:ascii="宋体" w:hAnsi="宋体" w:eastAsia="宋体" w:cs="Times New Roman"/>
                <w:bCs w:val="0"/>
                <w:iCs w:val="0"/>
                <w:color w:val="auto"/>
                <w:szCs w:val="21"/>
                <w:highlight w:val="none"/>
                <w:lang w:val="en-US" w:eastAsia="zh-CN"/>
              </w:rPr>
              <w:t>自行承担、</w:t>
            </w:r>
            <w:r>
              <w:rPr>
                <w:rFonts w:hint="eastAsia" w:ascii="宋体" w:hAnsi="宋体" w:eastAsia="宋体" w:cs="Times New Roman"/>
                <w:bCs w:val="0"/>
                <w:iCs w:val="0"/>
                <w:color w:val="auto"/>
                <w:szCs w:val="21"/>
                <w:highlight w:val="none"/>
              </w:rPr>
              <w:t>自负盈亏，消费人员消费刷卡产生的营收归属</w:t>
            </w:r>
            <w:r>
              <w:rPr>
                <w:rFonts w:hint="eastAsia" w:ascii="宋体" w:hAnsi="宋体" w:eastAsia="宋体" w:cs="Times New Roman"/>
                <w:bCs w:val="0"/>
                <w:iCs w:val="0"/>
                <w:color w:val="auto"/>
                <w:szCs w:val="21"/>
                <w:highlight w:val="none"/>
                <w:lang w:eastAsia="zh-CN"/>
              </w:rPr>
              <w:t>供应商</w:t>
            </w:r>
            <w:r>
              <w:rPr>
                <w:rFonts w:hint="eastAsia" w:ascii="宋体" w:hAnsi="宋体" w:eastAsia="宋体" w:cs="Times New Roman"/>
                <w:bCs w:val="0"/>
                <w:iCs w:val="0"/>
                <w:color w:val="auto"/>
                <w:szCs w:val="21"/>
                <w:highlight w:val="none"/>
              </w:rPr>
              <w:t>。</w:t>
            </w:r>
          </w:p>
        </w:tc>
      </w:tr>
      <w:tr w14:paraId="5718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2882" w:type="dxa"/>
            <w:gridSpan w:val="4"/>
            <w:noWrap w:val="0"/>
            <w:vAlign w:val="center"/>
          </w:tcPr>
          <w:p w14:paraId="172BE991">
            <w:pPr>
              <w:spacing w:line="360" w:lineRule="auto"/>
              <w:jc w:val="center"/>
              <w:rPr>
                <w:rFonts w:hint="eastAsia" w:ascii="宋体" w:hAnsi="宋体"/>
                <w:b/>
                <w:color w:val="auto"/>
                <w:szCs w:val="21"/>
                <w:highlight w:val="none"/>
              </w:rPr>
            </w:pPr>
            <w:r>
              <w:rPr>
                <w:rFonts w:hint="eastAsia" w:ascii="宋体" w:hAnsi="宋体"/>
                <w:color w:val="auto"/>
                <w:szCs w:val="21"/>
                <w:highlight w:val="none"/>
              </w:rPr>
              <w:t>售后服务要求</w:t>
            </w:r>
          </w:p>
        </w:tc>
        <w:tc>
          <w:tcPr>
            <w:tcW w:w="6369" w:type="dxa"/>
            <w:noWrap w:val="0"/>
            <w:vAlign w:val="center"/>
          </w:tcPr>
          <w:p w14:paraId="0ABE2D93">
            <w:pPr>
              <w:spacing w:line="360" w:lineRule="auto"/>
              <w:rPr>
                <w:rFonts w:hint="eastAsia" w:ascii="宋体" w:hAnsi="宋体"/>
                <w:color w:val="auto"/>
                <w:szCs w:val="21"/>
                <w:highlight w:val="none"/>
              </w:rPr>
            </w:pPr>
            <w:r>
              <w:rPr>
                <w:rFonts w:hint="eastAsia" w:ascii="宋体" w:hAnsi="宋体"/>
                <w:color w:val="auto"/>
                <w:szCs w:val="21"/>
                <w:highlight w:val="none"/>
              </w:rPr>
              <w:t>1、服从采购人管理，及时整改采购人提出的工作中存在的各种问题。</w:t>
            </w:r>
          </w:p>
          <w:p w14:paraId="542F7FF7">
            <w:pPr>
              <w:spacing w:line="360" w:lineRule="auto"/>
              <w:rPr>
                <w:rFonts w:hint="eastAsia" w:ascii="宋体" w:hAnsi="宋体"/>
                <w:color w:val="auto"/>
                <w:szCs w:val="21"/>
                <w:highlight w:val="none"/>
              </w:rPr>
            </w:pPr>
            <w:r>
              <w:rPr>
                <w:rFonts w:hint="eastAsia" w:ascii="宋体" w:hAnsi="宋体"/>
                <w:color w:val="auto"/>
                <w:szCs w:val="21"/>
                <w:highlight w:val="none"/>
              </w:rPr>
              <w:t>2、其他未尽事宜</w:t>
            </w:r>
            <w:r>
              <w:rPr>
                <w:rFonts w:hint="eastAsia" w:ascii="宋体" w:hAnsi="宋体"/>
                <w:color w:val="auto"/>
                <w:szCs w:val="21"/>
                <w:highlight w:val="none"/>
                <w:lang w:val="en-US" w:eastAsia="zh-CN"/>
              </w:rPr>
              <w:t>以</w:t>
            </w:r>
            <w:r>
              <w:rPr>
                <w:rFonts w:hint="eastAsia" w:ascii="宋体" w:hAnsi="宋体"/>
                <w:color w:val="auto"/>
                <w:szCs w:val="21"/>
                <w:highlight w:val="none"/>
              </w:rPr>
              <w:t>双方签订</w:t>
            </w:r>
            <w:r>
              <w:rPr>
                <w:rFonts w:hint="eastAsia" w:ascii="宋体" w:hAnsi="宋体"/>
                <w:color w:val="auto"/>
                <w:szCs w:val="21"/>
                <w:highlight w:val="none"/>
                <w:lang w:val="en-US" w:eastAsia="zh-CN"/>
              </w:rPr>
              <w:t>的</w:t>
            </w:r>
            <w:r>
              <w:rPr>
                <w:rFonts w:hint="eastAsia" w:ascii="宋体" w:hAnsi="宋体"/>
                <w:color w:val="auto"/>
                <w:szCs w:val="21"/>
                <w:highlight w:val="none"/>
              </w:rPr>
              <w:t>合同</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供应商提供的响应文件等内容为准</w:t>
            </w:r>
            <w:r>
              <w:rPr>
                <w:rFonts w:hint="eastAsia" w:ascii="宋体" w:hAnsi="宋体"/>
                <w:color w:val="auto"/>
                <w:szCs w:val="21"/>
                <w:highlight w:val="none"/>
              </w:rPr>
              <w:t>。</w:t>
            </w:r>
          </w:p>
        </w:tc>
      </w:tr>
      <w:tr w14:paraId="52C0C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2882" w:type="dxa"/>
            <w:gridSpan w:val="4"/>
            <w:noWrap w:val="0"/>
            <w:vAlign w:val="center"/>
          </w:tcPr>
          <w:p w14:paraId="211BBE4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验收标准</w:t>
            </w:r>
          </w:p>
        </w:tc>
        <w:tc>
          <w:tcPr>
            <w:tcW w:w="6369" w:type="dxa"/>
            <w:noWrap w:val="0"/>
            <w:vAlign w:val="center"/>
          </w:tcPr>
          <w:p w14:paraId="74A7CB74">
            <w:pPr>
              <w:spacing w:line="320" w:lineRule="exact"/>
              <w:jc w:val="left"/>
              <w:rPr>
                <w:rFonts w:hint="eastAsia" w:ascii="宋体" w:hAnsi="宋体" w:cs="Arial"/>
                <w:color w:val="auto"/>
                <w:szCs w:val="21"/>
                <w:highlight w:val="none"/>
              </w:rPr>
            </w:pPr>
            <w:r>
              <w:rPr>
                <w:rFonts w:hint="eastAsia" w:ascii="宋体" w:hAnsi="宋体" w:cs="Arial"/>
                <w:color w:val="auto"/>
                <w:szCs w:val="21"/>
                <w:highlight w:val="none"/>
              </w:rPr>
              <w:t>按竞争性磋商文件、响应文件、考核标准及有关行业标准</w:t>
            </w:r>
            <w:r>
              <w:rPr>
                <w:rFonts w:hint="eastAsia" w:ascii="宋体" w:hAnsi="宋体" w:cs="Arial"/>
                <w:color w:val="auto"/>
                <w:szCs w:val="21"/>
                <w:highlight w:val="none"/>
                <w:lang w:eastAsia="zh-CN"/>
              </w:rPr>
              <w:t>、</w:t>
            </w:r>
            <w:r>
              <w:rPr>
                <w:rFonts w:hint="eastAsia" w:ascii="宋体" w:hAnsi="宋体" w:cs="Arial"/>
                <w:color w:val="auto"/>
                <w:szCs w:val="21"/>
                <w:highlight w:val="none"/>
                <w:lang w:val="en-US" w:eastAsia="zh-CN"/>
              </w:rPr>
              <w:t>合同约定</w:t>
            </w:r>
            <w:r>
              <w:rPr>
                <w:rFonts w:hint="eastAsia" w:ascii="宋体" w:hAnsi="宋体" w:cs="Arial"/>
                <w:color w:val="auto"/>
                <w:szCs w:val="21"/>
                <w:highlight w:val="none"/>
              </w:rPr>
              <w:t>进行验收。</w:t>
            </w:r>
          </w:p>
        </w:tc>
      </w:tr>
      <w:tr w14:paraId="3D8A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2882" w:type="dxa"/>
            <w:gridSpan w:val="4"/>
            <w:noWrap w:val="0"/>
            <w:vAlign w:val="center"/>
          </w:tcPr>
          <w:p w14:paraId="5B41052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其他要求</w:t>
            </w:r>
          </w:p>
        </w:tc>
        <w:tc>
          <w:tcPr>
            <w:tcW w:w="6369" w:type="dxa"/>
            <w:noWrap w:val="0"/>
            <w:vAlign w:val="center"/>
          </w:tcPr>
          <w:p w14:paraId="380D4930">
            <w:pPr>
              <w:spacing w:line="360" w:lineRule="auto"/>
              <w:jc w:val="left"/>
              <w:rPr>
                <w:rFonts w:hint="eastAsia" w:ascii="宋体" w:hAnsi="宋体" w:cs="Arial"/>
                <w:bCs/>
                <w:iCs/>
                <w:color w:val="auto"/>
                <w:szCs w:val="21"/>
                <w:highlight w:val="none"/>
              </w:rPr>
            </w:pPr>
            <w:r>
              <w:rPr>
                <w:rFonts w:hint="eastAsia" w:ascii="宋体" w:hAnsi="宋体" w:cs="Arial"/>
                <w:bCs/>
                <w:iCs/>
                <w:color w:val="auto"/>
                <w:szCs w:val="21"/>
                <w:highlight w:val="none"/>
              </w:rPr>
              <w:t>1、以上服务要求及商务均不允许负偏离，如有一项则按无效响应处理。</w:t>
            </w:r>
          </w:p>
          <w:p w14:paraId="3476A3BB">
            <w:pPr>
              <w:pStyle w:val="3"/>
              <w:ind w:firstLine="0"/>
              <w:rPr>
                <w:rFonts w:hint="eastAsia"/>
                <w:color w:val="auto"/>
                <w:highlight w:val="none"/>
              </w:rPr>
            </w:pPr>
            <w:r>
              <w:rPr>
                <w:rFonts w:hint="eastAsia"/>
                <w:color w:val="auto"/>
                <w:highlight w:val="none"/>
              </w:rPr>
              <w:t>2、供应商承诺签订合同后进场服务前，针对本项目购买食品安全责任保险。</w:t>
            </w:r>
          </w:p>
          <w:p w14:paraId="4B722092">
            <w:pPr>
              <w:rPr>
                <w:rFonts w:hint="eastAsia"/>
                <w:color w:val="auto"/>
                <w:highlight w:val="none"/>
              </w:rPr>
            </w:pPr>
            <w:r>
              <w:rPr>
                <w:rFonts w:hint="eastAsia"/>
                <w:color w:val="auto"/>
                <w:highlight w:val="none"/>
              </w:rPr>
              <w:t>3、供应商须提供</w:t>
            </w:r>
            <w:r>
              <w:rPr>
                <w:rFonts w:hint="eastAsia" w:ascii="宋体" w:hAnsi="宋体"/>
                <w:bCs/>
                <w:color w:val="auto"/>
                <w:kern w:val="0"/>
                <w:szCs w:val="21"/>
                <w:highlight w:val="none"/>
              </w:rPr>
              <w:t>服务工作方案、</w:t>
            </w:r>
            <w:r>
              <w:rPr>
                <w:rFonts w:hint="eastAsia" w:ascii="宋体" w:hAnsi="宋体" w:cs="Courier New"/>
                <w:bCs/>
                <w:color w:val="auto"/>
                <w:kern w:val="0"/>
                <w:szCs w:val="21"/>
                <w:highlight w:val="none"/>
              </w:rPr>
              <w:t>管理规章制度、服务承诺质量、应急预案、入场和撤场交接方案、拟投入项目人员方案配置及与项目相关的业绩以供评审，具体要求详见评审标准。</w:t>
            </w:r>
          </w:p>
        </w:tc>
      </w:tr>
    </w:tbl>
    <w:p w14:paraId="607692FB">
      <w:pPr>
        <w:spacing w:line="360" w:lineRule="auto"/>
        <w:jc w:val="left"/>
        <w:rPr>
          <w:rFonts w:ascii="宋体" w:hAnsi="宋体" w:cs="Arial"/>
          <w:bCs/>
          <w:iCs/>
          <w:color w:val="auto"/>
          <w:szCs w:val="21"/>
          <w:highlight w:val="none"/>
        </w:rPr>
      </w:pPr>
    </w:p>
    <w:p w14:paraId="4E83007F">
      <w:pPr>
        <w:pStyle w:val="3"/>
        <w:rPr>
          <w:color w:val="auto"/>
          <w:highlight w:val="none"/>
        </w:rPr>
      </w:pPr>
    </w:p>
    <w:p w14:paraId="12328A9B">
      <w:pPr>
        <w:pStyle w:val="3"/>
        <w:rPr>
          <w:rFonts w:hint="eastAsia"/>
          <w:b/>
          <w:color w:val="auto"/>
          <w:highlight w:val="none"/>
        </w:rPr>
      </w:pPr>
      <w:r>
        <w:rPr>
          <w:rFonts w:hint="eastAsia"/>
          <w:b/>
          <w:color w:val="auto"/>
          <w:highlight w:val="none"/>
        </w:rPr>
        <w:t>附件1：防城港市公安局警官食堂管理服务日常考核标准</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5"/>
        <w:gridCol w:w="1439"/>
        <w:gridCol w:w="3671"/>
        <w:gridCol w:w="796"/>
        <w:gridCol w:w="815"/>
        <w:gridCol w:w="1484"/>
      </w:tblGrid>
      <w:tr w14:paraId="3E5DD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0BF8251">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序号</w:t>
            </w:r>
          </w:p>
        </w:tc>
        <w:tc>
          <w:tcPr>
            <w:tcW w:w="1559" w:type="dxa"/>
            <w:noWrap w:val="0"/>
            <w:vAlign w:val="center"/>
          </w:tcPr>
          <w:p w14:paraId="243FF95A">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考核项目</w:t>
            </w:r>
          </w:p>
        </w:tc>
        <w:tc>
          <w:tcPr>
            <w:tcW w:w="4111" w:type="dxa"/>
            <w:noWrap w:val="0"/>
            <w:vAlign w:val="center"/>
          </w:tcPr>
          <w:p w14:paraId="67C18371">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考核内容</w:t>
            </w:r>
          </w:p>
        </w:tc>
        <w:tc>
          <w:tcPr>
            <w:tcW w:w="851" w:type="dxa"/>
            <w:noWrap w:val="0"/>
            <w:vAlign w:val="center"/>
          </w:tcPr>
          <w:p w14:paraId="18A35519">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次数</w:t>
            </w:r>
          </w:p>
        </w:tc>
        <w:tc>
          <w:tcPr>
            <w:tcW w:w="873" w:type="dxa"/>
            <w:noWrap w:val="0"/>
            <w:vAlign w:val="center"/>
          </w:tcPr>
          <w:p w14:paraId="660C3695">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扣分</w:t>
            </w:r>
          </w:p>
        </w:tc>
        <w:tc>
          <w:tcPr>
            <w:tcW w:w="1643" w:type="dxa"/>
            <w:noWrap w:val="0"/>
            <w:vAlign w:val="center"/>
          </w:tcPr>
          <w:p w14:paraId="05E26937">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得分</w:t>
            </w:r>
          </w:p>
        </w:tc>
      </w:tr>
      <w:tr w14:paraId="297E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5B7C228">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1</w:t>
            </w:r>
          </w:p>
        </w:tc>
        <w:tc>
          <w:tcPr>
            <w:tcW w:w="1559" w:type="dxa"/>
            <w:vMerge w:val="restart"/>
            <w:noWrap w:val="0"/>
            <w:vAlign w:val="center"/>
          </w:tcPr>
          <w:p w14:paraId="4DF4A2CC">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一、食品安全卫生质量管理（</w:t>
            </w:r>
            <w:r>
              <w:rPr>
                <w:rFonts w:ascii="宋体" w:hAnsi="宋体"/>
                <w:color w:val="auto"/>
                <w:szCs w:val="21"/>
                <w:highlight w:val="none"/>
              </w:rPr>
              <w:t>30</w:t>
            </w:r>
            <w:r>
              <w:rPr>
                <w:rFonts w:hint="eastAsia" w:ascii="宋体" w:hAnsi="宋体"/>
                <w:color w:val="auto"/>
                <w:szCs w:val="21"/>
                <w:highlight w:val="none"/>
              </w:rPr>
              <w:t>分）</w:t>
            </w:r>
          </w:p>
        </w:tc>
        <w:tc>
          <w:tcPr>
            <w:tcW w:w="4111" w:type="dxa"/>
            <w:noWrap w:val="0"/>
            <w:vAlign w:val="top"/>
          </w:tcPr>
          <w:p w14:paraId="78612C2B">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使用腐烂、变质、过期食材及走私冻货，发现一次扣2分。</w:t>
            </w:r>
          </w:p>
        </w:tc>
        <w:tc>
          <w:tcPr>
            <w:tcW w:w="851" w:type="dxa"/>
            <w:noWrap w:val="0"/>
            <w:vAlign w:val="center"/>
          </w:tcPr>
          <w:p w14:paraId="71EC86FE">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5DFA2119">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5F8FE64D">
            <w:pPr>
              <w:pStyle w:val="3"/>
              <w:spacing w:line="360" w:lineRule="auto"/>
              <w:ind w:firstLine="0"/>
              <w:jc w:val="center"/>
              <w:rPr>
                <w:rFonts w:hint="eastAsia" w:ascii="宋体" w:hAnsi="宋体"/>
                <w:color w:val="auto"/>
                <w:szCs w:val="21"/>
                <w:highlight w:val="none"/>
              </w:rPr>
            </w:pPr>
          </w:p>
        </w:tc>
      </w:tr>
      <w:tr w14:paraId="0638C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A0A9F59">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2</w:t>
            </w:r>
          </w:p>
        </w:tc>
        <w:tc>
          <w:tcPr>
            <w:tcW w:w="1559" w:type="dxa"/>
            <w:vMerge w:val="continue"/>
            <w:noWrap w:val="0"/>
            <w:vAlign w:val="center"/>
          </w:tcPr>
          <w:p w14:paraId="28EB06B2">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7FD66639">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使用地沟油、塑化剂、化学色素，发现一次扣2分。</w:t>
            </w:r>
          </w:p>
        </w:tc>
        <w:tc>
          <w:tcPr>
            <w:tcW w:w="851" w:type="dxa"/>
            <w:noWrap w:val="0"/>
            <w:vAlign w:val="center"/>
          </w:tcPr>
          <w:p w14:paraId="0315B2D1">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5E346642">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28D79441">
            <w:pPr>
              <w:pStyle w:val="3"/>
              <w:spacing w:line="360" w:lineRule="auto"/>
              <w:ind w:firstLine="0"/>
              <w:jc w:val="center"/>
              <w:rPr>
                <w:rFonts w:hint="eastAsia" w:ascii="宋体" w:hAnsi="宋体"/>
                <w:color w:val="auto"/>
                <w:szCs w:val="21"/>
                <w:highlight w:val="none"/>
              </w:rPr>
            </w:pPr>
          </w:p>
        </w:tc>
      </w:tr>
      <w:tr w14:paraId="3C03D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54FFD07">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3</w:t>
            </w:r>
          </w:p>
        </w:tc>
        <w:tc>
          <w:tcPr>
            <w:tcW w:w="1559" w:type="dxa"/>
            <w:vMerge w:val="continue"/>
            <w:noWrap w:val="0"/>
            <w:vAlign w:val="center"/>
          </w:tcPr>
          <w:p w14:paraId="4F25C1CA">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281FD4F">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原材料分类储存，发现原材料未分类存放一次扣0.2分。</w:t>
            </w:r>
          </w:p>
        </w:tc>
        <w:tc>
          <w:tcPr>
            <w:tcW w:w="851" w:type="dxa"/>
            <w:noWrap w:val="0"/>
            <w:vAlign w:val="center"/>
          </w:tcPr>
          <w:p w14:paraId="3429F053">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5AF2A31A">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752DBF40">
            <w:pPr>
              <w:pStyle w:val="3"/>
              <w:spacing w:line="360" w:lineRule="auto"/>
              <w:ind w:firstLine="0"/>
              <w:jc w:val="center"/>
              <w:rPr>
                <w:rFonts w:hint="eastAsia" w:ascii="宋体" w:hAnsi="宋体"/>
                <w:color w:val="auto"/>
                <w:szCs w:val="21"/>
                <w:highlight w:val="none"/>
              </w:rPr>
            </w:pPr>
          </w:p>
        </w:tc>
      </w:tr>
      <w:tr w14:paraId="25F6D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9C8C09D">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4</w:t>
            </w:r>
          </w:p>
        </w:tc>
        <w:tc>
          <w:tcPr>
            <w:tcW w:w="1559" w:type="dxa"/>
            <w:vMerge w:val="continue"/>
            <w:noWrap w:val="0"/>
            <w:vAlign w:val="center"/>
          </w:tcPr>
          <w:p w14:paraId="4817CAD7">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40EABFA">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生、熟区有效分隔，发现未有效分隔扣1分。</w:t>
            </w:r>
          </w:p>
        </w:tc>
        <w:tc>
          <w:tcPr>
            <w:tcW w:w="851" w:type="dxa"/>
            <w:noWrap w:val="0"/>
            <w:vAlign w:val="center"/>
          </w:tcPr>
          <w:p w14:paraId="74C29682">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4CBF64F8">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74350D1A">
            <w:pPr>
              <w:pStyle w:val="3"/>
              <w:spacing w:line="360" w:lineRule="auto"/>
              <w:ind w:firstLine="0"/>
              <w:jc w:val="center"/>
              <w:rPr>
                <w:rFonts w:hint="eastAsia" w:ascii="宋体" w:hAnsi="宋体"/>
                <w:color w:val="auto"/>
                <w:szCs w:val="21"/>
                <w:highlight w:val="none"/>
              </w:rPr>
            </w:pPr>
          </w:p>
        </w:tc>
      </w:tr>
      <w:tr w14:paraId="441F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5A0B4B2">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5</w:t>
            </w:r>
          </w:p>
        </w:tc>
        <w:tc>
          <w:tcPr>
            <w:tcW w:w="1559" w:type="dxa"/>
            <w:vMerge w:val="continue"/>
            <w:noWrap w:val="0"/>
            <w:vAlign w:val="center"/>
          </w:tcPr>
          <w:p w14:paraId="42F9C55A">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4EB55604">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厨具、餐具每餐消毒，发现一次未按规定消毒扣0.5分。</w:t>
            </w:r>
          </w:p>
        </w:tc>
        <w:tc>
          <w:tcPr>
            <w:tcW w:w="851" w:type="dxa"/>
            <w:noWrap w:val="0"/>
            <w:vAlign w:val="center"/>
          </w:tcPr>
          <w:p w14:paraId="725B59AF">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161E6A78">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279F5F7B">
            <w:pPr>
              <w:pStyle w:val="3"/>
              <w:spacing w:line="360" w:lineRule="auto"/>
              <w:ind w:firstLine="0"/>
              <w:jc w:val="center"/>
              <w:rPr>
                <w:rFonts w:hint="eastAsia" w:ascii="宋体" w:hAnsi="宋体"/>
                <w:color w:val="auto"/>
                <w:szCs w:val="21"/>
                <w:highlight w:val="none"/>
              </w:rPr>
            </w:pPr>
          </w:p>
        </w:tc>
      </w:tr>
      <w:tr w14:paraId="21B9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0B3AE3E">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6</w:t>
            </w:r>
          </w:p>
        </w:tc>
        <w:tc>
          <w:tcPr>
            <w:tcW w:w="1559" w:type="dxa"/>
            <w:vMerge w:val="continue"/>
            <w:noWrap w:val="0"/>
            <w:vAlign w:val="center"/>
          </w:tcPr>
          <w:p w14:paraId="4690FB49">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3274261">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shd w:val="clear" w:color="auto" w:fill="FFFFFF"/>
              </w:rPr>
              <w:t>食堂岗位人员无证（健康证）上岗，或证件已过期，每人/每次扣0.5分。食品经营许可证过期扣2分。</w:t>
            </w:r>
          </w:p>
        </w:tc>
        <w:tc>
          <w:tcPr>
            <w:tcW w:w="851" w:type="dxa"/>
            <w:noWrap w:val="0"/>
            <w:vAlign w:val="center"/>
          </w:tcPr>
          <w:p w14:paraId="3BF24D63">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14E6BC13">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6C4A433F">
            <w:pPr>
              <w:pStyle w:val="3"/>
              <w:spacing w:line="360" w:lineRule="auto"/>
              <w:ind w:firstLine="0"/>
              <w:jc w:val="center"/>
              <w:rPr>
                <w:rFonts w:hint="eastAsia" w:ascii="宋体" w:hAnsi="宋体"/>
                <w:color w:val="auto"/>
                <w:szCs w:val="21"/>
                <w:highlight w:val="none"/>
              </w:rPr>
            </w:pPr>
          </w:p>
        </w:tc>
      </w:tr>
      <w:tr w14:paraId="232B8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C62758B">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7</w:t>
            </w:r>
          </w:p>
        </w:tc>
        <w:tc>
          <w:tcPr>
            <w:tcW w:w="1559" w:type="dxa"/>
            <w:vMerge w:val="continue"/>
            <w:noWrap w:val="0"/>
            <w:vAlign w:val="center"/>
          </w:tcPr>
          <w:p w14:paraId="645FEC29">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4D24ED34">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使用“三无”食品原材料（无生产厂家、无保质期、无生产日期）每次扣1分。</w:t>
            </w:r>
          </w:p>
        </w:tc>
        <w:tc>
          <w:tcPr>
            <w:tcW w:w="851" w:type="dxa"/>
            <w:noWrap w:val="0"/>
            <w:vAlign w:val="center"/>
          </w:tcPr>
          <w:p w14:paraId="0144778E">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3FEC3CFF">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3D270843">
            <w:pPr>
              <w:pStyle w:val="3"/>
              <w:spacing w:line="360" w:lineRule="auto"/>
              <w:ind w:firstLine="0"/>
              <w:jc w:val="center"/>
              <w:rPr>
                <w:rFonts w:hint="eastAsia" w:ascii="宋体" w:hAnsi="宋体"/>
                <w:color w:val="auto"/>
                <w:szCs w:val="21"/>
                <w:highlight w:val="none"/>
              </w:rPr>
            </w:pPr>
          </w:p>
        </w:tc>
      </w:tr>
      <w:tr w14:paraId="6F3B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0F9A1F8">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8</w:t>
            </w:r>
          </w:p>
        </w:tc>
        <w:tc>
          <w:tcPr>
            <w:tcW w:w="1559" w:type="dxa"/>
            <w:vMerge w:val="continue"/>
            <w:noWrap w:val="0"/>
            <w:vAlign w:val="center"/>
          </w:tcPr>
          <w:p w14:paraId="4EC6E1E9">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ABC2237">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采购食品未索证（供货商的营业执照、卫生许可证；产品的检测合格证；肉类产品的检疫合格证；蔬菜的农药残留合格证）或证照不齐或证照不符的。每次扣0.5分。</w:t>
            </w:r>
          </w:p>
        </w:tc>
        <w:tc>
          <w:tcPr>
            <w:tcW w:w="851" w:type="dxa"/>
            <w:noWrap w:val="0"/>
            <w:vAlign w:val="center"/>
          </w:tcPr>
          <w:p w14:paraId="29E67AE8">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796F754C">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783D5F6E">
            <w:pPr>
              <w:pStyle w:val="3"/>
              <w:spacing w:line="360" w:lineRule="auto"/>
              <w:ind w:firstLine="0"/>
              <w:jc w:val="center"/>
              <w:rPr>
                <w:rFonts w:hint="eastAsia" w:ascii="宋体" w:hAnsi="宋体"/>
                <w:color w:val="auto"/>
                <w:szCs w:val="21"/>
                <w:highlight w:val="none"/>
              </w:rPr>
            </w:pPr>
          </w:p>
        </w:tc>
      </w:tr>
      <w:tr w14:paraId="2C68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A234413">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9</w:t>
            </w:r>
          </w:p>
        </w:tc>
        <w:tc>
          <w:tcPr>
            <w:tcW w:w="1559" w:type="dxa"/>
            <w:vMerge w:val="continue"/>
            <w:noWrap w:val="0"/>
            <w:vAlign w:val="center"/>
          </w:tcPr>
          <w:p w14:paraId="79EE1DAB">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3D56186E">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采样冰箱存放与留样食品无关的其他食品，每次扣0.5分；每餐食品未留样，每次扣0.5分；食品留样少于100克，每次扣0.5分。</w:t>
            </w:r>
          </w:p>
        </w:tc>
        <w:tc>
          <w:tcPr>
            <w:tcW w:w="851" w:type="dxa"/>
            <w:noWrap w:val="0"/>
            <w:vAlign w:val="center"/>
          </w:tcPr>
          <w:p w14:paraId="6385FD82">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22CA1F35">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51987427">
            <w:pPr>
              <w:pStyle w:val="3"/>
              <w:spacing w:line="360" w:lineRule="auto"/>
              <w:ind w:firstLine="0"/>
              <w:jc w:val="center"/>
              <w:rPr>
                <w:rFonts w:hint="eastAsia" w:ascii="宋体" w:hAnsi="宋体"/>
                <w:color w:val="auto"/>
                <w:szCs w:val="21"/>
                <w:highlight w:val="none"/>
              </w:rPr>
            </w:pPr>
          </w:p>
        </w:tc>
      </w:tr>
      <w:tr w14:paraId="1F33B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25E6E03">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10</w:t>
            </w:r>
          </w:p>
        </w:tc>
        <w:tc>
          <w:tcPr>
            <w:tcW w:w="1559" w:type="dxa"/>
            <w:vMerge w:val="restart"/>
            <w:noWrap w:val="0"/>
            <w:vAlign w:val="center"/>
          </w:tcPr>
          <w:p w14:paraId="6E77E858">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二、食品质量与价格（</w:t>
            </w:r>
            <w:r>
              <w:rPr>
                <w:rFonts w:ascii="宋体" w:hAnsi="宋体"/>
                <w:color w:val="auto"/>
                <w:szCs w:val="21"/>
                <w:highlight w:val="none"/>
              </w:rPr>
              <w:t>15</w:t>
            </w:r>
            <w:r>
              <w:rPr>
                <w:rFonts w:hint="eastAsia" w:ascii="宋体" w:hAnsi="宋体"/>
                <w:color w:val="auto"/>
                <w:szCs w:val="21"/>
                <w:highlight w:val="none"/>
              </w:rPr>
              <w:t>分）</w:t>
            </w:r>
          </w:p>
        </w:tc>
        <w:tc>
          <w:tcPr>
            <w:tcW w:w="4111" w:type="dxa"/>
            <w:noWrap w:val="0"/>
            <w:vAlign w:val="top"/>
          </w:tcPr>
          <w:p w14:paraId="631E8EAD">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每周四报送下一周菜单，经审核后及时公布，逾期未报送一次扣0.5分，未及时公布一次扣0.5分。</w:t>
            </w:r>
          </w:p>
        </w:tc>
        <w:tc>
          <w:tcPr>
            <w:tcW w:w="851" w:type="dxa"/>
            <w:noWrap w:val="0"/>
            <w:vAlign w:val="center"/>
          </w:tcPr>
          <w:p w14:paraId="0BBB5EF1">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33FAA040">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5E151125">
            <w:pPr>
              <w:pStyle w:val="3"/>
              <w:spacing w:line="360" w:lineRule="auto"/>
              <w:ind w:firstLine="0"/>
              <w:jc w:val="center"/>
              <w:rPr>
                <w:rFonts w:hint="eastAsia" w:ascii="宋体" w:hAnsi="宋体"/>
                <w:color w:val="auto"/>
                <w:szCs w:val="21"/>
                <w:highlight w:val="none"/>
              </w:rPr>
            </w:pPr>
          </w:p>
        </w:tc>
      </w:tr>
      <w:tr w14:paraId="0BF2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3A5B51F">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11</w:t>
            </w:r>
          </w:p>
        </w:tc>
        <w:tc>
          <w:tcPr>
            <w:tcW w:w="1559" w:type="dxa"/>
            <w:vMerge w:val="continue"/>
            <w:noWrap w:val="0"/>
            <w:vAlign w:val="center"/>
          </w:tcPr>
          <w:p w14:paraId="517E3F9E">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0991D90">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一天三餐及两周菜谱不重复，一月内菜谱重复率不超过50%，否则一次扣0.2分。</w:t>
            </w:r>
          </w:p>
        </w:tc>
        <w:tc>
          <w:tcPr>
            <w:tcW w:w="851" w:type="dxa"/>
            <w:noWrap w:val="0"/>
            <w:vAlign w:val="center"/>
          </w:tcPr>
          <w:p w14:paraId="05823A4E">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76C8A00F">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54A68503">
            <w:pPr>
              <w:pStyle w:val="3"/>
              <w:spacing w:line="360" w:lineRule="auto"/>
              <w:ind w:firstLine="0"/>
              <w:jc w:val="center"/>
              <w:rPr>
                <w:rFonts w:hint="eastAsia" w:ascii="宋体" w:hAnsi="宋体"/>
                <w:color w:val="auto"/>
                <w:szCs w:val="21"/>
                <w:highlight w:val="none"/>
              </w:rPr>
            </w:pPr>
          </w:p>
        </w:tc>
      </w:tr>
      <w:tr w14:paraId="107D1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8E64556">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12</w:t>
            </w:r>
          </w:p>
        </w:tc>
        <w:tc>
          <w:tcPr>
            <w:tcW w:w="1559" w:type="dxa"/>
            <w:vMerge w:val="continue"/>
            <w:noWrap w:val="0"/>
            <w:vAlign w:val="center"/>
          </w:tcPr>
          <w:p w14:paraId="77666358">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03876CE8">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无故减少合同约定每天菜品供应量，发现一次扣0.2分。</w:t>
            </w:r>
          </w:p>
        </w:tc>
        <w:tc>
          <w:tcPr>
            <w:tcW w:w="851" w:type="dxa"/>
            <w:noWrap w:val="0"/>
            <w:vAlign w:val="center"/>
          </w:tcPr>
          <w:p w14:paraId="07FDEECE">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6143D64D">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4D340887">
            <w:pPr>
              <w:pStyle w:val="3"/>
              <w:spacing w:line="360" w:lineRule="auto"/>
              <w:ind w:firstLine="0"/>
              <w:jc w:val="center"/>
              <w:rPr>
                <w:rFonts w:hint="eastAsia" w:ascii="宋体" w:hAnsi="宋体"/>
                <w:color w:val="auto"/>
                <w:szCs w:val="21"/>
                <w:highlight w:val="none"/>
              </w:rPr>
            </w:pPr>
          </w:p>
        </w:tc>
      </w:tr>
      <w:tr w14:paraId="41D62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116721E">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13</w:t>
            </w:r>
          </w:p>
        </w:tc>
        <w:tc>
          <w:tcPr>
            <w:tcW w:w="1559" w:type="dxa"/>
            <w:vMerge w:val="continue"/>
            <w:noWrap w:val="0"/>
            <w:vAlign w:val="center"/>
          </w:tcPr>
          <w:p w14:paraId="4438FFE3">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30CC2FD6">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食物未煮熟、有杂物、有异味，发现一次扣0.5分。</w:t>
            </w:r>
          </w:p>
        </w:tc>
        <w:tc>
          <w:tcPr>
            <w:tcW w:w="851" w:type="dxa"/>
            <w:noWrap w:val="0"/>
            <w:vAlign w:val="center"/>
          </w:tcPr>
          <w:p w14:paraId="322F10FE">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7125B427">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4031606D">
            <w:pPr>
              <w:pStyle w:val="3"/>
              <w:spacing w:line="360" w:lineRule="auto"/>
              <w:ind w:firstLine="0"/>
              <w:jc w:val="center"/>
              <w:rPr>
                <w:rFonts w:hint="eastAsia" w:ascii="宋体" w:hAnsi="宋体"/>
                <w:color w:val="auto"/>
                <w:szCs w:val="21"/>
                <w:highlight w:val="none"/>
              </w:rPr>
            </w:pPr>
          </w:p>
        </w:tc>
      </w:tr>
      <w:tr w14:paraId="20101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0DABD5B5">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14</w:t>
            </w:r>
          </w:p>
        </w:tc>
        <w:tc>
          <w:tcPr>
            <w:tcW w:w="1559" w:type="dxa"/>
            <w:vMerge w:val="continue"/>
            <w:noWrap w:val="0"/>
            <w:vAlign w:val="center"/>
          </w:tcPr>
          <w:p w14:paraId="3E35BA83">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0AC4A07">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未在规定时间内供餐，发现一次扣1分。</w:t>
            </w:r>
          </w:p>
        </w:tc>
        <w:tc>
          <w:tcPr>
            <w:tcW w:w="851" w:type="dxa"/>
            <w:noWrap w:val="0"/>
            <w:vAlign w:val="center"/>
          </w:tcPr>
          <w:p w14:paraId="33942CB2">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4D5AD111">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270D1C02">
            <w:pPr>
              <w:pStyle w:val="3"/>
              <w:spacing w:line="360" w:lineRule="auto"/>
              <w:ind w:firstLine="0"/>
              <w:jc w:val="center"/>
              <w:rPr>
                <w:rFonts w:hint="eastAsia" w:ascii="宋体" w:hAnsi="宋体"/>
                <w:color w:val="auto"/>
                <w:szCs w:val="21"/>
                <w:highlight w:val="none"/>
              </w:rPr>
            </w:pPr>
          </w:p>
        </w:tc>
      </w:tr>
      <w:tr w14:paraId="587C4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5EE72C2">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5</w:t>
            </w:r>
          </w:p>
        </w:tc>
        <w:tc>
          <w:tcPr>
            <w:tcW w:w="1559" w:type="dxa"/>
            <w:vMerge w:val="continue"/>
            <w:noWrap w:val="0"/>
            <w:vAlign w:val="center"/>
          </w:tcPr>
          <w:p w14:paraId="7E314C7B">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00B4EC18">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每日所出菜式没有按约定价格定价，每发现一次扣</w:t>
            </w:r>
            <w:r>
              <w:rPr>
                <w:rFonts w:ascii="宋体" w:hAnsi="宋体"/>
                <w:color w:val="auto"/>
                <w:szCs w:val="21"/>
                <w:highlight w:val="none"/>
              </w:rPr>
              <w:t>1</w:t>
            </w:r>
            <w:r>
              <w:rPr>
                <w:rFonts w:hint="eastAsia" w:ascii="宋体" w:hAnsi="宋体"/>
                <w:color w:val="auto"/>
                <w:szCs w:val="21"/>
                <w:highlight w:val="none"/>
              </w:rPr>
              <w:t>分。</w:t>
            </w:r>
          </w:p>
        </w:tc>
        <w:tc>
          <w:tcPr>
            <w:tcW w:w="851" w:type="dxa"/>
            <w:noWrap w:val="0"/>
            <w:vAlign w:val="center"/>
          </w:tcPr>
          <w:p w14:paraId="1C2AA630">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0C9EC48C">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5381ACB9">
            <w:pPr>
              <w:pStyle w:val="3"/>
              <w:spacing w:line="360" w:lineRule="auto"/>
              <w:ind w:firstLine="0"/>
              <w:jc w:val="center"/>
              <w:rPr>
                <w:rFonts w:hint="eastAsia" w:ascii="宋体" w:hAnsi="宋体"/>
                <w:color w:val="auto"/>
                <w:szCs w:val="21"/>
                <w:highlight w:val="none"/>
              </w:rPr>
            </w:pPr>
          </w:p>
        </w:tc>
      </w:tr>
      <w:tr w14:paraId="3DC04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76D25C4">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6</w:t>
            </w:r>
          </w:p>
        </w:tc>
        <w:tc>
          <w:tcPr>
            <w:tcW w:w="1559" w:type="dxa"/>
            <w:vMerge w:val="continue"/>
            <w:noWrap w:val="0"/>
            <w:vAlign w:val="center"/>
          </w:tcPr>
          <w:p w14:paraId="643EDB0A">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4B18A618">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没有按约定每日免费提供1份水果或1份甜品，每发现一次扣</w:t>
            </w:r>
            <w:r>
              <w:rPr>
                <w:rFonts w:ascii="宋体" w:hAnsi="宋体"/>
                <w:color w:val="auto"/>
                <w:szCs w:val="21"/>
                <w:highlight w:val="none"/>
              </w:rPr>
              <w:t>0.5</w:t>
            </w:r>
            <w:r>
              <w:rPr>
                <w:rFonts w:hint="eastAsia" w:ascii="宋体" w:hAnsi="宋体"/>
                <w:color w:val="auto"/>
                <w:szCs w:val="21"/>
                <w:highlight w:val="none"/>
              </w:rPr>
              <w:t>分。</w:t>
            </w:r>
          </w:p>
        </w:tc>
        <w:tc>
          <w:tcPr>
            <w:tcW w:w="851" w:type="dxa"/>
            <w:noWrap w:val="0"/>
            <w:vAlign w:val="center"/>
          </w:tcPr>
          <w:p w14:paraId="084AD879">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2388DB04">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480329DB">
            <w:pPr>
              <w:pStyle w:val="3"/>
              <w:spacing w:line="360" w:lineRule="auto"/>
              <w:ind w:firstLine="0"/>
              <w:jc w:val="center"/>
              <w:rPr>
                <w:rFonts w:hint="eastAsia" w:ascii="宋体" w:hAnsi="宋体"/>
                <w:color w:val="auto"/>
                <w:szCs w:val="21"/>
                <w:highlight w:val="none"/>
              </w:rPr>
            </w:pPr>
          </w:p>
        </w:tc>
      </w:tr>
      <w:tr w14:paraId="2CC41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10E1712">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17</w:t>
            </w:r>
          </w:p>
        </w:tc>
        <w:tc>
          <w:tcPr>
            <w:tcW w:w="1559" w:type="dxa"/>
            <w:vMerge w:val="restart"/>
            <w:noWrap w:val="0"/>
            <w:vAlign w:val="center"/>
          </w:tcPr>
          <w:p w14:paraId="4D8BED56">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三、服务规范要求（</w:t>
            </w:r>
            <w:r>
              <w:rPr>
                <w:rFonts w:ascii="宋体" w:hAnsi="宋体"/>
                <w:color w:val="auto"/>
                <w:szCs w:val="21"/>
                <w:highlight w:val="none"/>
              </w:rPr>
              <w:t>15</w:t>
            </w:r>
            <w:r>
              <w:rPr>
                <w:rFonts w:hint="eastAsia" w:ascii="宋体" w:hAnsi="宋体"/>
                <w:color w:val="auto"/>
                <w:szCs w:val="21"/>
                <w:highlight w:val="none"/>
              </w:rPr>
              <w:t>分）</w:t>
            </w:r>
          </w:p>
        </w:tc>
        <w:tc>
          <w:tcPr>
            <w:tcW w:w="4111" w:type="dxa"/>
            <w:noWrap w:val="0"/>
            <w:vAlign w:val="top"/>
          </w:tcPr>
          <w:p w14:paraId="5FFF75CD">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shd w:val="clear" w:color="auto" w:fill="FFFFFF"/>
              </w:rPr>
              <w:t>工作期间，未按规范统一着装，不注重个人卫生，每次扣0.5分。</w:t>
            </w:r>
          </w:p>
        </w:tc>
        <w:tc>
          <w:tcPr>
            <w:tcW w:w="851" w:type="dxa"/>
            <w:noWrap w:val="0"/>
            <w:vAlign w:val="center"/>
          </w:tcPr>
          <w:p w14:paraId="5909303F">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7E709DAD">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59783322">
            <w:pPr>
              <w:pStyle w:val="3"/>
              <w:spacing w:line="360" w:lineRule="auto"/>
              <w:ind w:firstLine="0"/>
              <w:jc w:val="center"/>
              <w:rPr>
                <w:rFonts w:hint="eastAsia" w:ascii="宋体" w:hAnsi="宋体"/>
                <w:color w:val="auto"/>
                <w:szCs w:val="21"/>
                <w:highlight w:val="none"/>
              </w:rPr>
            </w:pPr>
          </w:p>
        </w:tc>
      </w:tr>
      <w:tr w14:paraId="1A9060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F51D8E6">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18</w:t>
            </w:r>
          </w:p>
        </w:tc>
        <w:tc>
          <w:tcPr>
            <w:tcW w:w="1559" w:type="dxa"/>
            <w:vMerge w:val="continue"/>
            <w:noWrap w:val="0"/>
            <w:vAlign w:val="center"/>
          </w:tcPr>
          <w:p w14:paraId="2B35814C">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1CD334C">
            <w:pPr>
              <w:pStyle w:val="3"/>
              <w:spacing w:line="360" w:lineRule="auto"/>
              <w:ind w:firstLine="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未经采购人同意，擅自更换岗位人员的，每次扣0</w:t>
            </w:r>
            <w:r>
              <w:rPr>
                <w:rFonts w:ascii="宋体" w:hAnsi="宋体"/>
                <w:color w:val="auto"/>
                <w:szCs w:val="21"/>
                <w:highlight w:val="none"/>
                <w:shd w:val="clear" w:color="auto" w:fill="FFFFFF"/>
              </w:rPr>
              <w:t>.5</w:t>
            </w:r>
            <w:r>
              <w:rPr>
                <w:rFonts w:hint="eastAsia" w:ascii="宋体" w:hAnsi="宋体"/>
                <w:color w:val="auto"/>
                <w:szCs w:val="21"/>
                <w:highlight w:val="none"/>
                <w:shd w:val="clear" w:color="auto" w:fill="FFFFFF"/>
              </w:rPr>
              <w:t>分。</w:t>
            </w:r>
          </w:p>
        </w:tc>
        <w:tc>
          <w:tcPr>
            <w:tcW w:w="851" w:type="dxa"/>
            <w:noWrap w:val="0"/>
            <w:vAlign w:val="center"/>
          </w:tcPr>
          <w:p w14:paraId="6FEA91D2">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3CE1EFF2">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079AB03C">
            <w:pPr>
              <w:pStyle w:val="3"/>
              <w:spacing w:line="360" w:lineRule="auto"/>
              <w:ind w:firstLine="0"/>
              <w:jc w:val="center"/>
              <w:rPr>
                <w:rFonts w:hint="eastAsia" w:ascii="宋体" w:hAnsi="宋体"/>
                <w:color w:val="auto"/>
                <w:szCs w:val="21"/>
                <w:highlight w:val="none"/>
              </w:rPr>
            </w:pPr>
          </w:p>
        </w:tc>
      </w:tr>
      <w:tr w14:paraId="1792B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3E1E9827">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9</w:t>
            </w:r>
          </w:p>
        </w:tc>
        <w:tc>
          <w:tcPr>
            <w:tcW w:w="1559" w:type="dxa"/>
            <w:vMerge w:val="continue"/>
            <w:noWrap w:val="0"/>
            <w:vAlign w:val="center"/>
          </w:tcPr>
          <w:p w14:paraId="6B373F43">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6A2938D0">
            <w:pPr>
              <w:pStyle w:val="3"/>
              <w:spacing w:line="360" w:lineRule="auto"/>
              <w:ind w:firstLine="0"/>
              <w:rPr>
                <w:rFonts w:hint="eastAsia" w:ascii="宋体" w:hAnsi="宋体"/>
                <w:color w:val="auto"/>
                <w:szCs w:val="21"/>
                <w:highlight w:val="none"/>
                <w:shd w:val="clear" w:color="auto" w:fill="FFFFFF"/>
              </w:rPr>
            </w:pPr>
            <w:r>
              <w:rPr>
                <w:rFonts w:hint="eastAsia" w:ascii="宋体" w:hAnsi="宋体"/>
                <w:color w:val="auto"/>
                <w:szCs w:val="21"/>
                <w:highlight w:val="none"/>
              </w:rPr>
              <w:t>对用餐人员的投诉和建议未及时回复的，每次扣0.5分。</w:t>
            </w:r>
          </w:p>
        </w:tc>
        <w:tc>
          <w:tcPr>
            <w:tcW w:w="851" w:type="dxa"/>
            <w:noWrap w:val="0"/>
            <w:vAlign w:val="center"/>
          </w:tcPr>
          <w:p w14:paraId="09317874">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19D2CE39">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40515A40">
            <w:pPr>
              <w:pStyle w:val="3"/>
              <w:spacing w:line="360" w:lineRule="auto"/>
              <w:ind w:firstLine="0"/>
              <w:jc w:val="center"/>
              <w:rPr>
                <w:rFonts w:hint="eastAsia" w:ascii="宋体" w:hAnsi="宋体"/>
                <w:color w:val="auto"/>
                <w:szCs w:val="21"/>
                <w:highlight w:val="none"/>
              </w:rPr>
            </w:pPr>
          </w:p>
        </w:tc>
      </w:tr>
      <w:tr w14:paraId="36C8A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735453F">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20</w:t>
            </w:r>
          </w:p>
        </w:tc>
        <w:tc>
          <w:tcPr>
            <w:tcW w:w="1559" w:type="dxa"/>
            <w:vMerge w:val="continue"/>
            <w:noWrap w:val="0"/>
            <w:vAlign w:val="center"/>
          </w:tcPr>
          <w:p w14:paraId="4048D622">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1DEF3CBF">
            <w:pPr>
              <w:pStyle w:val="3"/>
              <w:spacing w:line="360" w:lineRule="auto"/>
              <w:ind w:firstLine="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工作人员因服务态度问题，被用餐人员有效投诉的，每次扣0.5分。</w:t>
            </w:r>
          </w:p>
        </w:tc>
        <w:tc>
          <w:tcPr>
            <w:tcW w:w="851" w:type="dxa"/>
            <w:noWrap w:val="0"/>
            <w:vAlign w:val="center"/>
          </w:tcPr>
          <w:p w14:paraId="3B27F05F">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3094D73E">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4169DD18">
            <w:pPr>
              <w:pStyle w:val="3"/>
              <w:spacing w:line="360" w:lineRule="auto"/>
              <w:ind w:firstLine="0"/>
              <w:jc w:val="center"/>
              <w:rPr>
                <w:rFonts w:hint="eastAsia" w:ascii="宋体" w:hAnsi="宋体"/>
                <w:color w:val="auto"/>
                <w:szCs w:val="21"/>
                <w:highlight w:val="none"/>
              </w:rPr>
            </w:pPr>
          </w:p>
        </w:tc>
      </w:tr>
      <w:tr w14:paraId="3B072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E9AF7D1">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21</w:t>
            </w:r>
          </w:p>
        </w:tc>
        <w:tc>
          <w:tcPr>
            <w:tcW w:w="1559" w:type="dxa"/>
            <w:vMerge w:val="restart"/>
            <w:noWrap w:val="0"/>
            <w:vAlign w:val="center"/>
          </w:tcPr>
          <w:p w14:paraId="162379B5">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四、环境卫生与设施（1</w:t>
            </w:r>
            <w:r>
              <w:rPr>
                <w:rFonts w:ascii="宋体" w:hAnsi="宋体"/>
                <w:color w:val="auto"/>
                <w:szCs w:val="21"/>
                <w:highlight w:val="none"/>
              </w:rPr>
              <w:t>5</w:t>
            </w:r>
            <w:r>
              <w:rPr>
                <w:rFonts w:hint="eastAsia" w:ascii="宋体" w:hAnsi="宋体"/>
                <w:color w:val="auto"/>
                <w:szCs w:val="21"/>
                <w:highlight w:val="none"/>
              </w:rPr>
              <w:t>分）</w:t>
            </w:r>
          </w:p>
        </w:tc>
        <w:tc>
          <w:tcPr>
            <w:tcW w:w="4111" w:type="dxa"/>
            <w:noWrap w:val="0"/>
            <w:vAlign w:val="top"/>
          </w:tcPr>
          <w:p w14:paraId="030128A7">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操作间、库房内物品不按规定摆放，每发现一次扣0.5分。</w:t>
            </w:r>
          </w:p>
        </w:tc>
        <w:tc>
          <w:tcPr>
            <w:tcW w:w="851" w:type="dxa"/>
            <w:noWrap w:val="0"/>
            <w:vAlign w:val="center"/>
          </w:tcPr>
          <w:p w14:paraId="5A2E91A8">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281943E0">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0AB596E6">
            <w:pPr>
              <w:pStyle w:val="3"/>
              <w:spacing w:line="360" w:lineRule="auto"/>
              <w:ind w:firstLine="0"/>
              <w:jc w:val="center"/>
              <w:rPr>
                <w:rFonts w:hint="eastAsia" w:ascii="宋体" w:hAnsi="宋体"/>
                <w:color w:val="auto"/>
                <w:szCs w:val="21"/>
                <w:highlight w:val="none"/>
              </w:rPr>
            </w:pPr>
          </w:p>
        </w:tc>
      </w:tr>
      <w:tr w14:paraId="26828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57219E33">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22</w:t>
            </w:r>
          </w:p>
        </w:tc>
        <w:tc>
          <w:tcPr>
            <w:tcW w:w="1559" w:type="dxa"/>
            <w:vMerge w:val="continue"/>
            <w:noWrap w:val="0"/>
            <w:vAlign w:val="center"/>
          </w:tcPr>
          <w:p w14:paraId="1FB2279A">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7FB5B49C">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工作区域卫生脏、乱、差，每发现一次扣0.5分。</w:t>
            </w:r>
          </w:p>
        </w:tc>
        <w:tc>
          <w:tcPr>
            <w:tcW w:w="851" w:type="dxa"/>
            <w:noWrap w:val="0"/>
            <w:vAlign w:val="center"/>
          </w:tcPr>
          <w:p w14:paraId="5A3C58CF">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0B4F77E0">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3682813F">
            <w:pPr>
              <w:pStyle w:val="3"/>
              <w:spacing w:line="360" w:lineRule="auto"/>
              <w:ind w:firstLine="0"/>
              <w:jc w:val="center"/>
              <w:rPr>
                <w:rFonts w:hint="eastAsia" w:ascii="宋体" w:hAnsi="宋体"/>
                <w:color w:val="auto"/>
                <w:szCs w:val="21"/>
                <w:highlight w:val="none"/>
              </w:rPr>
            </w:pPr>
          </w:p>
        </w:tc>
      </w:tr>
      <w:tr w14:paraId="00CCD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CB4148B">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24</w:t>
            </w:r>
          </w:p>
        </w:tc>
        <w:tc>
          <w:tcPr>
            <w:tcW w:w="1559" w:type="dxa"/>
            <w:vMerge w:val="continue"/>
            <w:noWrap w:val="0"/>
            <w:vAlign w:val="center"/>
          </w:tcPr>
          <w:p w14:paraId="4CBD9368">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2ECA1B8E">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未按约定每月进行大扫除，存在卫生死角的，每发现一次扣</w:t>
            </w:r>
            <w:r>
              <w:rPr>
                <w:rFonts w:ascii="宋体" w:hAnsi="宋体"/>
                <w:color w:val="auto"/>
                <w:szCs w:val="21"/>
                <w:highlight w:val="none"/>
              </w:rPr>
              <w:t>2</w:t>
            </w:r>
            <w:r>
              <w:rPr>
                <w:rFonts w:hint="eastAsia" w:ascii="宋体" w:hAnsi="宋体"/>
                <w:color w:val="auto"/>
                <w:szCs w:val="21"/>
                <w:highlight w:val="none"/>
              </w:rPr>
              <w:t>分。</w:t>
            </w:r>
          </w:p>
        </w:tc>
        <w:tc>
          <w:tcPr>
            <w:tcW w:w="851" w:type="dxa"/>
            <w:noWrap w:val="0"/>
            <w:vAlign w:val="center"/>
          </w:tcPr>
          <w:p w14:paraId="4190174C">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6D8FCE9C">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430D9B73">
            <w:pPr>
              <w:pStyle w:val="3"/>
              <w:spacing w:line="360" w:lineRule="auto"/>
              <w:ind w:firstLine="0"/>
              <w:jc w:val="center"/>
              <w:rPr>
                <w:rFonts w:hint="eastAsia" w:ascii="宋体" w:hAnsi="宋体"/>
                <w:color w:val="auto"/>
                <w:szCs w:val="21"/>
                <w:highlight w:val="none"/>
              </w:rPr>
            </w:pPr>
          </w:p>
        </w:tc>
      </w:tr>
      <w:tr w14:paraId="4C671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76AEDAA">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25</w:t>
            </w:r>
          </w:p>
        </w:tc>
        <w:tc>
          <w:tcPr>
            <w:tcW w:w="1559" w:type="dxa"/>
            <w:vMerge w:val="continue"/>
            <w:noWrap w:val="0"/>
            <w:vAlign w:val="center"/>
          </w:tcPr>
          <w:p w14:paraId="5C5AC153">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20ECD53D">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未配合采购人做好除四害工作的，每发现一次扣0.5分。</w:t>
            </w:r>
          </w:p>
        </w:tc>
        <w:tc>
          <w:tcPr>
            <w:tcW w:w="851" w:type="dxa"/>
            <w:noWrap w:val="0"/>
            <w:vAlign w:val="center"/>
          </w:tcPr>
          <w:p w14:paraId="289548D6">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0F27D330">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2DD9061E">
            <w:pPr>
              <w:pStyle w:val="3"/>
              <w:spacing w:line="360" w:lineRule="auto"/>
              <w:ind w:firstLine="0"/>
              <w:jc w:val="center"/>
              <w:rPr>
                <w:rFonts w:hint="eastAsia" w:ascii="宋体" w:hAnsi="宋体"/>
                <w:color w:val="auto"/>
                <w:szCs w:val="21"/>
                <w:highlight w:val="none"/>
              </w:rPr>
            </w:pPr>
          </w:p>
        </w:tc>
      </w:tr>
      <w:tr w14:paraId="7D309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6331944">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26</w:t>
            </w:r>
          </w:p>
        </w:tc>
        <w:tc>
          <w:tcPr>
            <w:tcW w:w="1559" w:type="dxa"/>
            <w:vMerge w:val="restart"/>
            <w:noWrap w:val="0"/>
            <w:vAlign w:val="center"/>
          </w:tcPr>
          <w:p w14:paraId="73180024">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五、规章制度的执行（</w:t>
            </w:r>
            <w:r>
              <w:rPr>
                <w:rFonts w:ascii="宋体" w:hAnsi="宋体"/>
                <w:color w:val="auto"/>
                <w:szCs w:val="21"/>
                <w:highlight w:val="none"/>
              </w:rPr>
              <w:t>25</w:t>
            </w:r>
            <w:r>
              <w:rPr>
                <w:rFonts w:hint="eastAsia" w:ascii="宋体" w:hAnsi="宋体"/>
                <w:color w:val="auto"/>
                <w:szCs w:val="21"/>
                <w:highlight w:val="none"/>
              </w:rPr>
              <w:t>分）</w:t>
            </w:r>
          </w:p>
        </w:tc>
        <w:tc>
          <w:tcPr>
            <w:tcW w:w="4111" w:type="dxa"/>
            <w:noWrap w:val="0"/>
            <w:vAlign w:val="top"/>
          </w:tcPr>
          <w:p w14:paraId="39B1A89E">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违反广西公务接待的相关规定，发现一次扣</w:t>
            </w:r>
            <w:r>
              <w:rPr>
                <w:rFonts w:ascii="宋体" w:hAnsi="宋体"/>
                <w:color w:val="auto"/>
                <w:szCs w:val="21"/>
                <w:highlight w:val="none"/>
              </w:rPr>
              <w:t>3</w:t>
            </w:r>
            <w:r>
              <w:rPr>
                <w:rFonts w:hint="eastAsia" w:ascii="宋体" w:hAnsi="宋体"/>
                <w:color w:val="auto"/>
                <w:szCs w:val="21"/>
                <w:highlight w:val="none"/>
              </w:rPr>
              <w:t>分。</w:t>
            </w:r>
          </w:p>
        </w:tc>
        <w:tc>
          <w:tcPr>
            <w:tcW w:w="851" w:type="dxa"/>
            <w:noWrap w:val="0"/>
            <w:vAlign w:val="center"/>
          </w:tcPr>
          <w:p w14:paraId="599A4147">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12D9BA24">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6F263CD6">
            <w:pPr>
              <w:pStyle w:val="3"/>
              <w:spacing w:line="360" w:lineRule="auto"/>
              <w:ind w:firstLine="0"/>
              <w:jc w:val="center"/>
              <w:rPr>
                <w:rFonts w:hint="eastAsia" w:ascii="宋体" w:hAnsi="宋体"/>
                <w:color w:val="auto"/>
                <w:szCs w:val="21"/>
                <w:highlight w:val="none"/>
              </w:rPr>
            </w:pPr>
          </w:p>
        </w:tc>
      </w:tr>
      <w:tr w14:paraId="6B139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6237BC7D">
            <w:pPr>
              <w:pStyle w:val="3"/>
              <w:spacing w:line="360" w:lineRule="auto"/>
              <w:ind w:firstLine="0"/>
              <w:jc w:val="center"/>
              <w:rPr>
                <w:rFonts w:ascii="宋体" w:hAnsi="宋体"/>
                <w:color w:val="auto"/>
                <w:szCs w:val="21"/>
                <w:highlight w:val="none"/>
              </w:rPr>
            </w:pPr>
            <w:r>
              <w:rPr>
                <w:rFonts w:ascii="宋体" w:hAnsi="宋体"/>
                <w:color w:val="auto"/>
                <w:szCs w:val="21"/>
                <w:highlight w:val="none"/>
              </w:rPr>
              <w:t>27</w:t>
            </w:r>
          </w:p>
        </w:tc>
        <w:tc>
          <w:tcPr>
            <w:tcW w:w="1559" w:type="dxa"/>
            <w:vMerge w:val="continue"/>
            <w:noWrap w:val="0"/>
            <w:vAlign w:val="center"/>
          </w:tcPr>
          <w:p w14:paraId="41019312">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34FEC84A">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shd w:val="clear" w:color="auto" w:fill="FFFFFF"/>
              </w:rPr>
              <w:t>更换岗位人员未及时向采购人报备的，每发现一次扣</w:t>
            </w:r>
            <w:r>
              <w:rPr>
                <w:rFonts w:ascii="宋体" w:hAnsi="宋体"/>
                <w:color w:val="auto"/>
                <w:szCs w:val="21"/>
                <w:highlight w:val="none"/>
                <w:shd w:val="clear" w:color="auto" w:fill="FFFFFF"/>
              </w:rPr>
              <w:t>2</w:t>
            </w:r>
            <w:r>
              <w:rPr>
                <w:rFonts w:hint="eastAsia" w:ascii="宋体" w:hAnsi="宋体"/>
                <w:color w:val="auto"/>
                <w:szCs w:val="21"/>
                <w:highlight w:val="none"/>
                <w:shd w:val="clear" w:color="auto" w:fill="FFFFFF"/>
              </w:rPr>
              <w:t>分。</w:t>
            </w:r>
          </w:p>
        </w:tc>
        <w:tc>
          <w:tcPr>
            <w:tcW w:w="851" w:type="dxa"/>
            <w:noWrap w:val="0"/>
            <w:vAlign w:val="center"/>
          </w:tcPr>
          <w:p w14:paraId="6A4781F4">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5946D645">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6DE002E7">
            <w:pPr>
              <w:pStyle w:val="3"/>
              <w:spacing w:line="360" w:lineRule="auto"/>
              <w:ind w:firstLine="0"/>
              <w:jc w:val="center"/>
              <w:rPr>
                <w:rFonts w:hint="eastAsia" w:ascii="宋体" w:hAnsi="宋体"/>
                <w:color w:val="auto"/>
                <w:szCs w:val="21"/>
                <w:highlight w:val="none"/>
              </w:rPr>
            </w:pPr>
          </w:p>
        </w:tc>
      </w:tr>
      <w:tr w14:paraId="19950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BB5269C">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p>
        </w:tc>
        <w:tc>
          <w:tcPr>
            <w:tcW w:w="1559" w:type="dxa"/>
            <w:vMerge w:val="continue"/>
            <w:noWrap w:val="0"/>
            <w:vAlign w:val="center"/>
          </w:tcPr>
          <w:p w14:paraId="0FEB9BE1">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BBFE8EE">
            <w:pPr>
              <w:pStyle w:val="3"/>
              <w:spacing w:line="360" w:lineRule="auto"/>
              <w:ind w:firstLine="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未按合同约定及时补足空岗人员的，每发现一次扣</w:t>
            </w:r>
            <w:r>
              <w:rPr>
                <w:rFonts w:ascii="宋体" w:hAnsi="宋体"/>
                <w:color w:val="auto"/>
                <w:szCs w:val="21"/>
                <w:highlight w:val="none"/>
                <w:shd w:val="clear" w:color="auto" w:fill="FFFFFF"/>
              </w:rPr>
              <w:t>3</w:t>
            </w:r>
            <w:r>
              <w:rPr>
                <w:rFonts w:hint="eastAsia" w:ascii="宋体" w:hAnsi="宋体"/>
                <w:color w:val="auto"/>
                <w:szCs w:val="21"/>
                <w:highlight w:val="none"/>
                <w:shd w:val="clear" w:color="auto" w:fill="FFFFFF"/>
              </w:rPr>
              <w:t>分。</w:t>
            </w:r>
          </w:p>
        </w:tc>
        <w:tc>
          <w:tcPr>
            <w:tcW w:w="851" w:type="dxa"/>
            <w:noWrap w:val="0"/>
            <w:vAlign w:val="center"/>
          </w:tcPr>
          <w:p w14:paraId="2C3EDDEC">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26BFDA83">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0D69FB3A">
            <w:pPr>
              <w:pStyle w:val="3"/>
              <w:spacing w:line="360" w:lineRule="auto"/>
              <w:ind w:firstLine="0"/>
              <w:jc w:val="center"/>
              <w:rPr>
                <w:rFonts w:hint="eastAsia" w:ascii="宋体" w:hAnsi="宋体"/>
                <w:color w:val="auto"/>
                <w:szCs w:val="21"/>
                <w:highlight w:val="none"/>
              </w:rPr>
            </w:pPr>
          </w:p>
        </w:tc>
      </w:tr>
      <w:tr w14:paraId="43469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DC17A1D">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29</w:t>
            </w:r>
          </w:p>
        </w:tc>
        <w:tc>
          <w:tcPr>
            <w:tcW w:w="1559" w:type="dxa"/>
            <w:vMerge w:val="continue"/>
            <w:noWrap w:val="0"/>
            <w:vAlign w:val="center"/>
          </w:tcPr>
          <w:p w14:paraId="64F4BB15">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2185C88A">
            <w:pPr>
              <w:pStyle w:val="3"/>
              <w:spacing w:line="360" w:lineRule="auto"/>
              <w:ind w:firstLine="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食堂未按采购人要求每月对采购物品价格及每月食堂消费总额进行公示的，每次扣</w:t>
            </w:r>
            <w:r>
              <w:rPr>
                <w:rFonts w:ascii="宋体" w:hAnsi="宋体"/>
                <w:color w:val="auto"/>
                <w:szCs w:val="21"/>
                <w:highlight w:val="none"/>
                <w:shd w:val="clear" w:color="auto" w:fill="FFFFFF"/>
              </w:rPr>
              <w:t>3</w:t>
            </w:r>
            <w:r>
              <w:rPr>
                <w:rFonts w:hint="eastAsia" w:ascii="宋体" w:hAnsi="宋体"/>
                <w:color w:val="auto"/>
                <w:szCs w:val="21"/>
                <w:highlight w:val="none"/>
                <w:shd w:val="clear" w:color="auto" w:fill="FFFFFF"/>
              </w:rPr>
              <w:t>分。</w:t>
            </w:r>
          </w:p>
        </w:tc>
        <w:tc>
          <w:tcPr>
            <w:tcW w:w="851" w:type="dxa"/>
            <w:noWrap w:val="0"/>
            <w:vAlign w:val="center"/>
          </w:tcPr>
          <w:p w14:paraId="6556DFA3">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1AB43E9F">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6F842CCF">
            <w:pPr>
              <w:pStyle w:val="3"/>
              <w:spacing w:line="360" w:lineRule="auto"/>
              <w:ind w:firstLine="0"/>
              <w:jc w:val="center"/>
              <w:rPr>
                <w:rFonts w:hint="eastAsia" w:ascii="宋体" w:hAnsi="宋体"/>
                <w:color w:val="auto"/>
                <w:szCs w:val="21"/>
                <w:highlight w:val="none"/>
              </w:rPr>
            </w:pPr>
          </w:p>
        </w:tc>
      </w:tr>
      <w:tr w14:paraId="1518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79B5C64F">
            <w:pPr>
              <w:pStyle w:val="3"/>
              <w:spacing w:line="360" w:lineRule="auto"/>
              <w:ind w:firstLine="0"/>
              <w:jc w:val="center"/>
              <w:rPr>
                <w:rFonts w:hint="eastAsia" w:ascii="宋体" w:hAnsi="宋体"/>
                <w:color w:val="auto"/>
                <w:szCs w:val="21"/>
                <w:highlight w:val="none"/>
              </w:rPr>
            </w:pPr>
            <w:r>
              <w:rPr>
                <w:rFonts w:ascii="宋体" w:hAnsi="宋体"/>
                <w:color w:val="auto"/>
                <w:szCs w:val="21"/>
                <w:highlight w:val="none"/>
              </w:rPr>
              <w:t>30</w:t>
            </w:r>
          </w:p>
        </w:tc>
        <w:tc>
          <w:tcPr>
            <w:tcW w:w="1559" w:type="dxa"/>
            <w:vMerge w:val="continue"/>
            <w:noWrap w:val="0"/>
            <w:vAlign w:val="center"/>
          </w:tcPr>
          <w:p w14:paraId="70779375">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0BF589BC">
            <w:pPr>
              <w:pStyle w:val="3"/>
              <w:spacing w:line="360" w:lineRule="auto"/>
              <w:ind w:firstLine="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未按整改通知书进行整改的，每次扣2分。</w:t>
            </w:r>
          </w:p>
        </w:tc>
        <w:tc>
          <w:tcPr>
            <w:tcW w:w="851" w:type="dxa"/>
            <w:noWrap w:val="0"/>
            <w:vAlign w:val="center"/>
          </w:tcPr>
          <w:p w14:paraId="14D91065">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03433AF7">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228541D0">
            <w:pPr>
              <w:pStyle w:val="3"/>
              <w:spacing w:line="360" w:lineRule="auto"/>
              <w:ind w:firstLine="0"/>
              <w:jc w:val="center"/>
              <w:rPr>
                <w:rFonts w:hint="eastAsia" w:ascii="宋体" w:hAnsi="宋体"/>
                <w:color w:val="auto"/>
                <w:szCs w:val="21"/>
                <w:highlight w:val="none"/>
              </w:rPr>
            </w:pPr>
          </w:p>
        </w:tc>
      </w:tr>
      <w:tr w14:paraId="7861A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2D0EF4D1">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1</w:t>
            </w:r>
          </w:p>
        </w:tc>
        <w:tc>
          <w:tcPr>
            <w:tcW w:w="1559" w:type="dxa"/>
            <w:vMerge w:val="continue"/>
            <w:noWrap w:val="0"/>
            <w:vAlign w:val="center"/>
          </w:tcPr>
          <w:p w14:paraId="5DF00C06">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DED445B">
            <w:pPr>
              <w:pStyle w:val="3"/>
              <w:spacing w:line="360" w:lineRule="auto"/>
              <w:ind w:firstLine="0"/>
              <w:rPr>
                <w:rFonts w:hint="eastAsia" w:ascii="宋体" w:hAnsi="宋体"/>
                <w:color w:val="auto"/>
                <w:szCs w:val="21"/>
                <w:highlight w:val="none"/>
                <w:shd w:val="clear" w:color="auto" w:fill="FFFFFF"/>
              </w:rPr>
            </w:pPr>
            <w:r>
              <w:rPr>
                <w:rFonts w:hint="eastAsia" w:ascii="宋体" w:hAnsi="宋体"/>
                <w:color w:val="auto"/>
                <w:szCs w:val="21"/>
                <w:highlight w:val="none"/>
              </w:rPr>
              <w:t>未按采购人要求配合完成扶贫采购任务的，扣2分。</w:t>
            </w:r>
          </w:p>
        </w:tc>
        <w:tc>
          <w:tcPr>
            <w:tcW w:w="851" w:type="dxa"/>
            <w:noWrap w:val="0"/>
            <w:vAlign w:val="center"/>
          </w:tcPr>
          <w:p w14:paraId="4E606BFD">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531B224A">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168D655F">
            <w:pPr>
              <w:pStyle w:val="3"/>
              <w:spacing w:line="360" w:lineRule="auto"/>
              <w:ind w:firstLine="0"/>
              <w:jc w:val="center"/>
              <w:rPr>
                <w:rFonts w:hint="eastAsia" w:ascii="宋体" w:hAnsi="宋体"/>
                <w:color w:val="auto"/>
                <w:szCs w:val="21"/>
                <w:highlight w:val="none"/>
              </w:rPr>
            </w:pPr>
          </w:p>
        </w:tc>
      </w:tr>
      <w:tr w14:paraId="42533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44D6CE23">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2</w:t>
            </w:r>
          </w:p>
        </w:tc>
        <w:tc>
          <w:tcPr>
            <w:tcW w:w="1559" w:type="dxa"/>
            <w:vMerge w:val="continue"/>
            <w:noWrap w:val="0"/>
            <w:vAlign w:val="center"/>
          </w:tcPr>
          <w:p w14:paraId="4F668EE3">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5302DC24">
            <w:pPr>
              <w:pStyle w:val="3"/>
              <w:spacing w:line="360" w:lineRule="auto"/>
              <w:ind w:firstLine="0"/>
              <w:rPr>
                <w:rFonts w:hint="eastAsia" w:ascii="宋体" w:hAnsi="宋体"/>
                <w:color w:val="auto"/>
                <w:szCs w:val="21"/>
                <w:highlight w:val="none"/>
              </w:rPr>
            </w:pPr>
            <w:r>
              <w:rPr>
                <w:rFonts w:hint="eastAsia" w:ascii="宋体" w:hAnsi="宋体"/>
                <w:color w:val="auto"/>
                <w:szCs w:val="21"/>
                <w:highlight w:val="none"/>
              </w:rPr>
              <w:t>未按要求做好垃圾分类工作的，每发现一次扣2分。</w:t>
            </w:r>
          </w:p>
        </w:tc>
        <w:tc>
          <w:tcPr>
            <w:tcW w:w="851" w:type="dxa"/>
            <w:noWrap w:val="0"/>
            <w:vAlign w:val="center"/>
          </w:tcPr>
          <w:p w14:paraId="57D55598">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29FBD4EF">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60CF75E3">
            <w:pPr>
              <w:pStyle w:val="3"/>
              <w:spacing w:line="360" w:lineRule="auto"/>
              <w:ind w:firstLine="0"/>
              <w:jc w:val="center"/>
              <w:rPr>
                <w:rFonts w:hint="eastAsia" w:ascii="宋体" w:hAnsi="宋体"/>
                <w:color w:val="auto"/>
                <w:szCs w:val="21"/>
                <w:highlight w:val="none"/>
              </w:rPr>
            </w:pPr>
          </w:p>
        </w:tc>
      </w:tr>
      <w:tr w14:paraId="168BA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noWrap w:val="0"/>
            <w:vAlign w:val="center"/>
          </w:tcPr>
          <w:p w14:paraId="103893F8">
            <w:pPr>
              <w:pStyle w:val="3"/>
              <w:spacing w:line="360" w:lineRule="auto"/>
              <w:ind w:firstLine="0"/>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3</w:t>
            </w:r>
          </w:p>
        </w:tc>
        <w:tc>
          <w:tcPr>
            <w:tcW w:w="1559" w:type="dxa"/>
            <w:noWrap w:val="0"/>
            <w:vAlign w:val="center"/>
          </w:tcPr>
          <w:p w14:paraId="13DE2560">
            <w:pPr>
              <w:pStyle w:val="3"/>
              <w:spacing w:line="360" w:lineRule="auto"/>
              <w:ind w:firstLine="0"/>
              <w:jc w:val="center"/>
              <w:rPr>
                <w:rFonts w:hint="eastAsia" w:ascii="宋体" w:hAnsi="宋体"/>
                <w:color w:val="auto"/>
                <w:szCs w:val="21"/>
                <w:highlight w:val="none"/>
              </w:rPr>
            </w:pPr>
          </w:p>
        </w:tc>
        <w:tc>
          <w:tcPr>
            <w:tcW w:w="4111" w:type="dxa"/>
            <w:noWrap w:val="0"/>
            <w:vAlign w:val="top"/>
          </w:tcPr>
          <w:p w14:paraId="0E8B606C">
            <w:pPr>
              <w:pStyle w:val="3"/>
              <w:spacing w:line="360" w:lineRule="auto"/>
              <w:ind w:firstLine="0"/>
              <w:rPr>
                <w:rFonts w:hint="eastAsia" w:ascii="宋体" w:hAnsi="宋体"/>
                <w:color w:val="auto"/>
                <w:szCs w:val="21"/>
                <w:highlight w:val="none"/>
              </w:rPr>
            </w:pPr>
          </w:p>
        </w:tc>
        <w:tc>
          <w:tcPr>
            <w:tcW w:w="851" w:type="dxa"/>
            <w:noWrap w:val="0"/>
            <w:vAlign w:val="center"/>
          </w:tcPr>
          <w:p w14:paraId="76C9C067">
            <w:pPr>
              <w:pStyle w:val="3"/>
              <w:spacing w:line="360" w:lineRule="auto"/>
              <w:ind w:firstLine="0"/>
              <w:jc w:val="center"/>
              <w:rPr>
                <w:rFonts w:hint="eastAsia" w:ascii="宋体" w:hAnsi="宋体"/>
                <w:color w:val="auto"/>
                <w:szCs w:val="21"/>
                <w:highlight w:val="none"/>
              </w:rPr>
            </w:pPr>
          </w:p>
        </w:tc>
        <w:tc>
          <w:tcPr>
            <w:tcW w:w="873" w:type="dxa"/>
            <w:noWrap w:val="0"/>
            <w:vAlign w:val="center"/>
          </w:tcPr>
          <w:p w14:paraId="0B9F00C3">
            <w:pPr>
              <w:pStyle w:val="3"/>
              <w:spacing w:line="360" w:lineRule="auto"/>
              <w:ind w:firstLine="0"/>
              <w:jc w:val="center"/>
              <w:rPr>
                <w:rFonts w:hint="eastAsia" w:ascii="宋体" w:hAnsi="宋体"/>
                <w:color w:val="auto"/>
                <w:szCs w:val="21"/>
                <w:highlight w:val="none"/>
              </w:rPr>
            </w:pPr>
          </w:p>
        </w:tc>
        <w:tc>
          <w:tcPr>
            <w:tcW w:w="1643" w:type="dxa"/>
            <w:noWrap w:val="0"/>
            <w:vAlign w:val="center"/>
          </w:tcPr>
          <w:p w14:paraId="7A3F36F0">
            <w:pPr>
              <w:pStyle w:val="3"/>
              <w:spacing w:line="360" w:lineRule="auto"/>
              <w:ind w:firstLine="0"/>
              <w:jc w:val="center"/>
              <w:rPr>
                <w:rFonts w:hint="eastAsia" w:ascii="宋体" w:hAnsi="宋体"/>
                <w:color w:val="auto"/>
                <w:szCs w:val="21"/>
                <w:highlight w:val="none"/>
              </w:rPr>
            </w:pPr>
          </w:p>
        </w:tc>
      </w:tr>
    </w:tbl>
    <w:p w14:paraId="1BE35A42">
      <w:pPr>
        <w:pStyle w:val="3"/>
        <w:rPr>
          <w:rFonts w:hint="eastAsia"/>
          <w:b/>
          <w:color w:val="auto"/>
          <w:highlight w:val="none"/>
        </w:rPr>
      </w:pPr>
      <w:r>
        <w:rPr>
          <w:rFonts w:hint="eastAsia"/>
          <w:b/>
          <w:color w:val="auto"/>
          <w:highlight w:val="none"/>
        </w:rPr>
        <w:t>考核要求:</w:t>
      </w:r>
    </w:p>
    <w:p w14:paraId="514960A0">
      <w:pPr>
        <w:ind w:firstLine="422" w:firstLineChars="200"/>
        <w:rPr>
          <w:rFonts w:hint="eastAsia"/>
          <w:b/>
          <w:color w:val="auto"/>
          <w:highlight w:val="none"/>
        </w:rPr>
      </w:pPr>
      <w:r>
        <w:rPr>
          <w:rFonts w:hint="eastAsia"/>
          <w:b/>
          <w:color w:val="auto"/>
          <w:highlight w:val="none"/>
        </w:rPr>
        <w:t>1.防城港市警官食堂管理委员会采取考核打分、满意度调查问卷等方式对</w:t>
      </w:r>
      <w:r>
        <w:rPr>
          <w:rFonts w:hint="eastAsia"/>
          <w:b/>
          <w:color w:val="auto"/>
          <w:highlight w:val="none"/>
          <w:lang w:eastAsia="zh-CN"/>
        </w:rPr>
        <w:t>供应商</w:t>
      </w:r>
      <w:r>
        <w:rPr>
          <w:rFonts w:hint="eastAsia"/>
          <w:b/>
          <w:color w:val="auto"/>
          <w:highlight w:val="none"/>
        </w:rPr>
        <w:t>的运行情况进行考核管理。</w:t>
      </w:r>
    </w:p>
    <w:p w14:paraId="7FA48F6D">
      <w:pPr>
        <w:pStyle w:val="3"/>
        <w:rPr>
          <w:rFonts w:hint="eastAsia"/>
          <w:b/>
          <w:color w:val="auto"/>
          <w:highlight w:val="none"/>
        </w:rPr>
      </w:pPr>
      <w:r>
        <w:rPr>
          <w:rFonts w:hint="eastAsia"/>
          <w:b/>
          <w:color w:val="auto"/>
          <w:highlight w:val="none"/>
        </w:rPr>
        <w:t>2. 每季度至少开展1次考核打分，考核小组成员防城港市警官食堂管理委员会召集，执行“日巡查、周检查、季考核”的考核机制。日常巡查发现的问题，</w:t>
      </w:r>
      <w:r>
        <w:rPr>
          <w:rFonts w:hint="eastAsia"/>
          <w:b/>
          <w:color w:val="auto"/>
          <w:highlight w:val="none"/>
          <w:lang w:eastAsia="zh-CN"/>
        </w:rPr>
        <w:t>防城港市公安局机关后勤服务中心</w:t>
      </w:r>
      <w:r>
        <w:rPr>
          <w:rFonts w:hint="eastAsia"/>
          <w:b/>
          <w:color w:val="auto"/>
          <w:highlight w:val="none"/>
        </w:rPr>
        <w:t>开具整改通知书并全程跟踪整改进度。</w:t>
      </w:r>
    </w:p>
    <w:p w14:paraId="7ABD7227">
      <w:pPr>
        <w:pStyle w:val="3"/>
        <w:rPr>
          <w:rFonts w:hint="eastAsia"/>
          <w:b/>
          <w:color w:val="auto"/>
          <w:highlight w:val="none"/>
        </w:rPr>
      </w:pPr>
      <w:r>
        <w:rPr>
          <w:rFonts w:hint="eastAsia"/>
          <w:b/>
          <w:color w:val="auto"/>
          <w:highlight w:val="none"/>
        </w:rPr>
        <w:t>3</w:t>
      </w:r>
      <w:r>
        <w:rPr>
          <w:b/>
          <w:color w:val="auto"/>
          <w:highlight w:val="none"/>
        </w:rPr>
        <w:t>.</w:t>
      </w:r>
      <w:r>
        <w:rPr>
          <w:rFonts w:hint="eastAsia"/>
          <w:b/>
          <w:color w:val="auto"/>
          <w:highlight w:val="none"/>
        </w:rPr>
        <w:t>采购人进行考核后，向</w:t>
      </w:r>
      <w:r>
        <w:rPr>
          <w:rFonts w:hint="eastAsia"/>
          <w:b/>
          <w:color w:val="auto"/>
          <w:highlight w:val="none"/>
          <w:lang w:eastAsia="zh-CN"/>
        </w:rPr>
        <w:t>供应商</w:t>
      </w:r>
      <w:r>
        <w:rPr>
          <w:rFonts w:hint="eastAsia"/>
          <w:b/>
          <w:color w:val="auto"/>
          <w:highlight w:val="none"/>
        </w:rPr>
        <w:t>发放书面考核意见，</w:t>
      </w:r>
      <w:r>
        <w:rPr>
          <w:rFonts w:hint="eastAsia"/>
          <w:b/>
          <w:color w:val="auto"/>
          <w:highlight w:val="none"/>
          <w:lang w:eastAsia="zh-CN"/>
        </w:rPr>
        <w:t>供应商</w:t>
      </w:r>
      <w:r>
        <w:rPr>
          <w:rFonts w:hint="eastAsia"/>
          <w:b/>
          <w:color w:val="auto"/>
          <w:highlight w:val="none"/>
        </w:rPr>
        <w:t>对考核意见核对无误后予以盖章确认。若</w:t>
      </w:r>
      <w:r>
        <w:rPr>
          <w:rFonts w:hint="eastAsia"/>
          <w:b/>
          <w:color w:val="auto"/>
          <w:highlight w:val="none"/>
          <w:lang w:eastAsia="zh-CN"/>
        </w:rPr>
        <w:t>供应商</w:t>
      </w:r>
      <w:r>
        <w:rPr>
          <w:rFonts w:hint="eastAsia"/>
          <w:b/>
          <w:color w:val="auto"/>
          <w:highlight w:val="none"/>
        </w:rPr>
        <w:t>有异议应在7日内书面提出，若逾期未基础书面异议，视为</w:t>
      </w:r>
      <w:r>
        <w:rPr>
          <w:rFonts w:hint="eastAsia"/>
          <w:b/>
          <w:color w:val="auto"/>
          <w:highlight w:val="none"/>
          <w:lang w:eastAsia="zh-CN"/>
        </w:rPr>
        <w:t>供应商</w:t>
      </w:r>
      <w:r>
        <w:rPr>
          <w:rFonts w:hint="eastAsia"/>
          <w:b/>
          <w:color w:val="auto"/>
          <w:highlight w:val="none"/>
        </w:rPr>
        <w:t>统一。</w:t>
      </w:r>
    </w:p>
    <w:p w14:paraId="400756CB">
      <w:pPr>
        <w:pStyle w:val="3"/>
        <w:rPr>
          <w:rFonts w:hint="eastAsia"/>
          <w:b/>
          <w:color w:val="auto"/>
          <w:highlight w:val="none"/>
        </w:rPr>
      </w:pPr>
    </w:p>
    <w:p w14:paraId="0C177800">
      <w:pPr>
        <w:pStyle w:val="3"/>
        <w:rPr>
          <w:rFonts w:hint="eastAsia"/>
          <w:b/>
          <w:color w:val="auto"/>
          <w:highlight w:val="none"/>
        </w:rPr>
      </w:pPr>
    </w:p>
    <w:p w14:paraId="16D70F72">
      <w:pPr>
        <w:pStyle w:val="3"/>
        <w:rPr>
          <w:rFonts w:hint="eastAsia"/>
          <w:b/>
          <w:color w:val="auto"/>
          <w:highlight w:val="none"/>
        </w:rPr>
      </w:pPr>
    </w:p>
    <w:p w14:paraId="26B76E19">
      <w:pPr>
        <w:pStyle w:val="3"/>
        <w:rPr>
          <w:rFonts w:hint="eastAsia"/>
          <w:b/>
          <w:color w:val="auto"/>
          <w:highlight w:val="none"/>
        </w:rPr>
      </w:pPr>
    </w:p>
    <w:p w14:paraId="0A923DF4">
      <w:pPr>
        <w:pStyle w:val="3"/>
        <w:rPr>
          <w:rFonts w:hint="eastAsia"/>
          <w:b/>
          <w:color w:val="auto"/>
          <w:highlight w:val="none"/>
        </w:rPr>
      </w:pPr>
    </w:p>
    <w:p w14:paraId="52E374E1">
      <w:pPr>
        <w:pStyle w:val="3"/>
        <w:rPr>
          <w:rFonts w:hint="eastAsia"/>
          <w:b/>
          <w:color w:val="auto"/>
          <w:highlight w:val="none"/>
        </w:rPr>
      </w:pPr>
    </w:p>
    <w:p w14:paraId="33644C16">
      <w:pPr>
        <w:pStyle w:val="3"/>
        <w:rPr>
          <w:rFonts w:hint="eastAsia"/>
          <w:b/>
          <w:color w:val="auto"/>
          <w:highlight w:val="none"/>
        </w:rPr>
      </w:pPr>
    </w:p>
    <w:p w14:paraId="545C7797">
      <w:pPr>
        <w:pStyle w:val="3"/>
        <w:rPr>
          <w:b/>
          <w:color w:val="auto"/>
          <w:highlight w:val="none"/>
        </w:rPr>
      </w:pPr>
    </w:p>
    <w:p w14:paraId="3239FB81">
      <w:pPr>
        <w:pStyle w:val="3"/>
        <w:rPr>
          <w:b/>
          <w:color w:val="auto"/>
          <w:highlight w:val="none"/>
        </w:rPr>
      </w:pPr>
    </w:p>
    <w:p w14:paraId="61D03765">
      <w:pPr>
        <w:pStyle w:val="3"/>
        <w:rPr>
          <w:b/>
          <w:color w:val="auto"/>
          <w:highlight w:val="none"/>
        </w:rPr>
      </w:pPr>
      <w:bookmarkStart w:id="0" w:name="_GoBack"/>
      <w:bookmarkEnd w:id="0"/>
    </w:p>
    <w:p w14:paraId="60743C46">
      <w:pPr>
        <w:pStyle w:val="3"/>
        <w:rPr>
          <w:b/>
          <w:color w:val="auto"/>
          <w:highlight w:val="none"/>
        </w:rPr>
      </w:pPr>
    </w:p>
    <w:p w14:paraId="516EB9DB">
      <w:pPr>
        <w:pStyle w:val="3"/>
        <w:rPr>
          <w:b/>
          <w:color w:val="auto"/>
          <w:highlight w:val="none"/>
        </w:rPr>
      </w:pPr>
    </w:p>
    <w:p w14:paraId="682A40C3">
      <w:pPr>
        <w:pStyle w:val="3"/>
        <w:rPr>
          <w:b/>
          <w:color w:val="auto"/>
          <w:highlight w:val="none"/>
        </w:rPr>
      </w:pPr>
    </w:p>
    <w:p w14:paraId="04D3A385">
      <w:pPr>
        <w:pStyle w:val="3"/>
        <w:rPr>
          <w:rFonts w:hint="eastAsia"/>
          <w:b/>
          <w:color w:val="auto"/>
          <w:highlight w:val="none"/>
        </w:rPr>
      </w:pPr>
      <w:r>
        <w:rPr>
          <w:rFonts w:hint="eastAsia"/>
          <w:b/>
          <w:color w:val="auto"/>
          <w:highlight w:val="none"/>
        </w:rPr>
        <w:t>附件2：整改通知书</w:t>
      </w:r>
    </w:p>
    <w:p w14:paraId="4EE15112">
      <w:pPr>
        <w:pStyle w:val="3"/>
        <w:rPr>
          <w:rFonts w:hint="eastAsia"/>
          <w:b/>
          <w:color w:val="auto"/>
          <w:highlight w:val="none"/>
        </w:rPr>
      </w:pPr>
      <w:r>
        <w:rPr>
          <w:rFonts w:hint="eastAsia"/>
          <w:b/>
          <w:color w:val="auto"/>
          <w:highlight w:val="none"/>
        </w:rPr>
        <w:t>编号：</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9"/>
        <w:gridCol w:w="2226"/>
        <w:gridCol w:w="2248"/>
        <w:gridCol w:w="2227"/>
      </w:tblGrid>
      <w:tr w14:paraId="0E6C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7" w:hRule="atLeast"/>
        </w:trPr>
        <w:tc>
          <w:tcPr>
            <w:tcW w:w="2463" w:type="dxa"/>
            <w:noWrap w:val="0"/>
            <w:vAlign w:val="center"/>
          </w:tcPr>
          <w:p w14:paraId="7EA0386D">
            <w:pPr>
              <w:pStyle w:val="3"/>
              <w:ind w:firstLine="0"/>
              <w:jc w:val="center"/>
              <w:rPr>
                <w:rFonts w:hint="eastAsia"/>
                <w:color w:val="auto"/>
                <w:highlight w:val="none"/>
              </w:rPr>
            </w:pPr>
            <w:r>
              <w:rPr>
                <w:rFonts w:hint="eastAsia"/>
                <w:color w:val="auto"/>
                <w:highlight w:val="none"/>
              </w:rPr>
              <w:t>责任部门（被考核人）</w:t>
            </w:r>
          </w:p>
        </w:tc>
        <w:tc>
          <w:tcPr>
            <w:tcW w:w="2463" w:type="dxa"/>
            <w:noWrap w:val="0"/>
            <w:vAlign w:val="center"/>
          </w:tcPr>
          <w:p w14:paraId="2C4648B6">
            <w:pPr>
              <w:pStyle w:val="3"/>
              <w:ind w:firstLine="0"/>
              <w:jc w:val="center"/>
              <w:rPr>
                <w:rFonts w:hint="eastAsia"/>
                <w:color w:val="auto"/>
                <w:highlight w:val="none"/>
              </w:rPr>
            </w:pPr>
          </w:p>
        </w:tc>
        <w:tc>
          <w:tcPr>
            <w:tcW w:w="2464" w:type="dxa"/>
            <w:noWrap w:val="0"/>
            <w:vAlign w:val="center"/>
          </w:tcPr>
          <w:p w14:paraId="39B8D748">
            <w:pPr>
              <w:pStyle w:val="3"/>
              <w:ind w:firstLine="0"/>
              <w:jc w:val="center"/>
              <w:rPr>
                <w:rFonts w:hint="eastAsia"/>
                <w:color w:val="auto"/>
                <w:highlight w:val="none"/>
              </w:rPr>
            </w:pPr>
            <w:r>
              <w:rPr>
                <w:rFonts w:hint="eastAsia"/>
                <w:color w:val="auto"/>
                <w:highlight w:val="none"/>
              </w:rPr>
              <w:t>考核时间</w:t>
            </w:r>
          </w:p>
        </w:tc>
        <w:tc>
          <w:tcPr>
            <w:tcW w:w="2464" w:type="dxa"/>
            <w:noWrap w:val="0"/>
            <w:vAlign w:val="center"/>
          </w:tcPr>
          <w:p w14:paraId="5CC042A0">
            <w:pPr>
              <w:pStyle w:val="3"/>
              <w:ind w:firstLine="0"/>
              <w:jc w:val="center"/>
              <w:rPr>
                <w:rFonts w:hint="eastAsia"/>
                <w:color w:val="auto"/>
                <w:highlight w:val="none"/>
              </w:rPr>
            </w:pPr>
          </w:p>
        </w:tc>
      </w:tr>
      <w:tr w14:paraId="5F281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trPr>
        <w:tc>
          <w:tcPr>
            <w:tcW w:w="2463" w:type="dxa"/>
            <w:noWrap w:val="0"/>
            <w:vAlign w:val="center"/>
          </w:tcPr>
          <w:p w14:paraId="116967DD">
            <w:pPr>
              <w:pStyle w:val="3"/>
              <w:ind w:firstLine="0"/>
              <w:jc w:val="center"/>
              <w:rPr>
                <w:rFonts w:hint="eastAsia"/>
                <w:color w:val="auto"/>
                <w:highlight w:val="none"/>
              </w:rPr>
            </w:pPr>
            <w:r>
              <w:rPr>
                <w:rFonts w:hint="eastAsia"/>
                <w:color w:val="auto"/>
                <w:highlight w:val="none"/>
              </w:rPr>
              <w:t>部门负责人</w:t>
            </w:r>
          </w:p>
        </w:tc>
        <w:tc>
          <w:tcPr>
            <w:tcW w:w="7391" w:type="dxa"/>
            <w:gridSpan w:val="3"/>
            <w:noWrap w:val="0"/>
            <w:vAlign w:val="center"/>
          </w:tcPr>
          <w:p w14:paraId="6964714C">
            <w:pPr>
              <w:pStyle w:val="3"/>
              <w:ind w:firstLine="0"/>
              <w:jc w:val="center"/>
              <w:rPr>
                <w:rFonts w:hint="eastAsia"/>
                <w:color w:val="auto"/>
                <w:highlight w:val="none"/>
              </w:rPr>
            </w:pPr>
          </w:p>
        </w:tc>
      </w:tr>
      <w:tr w14:paraId="7952D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7" w:hRule="atLeast"/>
        </w:trPr>
        <w:tc>
          <w:tcPr>
            <w:tcW w:w="2463" w:type="dxa"/>
            <w:noWrap w:val="0"/>
            <w:vAlign w:val="center"/>
          </w:tcPr>
          <w:p w14:paraId="5F2E5093">
            <w:pPr>
              <w:pStyle w:val="3"/>
              <w:ind w:firstLine="0"/>
              <w:jc w:val="center"/>
              <w:rPr>
                <w:rFonts w:hint="eastAsia"/>
                <w:color w:val="auto"/>
                <w:highlight w:val="none"/>
              </w:rPr>
            </w:pPr>
            <w:r>
              <w:rPr>
                <w:rFonts w:hint="eastAsia"/>
                <w:color w:val="auto"/>
                <w:highlight w:val="none"/>
              </w:rPr>
              <w:t>需整改项目</w:t>
            </w:r>
          </w:p>
        </w:tc>
        <w:tc>
          <w:tcPr>
            <w:tcW w:w="7391" w:type="dxa"/>
            <w:gridSpan w:val="3"/>
            <w:noWrap w:val="0"/>
            <w:vAlign w:val="center"/>
          </w:tcPr>
          <w:p w14:paraId="4B55C952">
            <w:pPr>
              <w:pStyle w:val="3"/>
              <w:ind w:firstLine="0"/>
              <w:jc w:val="center"/>
              <w:rPr>
                <w:rFonts w:hint="eastAsia"/>
                <w:color w:val="auto"/>
                <w:highlight w:val="none"/>
              </w:rPr>
            </w:pPr>
          </w:p>
        </w:tc>
      </w:tr>
      <w:tr w14:paraId="05DC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463" w:type="dxa"/>
            <w:noWrap w:val="0"/>
            <w:vAlign w:val="center"/>
          </w:tcPr>
          <w:p w14:paraId="33C8E3AC">
            <w:pPr>
              <w:pStyle w:val="3"/>
              <w:ind w:firstLine="0"/>
              <w:jc w:val="center"/>
              <w:rPr>
                <w:rFonts w:hint="eastAsia"/>
                <w:color w:val="auto"/>
                <w:highlight w:val="none"/>
              </w:rPr>
            </w:pPr>
            <w:r>
              <w:rPr>
                <w:rFonts w:hint="eastAsia"/>
                <w:color w:val="auto"/>
                <w:highlight w:val="none"/>
              </w:rPr>
              <w:t>整改要求</w:t>
            </w:r>
          </w:p>
        </w:tc>
        <w:tc>
          <w:tcPr>
            <w:tcW w:w="7391" w:type="dxa"/>
            <w:gridSpan w:val="3"/>
            <w:noWrap w:val="0"/>
            <w:vAlign w:val="center"/>
          </w:tcPr>
          <w:p w14:paraId="79DDFBAA">
            <w:pPr>
              <w:pStyle w:val="3"/>
              <w:ind w:firstLine="0"/>
              <w:jc w:val="center"/>
              <w:rPr>
                <w:rFonts w:hint="eastAsia"/>
                <w:color w:val="auto"/>
                <w:highlight w:val="none"/>
              </w:rPr>
            </w:pPr>
          </w:p>
          <w:p w14:paraId="65E89ED7">
            <w:pPr>
              <w:pStyle w:val="3"/>
              <w:ind w:firstLine="0"/>
              <w:jc w:val="center"/>
              <w:rPr>
                <w:rFonts w:hint="eastAsia"/>
                <w:color w:val="auto"/>
                <w:highlight w:val="none"/>
              </w:rPr>
            </w:pPr>
          </w:p>
          <w:p w14:paraId="15FC7BFF">
            <w:pPr>
              <w:pStyle w:val="3"/>
              <w:ind w:firstLine="0"/>
              <w:jc w:val="center"/>
              <w:rPr>
                <w:rFonts w:hint="eastAsia"/>
                <w:color w:val="auto"/>
                <w:highlight w:val="none"/>
              </w:rPr>
            </w:pPr>
          </w:p>
          <w:p w14:paraId="129D1C34">
            <w:pPr>
              <w:pStyle w:val="3"/>
              <w:ind w:firstLine="0"/>
              <w:rPr>
                <w:rFonts w:hint="eastAsia"/>
                <w:color w:val="auto"/>
                <w:highlight w:val="none"/>
              </w:rPr>
            </w:pPr>
            <w:r>
              <w:rPr>
                <w:rFonts w:hint="eastAsia"/>
                <w:color w:val="auto"/>
                <w:highlight w:val="none"/>
              </w:rPr>
              <w:t>本整改工作须在  年   月   日前完成。</w:t>
            </w:r>
          </w:p>
        </w:tc>
      </w:tr>
      <w:tr w14:paraId="2C7A1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8" w:hRule="atLeast"/>
        </w:trPr>
        <w:tc>
          <w:tcPr>
            <w:tcW w:w="2463" w:type="dxa"/>
            <w:noWrap w:val="0"/>
            <w:vAlign w:val="center"/>
          </w:tcPr>
          <w:p w14:paraId="0893B98F">
            <w:pPr>
              <w:pStyle w:val="3"/>
              <w:ind w:firstLine="0"/>
              <w:jc w:val="center"/>
              <w:rPr>
                <w:rFonts w:hint="eastAsia"/>
                <w:color w:val="auto"/>
                <w:highlight w:val="none"/>
              </w:rPr>
            </w:pPr>
            <w:r>
              <w:rPr>
                <w:rFonts w:hint="eastAsia"/>
                <w:color w:val="auto"/>
                <w:highlight w:val="none"/>
              </w:rPr>
              <w:t>考核组成员</w:t>
            </w:r>
          </w:p>
        </w:tc>
        <w:tc>
          <w:tcPr>
            <w:tcW w:w="7391" w:type="dxa"/>
            <w:gridSpan w:val="3"/>
            <w:noWrap w:val="0"/>
            <w:vAlign w:val="center"/>
          </w:tcPr>
          <w:p w14:paraId="7D3AB3B6">
            <w:pPr>
              <w:pStyle w:val="3"/>
              <w:ind w:firstLineChars="200"/>
              <w:rPr>
                <w:rFonts w:hint="eastAsia"/>
                <w:color w:val="auto"/>
                <w:highlight w:val="none"/>
              </w:rPr>
            </w:pPr>
          </w:p>
          <w:p w14:paraId="2497C3F8">
            <w:pPr>
              <w:pStyle w:val="3"/>
              <w:ind w:firstLineChars="200"/>
              <w:rPr>
                <w:rFonts w:hint="eastAsia"/>
                <w:color w:val="auto"/>
                <w:highlight w:val="none"/>
              </w:rPr>
            </w:pPr>
          </w:p>
          <w:p w14:paraId="4C36BB0D">
            <w:pPr>
              <w:pStyle w:val="3"/>
              <w:ind w:firstLineChars="200"/>
              <w:rPr>
                <w:rFonts w:hint="eastAsia"/>
                <w:color w:val="auto"/>
                <w:highlight w:val="none"/>
              </w:rPr>
            </w:pPr>
            <w:r>
              <w:rPr>
                <w:rFonts w:hint="eastAsia"/>
                <w:color w:val="auto"/>
                <w:highlight w:val="none"/>
              </w:rPr>
              <w:t>年    月    日</w:t>
            </w:r>
          </w:p>
        </w:tc>
      </w:tr>
      <w:tr w14:paraId="133ED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2463" w:type="dxa"/>
            <w:noWrap w:val="0"/>
            <w:vAlign w:val="center"/>
          </w:tcPr>
          <w:p w14:paraId="072232D6">
            <w:pPr>
              <w:pStyle w:val="3"/>
              <w:ind w:firstLine="0"/>
              <w:jc w:val="center"/>
              <w:rPr>
                <w:rFonts w:hint="eastAsia"/>
                <w:color w:val="auto"/>
                <w:highlight w:val="none"/>
              </w:rPr>
            </w:pPr>
            <w:r>
              <w:rPr>
                <w:rFonts w:hint="eastAsia"/>
                <w:color w:val="auto"/>
                <w:highlight w:val="none"/>
              </w:rPr>
              <w:t>整改结果</w:t>
            </w:r>
          </w:p>
        </w:tc>
        <w:tc>
          <w:tcPr>
            <w:tcW w:w="7391" w:type="dxa"/>
            <w:gridSpan w:val="3"/>
            <w:noWrap w:val="0"/>
            <w:vAlign w:val="center"/>
          </w:tcPr>
          <w:p w14:paraId="6AC6D95F">
            <w:pPr>
              <w:pStyle w:val="3"/>
              <w:ind w:firstLineChars="200"/>
              <w:rPr>
                <w:rFonts w:hint="eastAsia"/>
                <w:color w:val="auto"/>
                <w:highlight w:val="none"/>
              </w:rPr>
            </w:pPr>
          </w:p>
        </w:tc>
      </w:tr>
    </w:tbl>
    <w:p w14:paraId="25C4F80E"/>
    <w:sectPr>
      <w:footerReference r:id="rId3" w:type="default"/>
      <w:pgSz w:w="11906" w:h="16838"/>
      <w:pgMar w:top="1270" w:right="1576" w:bottom="127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5C9F">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9E6029">
                          <w:pPr>
                            <w:pStyle w:val="4"/>
                            <w:jc w:val="center"/>
                          </w:pPr>
                          <w:r>
                            <w:fldChar w:fldCharType="begin"/>
                          </w:r>
                          <w:r>
                            <w:instrText xml:space="preserve"> PAGE  \* MERGEFORMAT </w:instrText>
                          </w:r>
                          <w:r>
                            <w:fldChar w:fldCharType="separate"/>
                          </w:r>
                          <w:r>
                            <w:t>46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29E6029">
                    <w:pPr>
                      <w:pStyle w:val="4"/>
                      <w:jc w:val="center"/>
                    </w:pPr>
                    <w:r>
                      <w:fldChar w:fldCharType="begin"/>
                    </w:r>
                    <w:r>
                      <w:instrText xml:space="preserve"> PAGE  \* MERGEFORMAT </w:instrText>
                    </w:r>
                    <w:r>
                      <w:fldChar w:fldCharType="separate"/>
                    </w:r>
                    <w:r>
                      <w:t>46</w:t>
                    </w:r>
                    <w:r>
                      <w:fldChar w:fldCharType="end"/>
                    </w:r>
                  </w:p>
                </w:txbxContent>
              </v:textbox>
            </v:shape>
          </w:pict>
        </mc:Fallback>
      </mc:AlternateContent>
    </w:r>
  </w:p>
  <w:p w14:paraId="4E6CF0B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1A3B74"/>
    <w:rsid w:val="131A3B74"/>
    <w:rsid w:val="168F5D61"/>
    <w:rsid w:val="20FB4C1A"/>
    <w:rsid w:val="4A98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character" w:customStyle="1" w:styleId="7">
    <w:name w:val="font31"/>
    <w:basedOn w:val="6"/>
    <w:qFormat/>
    <w:uiPriority w:val="0"/>
    <w:rPr>
      <w:rFonts w:hint="eastAsia" w:ascii="宋体" w:hAnsi="宋体" w:eastAsia="宋体" w:cs="宋体"/>
      <w:color w:val="000000"/>
      <w:sz w:val="21"/>
      <w:szCs w:val="21"/>
      <w:u w:val="none"/>
    </w:rPr>
  </w:style>
  <w:style w:type="character" w:customStyle="1" w:styleId="8">
    <w:name w:val="font51"/>
    <w:basedOn w:val="6"/>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10950</Words>
  <Characters>11395</Characters>
  <Lines>0</Lines>
  <Paragraphs>0</Paragraphs>
  <TotalTime>0</TotalTime>
  <ScaleCrop>false</ScaleCrop>
  <LinksUpToDate>false</LinksUpToDate>
  <CharactersWithSpaces>11412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2026-05-09T04:06:00Z</dcterms:created>
  <dc:creator>Administrator</dc:creator>
  <cp:lastModifiedBy>Administrator</cp:lastModifiedBy>
  <dcterms:modified xsi:type="dcterms:W3CDTF">2026-05-15T06:26:34Z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8B1929E1FA7946B3BC3DFA71A3728B54_11</vt:lpwstr>
  </property>
  <property fmtid="{D5CDD505-2E9C-101B-9397-08002B2CF9AE}" pid="4" name="KSOTemplateDocerSaveRecord">
    <vt:lpwstr>eyJoZGlkIjoiYTljMzc1ZDIyMTNjM2IxZTQ4NGM2MTAxZDE4YzZjYzYiLCJ1c2VySWQiOiIxNDU2MjM0MDA4In0=</vt:lpwstr>
  </property>
</Properties>
</file>