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2A4E6">
      <w:pPr>
        <w:pStyle w:val="27"/>
        <w:jc w:val="center"/>
        <w:rPr>
          <w:rFonts w:asciiTheme="minorEastAsia" w:hAnsiTheme="minorEastAsia" w:eastAsiaTheme="minorEastAsia"/>
          <w:color w:val="auto"/>
          <w:sz w:val="52"/>
          <w:highlight w:val="none"/>
          <w:u w:val="single"/>
        </w:rPr>
      </w:pPr>
    </w:p>
    <w:p w14:paraId="42139C11">
      <w:pPr>
        <w:pStyle w:val="27"/>
        <w:jc w:val="center"/>
        <w:rPr>
          <w:rFonts w:asciiTheme="minorEastAsia" w:hAnsiTheme="minorEastAsia" w:eastAsiaTheme="minorEastAsia"/>
          <w:color w:val="auto"/>
          <w:sz w:val="52"/>
          <w:highlight w:val="none"/>
          <w:u w:val="single"/>
        </w:rPr>
      </w:pPr>
      <w:r>
        <w:rPr>
          <w:rFonts w:hint="eastAsia" w:ascii="宋体" w:hAnsi="宋体" w:eastAsia="宋体" w:cs="宋体"/>
          <w:b/>
          <w:bCs/>
          <w:color w:val="auto"/>
          <w:sz w:val="56"/>
          <w:szCs w:val="21"/>
          <w:highlight w:val="none"/>
          <w:u w:val="none"/>
        </w:rPr>
        <w:t>广西达华工程造价咨询有限责任公司</w:t>
      </w:r>
    </w:p>
    <w:p w14:paraId="2703D759">
      <w:pPr>
        <w:pStyle w:val="27"/>
        <w:jc w:val="both"/>
        <w:rPr>
          <w:rFonts w:asciiTheme="minorEastAsia" w:hAnsiTheme="minorEastAsia" w:eastAsiaTheme="minorEastAsia"/>
          <w:color w:val="auto"/>
          <w:sz w:val="52"/>
          <w:highlight w:val="none"/>
          <w:u w:val="single"/>
        </w:rPr>
      </w:pPr>
    </w:p>
    <w:p w14:paraId="3BAE6069">
      <w:pPr>
        <w:pStyle w:val="27"/>
        <w:jc w:val="center"/>
        <w:rPr>
          <w:rFonts w:asciiTheme="minorEastAsia" w:hAnsiTheme="minorEastAsia" w:eastAsiaTheme="minorEastAsia"/>
          <w:color w:val="auto"/>
          <w:sz w:val="52"/>
          <w:highlight w:val="none"/>
          <w:u w:val="single"/>
        </w:rPr>
      </w:pPr>
    </w:p>
    <w:p w14:paraId="27AFBD13">
      <w:pPr>
        <w:pStyle w:val="27"/>
        <w:jc w:val="center"/>
        <w:rPr>
          <w:rFonts w:asciiTheme="minorEastAsia" w:hAnsiTheme="minorEastAsia" w:eastAsiaTheme="minorEastAsia"/>
          <w:b/>
          <w:color w:val="auto"/>
          <w:sz w:val="84"/>
          <w:szCs w:val="84"/>
          <w:highlight w:val="none"/>
        </w:rPr>
      </w:pPr>
      <w:r>
        <w:rPr>
          <w:rFonts w:hint="eastAsia" w:asciiTheme="minorEastAsia" w:hAnsiTheme="minorEastAsia" w:eastAsiaTheme="minorEastAsia"/>
          <w:b/>
          <w:color w:val="auto"/>
          <w:sz w:val="84"/>
          <w:szCs w:val="84"/>
          <w:highlight w:val="none"/>
        </w:rPr>
        <w:t>竞争性磋商文件</w:t>
      </w:r>
    </w:p>
    <w:p w14:paraId="76DDEBBF">
      <w:pPr>
        <w:pStyle w:val="27"/>
        <w:rPr>
          <w:rFonts w:asciiTheme="minorEastAsia" w:hAnsiTheme="minorEastAsia" w:eastAsiaTheme="minorEastAsia"/>
          <w:b/>
          <w:color w:val="auto"/>
          <w:highlight w:val="none"/>
        </w:rPr>
      </w:pPr>
    </w:p>
    <w:p w14:paraId="63739833">
      <w:pPr>
        <w:pStyle w:val="27"/>
        <w:rPr>
          <w:rFonts w:asciiTheme="minorEastAsia" w:hAnsiTheme="minorEastAsia" w:eastAsiaTheme="minorEastAsia"/>
          <w:b/>
          <w:color w:val="auto"/>
          <w:highlight w:val="none"/>
        </w:rPr>
      </w:pPr>
    </w:p>
    <w:p w14:paraId="036ACE1F">
      <w:pPr>
        <w:pStyle w:val="27"/>
        <w:rPr>
          <w:rFonts w:asciiTheme="minorEastAsia" w:hAnsiTheme="minorEastAsia" w:eastAsiaTheme="minorEastAsia"/>
          <w:b/>
          <w:color w:val="auto"/>
          <w:highlight w:val="none"/>
        </w:rPr>
      </w:pPr>
    </w:p>
    <w:p w14:paraId="0D27177B">
      <w:pPr>
        <w:pStyle w:val="30"/>
        <w:rPr>
          <w:color w:val="auto"/>
          <w:highlight w:val="none"/>
        </w:rPr>
      </w:pPr>
    </w:p>
    <w:p w14:paraId="4A45955C">
      <w:pPr>
        <w:pStyle w:val="27"/>
        <w:rPr>
          <w:rFonts w:asciiTheme="minorEastAsia" w:hAnsiTheme="minorEastAsia" w:eastAsiaTheme="minorEastAsia"/>
          <w:b/>
          <w:color w:val="auto"/>
          <w:highlight w:val="none"/>
        </w:rPr>
      </w:pPr>
    </w:p>
    <w:p w14:paraId="1AB77A81">
      <w:pPr>
        <w:pStyle w:val="27"/>
        <w:rPr>
          <w:rFonts w:asciiTheme="minorEastAsia" w:hAnsiTheme="minorEastAsia" w:eastAsiaTheme="minorEastAsia"/>
          <w:b/>
          <w:color w:val="auto"/>
          <w:highlight w:val="none"/>
        </w:rPr>
      </w:pPr>
    </w:p>
    <w:p w14:paraId="4FA89B60">
      <w:pPr>
        <w:pStyle w:val="27"/>
        <w:jc w:val="center"/>
        <w:rPr>
          <w:rFonts w:asciiTheme="minorEastAsia" w:hAnsiTheme="minorEastAsia" w:eastAsiaTheme="minorEastAsia"/>
          <w:b/>
          <w:color w:val="auto"/>
          <w:highlight w:val="none"/>
        </w:rPr>
      </w:pPr>
    </w:p>
    <w:p w14:paraId="4EE379EE">
      <w:pPr>
        <w:pStyle w:val="30"/>
        <w:rPr>
          <w:rFonts w:asciiTheme="minorEastAsia" w:hAnsiTheme="minorEastAsia" w:eastAsiaTheme="minorEastAsia"/>
          <w:b/>
          <w:color w:val="auto"/>
          <w:highlight w:val="none"/>
        </w:rPr>
      </w:pPr>
    </w:p>
    <w:p w14:paraId="63DC976F">
      <w:pPr>
        <w:rPr>
          <w:rFonts w:asciiTheme="minorEastAsia" w:hAnsiTheme="minorEastAsia" w:eastAsiaTheme="minorEastAsia"/>
          <w:b/>
          <w:color w:val="auto"/>
          <w:highlight w:val="none"/>
        </w:rPr>
      </w:pPr>
    </w:p>
    <w:p w14:paraId="0BA218E8">
      <w:pPr>
        <w:pStyle w:val="69"/>
        <w:rPr>
          <w:rFonts w:asciiTheme="minorEastAsia" w:hAnsiTheme="minorEastAsia" w:eastAsiaTheme="minorEastAsia"/>
          <w:b/>
          <w:color w:val="auto"/>
          <w:highlight w:val="none"/>
        </w:rPr>
      </w:pPr>
    </w:p>
    <w:p w14:paraId="72E345C1">
      <w:pPr>
        <w:pStyle w:val="69"/>
        <w:rPr>
          <w:rFonts w:asciiTheme="minorEastAsia" w:hAnsiTheme="minorEastAsia" w:eastAsiaTheme="minorEastAsia"/>
          <w:b/>
          <w:color w:val="auto"/>
          <w:highlight w:val="none"/>
        </w:rPr>
      </w:pPr>
    </w:p>
    <w:p w14:paraId="7C1BD96D">
      <w:pPr>
        <w:pStyle w:val="69"/>
        <w:rPr>
          <w:rFonts w:asciiTheme="minorEastAsia" w:hAnsiTheme="minorEastAsia" w:eastAsiaTheme="minorEastAsia"/>
          <w:b/>
          <w:color w:val="auto"/>
          <w:highlight w:val="none"/>
        </w:rPr>
      </w:pPr>
    </w:p>
    <w:p w14:paraId="530E4521">
      <w:pPr>
        <w:pStyle w:val="69"/>
        <w:rPr>
          <w:rFonts w:asciiTheme="minorEastAsia" w:hAnsiTheme="minorEastAsia" w:eastAsiaTheme="minorEastAsia"/>
          <w:b/>
          <w:color w:val="auto"/>
          <w:highlight w:val="none"/>
        </w:rPr>
      </w:pPr>
    </w:p>
    <w:p w14:paraId="075DFF16">
      <w:pPr>
        <w:pStyle w:val="69"/>
        <w:rPr>
          <w:rFonts w:asciiTheme="minorEastAsia" w:hAnsiTheme="minorEastAsia" w:eastAsiaTheme="minorEastAsia"/>
          <w:b/>
          <w:color w:val="auto"/>
          <w:highlight w:val="none"/>
        </w:rPr>
      </w:pPr>
    </w:p>
    <w:p w14:paraId="4BED171F">
      <w:pPr>
        <w:pStyle w:val="27"/>
        <w:rPr>
          <w:rFonts w:asciiTheme="minorEastAsia" w:hAnsiTheme="minorEastAsia" w:eastAsiaTheme="minorEastAsia"/>
          <w:b/>
          <w:color w:val="auto"/>
          <w:highlight w:val="none"/>
        </w:rPr>
      </w:pPr>
    </w:p>
    <w:p w14:paraId="5B6CEAF1">
      <w:pPr>
        <w:pStyle w:val="27"/>
        <w:rPr>
          <w:rFonts w:asciiTheme="minorEastAsia" w:hAnsiTheme="minorEastAsia" w:eastAsiaTheme="minorEastAsia"/>
          <w:b/>
          <w:color w:val="auto"/>
          <w:highlight w:val="none"/>
        </w:rPr>
      </w:pPr>
    </w:p>
    <w:p w14:paraId="495D3546">
      <w:pPr>
        <w:pStyle w:val="27"/>
        <w:rPr>
          <w:rFonts w:asciiTheme="minorEastAsia" w:hAnsiTheme="minorEastAsia" w:eastAsiaTheme="minorEastAsia"/>
          <w:b/>
          <w:color w:val="auto"/>
          <w:highlight w:val="none"/>
        </w:rPr>
      </w:pPr>
    </w:p>
    <w:p w14:paraId="4C7A5933">
      <w:pPr>
        <w:pStyle w:val="27"/>
        <w:rPr>
          <w:rFonts w:asciiTheme="minorEastAsia" w:hAnsiTheme="minorEastAsia" w:eastAsiaTheme="minorEastAsia"/>
          <w:b/>
          <w:color w:val="auto"/>
          <w:highlight w:val="none"/>
        </w:rPr>
      </w:pPr>
    </w:p>
    <w:tbl>
      <w:tblPr>
        <w:tblStyle w:val="5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4"/>
        <w:gridCol w:w="6895"/>
      </w:tblGrid>
      <w:tr w14:paraId="11D5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2304" w:type="dxa"/>
          </w:tcPr>
          <w:p w14:paraId="4E6762C5">
            <w:pPr>
              <w:pStyle w:val="27"/>
              <w:adjustRightInd w:val="0"/>
              <w:spacing w:line="360" w:lineRule="auto"/>
              <w:jc w:val="distribute"/>
              <w:textAlignment w:val="baseline"/>
              <w:rPr>
                <w:rFonts w:asciiTheme="minorEastAsia" w:hAnsiTheme="minorEastAsia" w:eastAsiaTheme="minorEastAsia"/>
                <w:b/>
                <w:color w:val="auto"/>
                <w:highlight w:val="none"/>
              </w:rPr>
            </w:pPr>
            <w:r>
              <w:rPr>
                <w:rFonts w:hint="eastAsia" w:asciiTheme="minorEastAsia" w:hAnsiTheme="minorEastAsia" w:eastAsiaTheme="minorEastAsia"/>
                <w:b/>
                <w:color w:val="auto"/>
                <w:sz w:val="32"/>
                <w:szCs w:val="32"/>
                <w:highlight w:val="none"/>
              </w:rPr>
              <w:t>项目编号：</w:t>
            </w:r>
          </w:p>
        </w:tc>
        <w:tc>
          <w:tcPr>
            <w:tcW w:w="6895" w:type="dxa"/>
          </w:tcPr>
          <w:p w14:paraId="1ECA33CB">
            <w:pPr>
              <w:pStyle w:val="27"/>
              <w:adjustRightInd w:val="0"/>
              <w:spacing w:line="360" w:lineRule="auto"/>
              <w:textAlignment w:val="baseline"/>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sz w:val="32"/>
                <w:szCs w:val="32"/>
                <w:highlight w:val="none"/>
                <w:lang w:eastAsia="zh-CN"/>
              </w:rPr>
              <w:t xml:space="preserve">FCZC2026-C2-990104-GXDH  </w:t>
            </w:r>
          </w:p>
        </w:tc>
      </w:tr>
      <w:tr w14:paraId="5AE0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2304" w:type="dxa"/>
          </w:tcPr>
          <w:p w14:paraId="228CF92A">
            <w:pPr>
              <w:pStyle w:val="27"/>
              <w:adjustRightInd w:val="0"/>
              <w:spacing w:line="360" w:lineRule="auto"/>
              <w:jc w:val="distribute"/>
              <w:textAlignment w:val="baseline"/>
              <w:rPr>
                <w:rFonts w:asciiTheme="minorEastAsia" w:hAnsiTheme="minorEastAsia" w:eastAsiaTheme="minorEastAsia"/>
                <w:b/>
                <w:color w:val="auto"/>
                <w:highlight w:val="none"/>
              </w:rPr>
            </w:pPr>
            <w:r>
              <w:rPr>
                <w:rFonts w:hint="eastAsia" w:asciiTheme="minorEastAsia" w:hAnsiTheme="minorEastAsia" w:eastAsiaTheme="minorEastAsia"/>
                <w:b/>
                <w:color w:val="auto"/>
                <w:sz w:val="32"/>
                <w:szCs w:val="32"/>
                <w:highlight w:val="none"/>
              </w:rPr>
              <w:t>项目名称：</w:t>
            </w:r>
          </w:p>
        </w:tc>
        <w:tc>
          <w:tcPr>
            <w:tcW w:w="6895" w:type="dxa"/>
          </w:tcPr>
          <w:p w14:paraId="4CD958DE">
            <w:pPr>
              <w:pStyle w:val="27"/>
              <w:adjustRightInd w:val="0"/>
              <w:spacing w:line="360" w:lineRule="auto"/>
              <w:textAlignment w:val="baseline"/>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sz w:val="32"/>
                <w:szCs w:val="32"/>
                <w:highlight w:val="none"/>
                <w:lang w:eastAsia="zh-CN"/>
              </w:rPr>
              <w:t>防城港职业技术学院学生宿舍提升改造工程</w:t>
            </w:r>
          </w:p>
        </w:tc>
      </w:tr>
      <w:tr w14:paraId="400B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304" w:type="dxa"/>
          </w:tcPr>
          <w:p w14:paraId="2BC2C369">
            <w:pPr>
              <w:pStyle w:val="27"/>
              <w:adjustRightInd w:val="0"/>
              <w:spacing w:line="360" w:lineRule="auto"/>
              <w:jc w:val="distribute"/>
              <w:textAlignment w:val="baseline"/>
              <w:rPr>
                <w:rFonts w:asciiTheme="minorEastAsia" w:hAnsiTheme="minorEastAsia" w:eastAsiaTheme="minorEastAsia"/>
                <w:b/>
                <w:color w:val="auto"/>
                <w:highlight w:val="none"/>
              </w:rPr>
            </w:pPr>
            <w:r>
              <w:rPr>
                <w:rFonts w:hint="eastAsia" w:asciiTheme="minorEastAsia" w:hAnsiTheme="minorEastAsia" w:eastAsiaTheme="minorEastAsia"/>
                <w:b/>
                <w:color w:val="auto"/>
                <w:sz w:val="30"/>
                <w:szCs w:val="72"/>
                <w:highlight w:val="none"/>
              </w:rPr>
              <w:t>采购单位：</w:t>
            </w:r>
          </w:p>
        </w:tc>
        <w:tc>
          <w:tcPr>
            <w:tcW w:w="6895" w:type="dxa"/>
          </w:tcPr>
          <w:p w14:paraId="17F871C9">
            <w:pPr>
              <w:pStyle w:val="27"/>
              <w:adjustRightInd w:val="0"/>
              <w:spacing w:line="360" w:lineRule="auto"/>
              <w:textAlignment w:val="baseline"/>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sz w:val="30"/>
                <w:szCs w:val="72"/>
                <w:highlight w:val="none"/>
                <w:lang w:eastAsia="zh-CN"/>
              </w:rPr>
              <w:t>防城港职业技术学院</w:t>
            </w:r>
          </w:p>
        </w:tc>
      </w:tr>
      <w:tr w14:paraId="7DFC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304" w:type="dxa"/>
          </w:tcPr>
          <w:p w14:paraId="08F33293">
            <w:pPr>
              <w:pStyle w:val="27"/>
              <w:adjustRightInd w:val="0"/>
              <w:spacing w:line="360" w:lineRule="auto"/>
              <w:jc w:val="distribute"/>
              <w:textAlignment w:val="baseline"/>
              <w:rPr>
                <w:rFonts w:asciiTheme="minorEastAsia" w:hAnsiTheme="minorEastAsia" w:eastAsiaTheme="minorEastAsia"/>
                <w:b/>
                <w:color w:val="auto"/>
                <w:highlight w:val="none"/>
              </w:rPr>
            </w:pPr>
            <w:r>
              <w:rPr>
                <w:rFonts w:hint="eastAsia" w:asciiTheme="minorEastAsia" w:hAnsiTheme="minorEastAsia" w:eastAsiaTheme="minorEastAsia"/>
                <w:b/>
                <w:color w:val="auto"/>
                <w:sz w:val="30"/>
                <w:szCs w:val="72"/>
                <w:highlight w:val="none"/>
              </w:rPr>
              <w:t>采购代理机构：</w:t>
            </w:r>
          </w:p>
        </w:tc>
        <w:tc>
          <w:tcPr>
            <w:tcW w:w="6895" w:type="dxa"/>
          </w:tcPr>
          <w:p w14:paraId="6ECDCA18">
            <w:pPr>
              <w:pStyle w:val="27"/>
              <w:adjustRightInd w:val="0"/>
              <w:spacing w:line="360" w:lineRule="auto"/>
              <w:textAlignment w:val="baseline"/>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sz w:val="30"/>
                <w:szCs w:val="72"/>
                <w:highlight w:val="none"/>
                <w:lang w:eastAsia="zh-CN"/>
              </w:rPr>
              <w:t>广西达华工程造价咨询有限责任公司</w:t>
            </w:r>
          </w:p>
        </w:tc>
      </w:tr>
      <w:tr w14:paraId="2E29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9199" w:type="dxa"/>
            <w:gridSpan w:val="2"/>
          </w:tcPr>
          <w:p w14:paraId="41802D43">
            <w:pPr>
              <w:pStyle w:val="27"/>
              <w:adjustRightInd w:val="0"/>
              <w:spacing w:line="360" w:lineRule="auto"/>
              <w:ind w:firstLine="3313" w:firstLineChars="1100"/>
              <w:textAlignment w:val="baseline"/>
              <w:rPr>
                <w:rFonts w:asciiTheme="minorEastAsia" w:hAnsiTheme="minorEastAsia" w:eastAsiaTheme="minorEastAsia"/>
                <w:b/>
                <w:color w:val="auto"/>
                <w:sz w:val="30"/>
                <w:szCs w:val="72"/>
                <w:highlight w:val="none"/>
              </w:rPr>
            </w:pPr>
            <w:r>
              <w:rPr>
                <w:rFonts w:hint="eastAsia" w:asciiTheme="minorEastAsia" w:hAnsiTheme="minorEastAsia" w:eastAsiaTheme="minorEastAsia"/>
                <w:b/>
                <w:color w:val="auto"/>
                <w:sz w:val="30"/>
                <w:szCs w:val="72"/>
                <w:highlight w:val="none"/>
                <w:lang w:eastAsia="zh-CN"/>
              </w:rPr>
              <w:t>2026年</w:t>
            </w:r>
            <w:r>
              <w:rPr>
                <w:rFonts w:hint="eastAsia" w:asciiTheme="minorEastAsia" w:hAnsiTheme="minorEastAsia" w:eastAsiaTheme="minorEastAsia"/>
                <w:b/>
                <w:color w:val="auto"/>
                <w:sz w:val="30"/>
                <w:szCs w:val="72"/>
                <w:highlight w:val="none"/>
                <w:lang w:val="en-US" w:eastAsia="zh-CN"/>
              </w:rPr>
              <w:t>6月</w:t>
            </w:r>
          </w:p>
        </w:tc>
      </w:tr>
    </w:tbl>
    <w:p w14:paraId="59974978">
      <w:pPr>
        <w:pStyle w:val="27"/>
        <w:rPr>
          <w:rFonts w:asciiTheme="minorEastAsia" w:hAnsiTheme="minorEastAsia" w:eastAsiaTheme="minorEastAsia"/>
          <w:b/>
          <w:color w:val="auto"/>
          <w:highlight w:val="none"/>
        </w:rPr>
      </w:pPr>
    </w:p>
    <w:p w14:paraId="63CFCC0E">
      <w:pPr>
        <w:pStyle w:val="27"/>
        <w:spacing w:line="360" w:lineRule="auto"/>
        <w:ind w:firstLine="1134" w:firstLineChars="353"/>
        <w:rPr>
          <w:rFonts w:asciiTheme="minorEastAsia" w:hAnsiTheme="minorEastAsia" w:eastAsiaTheme="minorEastAsia"/>
          <w:b/>
          <w:color w:val="auto"/>
          <w:sz w:val="32"/>
          <w:szCs w:val="72"/>
          <w:highlight w:val="none"/>
          <w:u w:val="thick"/>
        </w:rPr>
      </w:pPr>
    </w:p>
    <w:p w14:paraId="65F9ED10">
      <w:pPr>
        <w:pStyle w:val="27"/>
        <w:snapToGrid w:val="0"/>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目  录</w:t>
      </w:r>
    </w:p>
    <w:sdt>
      <w:sdtPr>
        <w:rPr>
          <w:rFonts w:hAnsi="宋体"/>
          <w:color w:val="auto"/>
          <w:highlight w:val="none"/>
        </w:rPr>
        <w:id w:val="147481182"/>
        <w15:color w:val="DBDBDB"/>
        <w:docPartObj>
          <w:docPartGallery w:val="Table of Contents"/>
          <w:docPartUnique/>
        </w:docPartObj>
      </w:sdtPr>
      <w:sdtEndPr>
        <w:rPr>
          <w:rFonts w:asciiTheme="minorEastAsia" w:hAnsiTheme="minorEastAsia" w:eastAsiaTheme="minorEastAsia"/>
          <w:color w:val="auto"/>
          <w:highlight w:val="none"/>
        </w:rPr>
      </w:sdtEndPr>
      <w:sdtContent>
        <w:p w14:paraId="71119A71">
          <w:pPr>
            <w:jc w:val="center"/>
            <w:rPr>
              <w:color w:val="auto"/>
              <w:highlight w:val="none"/>
            </w:rPr>
          </w:pPr>
        </w:p>
        <w:p w14:paraId="44E0AA63">
          <w:pPr>
            <w:pStyle w:val="36"/>
            <w:tabs>
              <w:tab w:val="right" w:leader="dot" w:pos="9071"/>
              <w:tab w:val="clear" w:pos="9030"/>
            </w:tabs>
            <w:spacing w:line="360" w:lineRule="auto"/>
            <w:jc w:val="left"/>
            <w:rPr>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TOC \o "1-3" \h \u </w:instrText>
          </w:r>
          <w:r>
            <w:rPr>
              <w:rFonts w:asciiTheme="minorEastAsia" w:hAnsiTheme="minorEastAsia" w:eastAsiaTheme="minorEastAsia"/>
              <w:color w:val="auto"/>
              <w:highlight w:val="none"/>
            </w:rPr>
            <w:fldChar w:fldCharType="separate"/>
          </w:r>
          <w:r>
            <w:rPr>
              <w:color w:val="auto"/>
              <w:highlight w:val="none"/>
            </w:rPr>
            <w:fldChar w:fldCharType="begin"/>
          </w:r>
          <w:r>
            <w:rPr>
              <w:color w:val="auto"/>
              <w:highlight w:val="none"/>
            </w:rPr>
            <w:instrText xml:space="preserve"> HYPERLINK \l "_Toc20715" </w:instrText>
          </w:r>
          <w:r>
            <w:rPr>
              <w:color w:val="auto"/>
              <w:highlight w:val="none"/>
            </w:rPr>
            <w:fldChar w:fldCharType="separate"/>
          </w:r>
          <w:r>
            <w:rPr>
              <w:rFonts w:hint="eastAsia"/>
              <w:color w:val="auto"/>
              <w:szCs w:val="44"/>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_Toc20715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2E6D27F">
          <w:pPr>
            <w:pStyle w:val="36"/>
            <w:tabs>
              <w:tab w:val="right" w:leader="dot" w:pos="9071"/>
              <w:tab w:val="clear" w:pos="9030"/>
            </w:tabs>
            <w:spacing w:line="360" w:lineRule="auto"/>
            <w:jc w:val="left"/>
            <w:rPr>
              <w:color w:val="auto"/>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Theme="minorEastAsia" w:hAnsiTheme="minorEastAsia" w:eastAsiaTheme="minorEastAsia"/>
              <w:color w:val="auto"/>
              <w:szCs w:val="44"/>
              <w:highlight w:val="none"/>
            </w:rPr>
            <w:t>第二章  磋商须知及前附表</w:t>
          </w:r>
          <w:r>
            <w:rPr>
              <w:color w:val="auto"/>
              <w:highlight w:val="none"/>
            </w:rPr>
            <w:tab/>
          </w:r>
          <w:r>
            <w:rPr>
              <w:color w:val="auto"/>
              <w:highlight w:val="none"/>
            </w:rPr>
            <w:fldChar w:fldCharType="begin"/>
          </w:r>
          <w:r>
            <w:rPr>
              <w:color w:val="auto"/>
              <w:highlight w:val="none"/>
            </w:rPr>
            <w:instrText xml:space="preserve"> PAGEREF _Toc11645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04D5A69">
          <w:pPr>
            <w:pStyle w:val="36"/>
            <w:tabs>
              <w:tab w:val="right" w:leader="dot" w:pos="9071"/>
              <w:tab w:val="clear" w:pos="9030"/>
            </w:tabs>
            <w:spacing w:line="360" w:lineRule="auto"/>
            <w:jc w:val="left"/>
            <w:rPr>
              <w:color w:val="auto"/>
              <w:highlight w:val="none"/>
            </w:rPr>
          </w:pPr>
          <w:r>
            <w:rPr>
              <w:color w:val="auto"/>
              <w:highlight w:val="none"/>
            </w:rPr>
            <w:fldChar w:fldCharType="begin"/>
          </w:r>
          <w:r>
            <w:rPr>
              <w:color w:val="auto"/>
              <w:highlight w:val="none"/>
            </w:rPr>
            <w:instrText xml:space="preserve"> HYPERLINK \l "_Toc14068" </w:instrText>
          </w:r>
          <w:r>
            <w:rPr>
              <w:color w:val="auto"/>
              <w:highlight w:val="none"/>
            </w:rPr>
            <w:fldChar w:fldCharType="separate"/>
          </w:r>
          <w:r>
            <w:rPr>
              <w:rFonts w:hint="eastAsia" w:asciiTheme="minorEastAsia" w:hAnsiTheme="minorEastAsia" w:eastAsiaTheme="minorEastAsia"/>
              <w:color w:val="auto"/>
              <w:szCs w:val="44"/>
              <w:highlight w:val="none"/>
            </w:rPr>
            <w:t>第三章  评审方法</w:t>
          </w:r>
          <w:r>
            <w:rPr>
              <w:color w:val="auto"/>
              <w:highlight w:val="none"/>
            </w:rPr>
            <w:tab/>
          </w:r>
          <w:r>
            <w:rPr>
              <w:color w:val="auto"/>
              <w:highlight w:val="none"/>
            </w:rPr>
            <w:fldChar w:fldCharType="begin"/>
          </w:r>
          <w:r>
            <w:rPr>
              <w:color w:val="auto"/>
              <w:highlight w:val="none"/>
            </w:rPr>
            <w:instrText xml:space="preserve"> PAGEREF _Toc14068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1891246">
          <w:pPr>
            <w:pStyle w:val="36"/>
            <w:tabs>
              <w:tab w:val="right" w:leader="dot" w:pos="9071"/>
              <w:tab w:val="clear" w:pos="9030"/>
            </w:tabs>
            <w:spacing w:line="360" w:lineRule="auto"/>
            <w:jc w:val="left"/>
            <w:rPr>
              <w:color w:val="auto"/>
              <w:highlight w:val="none"/>
            </w:rPr>
          </w:pPr>
          <w:r>
            <w:rPr>
              <w:color w:val="auto"/>
              <w:highlight w:val="none"/>
            </w:rPr>
            <w:fldChar w:fldCharType="begin"/>
          </w:r>
          <w:r>
            <w:rPr>
              <w:color w:val="auto"/>
              <w:highlight w:val="none"/>
            </w:rPr>
            <w:instrText xml:space="preserve"> HYPERLINK \l "_Toc20222" </w:instrText>
          </w:r>
          <w:r>
            <w:rPr>
              <w:color w:val="auto"/>
              <w:highlight w:val="none"/>
            </w:rPr>
            <w:fldChar w:fldCharType="separate"/>
          </w:r>
          <w:r>
            <w:rPr>
              <w:rFonts w:hint="eastAsia" w:asciiTheme="minorEastAsia" w:hAnsiTheme="minorEastAsia" w:eastAsiaTheme="minorEastAsia"/>
              <w:color w:val="auto"/>
              <w:szCs w:val="44"/>
              <w:highlight w:val="none"/>
            </w:rPr>
            <w:t>第四章  采购项目需求</w:t>
          </w:r>
          <w:r>
            <w:rPr>
              <w:color w:val="auto"/>
              <w:highlight w:val="none"/>
            </w:rPr>
            <w:tab/>
          </w:r>
          <w:r>
            <w:rPr>
              <w:color w:val="auto"/>
              <w:highlight w:val="none"/>
            </w:rPr>
            <w:fldChar w:fldCharType="begin"/>
          </w:r>
          <w:r>
            <w:rPr>
              <w:color w:val="auto"/>
              <w:highlight w:val="none"/>
            </w:rPr>
            <w:instrText xml:space="preserve"> PAGEREF _Toc20222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D662692">
          <w:pPr>
            <w:pStyle w:val="36"/>
            <w:tabs>
              <w:tab w:val="right" w:leader="dot" w:pos="9071"/>
              <w:tab w:val="clear" w:pos="9030"/>
            </w:tabs>
            <w:spacing w:line="360" w:lineRule="auto"/>
            <w:jc w:val="left"/>
            <w:rPr>
              <w:color w:val="auto"/>
              <w:highlight w:val="none"/>
            </w:rPr>
          </w:pPr>
          <w:r>
            <w:rPr>
              <w:color w:val="auto"/>
              <w:highlight w:val="none"/>
            </w:rPr>
            <w:fldChar w:fldCharType="begin"/>
          </w:r>
          <w:r>
            <w:rPr>
              <w:color w:val="auto"/>
              <w:highlight w:val="none"/>
            </w:rPr>
            <w:instrText xml:space="preserve"> HYPERLINK \l "_Toc24270" </w:instrText>
          </w:r>
          <w:r>
            <w:rPr>
              <w:color w:val="auto"/>
              <w:highlight w:val="none"/>
            </w:rPr>
            <w:fldChar w:fldCharType="separate"/>
          </w:r>
          <w:r>
            <w:rPr>
              <w:rFonts w:hint="eastAsia" w:asciiTheme="minorEastAsia" w:hAnsiTheme="minorEastAsia" w:eastAsiaTheme="minorEastAsia"/>
              <w:color w:val="auto"/>
              <w:szCs w:val="44"/>
              <w:highlight w:val="none"/>
            </w:rPr>
            <w:t>第五章  技术标准、规范</w:t>
          </w:r>
          <w:r>
            <w:rPr>
              <w:color w:val="auto"/>
              <w:highlight w:val="none"/>
            </w:rPr>
            <w:tab/>
          </w:r>
          <w:r>
            <w:rPr>
              <w:color w:val="auto"/>
              <w:highlight w:val="none"/>
            </w:rPr>
            <w:fldChar w:fldCharType="begin"/>
          </w:r>
          <w:r>
            <w:rPr>
              <w:color w:val="auto"/>
              <w:highlight w:val="none"/>
            </w:rPr>
            <w:instrText xml:space="preserve"> PAGEREF _Toc24270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ADE3138">
          <w:pPr>
            <w:pStyle w:val="36"/>
            <w:tabs>
              <w:tab w:val="right" w:leader="dot" w:pos="9071"/>
              <w:tab w:val="clear" w:pos="9030"/>
            </w:tabs>
            <w:spacing w:line="360" w:lineRule="auto"/>
            <w:jc w:val="left"/>
            <w:rPr>
              <w:color w:val="auto"/>
              <w:highlight w:val="none"/>
            </w:rPr>
          </w:pPr>
          <w:r>
            <w:rPr>
              <w:color w:val="auto"/>
              <w:highlight w:val="none"/>
            </w:rPr>
            <w:fldChar w:fldCharType="begin"/>
          </w:r>
          <w:r>
            <w:rPr>
              <w:color w:val="auto"/>
              <w:highlight w:val="none"/>
            </w:rPr>
            <w:instrText xml:space="preserve"> HYPERLINK \l "_Toc12218" </w:instrText>
          </w:r>
          <w:r>
            <w:rPr>
              <w:color w:val="auto"/>
              <w:highlight w:val="none"/>
            </w:rPr>
            <w:fldChar w:fldCharType="separate"/>
          </w:r>
          <w:r>
            <w:rPr>
              <w:rFonts w:hint="eastAsia" w:asciiTheme="minorEastAsia" w:hAnsiTheme="minorEastAsia" w:eastAsiaTheme="minorEastAsia"/>
              <w:color w:val="auto"/>
              <w:szCs w:val="44"/>
              <w:highlight w:val="none"/>
            </w:rPr>
            <w:t>第六章  合同条款及格式</w:t>
          </w:r>
          <w:r>
            <w:rPr>
              <w:color w:val="auto"/>
              <w:highlight w:val="none"/>
            </w:rPr>
            <w:tab/>
          </w:r>
          <w:r>
            <w:rPr>
              <w:color w:val="auto"/>
              <w:highlight w:val="none"/>
            </w:rPr>
            <w:fldChar w:fldCharType="begin"/>
          </w:r>
          <w:r>
            <w:rPr>
              <w:color w:val="auto"/>
              <w:highlight w:val="none"/>
            </w:rPr>
            <w:instrText xml:space="preserve"> PAGEREF _Toc12218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AD905BA">
          <w:pPr>
            <w:pStyle w:val="36"/>
            <w:tabs>
              <w:tab w:val="right" w:leader="dot" w:pos="9071"/>
              <w:tab w:val="clear" w:pos="9030"/>
            </w:tabs>
            <w:spacing w:line="360" w:lineRule="auto"/>
            <w:jc w:val="left"/>
            <w:rPr>
              <w:color w:val="auto"/>
              <w:highlight w:val="none"/>
            </w:rPr>
          </w:pPr>
          <w:r>
            <w:rPr>
              <w:color w:val="auto"/>
              <w:highlight w:val="none"/>
            </w:rPr>
            <w:fldChar w:fldCharType="begin"/>
          </w:r>
          <w:r>
            <w:rPr>
              <w:color w:val="auto"/>
              <w:highlight w:val="none"/>
            </w:rPr>
            <w:instrText xml:space="preserve"> HYPERLINK \l "_Toc25752" </w:instrText>
          </w:r>
          <w:r>
            <w:rPr>
              <w:color w:val="auto"/>
              <w:highlight w:val="none"/>
            </w:rPr>
            <w:fldChar w:fldCharType="separate"/>
          </w:r>
          <w:r>
            <w:rPr>
              <w:rFonts w:hint="eastAsia" w:asciiTheme="minorEastAsia" w:hAnsiTheme="minorEastAsia" w:eastAsiaTheme="minorEastAsia"/>
              <w:color w:val="auto"/>
              <w:szCs w:val="44"/>
              <w:highlight w:val="none"/>
            </w:rPr>
            <w:t>第七章  磋商响应文件格式</w:t>
          </w:r>
          <w:r>
            <w:rPr>
              <w:color w:val="auto"/>
              <w:highlight w:val="none"/>
            </w:rPr>
            <w:tab/>
          </w:r>
          <w:r>
            <w:rPr>
              <w:color w:val="auto"/>
              <w:highlight w:val="none"/>
            </w:rPr>
            <w:fldChar w:fldCharType="begin"/>
          </w:r>
          <w:r>
            <w:rPr>
              <w:color w:val="auto"/>
              <w:highlight w:val="none"/>
            </w:rPr>
            <w:instrText xml:space="preserve"> PAGEREF _Toc25752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7F8A5A0">
          <w:pPr>
            <w:spacing w:line="360" w:lineRule="auto"/>
            <w:jc w:val="left"/>
            <w:rPr>
              <w:rFonts w:asciiTheme="minorEastAsia" w:hAnsiTheme="minorEastAsia" w:eastAsiaTheme="minorEastAsia"/>
              <w:color w:val="auto"/>
              <w:highlight w:val="none"/>
            </w:rPr>
            <w:sectPr>
              <w:headerReference r:id="rId3" w:type="first"/>
              <w:footerReference r:id="rId4" w:type="first"/>
              <w:pgSz w:w="11907" w:h="16840"/>
              <w:pgMar w:top="1304" w:right="1418" w:bottom="1304" w:left="1418" w:header="964" w:footer="737" w:gutter="0"/>
              <w:pgNumType w:start="0"/>
              <w:cols w:space="720" w:num="1"/>
              <w:titlePg/>
              <w:docGrid w:linePitch="312" w:charSpace="0"/>
            </w:sectPr>
          </w:pPr>
          <w:r>
            <w:rPr>
              <w:rFonts w:asciiTheme="minorEastAsia" w:hAnsiTheme="minorEastAsia" w:eastAsiaTheme="minorEastAsia"/>
              <w:color w:val="auto"/>
              <w:highlight w:val="none"/>
            </w:rPr>
            <w:fldChar w:fldCharType="end"/>
          </w:r>
        </w:p>
      </w:sdtContent>
    </w:sdt>
    <w:p w14:paraId="178092E2">
      <w:pPr>
        <w:jc w:val="center"/>
        <w:outlineLvl w:val="0"/>
        <w:rPr>
          <w:b/>
          <w:color w:val="auto"/>
          <w:sz w:val="44"/>
          <w:szCs w:val="44"/>
          <w:highlight w:val="none"/>
        </w:rPr>
      </w:pPr>
      <w:bookmarkStart w:id="0" w:name="_Toc20715"/>
      <w:bookmarkStart w:id="1" w:name="_Toc453681413"/>
      <w:r>
        <w:rPr>
          <w:rFonts w:hint="eastAsia"/>
          <w:b/>
          <w:color w:val="auto"/>
          <w:sz w:val="44"/>
          <w:szCs w:val="44"/>
          <w:highlight w:val="none"/>
        </w:rPr>
        <w:t>第一章 竞争性磋商公告</w:t>
      </w:r>
      <w:bookmarkEnd w:id="0"/>
      <w:bookmarkEnd w:id="1"/>
    </w:p>
    <w:p w14:paraId="7F3EFDA3">
      <w:pPr>
        <w:ind w:right="-512" w:rightChars="-244"/>
        <w:jc w:val="center"/>
        <w:rPr>
          <w:rFonts w:asciiTheme="minorEastAsia" w:hAnsiTheme="minorEastAsia" w:eastAsiaTheme="minorEastAsia"/>
          <w:b/>
          <w:color w:val="auto"/>
          <w:sz w:val="28"/>
          <w:szCs w:val="21"/>
          <w:highlight w:val="none"/>
        </w:rPr>
      </w:pPr>
    </w:p>
    <w:p w14:paraId="4109D7E2">
      <w:pPr>
        <w:ind w:right="-512" w:rightChars="-244"/>
        <w:jc w:val="center"/>
        <w:rPr>
          <w:rFonts w:asciiTheme="minorEastAsia" w:hAnsiTheme="minorEastAsia" w:eastAsiaTheme="minorEastAsia"/>
          <w:b/>
          <w:color w:val="auto"/>
          <w:sz w:val="28"/>
          <w:szCs w:val="21"/>
          <w:highlight w:val="none"/>
        </w:rPr>
      </w:pPr>
      <w:r>
        <w:rPr>
          <w:rFonts w:hint="eastAsia" w:asciiTheme="minorEastAsia" w:hAnsiTheme="minorEastAsia" w:eastAsiaTheme="minorEastAsia"/>
          <w:b/>
          <w:color w:val="auto"/>
          <w:sz w:val="28"/>
          <w:szCs w:val="21"/>
          <w:highlight w:val="none"/>
          <w:lang w:eastAsia="zh-CN"/>
        </w:rPr>
        <w:t>防城港职业技术学院学生宿舍提升改造工程</w:t>
      </w:r>
      <w:r>
        <w:rPr>
          <w:rFonts w:hint="eastAsia" w:asciiTheme="minorEastAsia" w:hAnsiTheme="minorEastAsia" w:eastAsiaTheme="minorEastAsia"/>
          <w:b/>
          <w:color w:val="auto"/>
          <w:sz w:val="28"/>
          <w:szCs w:val="21"/>
          <w:highlight w:val="none"/>
        </w:rPr>
        <w:t>竞争性磋商公告</w:t>
      </w:r>
    </w:p>
    <w:p w14:paraId="734F3CB3">
      <w:pPr>
        <w:pStyle w:val="2"/>
        <w:rPr>
          <w:color w:val="auto"/>
          <w:highlight w:val="none"/>
        </w:rPr>
      </w:pPr>
    </w:p>
    <w:p w14:paraId="554BDCAF">
      <w:pPr>
        <w:pBdr>
          <w:top w:val="single" w:color="auto" w:sz="4" w:space="0"/>
          <w:left w:val="single" w:color="auto" w:sz="4" w:space="4"/>
          <w:bottom w:val="single" w:color="auto" w:sz="4" w:space="1"/>
          <w:right w:val="single" w:color="auto" w:sz="4" w:space="4"/>
        </w:pBdr>
        <w:spacing w:line="380" w:lineRule="exact"/>
        <w:rPr>
          <w:rFonts w:hAnsi="宋体" w:cs="宋体"/>
          <w:color w:val="auto"/>
          <w:szCs w:val="21"/>
          <w:highlight w:val="none"/>
          <w:u w:val="single"/>
        </w:rPr>
      </w:pPr>
      <w:r>
        <w:rPr>
          <w:rFonts w:hint="eastAsia" w:hAnsi="宋体" w:cs="宋体"/>
          <w:color w:val="auto"/>
          <w:szCs w:val="21"/>
          <w:highlight w:val="none"/>
        </w:rPr>
        <w:t>项目概况：</w:t>
      </w:r>
      <w:r>
        <w:rPr>
          <w:rFonts w:hint="eastAsia" w:hAnsi="宋体" w:cs="宋体"/>
          <w:color w:val="auto"/>
          <w:szCs w:val="21"/>
          <w:highlight w:val="none"/>
          <w:u w:val="single"/>
          <w:lang w:eastAsia="zh-CN"/>
        </w:rPr>
        <w:t>防城港职业技术学院学生宿舍提升改造工程</w:t>
      </w:r>
      <w:r>
        <w:rPr>
          <w:rFonts w:hint="eastAsia" w:hAnsi="宋体" w:cs="宋体"/>
          <w:color w:val="auto"/>
          <w:szCs w:val="21"/>
          <w:highlight w:val="none"/>
        </w:rPr>
        <w:t>的潜在供应商应在政采云平台获取采购文件，并在</w:t>
      </w:r>
      <w:r>
        <w:rPr>
          <w:rFonts w:hint="eastAsia" w:hAnsi="宋体" w:cs="宋体"/>
          <w:color w:val="auto"/>
          <w:highlight w:val="none"/>
          <w:lang w:eastAsia="zh-CN"/>
        </w:rPr>
        <w:t>2026年7月17日</w:t>
      </w:r>
      <w:r>
        <w:rPr>
          <w:rFonts w:hint="eastAsia" w:hAnsi="宋体" w:cs="宋体"/>
          <w:color w:val="auto"/>
          <w:highlight w:val="none"/>
          <w:lang w:val="en-US" w:eastAsia="zh-CN"/>
        </w:rPr>
        <w:t>9时30分</w:t>
      </w:r>
      <w:r>
        <w:rPr>
          <w:rFonts w:hint="eastAsia" w:hAnsi="宋体" w:cs="宋体"/>
          <w:bCs/>
          <w:color w:val="auto"/>
          <w:szCs w:val="21"/>
          <w:highlight w:val="none"/>
        </w:rPr>
        <w:t>（北京时间）前提交响应文件</w:t>
      </w:r>
      <w:r>
        <w:rPr>
          <w:rFonts w:hint="eastAsia" w:hAnsi="宋体" w:cs="宋体"/>
          <w:color w:val="auto"/>
          <w:szCs w:val="21"/>
          <w:highlight w:val="none"/>
        </w:rPr>
        <w:t xml:space="preserve">。 </w:t>
      </w:r>
    </w:p>
    <w:p w14:paraId="1C5C71F3">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一、项目基本情况：</w:t>
      </w:r>
    </w:p>
    <w:p w14:paraId="4C3D77CF">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项目编号：</w:t>
      </w:r>
      <w:r>
        <w:rPr>
          <w:rFonts w:hint="eastAsia" w:hAnsi="宋体" w:cs="宋体"/>
          <w:color w:val="auto"/>
          <w:szCs w:val="21"/>
          <w:highlight w:val="none"/>
          <w:lang w:eastAsia="zh-CN"/>
        </w:rPr>
        <w:t xml:space="preserve">FCZC2026-C2-990104-GXDH  </w:t>
      </w:r>
    </w:p>
    <w:p w14:paraId="6875D354">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防城港职业技术学院学生宿舍提升改造工程</w:t>
      </w:r>
    </w:p>
    <w:p w14:paraId="2525CAC3">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采购方式：竞争性磋商</w:t>
      </w:r>
    </w:p>
    <w:p w14:paraId="32C0596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预算金额（人民币）：</w:t>
      </w:r>
      <w:r>
        <w:rPr>
          <w:rFonts w:hint="eastAsia" w:hAnsi="宋体" w:cs="宋体"/>
          <w:color w:val="auto"/>
          <w:szCs w:val="21"/>
          <w:highlight w:val="none"/>
          <w:lang w:eastAsia="zh-CN"/>
        </w:rPr>
        <w:t>贰佰柒拾贰万玖仟陆佰肆拾叁元叁角捌分（</w:t>
      </w:r>
      <w:r>
        <w:rPr>
          <w:rFonts w:hint="default" w:hAnsi="宋体" w:cs="宋体"/>
          <w:color w:val="auto"/>
          <w:szCs w:val="21"/>
          <w:highlight w:val="none"/>
          <w:lang w:eastAsia="zh-CN"/>
        </w:rPr>
        <w:t>¥</w:t>
      </w:r>
      <w:r>
        <w:rPr>
          <w:rFonts w:hint="eastAsia" w:hAnsi="宋体" w:cs="宋体"/>
          <w:color w:val="auto"/>
          <w:szCs w:val="21"/>
          <w:highlight w:val="none"/>
          <w:lang w:eastAsia="zh-CN"/>
        </w:rPr>
        <w:t>2729643.38）</w:t>
      </w:r>
    </w:p>
    <w:p w14:paraId="7D4A326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最高限价（人民币）：</w:t>
      </w:r>
      <w:r>
        <w:rPr>
          <w:rFonts w:hint="eastAsia" w:hAnsi="宋体" w:cs="宋体"/>
          <w:color w:val="auto"/>
          <w:szCs w:val="21"/>
          <w:highlight w:val="none"/>
          <w:lang w:eastAsia="zh-CN"/>
        </w:rPr>
        <w:t>贰佰柒拾贰万玖仟陆佰肆拾叁元叁角捌分（</w:t>
      </w:r>
      <w:r>
        <w:rPr>
          <w:rFonts w:hint="default" w:hAnsi="宋体" w:cs="宋体"/>
          <w:color w:val="auto"/>
          <w:szCs w:val="21"/>
          <w:highlight w:val="none"/>
          <w:lang w:eastAsia="zh-CN"/>
        </w:rPr>
        <w:t>¥</w:t>
      </w:r>
      <w:r>
        <w:rPr>
          <w:rFonts w:hint="eastAsia" w:hAnsi="宋体" w:cs="宋体"/>
          <w:color w:val="auto"/>
          <w:szCs w:val="21"/>
          <w:highlight w:val="none"/>
          <w:lang w:eastAsia="zh-CN"/>
        </w:rPr>
        <w:t>2729643.38）</w:t>
      </w:r>
    </w:p>
    <w:p w14:paraId="367E8CC2">
      <w:pPr>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采购需求：防城港职业技术学院</w:t>
      </w:r>
      <w:r>
        <w:rPr>
          <w:rFonts w:hint="eastAsia" w:hAnsi="宋体" w:cs="宋体"/>
          <w:color w:val="auto"/>
          <w:szCs w:val="21"/>
          <w:highlight w:val="none"/>
          <w:lang w:eastAsia="zh-CN"/>
        </w:rPr>
        <w:t>学生宿舍提升改造工程。具体内容详见施工图纸和工程量清单。</w:t>
      </w:r>
    </w:p>
    <w:p w14:paraId="347A88FD">
      <w:pPr>
        <w:snapToGrid w:val="0"/>
        <w:spacing w:line="400" w:lineRule="exact"/>
        <w:ind w:firstLine="420" w:firstLineChars="200"/>
        <w:rPr>
          <w:rFonts w:hint="default" w:hAnsi="宋体" w:cs="宋体"/>
          <w:color w:val="auto"/>
          <w:szCs w:val="21"/>
          <w:highlight w:val="none"/>
          <w:u w:val="none"/>
          <w:lang w:val="en-US"/>
        </w:rPr>
      </w:pPr>
      <w:r>
        <w:rPr>
          <w:rFonts w:hint="eastAsia" w:hAnsi="宋体" w:cs="宋体"/>
          <w:color w:val="auto"/>
          <w:szCs w:val="21"/>
          <w:highlight w:val="none"/>
          <w:lang w:eastAsia="zh-CN"/>
        </w:rPr>
        <w:t>施工</w:t>
      </w:r>
      <w:r>
        <w:rPr>
          <w:rFonts w:hint="eastAsia" w:hAnsi="宋体" w:cs="宋体"/>
          <w:color w:val="auto"/>
          <w:szCs w:val="21"/>
          <w:highlight w:val="none"/>
        </w:rPr>
        <w:t>工期：</w:t>
      </w:r>
      <w:r>
        <w:rPr>
          <w:rFonts w:hint="eastAsia" w:hAnsi="宋体" w:eastAsiaTheme="minorEastAsia"/>
          <w:color w:val="auto"/>
          <w:szCs w:val="21"/>
          <w:highlight w:val="none"/>
          <w:u w:val="single"/>
          <w:lang w:val="en-US" w:eastAsia="zh-CN"/>
        </w:rPr>
        <w:t>30日历天</w:t>
      </w:r>
    </w:p>
    <w:p w14:paraId="5E40D69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本项目不接受联合体磋商。</w:t>
      </w:r>
    </w:p>
    <w:p w14:paraId="2FAA112F">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二、申请人的资格要求：</w:t>
      </w:r>
    </w:p>
    <w:p w14:paraId="7D819F6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2368FBD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w:t>
      </w:r>
      <w:r>
        <w:rPr>
          <w:rFonts w:hint="eastAsia" w:hAnsi="宋体" w:cs="宋体"/>
          <w:color w:val="auto"/>
          <w:szCs w:val="21"/>
          <w:highlight w:val="none"/>
          <w:lang w:val="en-US" w:eastAsia="zh-CN"/>
        </w:rPr>
        <w:t>为</w:t>
      </w:r>
      <w:r>
        <w:rPr>
          <w:rFonts w:hint="eastAsia" w:hAnsi="宋体" w:cs="宋体"/>
          <w:color w:val="auto"/>
          <w:szCs w:val="21"/>
          <w:highlight w:val="none"/>
        </w:rPr>
        <w:t>专门面向小微企业采购的项目（供应商应为小型、微型企业，监狱企业、残疾人福利性单位视同小微企业)；</w:t>
      </w:r>
    </w:p>
    <w:p w14:paraId="3F5B8CE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3.本项目的特定资格要求：①具有建筑工程施工总承包叁级以上(含叁级)资质或建筑装修装饰工程专业承包二级（含）及以上资质，并在人员、设备、资金等方面具有相应能力的施工企业。</w:t>
      </w:r>
      <w:r>
        <w:rPr>
          <w:rFonts w:hint="default" w:hAnsi="宋体" w:cs="宋体"/>
          <w:color w:val="auto"/>
          <w:szCs w:val="21"/>
          <w:highlight w:val="none"/>
        </w:rPr>
        <w:t>②</w:t>
      </w:r>
      <w:r>
        <w:rPr>
          <w:rFonts w:hint="eastAsia" w:hAnsi="宋体" w:cs="宋体"/>
          <w:color w:val="auto"/>
          <w:szCs w:val="21"/>
          <w:highlight w:val="none"/>
        </w:rPr>
        <w:t>拟投入本项目的项目经理必须是具备[建筑工程专业贰级]及以上专业注册建造师执业资格，具备有效的安全生产考核合格证书（B类），并为本单位员工。本项目不接受有在建、已中标未开工或已列为其他项目中标候选人第一名的建造师作为项目经理。</w:t>
      </w:r>
    </w:p>
    <w:p w14:paraId="44A92057">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三、获取采购文件：</w:t>
      </w:r>
    </w:p>
    <w:p w14:paraId="43EEDFE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w:t>
      </w:r>
      <w:r>
        <w:rPr>
          <w:rFonts w:hint="eastAsia" w:hAnsi="宋体" w:cs="宋体"/>
          <w:color w:val="auto"/>
          <w:szCs w:val="21"/>
          <w:highlight w:val="none"/>
          <w:lang w:eastAsia="zh-CN"/>
        </w:rPr>
        <w:t>2026年</w:t>
      </w:r>
      <w:r>
        <w:rPr>
          <w:rFonts w:hint="eastAsia" w:hAnsi="宋体" w:cs="宋体"/>
          <w:color w:val="auto"/>
          <w:szCs w:val="21"/>
          <w:highlight w:val="none"/>
          <w:lang w:val="en-US" w:eastAsia="zh-CN"/>
        </w:rPr>
        <w:t>6月30</w:t>
      </w:r>
      <w:r>
        <w:rPr>
          <w:rFonts w:hint="eastAsia" w:hAnsi="宋体" w:cs="宋体"/>
          <w:color w:val="auto"/>
          <w:szCs w:val="21"/>
          <w:highlight w:val="none"/>
        </w:rPr>
        <w:t>日至</w:t>
      </w:r>
      <w:r>
        <w:rPr>
          <w:rFonts w:hint="eastAsia" w:hAnsi="宋体" w:cs="宋体"/>
          <w:color w:val="auto"/>
          <w:szCs w:val="21"/>
          <w:highlight w:val="none"/>
          <w:lang w:eastAsia="zh-CN"/>
        </w:rPr>
        <w:t>2026年</w:t>
      </w:r>
      <w:r>
        <w:rPr>
          <w:rFonts w:hint="eastAsia" w:hAnsi="宋体" w:cs="宋体"/>
          <w:color w:val="auto"/>
          <w:szCs w:val="21"/>
          <w:highlight w:val="none"/>
          <w:lang w:val="en-US" w:eastAsia="zh-CN"/>
        </w:rPr>
        <w:t>7月7</w:t>
      </w:r>
      <w:r>
        <w:rPr>
          <w:rFonts w:hint="eastAsia" w:hAnsi="宋体" w:cs="宋体"/>
          <w:color w:val="auto"/>
          <w:szCs w:val="21"/>
          <w:highlight w:val="none"/>
        </w:rPr>
        <w:t xml:space="preserve">日，每天上午 </w:t>
      </w:r>
      <w:r>
        <w:rPr>
          <w:rFonts w:hint="eastAsia" w:hAnsi="宋体" w:cs="宋体"/>
          <w:color w:val="auto"/>
          <w:szCs w:val="21"/>
          <w:highlight w:val="none"/>
          <w:lang w:val="en-US" w:eastAsia="zh-CN"/>
        </w:rPr>
        <w:t>08</w:t>
      </w:r>
      <w:r>
        <w:rPr>
          <w:rFonts w:hint="eastAsia" w:hAnsi="宋体" w:cs="宋体"/>
          <w:color w:val="auto"/>
          <w:szCs w:val="21"/>
          <w:highlight w:val="none"/>
        </w:rPr>
        <w:t>：00至12：00，下午1</w:t>
      </w:r>
      <w:r>
        <w:rPr>
          <w:rFonts w:hint="eastAsia" w:hAnsi="宋体" w:cs="宋体"/>
          <w:color w:val="auto"/>
          <w:szCs w:val="21"/>
          <w:highlight w:val="none"/>
          <w:lang w:val="en-US" w:eastAsia="zh-CN"/>
        </w:rPr>
        <w:t>5</w:t>
      </w:r>
      <w:r>
        <w:rPr>
          <w:rFonts w:hint="eastAsia" w:hAnsi="宋体" w:cs="宋体"/>
          <w:color w:val="auto"/>
          <w:szCs w:val="21"/>
          <w:highlight w:val="none"/>
        </w:rPr>
        <w:t>：00至</w:t>
      </w:r>
      <w:r>
        <w:rPr>
          <w:rFonts w:hint="eastAsia" w:hAnsi="宋体" w:cs="宋体"/>
          <w:color w:val="auto"/>
          <w:szCs w:val="21"/>
          <w:highlight w:val="none"/>
          <w:lang w:val="en-US" w:eastAsia="zh-CN"/>
        </w:rPr>
        <w:t>18</w:t>
      </w:r>
      <w:r>
        <w:rPr>
          <w:rFonts w:hint="eastAsia" w:hAnsi="宋体" w:cs="宋体"/>
          <w:color w:val="auto"/>
          <w:szCs w:val="21"/>
          <w:highlight w:val="none"/>
        </w:rPr>
        <w:t>：</w:t>
      </w:r>
      <w:r>
        <w:rPr>
          <w:rFonts w:hint="eastAsia" w:hAnsi="宋体" w:cs="宋体"/>
          <w:color w:val="auto"/>
          <w:szCs w:val="21"/>
          <w:highlight w:val="none"/>
          <w:lang w:val="en-US" w:eastAsia="zh-CN"/>
        </w:rPr>
        <w:t>00</w:t>
      </w:r>
      <w:r>
        <w:rPr>
          <w:rFonts w:hint="eastAsia" w:hAnsi="宋体" w:cs="宋体"/>
          <w:color w:val="auto"/>
          <w:szCs w:val="21"/>
          <w:highlight w:val="none"/>
        </w:rPr>
        <w:t>（北京时间，法定节假日除外）</w:t>
      </w:r>
    </w:p>
    <w:p w14:paraId="275E6E6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r>
        <w:rPr>
          <w:rFonts w:hint="eastAsia" w:hAnsi="宋体" w:cs="宋体"/>
          <w:color w:val="auto"/>
          <w:szCs w:val="21"/>
          <w:highlight w:val="none"/>
          <w:lang w:val="en-US" w:eastAsia="zh-CN"/>
        </w:rPr>
        <w:t>广西政府采购</w:t>
      </w:r>
      <w:r>
        <w:rPr>
          <w:rFonts w:hint="eastAsia" w:hAnsi="宋体" w:cs="宋体"/>
          <w:color w:val="auto"/>
          <w:szCs w:val="21"/>
          <w:highlight w:val="none"/>
        </w:rPr>
        <w:t>云平台</w:t>
      </w:r>
    </w:p>
    <w:p w14:paraId="72AE75F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方式：网上下载。本项目不提供纸质文件，潜在供应商需使用账号登录或者使用CA登录</w:t>
      </w:r>
      <w:r>
        <w:rPr>
          <w:rFonts w:hint="eastAsia" w:hAnsi="宋体" w:cs="宋体"/>
          <w:color w:val="auto"/>
          <w:szCs w:val="21"/>
          <w:highlight w:val="none"/>
          <w:lang w:eastAsia="zh-CN"/>
        </w:rPr>
        <w:t>广西政府采购云平台</w:t>
      </w:r>
      <w:r>
        <w:rPr>
          <w:rFonts w:hint="eastAsia" w:hAnsi="宋体" w:cs="宋体"/>
          <w:color w:val="auto"/>
          <w:szCs w:val="21"/>
          <w:highlight w:val="none"/>
        </w:rPr>
        <w:t>-进入“项目采购”应用，在获取采购文件菜单中选择项目，获取采购文件（或在“政采云电子投标客户端-获取采购文件”跳转到政采云系统获取）。电子响应文件制作需要基于</w:t>
      </w:r>
      <w:r>
        <w:rPr>
          <w:rFonts w:hint="eastAsia" w:hAnsi="宋体" w:cs="宋体"/>
          <w:color w:val="auto"/>
          <w:szCs w:val="21"/>
          <w:highlight w:val="none"/>
          <w:lang w:eastAsia="zh-CN"/>
        </w:rPr>
        <w:t>广西政府采购云平台</w:t>
      </w:r>
      <w:r>
        <w:rPr>
          <w:rFonts w:hint="eastAsia" w:hAnsi="宋体" w:cs="宋体"/>
          <w:color w:val="auto"/>
          <w:szCs w:val="21"/>
          <w:highlight w:val="none"/>
        </w:rPr>
        <w:t>获取的采购文件编制，通过其他方式获取采购文件的，将有可能导致供应商无法在政采云平台编制及上传响应文件。未注册的供应商可登录政采云平台进行注册（政采云平台-商家入驻-注册），如在操作过程中遇到问题或者需要技术支持，请致电客服热线：</w:t>
      </w:r>
      <w:r>
        <w:rPr>
          <w:rFonts w:hint="eastAsia" w:hAnsi="宋体" w:cs="宋体"/>
          <w:color w:val="auto"/>
          <w:szCs w:val="21"/>
          <w:highlight w:val="none"/>
          <w:lang w:eastAsia="zh-CN"/>
        </w:rPr>
        <w:t>95763</w:t>
      </w:r>
      <w:r>
        <w:rPr>
          <w:rFonts w:hint="eastAsia" w:hAnsi="宋体" w:cs="宋体"/>
          <w:color w:val="auto"/>
          <w:szCs w:val="21"/>
          <w:highlight w:val="none"/>
        </w:rPr>
        <w:t>。供应商未按以上时间、方式获取本项目采购文件的，本公司将拒收其响应文件。已获取采购文件的供应商不等于符合本项目的供应商资格。</w:t>
      </w:r>
    </w:p>
    <w:p w14:paraId="151033B8">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售价：0元。</w:t>
      </w:r>
    </w:p>
    <w:p w14:paraId="2BB89F3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四、响应文件提交</w:t>
      </w:r>
    </w:p>
    <w:p w14:paraId="25C2912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截止时间：</w:t>
      </w:r>
      <w:r>
        <w:rPr>
          <w:rFonts w:hint="eastAsia" w:hAnsi="宋体" w:cs="宋体"/>
          <w:color w:val="auto"/>
          <w:highlight w:val="none"/>
          <w:lang w:eastAsia="zh-CN"/>
        </w:rPr>
        <w:t>2026年7月17日</w:t>
      </w:r>
      <w:r>
        <w:rPr>
          <w:rFonts w:hint="eastAsia" w:hAnsi="宋体" w:cs="宋体"/>
          <w:color w:val="auto"/>
          <w:highlight w:val="none"/>
          <w:lang w:val="en-US" w:eastAsia="zh-CN"/>
        </w:rPr>
        <w:t>9时30分</w:t>
      </w:r>
      <w:r>
        <w:rPr>
          <w:rFonts w:hint="eastAsia" w:hAnsi="宋体" w:cs="宋体"/>
          <w:color w:val="auto"/>
          <w:szCs w:val="21"/>
          <w:highlight w:val="none"/>
        </w:rPr>
        <w:t>（北京时间）</w:t>
      </w:r>
    </w:p>
    <w:p w14:paraId="03BC994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地点：通过</w:t>
      </w:r>
      <w:r>
        <w:rPr>
          <w:rFonts w:hint="eastAsia" w:hAnsi="宋体" w:cs="宋体"/>
          <w:color w:val="auto"/>
          <w:szCs w:val="21"/>
          <w:highlight w:val="none"/>
          <w:lang w:eastAsia="zh-CN"/>
        </w:rPr>
        <w:t>广西政府采购云平台</w:t>
      </w:r>
      <w:r>
        <w:rPr>
          <w:rFonts w:hint="eastAsia" w:hAnsi="宋体" w:cs="宋体"/>
          <w:color w:val="auto"/>
          <w:szCs w:val="21"/>
          <w:highlight w:val="none"/>
        </w:rPr>
        <w:t>实行在线磋商。</w:t>
      </w:r>
    </w:p>
    <w:p w14:paraId="52E03733">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五、开启</w:t>
      </w:r>
    </w:p>
    <w:p w14:paraId="10784438">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w:t>
      </w:r>
      <w:r>
        <w:rPr>
          <w:rFonts w:hint="eastAsia" w:hAnsi="宋体" w:cs="宋体"/>
          <w:color w:val="auto"/>
          <w:highlight w:val="none"/>
          <w:lang w:eastAsia="zh-CN"/>
        </w:rPr>
        <w:t>2026年7月17日2026年7月17日</w:t>
      </w:r>
      <w:r>
        <w:rPr>
          <w:rFonts w:hint="eastAsia" w:hAnsi="宋体" w:cs="宋体"/>
          <w:color w:val="auto"/>
          <w:highlight w:val="none"/>
          <w:lang w:val="en-US" w:eastAsia="zh-CN"/>
        </w:rPr>
        <w:t>9时30分</w:t>
      </w:r>
    </w:p>
    <w:p w14:paraId="0157A17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r>
        <w:rPr>
          <w:rFonts w:hint="eastAsia" w:hAnsi="宋体" w:cs="宋体"/>
          <w:color w:val="auto"/>
          <w:szCs w:val="21"/>
          <w:highlight w:val="none"/>
          <w:lang w:eastAsia="zh-CN"/>
        </w:rPr>
        <w:t>广西政府采购云平台</w:t>
      </w:r>
      <w:r>
        <w:rPr>
          <w:rFonts w:hint="eastAsia" w:hAnsi="宋体" w:cs="宋体"/>
          <w:color w:val="auto"/>
          <w:szCs w:val="21"/>
          <w:highlight w:val="none"/>
        </w:rPr>
        <w:t>电子开标大厅【政府采购开评标室</w:t>
      </w:r>
      <w:r>
        <w:rPr>
          <w:rFonts w:hint="eastAsia" w:hAnsi="宋体" w:cs="宋体"/>
          <w:color w:val="auto"/>
          <w:szCs w:val="21"/>
          <w:highlight w:val="none"/>
          <w:u w:val="single"/>
          <w:lang w:val="en-US" w:eastAsia="zh-CN"/>
        </w:rPr>
        <w:t>3</w:t>
      </w:r>
      <w:r>
        <w:rPr>
          <w:rFonts w:hint="eastAsia" w:hAnsi="宋体" w:cs="宋体"/>
          <w:color w:val="auto"/>
          <w:szCs w:val="21"/>
          <w:highlight w:val="none"/>
        </w:rPr>
        <w:t>】在线解密开启。</w:t>
      </w:r>
    </w:p>
    <w:p w14:paraId="0213322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六、公告期限</w:t>
      </w:r>
    </w:p>
    <w:p w14:paraId="1B7C48E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自本公告发布之日起3个工作日。</w:t>
      </w:r>
    </w:p>
    <w:p w14:paraId="03DF6DF0">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七、其他补充事宜</w:t>
      </w:r>
    </w:p>
    <w:p w14:paraId="3F5024C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 中国政府采购网、广西壮族自治区政府采购网</w:t>
      </w:r>
      <w:r>
        <w:rPr>
          <w:rFonts w:hint="eastAsia" w:ascii="宋体" w:hAnsi="宋体" w:cs="宋体"/>
          <w:bCs/>
          <w:color w:val="auto"/>
          <w:kern w:val="0"/>
          <w:szCs w:val="21"/>
          <w:highlight w:val="none"/>
        </w:rPr>
        <w:t>、</w:t>
      </w:r>
      <w:r>
        <w:rPr>
          <w:rFonts w:hint="eastAsia" w:ascii="宋体" w:hAnsi="宋体" w:cs="宋体"/>
          <w:color w:val="auto"/>
          <w:kern w:val="0"/>
          <w:szCs w:val="21"/>
          <w:highlight w:val="none"/>
        </w:rPr>
        <w:t>全国公共资源交易平台（广西·防城港）。</w:t>
      </w:r>
    </w:p>
    <w:p w14:paraId="48566052">
      <w:pPr>
        <w:keepNext w:val="0"/>
        <w:keepLines w:val="0"/>
        <w:pageBreakBefore w:val="0"/>
        <w:kinsoku/>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kern w:val="0"/>
          <w:szCs w:val="21"/>
          <w:highlight w:val="none"/>
          <w:lang w:eastAsia="zh-CN"/>
        </w:rPr>
      </w:pPr>
      <w:bookmarkStart w:id="2"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2"/>
    <w:p w14:paraId="519681C2">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6A91530">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4CE84E85">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416054BC">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48ED3E82">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64D3CC42">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71A6B6E2">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实行在线电子竞标，供应商应按照本项目竞争性磋商文件和广西政府采购云平台的要求编制、加密后在响应文件递交截止时间前通过网络上传至广西政府采购云平台（加密的电子竞标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2D53D7CC">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w:t>
      </w:r>
      <w:r>
        <w:rPr>
          <w:rFonts w:hint="eastAsia" w:ascii="宋体" w:hAnsi="宋体"/>
          <w:color w:val="auto"/>
          <w:szCs w:val="21"/>
          <w:highlight w:val="none"/>
        </w:rPr>
        <w:t>）。</w:t>
      </w:r>
    </w:p>
    <w:p w14:paraId="3A99C2D7">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6BA868A3">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14B6336C">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bCs/>
          <w:color w:val="auto"/>
          <w:szCs w:val="21"/>
          <w:highlight w:val="none"/>
        </w:rPr>
      </w:pPr>
      <w:r>
        <w:rPr>
          <w:rFonts w:hint="eastAsia" w:ascii="宋体" w:hAnsi="宋体"/>
          <w:bCs/>
          <w:color w:val="auto"/>
          <w:szCs w:val="21"/>
          <w:highlight w:val="none"/>
        </w:rPr>
        <w:t>4.磋商保证金：无。</w:t>
      </w:r>
    </w:p>
    <w:p w14:paraId="7510FC9E">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r>
        <w:rPr>
          <w:rFonts w:hint="eastAsia" w:ascii="宋体" w:hAnsi="宋体"/>
          <w:bCs/>
          <w:color w:val="auto"/>
          <w:szCs w:val="21"/>
          <w:highlight w:val="none"/>
          <w:lang w:eastAsia="zh-CN"/>
        </w:rPr>
        <w:t>：</w:t>
      </w:r>
      <w:r>
        <w:rPr>
          <w:rFonts w:hint="eastAsia" w:ascii="宋体" w:hAnsi="宋体"/>
          <w:bCs/>
          <w:color w:val="auto"/>
          <w:szCs w:val="21"/>
          <w:highlight w:val="none"/>
        </w:rPr>
        <w:t>防城港市财政局</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电话：0770-6102319  </w:t>
      </w:r>
    </w:p>
    <w:p w14:paraId="0B55C273">
      <w:pPr>
        <w:snapToGrid w:val="0"/>
        <w:spacing w:line="400" w:lineRule="exact"/>
        <w:ind w:firstLine="420" w:firstLineChars="200"/>
        <w:rPr>
          <w:rFonts w:hint="eastAsia" w:hAnsi="宋体" w:cs="宋体"/>
          <w:color w:val="auto"/>
          <w:szCs w:val="21"/>
          <w:highlight w:val="none"/>
        </w:rPr>
      </w:pPr>
      <w:r>
        <w:rPr>
          <w:rFonts w:hint="eastAsia" w:ascii="宋体" w:hAnsi="宋体"/>
          <w:bCs/>
          <w:color w:val="auto"/>
          <w:szCs w:val="21"/>
          <w:highlight w:val="none"/>
          <w:lang w:val="en-US" w:eastAsia="zh-CN"/>
        </w:rPr>
        <w:t>6.评标说明：本项目为远程异地全流程电子评标，评标主会场地址：防城港市公共资源交易中心；评标分会场地址：</w:t>
      </w:r>
      <w:r>
        <w:rPr>
          <w:rFonts w:hint="eastAsia" w:hAnsi="宋体"/>
          <w:bCs/>
          <w:color w:val="auto"/>
          <w:szCs w:val="21"/>
          <w:highlight w:val="none"/>
          <w:u w:val="single"/>
          <w:lang w:val="en-US" w:eastAsia="zh-CN"/>
        </w:rPr>
        <w:t>贺州</w:t>
      </w:r>
      <w:r>
        <w:rPr>
          <w:rFonts w:hint="eastAsia" w:ascii="宋体" w:hAnsi="宋体"/>
          <w:bCs/>
          <w:color w:val="auto"/>
          <w:szCs w:val="21"/>
          <w:highlight w:val="none"/>
          <w:lang w:val="en-US" w:eastAsia="zh-CN"/>
        </w:rPr>
        <w:t>市公共资源交易中心。</w:t>
      </w:r>
    </w:p>
    <w:p w14:paraId="6779A29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八、凡对本次采购提出询问，请按以下方式联系。</w:t>
      </w:r>
    </w:p>
    <w:p w14:paraId="213F40C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1.采购人信息</w:t>
      </w:r>
    </w:p>
    <w:p w14:paraId="7C98CDFB">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名  称：</w:t>
      </w:r>
      <w:r>
        <w:rPr>
          <w:rFonts w:hint="eastAsia" w:hAnsi="宋体" w:cs="宋体"/>
          <w:color w:val="auto"/>
          <w:szCs w:val="21"/>
          <w:highlight w:val="none"/>
          <w:lang w:eastAsia="zh-CN"/>
        </w:rPr>
        <w:t>防城港职业技术学院</w:t>
      </w:r>
    </w:p>
    <w:p w14:paraId="6CADCD84">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地  址：</w:t>
      </w:r>
      <w:r>
        <w:rPr>
          <w:rFonts w:hint="eastAsia" w:ascii="宋体" w:hAnsi="宋体" w:eastAsia="宋体" w:cs="宋体"/>
          <w:color w:val="auto"/>
          <w:sz w:val="21"/>
          <w:szCs w:val="21"/>
          <w:highlight w:val="none"/>
        </w:rPr>
        <w:t>防城港市江山半岛科教园区</w:t>
      </w:r>
    </w:p>
    <w:p w14:paraId="5E0F659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联系方式：刘圣敏</w:t>
      </w:r>
      <w:r>
        <w:rPr>
          <w:rFonts w:hint="eastAsia" w:hAnsi="宋体" w:cs="宋体"/>
          <w:color w:val="auto"/>
          <w:szCs w:val="21"/>
          <w:highlight w:val="none"/>
          <w:lang w:eastAsia="zh-CN"/>
        </w:rPr>
        <w:t xml:space="preserve">  </w:t>
      </w:r>
      <w:r>
        <w:rPr>
          <w:rFonts w:hint="eastAsia" w:ascii="宋体" w:hAnsi="宋体" w:eastAsia="宋体" w:cs="宋体"/>
          <w:color w:val="auto"/>
          <w:sz w:val="21"/>
          <w:szCs w:val="21"/>
          <w:highlight w:val="none"/>
        </w:rPr>
        <w:t>0770-2076107</w:t>
      </w:r>
    </w:p>
    <w:p w14:paraId="5EF3136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2.采购代理机构信息</w:t>
      </w:r>
    </w:p>
    <w:p w14:paraId="11B473EA">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名  称：</w:t>
      </w:r>
      <w:r>
        <w:rPr>
          <w:rFonts w:hint="eastAsia" w:hAnsi="宋体" w:cs="宋体"/>
          <w:color w:val="auto"/>
          <w:szCs w:val="21"/>
          <w:highlight w:val="none"/>
          <w:lang w:eastAsia="zh-CN"/>
        </w:rPr>
        <w:t>广西达华工程造价咨询有限责任公司</w:t>
      </w:r>
    </w:p>
    <w:p w14:paraId="6EBDA0A3">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地  址：</w:t>
      </w:r>
      <w:r>
        <w:rPr>
          <w:rFonts w:hint="eastAsia" w:hAnsi="宋体" w:cs="宋体"/>
          <w:color w:val="auto"/>
          <w:szCs w:val="21"/>
          <w:highlight w:val="none"/>
          <w:lang w:eastAsia="zh-CN"/>
        </w:rPr>
        <w:t>防城港市港口区常山新区桃中路南面金石财富中心1302、1310号房</w:t>
      </w:r>
    </w:p>
    <w:p w14:paraId="5EDB8987">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联系方式：</w:t>
      </w:r>
      <w:r>
        <w:rPr>
          <w:rFonts w:hint="eastAsia" w:hAnsi="宋体" w:cs="宋体"/>
          <w:color w:val="auto"/>
          <w:highlight w:val="none"/>
          <w:lang w:eastAsia="zh-CN"/>
        </w:rPr>
        <w:t>王琼</w:t>
      </w:r>
      <w:r>
        <w:rPr>
          <w:rFonts w:hint="eastAsia" w:ascii="宋体" w:hAnsi="宋体" w:cs="宋体"/>
          <w:color w:val="auto"/>
          <w:highlight w:val="none"/>
          <w:lang w:val="en-US" w:eastAsia="zh-CN"/>
        </w:rPr>
        <w:t xml:space="preserve">  </w:t>
      </w:r>
      <w:r>
        <w:rPr>
          <w:rFonts w:hint="eastAsia" w:hAnsi="宋体" w:cs="宋体"/>
          <w:color w:val="auto"/>
          <w:highlight w:val="none"/>
          <w:lang w:val="en-US" w:eastAsia="zh-CN"/>
        </w:rPr>
        <w:t>0770-2882618</w:t>
      </w:r>
    </w:p>
    <w:p w14:paraId="5282F01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3.项目联系方式</w:t>
      </w:r>
    </w:p>
    <w:p w14:paraId="78031378">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项目联系人：</w:t>
      </w:r>
      <w:r>
        <w:rPr>
          <w:rFonts w:hint="eastAsia" w:hAnsi="宋体" w:cs="宋体"/>
          <w:color w:val="auto"/>
          <w:highlight w:val="none"/>
          <w:lang w:eastAsia="zh-CN"/>
        </w:rPr>
        <w:t>王琼</w:t>
      </w:r>
    </w:p>
    <w:p w14:paraId="52B95A25">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电  话：</w:t>
      </w:r>
      <w:r>
        <w:rPr>
          <w:rFonts w:hint="eastAsia" w:hAnsi="宋体" w:cs="宋体"/>
          <w:color w:val="auto"/>
          <w:highlight w:val="none"/>
          <w:lang w:val="en-US" w:eastAsia="zh-CN"/>
        </w:rPr>
        <w:t>0770-2882618</w:t>
      </w:r>
    </w:p>
    <w:p w14:paraId="70247C88">
      <w:pPr>
        <w:snapToGrid w:val="0"/>
        <w:spacing w:line="400" w:lineRule="exact"/>
        <w:ind w:firstLine="420" w:firstLineChars="200"/>
        <w:jc w:val="right"/>
        <w:rPr>
          <w:rFonts w:hAnsi="宋体" w:cs="宋体"/>
          <w:color w:val="auto"/>
          <w:szCs w:val="21"/>
          <w:highlight w:val="none"/>
        </w:rPr>
      </w:pPr>
    </w:p>
    <w:p w14:paraId="573E8A9B">
      <w:pPr>
        <w:wordWrap w:val="0"/>
        <w:snapToGrid w:val="0"/>
        <w:spacing w:line="400" w:lineRule="exact"/>
        <w:ind w:firstLine="420" w:firstLineChars="200"/>
        <w:jc w:val="right"/>
        <w:rPr>
          <w:rFonts w:hint="eastAsia" w:hAnsi="宋体" w:cs="宋体"/>
          <w:color w:val="auto"/>
          <w:szCs w:val="21"/>
          <w:highlight w:val="none"/>
        </w:rPr>
      </w:pPr>
      <w:r>
        <w:rPr>
          <w:rFonts w:hint="eastAsia" w:hAnsi="宋体" w:cs="宋体"/>
          <w:color w:val="auto"/>
          <w:szCs w:val="21"/>
          <w:highlight w:val="none"/>
          <w:lang w:eastAsia="zh-CN"/>
        </w:rPr>
        <w:t>采购人：防城港职业技术学院</w:t>
      </w:r>
    </w:p>
    <w:p w14:paraId="01DADD6E">
      <w:pPr>
        <w:wordWrap w:val="0"/>
        <w:snapToGrid w:val="0"/>
        <w:spacing w:line="400" w:lineRule="exact"/>
        <w:ind w:firstLine="420" w:firstLineChars="200"/>
        <w:jc w:val="right"/>
        <w:rPr>
          <w:rFonts w:hint="eastAsia" w:hAnsi="宋体" w:cs="宋体"/>
          <w:color w:val="auto"/>
          <w:szCs w:val="21"/>
          <w:highlight w:val="none"/>
          <w:lang w:eastAsia="zh-CN"/>
        </w:rPr>
      </w:pPr>
      <w:r>
        <w:rPr>
          <w:rFonts w:hint="eastAsia" w:hAnsi="宋体" w:cs="宋体"/>
          <w:color w:val="auto"/>
          <w:szCs w:val="21"/>
          <w:highlight w:val="none"/>
          <w:lang w:eastAsia="zh-CN"/>
        </w:rPr>
        <w:t>采购代理机构：广西达华工程造价咨询有限责任公司</w:t>
      </w:r>
    </w:p>
    <w:p w14:paraId="101E76FC">
      <w:pPr>
        <w:wordWrap w:val="0"/>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lang w:eastAsia="zh-CN"/>
        </w:rPr>
        <w:t>2026年</w:t>
      </w:r>
      <w:r>
        <w:rPr>
          <w:rFonts w:hint="eastAsia" w:hAnsi="宋体" w:cs="宋体"/>
          <w:color w:val="auto"/>
          <w:szCs w:val="21"/>
          <w:highlight w:val="none"/>
          <w:lang w:val="en-US" w:eastAsia="zh-CN"/>
        </w:rPr>
        <w:t>6月30</w:t>
      </w:r>
      <w:r>
        <w:rPr>
          <w:rFonts w:hint="eastAsia" w:hAnsi="宋体" w:cs="宋体"/>
          <w:color w:val="auto"/>
          <w:szCs w:val="21"/>
          <w:highlight w:val="none"/>
        </w:rPr>
        <w:t>日</w:t>
      </w:r>
    </w:p>
    <w:p w14:paraId="00174757">
      <w:pPr>
        <w:spacing w:line="360" w:lineRule="auto"/>
        <w:jc w:val="center"/>
        <w:outlineLvl w:val="0"/>
        <w:rPr>
          <w:rFonts w:asciiTheme="minorEastAsia" w:hAnsiTheme="minorEastAsia" w:eastAsiaTheme="minorEastAsia"/>
          <w:b/>
          <w:color w:val="auto"/>
          <w:sz w:val="32"/>
          <w:szCs w:val="32"/>
          <w:highlight w:val="none"/>
        </w:rPr>
      </w:pPr>
      <w:bookmarkStart w:id="3" w:name="_Toc108836044"/>
      <w:bookmarkStart w:id="4" w:name="_Toc108835633"/>
      <w:r>
        <w:rPr>
          <w:rFonts w:hint="eastAsia" w:asciiTheme="minorEastAsia" w:hAnsiTheme="minorEastAsia" w:eastAsiaTheme="minorEastAsia"/>
          <w:color w:val="auto"/>
          <w:highlight w:val="none"/>
        </w:rPr>
        <w:br w:type="page"/>
      </w:r>
      <w:bookmarkStart w:id="5" w:name="_Toc11645"/>
      <w:bookmarkStart w:id="6" w:name="_Toc453681414"/>
      <w:r>
        <w:rPr>
          <w:rFonts w:hint="eastAsia" w:asciiTheme="minorEastAsia" w:hAnsiTheme="minorEastAsia" w:eastAsiaTheme="minorEastAsia"/>
          <w:b/>
          <w:color w:val="auto"/>
          <w:sz w:val="44"/>
          <w:szCs w:val="44"/>
          <w:highlight w:val="none"/>
        </w:rPr>
        <w:t>第二章  磋商须知及前附表</w:t>
      </w:r>
      <w:bookmarkEnd w:id="5"/>
    </w:p>
    <w:p w14:paraId="011CC252">
      <w:pPr>
        <w:spacing w:line="360" w:lineRule="auto"/>
        <w:jc w:val="center"/>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磋商须知前附表</w:t>
      </w:r>
    </w:p>
    <w:tbl>
      <w:tblPr>
        <w:tblStyle w:val="5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390"/>
      </w:tblGrid>
      <w:tr w14:paraId="5EEB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62C0018B">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945" w:type="dxa"/>
          </w:tcPr>
          <w:p w14:paraId="4AF09857">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条款号</w:t>
            </w:r>
          </w:p>
        </w:tc>
        <w:tc>
          <w:tcPr>
            <w:tcW w:w="7390" w:type="dxa"/>
          </w:tcPr>
          <w:p w14:paraId="49F93688">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    容</w:t>
            </w:r>
          </w:p>
        </w:tc>
      </w:tr>
      <w:tr w14:paraId="5E56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2B3BC03E">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945" w:type="dxa"/>
            <w:vAlign w:val="center"/>
          </w:tcPr>
          <w:p w14:paraId="00CB2215">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7390" w:type="dxa"/>
            <w:vAlign w:val="center"/>
          </w:tcPr>
          <w:p w14:paraId="5CCD0D7C">
            <w:pPr>
              <w:spacing w:line="40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lang w:eastAsia="zh-CN"/>
              </w:rPr>
              <w:t>防城港职业技术学院学生宿舍提升改造工程</w:t>
            </w:r>
          </w:p>
          <w:p w14:paraId="34EF938C">
            <w:pPr>
              <w:spacing w:line="400" w:lineRule="exact"/>
              <w:rPr>
                <w:rFonts w:hint="eastAsia"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Cs w:val="21"/>
                <w:highlight w:val="none"/>
              </w:rPr>
              <w:t>项目编号：</w:t>
            </w:r>
            <w:r>
              <w:rPr>
                <w:rFonts w:hint="eastAsia" w:asciiTheme="minorEastAsia" w:hAnsiTheme="minorEastAsia" w:eastAsiaTheme="minorEastAsia"/>
                <w:color w:val="auto"/>
                <w:szCs w:val="21"/>
                <w:highlight w:val="none"/>
                <w:lang w:eastAsia="zh-CN"/>
              </w:rPr>
              <w:t>FCZC2026-C2-990104-GXDH</w:t>
            </w:r>
            <w:r>
              <w:rPr>
                <w:rFonts w:hint="eastAsia" w:eastAsiaTheme="minorEastAsia"/>
                <w:color w:val="auto"/>
                <w:highlight w:val="none"/>
                <w:lang w:eastAsia="zh-CN"/>
              </w:rPr>
              <w:t xml:space="preserve">  </w:t>
            </w:r>
          </w:p>
          <w:p w14:paraId="36E70EA4">
            <w:pPr>
              <w:spacing w:line="400" w:lineRule="exact"/>
              <w:rPr>
                <w:rFonts w:hint="eastAsia" w:asciiTheme="minorEastAsia" w:hAnsiTheme="minorEastAsia" w:eastAsiaTheme="minorEastAsia"/>
                <w:color w:val="auto"/>
                <w:szCs w:val="21"/>
                <w:highlight w:val="none"/>
                <w:lang w:eastAsia="zh-CN"/>
              </w:rPr>
            </w:pPr>
            <w:r>
              <w:rPr>
                <w:rFonts w:asciiTheme="minorEastAsia" w:hAnsiTheme="minorEastAsia" w:eastAsiaTheme="minorEastAsia"/>
                <w:color w:val="auto"/>
                <w:szCs w:val="21"/>
                <w:highlight w:val="none"/>
              </w:rPr>
              <w:t>建设地点：</w:t>
            </w:r>
            <w:r>
              <w:rPr>
                <w:rFonts w:hint="eastAsia" w:asciiTheme="minorEastAsia" w:hAnsiTheme="minorEastAsia" w:eastAsiaTheme="minorEastAsia"/>
                <w:color w:val="auto"/>
                <w:szCs w:val="21"/>
                <w:highlight w:val="none"/>
                <w:lang w:eastAsia="zh-CN"/>
              </w:rPr>
              <w:t>防城港职业技术学院</w:t>
            </w:r>
          </w:p>
          <w:p w14:paraId="5A4BDEDE">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范围：</w:t>
            </w:r>
            <w:r>
              <w:rPr>
                <w:rFonts w:hint="eastAsia" w:asciiTheme="minorEastAsia" w:hAnsiTheme="minorEastAsia" w:eastAsiaTheme="minorEastAsia"/>
                <w:color w:val="auto"/>
                <w:szCs w:val="21"/>
                <w:highlight w:val="none"/>
                <w:lang w:eastAsia="zh-CN"/>
              </w:rPr>
              <w:t>防城港职业技术学院学生宿舍提升改造工程。具体内容详见施工图纸和工程量清单</w:t>
            </w:r>
            <w:r>
              <w:rPr>
                <w:rFonts w:hint="eastAsia" w:asciiTheme="minorEastAsia" w:hAnsiTheme="minorEastAsia" w:eastAsiaTheme="minorEastAsia"/>
                <w:color w:val="auto"/>
                <w:szCs w:val="21"/>
                <w:highlight w:val="none"/>
              </w:rPr>
              <w:t>。</w:t>
            </w:r>
          </w:p>
          <w:p w14:paraId="5919DC53">
            <w:pPr>
              <w:spacing w:line="400" w:lineRule="exact"/>
              <w:rPr>
                <w:rFonts w:hint="eastAsia" w:hAnsi="宋体" w:cs="宋体" w:eastAsiaTheme="minorEastAsia"/>
                <w:color w:val="auto"/>
                <w:szCs w:val="21"/>
                <w:highlight w:val="none"/>
              </w:rPr>
            </w:pPr>
            <w:r>
              <w:rPr>
                <w:rFonts w:hint="eastAsia" w:asciiTheme="minorEastAsia" w:hAnsiTheme="minorEastAsia" w:eastAsiaTheme="minorEastAsia"/>
                <w:color w:val="auto"/>
                <w:szCs w:val="21"/>
                <w:highlight w:val="none"/>
              </w:rPr>
              <w:t>项目所属行业：建筑业</w:t>
            </w:r>
          </w:p>
          <w:p w14:paraId="3E53C4F1">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施工</w:t>
            </w:r>
            <w:r>
              <w:rPr>
                <w:rFonts w:asciiTheme="minorEastAsia" w:hAnsiTheme="minorEastAsia" w:eastAsiaTheme="minorEastAsia"/>
                <w:color w:val="auto"/>
                <w:szCs w:val="21"/>
                <w:highlight w:val="none"/>
              </w:rPr>
              <w:t>工期：</w:t>
            </w:r>
            <w:r>
              <w:rPr>
                <w:rFonts w:hint="eastAsia" w:hAnsi="宋体" w:eastAsiaTheme="minorEastAsia"/>
                <w:color w:val="auto"/>
                <w:szCs w:val="21"/>
                <w:highlight w:val="none"/>
                <w:u w:val="single"/>
                <w:lang w:val="en-US" w:eastAsia="zh-CN"/>
              </w:rPr>
              <w:t>30日历天</w:t>
            </w:r>
          </w:p>
          <w:p w14:paraId="0AA96045">
            <w:pPr>
              <w:spacing w:line="400" w:lineRule="exact"/>
              <w:rPr>
                <w:rFonts w:hint="eastAsia" w:asciiTheme="minorEastAsia" w:hAnsiTheme="minorEastAsia" w:eastAsiaTheme="minorEastAsia"/>
                <w:color w:val="auto"/>
                <w:szCs w:val="21"/>
                <w:highlight w:val="none"/>
                <w:u w:val="single"/>
                <w:lang w:eastAsia="zh-CN"/>
              </w:rPr>
            </w:pPr>
            <w:r>
              <w:rPr>
                <w:rFonts w:asciiTheme="minorEastAsia" w:hAnsiTheme="minorEastAsia" w:eastAsiaTheme="minorEastAsia"/>
                <w:color w:val="auto"/>
                <w:szCs w:val="21"/>
                <w:highlight w:val="none"/>
              </w:rPr>
              <w:t>质量要求：</w:t>
            </w:r>
            <w:r>
              <w:rPr>
                <w:rFonts w:hint="eastAsia" w:asciiTheme="minorEastAsia" w:hAnsiTheme="minorEastAsia" w:eastAsiaTheme="minorEastAsia"/>
                <w:color w:val="auto"/>
                <w:szCs w:val="21"/>
                <w:highlight w:val="none"/>
              </w:rPr>
              <w:t>工程质量符合国家施工验收规范合格标准</w:t>
            </w:r>
          </w:p>
        </w:tc>
      </w:tr>
      <w:tr w14:paraId="5B02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B98EDC8">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945" w:type="dxa"/>
            <w:vAlign w:val="center"/>
          </w:tcPr>
          <w:p w14:paraId="2B86E938">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w:t>
            </w:r>
          </w:p>
        </w:tc>
        <w:tc>
          <w:tcPr>
            <w:tcW w:w="7390" w:type="dxa"/>
            <w:vAlign w:val="center"/>
          </w:tcPr>
          <w:p w14:paraId="4943C76A">
            <w:pPr>
              <w:snapToGrid w:val="0"/>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供应商资格要求：</w:t>
            </w:r>
          </w:p>
          <w:p w14:paraId="6113CAE1">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06756884">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w:t>
            </w:r>
            <w:r>
              <w:rPr>
                <w:rFonts w:hint="eastAsia" w:hAnsi="宋体" w:cs="宋体"/>
                <w:color w:val="auto"/>
                <w:szCs w:val="21"/>
                <w:highlight w:val="none"/>
                <w:lang w:val="en-US" w:eastAsia="zh-CN"/>
              </w:rPr>
              <w:t>为</w:t>
            </w:r>
            <w:r>
              <w:rPr>
                <w:rFonts w:hint="eastAsia" w:hAnsi="宋体" w:cs="宋体"/>
                <w:color w:val="auto"/>
                <w:szCs w:val="21"/>
                <w:highlight w:val="none"/>
              </w:rPr>
              <w:t>专门面向小微企业采购的项目（供应商应为小型、微型企业，监狱企业、残疾人福利性单位视同小微企业)；</w:t>
            </w:r>
          </w:p>
          <w:p w14:paraId="6726B690">
            <w:pPr>
              <w:snapToGrid w:val="0"/>
              <w:spacing w:line="400" w:lineRule="exact"/>
              <w:ind w:firstLine="420" w:firstLineChars="200"/>
              <w:rPr>
                <w:rFonts w:hint="eastAsia" w:eastAsia="宋体" w:cs="Arial" w:asciiTheme="minorEastAsia" w:hAnsiTheme="minorEastAsia"/>
                <w:color w:val="auto"/>
                <w:szCs w:val="21"/>
                <w:highlight w:val="none"/>
                <w:lang w:eastAsia="zh-CN"/>
              </w:rPr>
            </w:pPr>
            <w:r>
              <w:rPr>
                <w:rFonts w:hint="eastAsia" w:hAnsi="宋体" w:cs="宋体"/>
                <w:color w:val="auto"/>
                <w:szCs w:val="21"/>
                <w:highlight w:val="none"/>
              </w:rPr>
              <w:t>3.本项目的特定资格要求：①具有建筑工程施工总承包叁级以上(含叁级)资质或建筑装修装饰工程专业承包二级（含）及以上资质，并在人员、设备、资金等方面具有相应能力的施工企业。</w:t>
            </w:r>
            <w:r>
              <w:rPr>
                <w:rFonts w:hint="default" w:hAnsi="宋体" w:cs="宋体"/>
                <w:color w:val="auto"/>
                <w:szCs w:val="21"/>
                <w:highlight w:val="none"/>
              </w:rPr>
              <w:t>②</w:t>
            </w:r>
            <w:r>
              <w:rPr>
                <w:rFonts w:hint="eastAsia" w:hAnsi="宋体" w:cs="宋体"/>
                <w:color w:val="auto"/>
                <w:szCs w:val="21"/>
                <w:highlight w:val="none"/>
              </w:rPr>
              <w:t>拟投入本项目的项目经理必须是具备[建筑工程专业贰级]及以上专业注册建造师执业资格，具备有效的安全生产考核合格证书（B类），并为本单位员工。本项目不接受有在建、已中标未开工或已列为其他项目中标候选人第一名的建造师作为项目经理。</w:t>
            </w:r>
          </w:p>
        </w:tc>
      </w:tr>
      <w:tr w14:paraId="6DD4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vAlign w:val="center"/>
          </w:tcPr>
          <w:p w14:paraId="110F941A">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945" w:type="dxa"/>
            <w:vAlign w:val="center"/>
          </w:tcPr>
          <w:p w14:paraId="3A15F2BF">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w:t>
            </w:r>
          </w:p>
        </w:tc>
        <w:tc>
          <w:tcPr>
            <w:tcW w:w="7390" w:type="dxa"/>
            <w:vAlign w:val="center"/>
          </w:tcPr>
          <w:p w14:paraId="3021D19F">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响应文件有效期：响应文件递交截止日起90天。</w:t>
            </w:r>
          </w:p>
        </w:tc>
      </w:tr>
      <w:tr w14:paraId="290E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14:paraId="26D556C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945" w:type="dxa"/>
            <w:vAlign w:val="center"/>
          </w:tcPr>
          <w:p w14:paraId="1D813FEF">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11.4</w:t>
            </w:r>
          </w:p>
        </w:tc>
        <w:tc>
          <w:tcPr>
            <w:tcW w:w="7390" w:type="dxa"/>
            <w:vAlign w:val="center"/>
          </w:tcPr>
          <w:p w14:paraId="0A78F1BE">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首次响应文件分为资格文件、价格文件、商务和技术文件三个部分。由磋商小组对通过资格审查的合格供应商的响应文件的响应报价、商务、技术等实质性要求进行符合性审查，以确定其是否满足竞争性磋商文件的实质性要求。</w:t>
            </w:r>
          </w:p>
        </w:tc>
      </w:tr>
      <w:tr w14:paraId="51D2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156DDFB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945" w:type="dxa"/>
            <w:vAlign w:val="center"/>
          </w:tcPr>
          <w:p w14:paraId="4D2EB113">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w:t>
            </w:r>
          </w:p>
        </w:tc>
        <w:tc>
          <w:tcPr>
            <w:tcW w:w="7390" w:type="dxa"/>
            <w:vAlign w:val="center"/>
          </w:tcPr>
          <w:p w14:paraId="0BAAFD29">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本项目不需要缴纳磋商保证金。</w:t>
            </w:r>
          </w:p>
        </w:tc>
      </w:tr>
      <w:tr w14:paraId="5DA7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FD858FC">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945" w:type="dxa"/>
            <w:vAlign w:val="center"/>
          </w:tcPr>
          <w:p w14:paraId="568F990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w:t>
            </w:r>
          </w:p>
        </w:tc>
        <w:tc>
          <w:tcPr>
            <w:tcW w:w="7390" w:type="dxa"/>
            <w:shd w:val="clear" w:color="auto" w:fill="auto"/>
            <w:vAlign w:val="center"/>
          </w:tcPr>
          <w:p w14:paraId="37232A3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1、磋商报价：供应商</w:t>
            </w:r>
            <w:r>
              <w:rPr>
                <w:rFonts w:asciiTheme="minorEastAsia" w:hAnsiTheme="minorEastAsia" w:eastAsiaTheme="minorEastAsia"/>
                <w:color w:val="auto"/>
                <w:szCs w:val="21"/>
                <w:highlight w:val="none"/>
              </w:rPr>
              <w:t>应按第</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章“工程量清单”的要求填写相应表格。</w:t>
            </w:r>
            <w:r>
              <w:rPr>
                <w:rFonts w:hint="eastAsia" w:asciiTheme="minorEastAsia" w:hAnsiTheme="minorEastAsia" w:eastAsiaTheme="minorEastAsia"/>
                <w:color w:val="auto"/>
                <w:szCs w:val="21"/>
                <w:highlight w:val="none"/>
              </w:rPr>
              <w:t>供应商不得</w:t>
            </w:r>
            <w:r>
              <w:rPr>
                <w:rFonts w:hint="eastAsia" w:asciiTheme="minorEastAsia" w:hAnsiTheme="minorEastAsia" w:eastAsiaTheme="minorEastAsia"/>
                <w:color w:val="auto"/>
                <w:highlight w:val="none"/>
              </w:rPr>
              <w:t>修改工程量清单的项目结构、标段</w:t>
            </w:r>
            <w:r>
              <w:rPr>
                <w:rFonts w:hint="eastAsia" w:asciiTheme="minorEastAsia" w:hAnsiTheme="minorEastAsia" w:eastAsiaTheme="minorEastAsia"/>
                <w:color w:val="auto"/>
                <w:szCs w:val="21"/>
                <w:highlight w:val="none"/>
              </w:rPr>
              <w:t>名称、单项工程名称、单位工程名称、项目编码、项目名称、项目特征、计量单位、工程量、清单顺序和序号。不得对工程量清单项目进行增减调整。</w:t>
            </w:r>
          </w:p>
          <w:p w14:paraId="131C59D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2、本项目的计税方式：</w:t>
            </w:r>
          </w:p>
          <w:p w14:paraId="22B159FA">
            <w:pPr>
              <w:spacing w:line="360" w:lineRule="auto"/>
              <w:ind w:firstLine="420" w:firstLineChars="200"/>
              <w:rPr>
                <w:rFonts w:asciiTheme="minorEastAsia" w:hAnsiTheme="minorEastAsia" w:eastAsiaTheme="minorEastAsia"/>
                <w:color w:val="auto"/>
                <w:highlight w:val="none"/>
              </w:rPr>
            </w:pPr>
            <w:r>
              <w:rPr>
                <w:rFonts w:hint="eastAsia" w:ascii="MS Mincho" w:hAnsi="MS Mincho" w:eastAsia="MS Mincho" w:cs="MS Mincho"/>
                <w:color w:val="auto"/>
                <w:szCs w:val="21"/>
                <w:highlight w:val="none"/>
              </w:rPr>
              <w:t>☑</w:t>
            </w:r>
            <w:r>
              <w:rPr>
                <w:rFonts w:hint="eastAsia" w:asciiTheme="minorEastAsia" w:hAnsiTheme="minorEastAsia" w:eastAsiaTheme="minorEastAsia"/>
                <w:color w:val="auto"/>
                <w:highlight w:val="none"/>
              </w:rPr>
              <w:t xml:space="preserve">一般计税法         </w:t>
            </w:r>
            <w:r>
              <w:rPr>
                <w:rFonts w:hint="eastAsia" w:asciiTheme="minorEastAsia" w:hAnsiTheme="minorEastAsia" w:eastAsiaTheme="minorEastAsia"/>
                <w:color w:val="auto"/>
                <w:highlight w:val="none"/>
              </w:rPr>
              <w:sym w:font="Wingdings 2" w:char="00A3"/>
            </w:r>
            <w:r>
              <w:rPr>
                <w:rFonts w:hint="eastAsia" w:asciiTheme="minorEastAsia" w:hAnsiTheme="minorEastAsia" w:eastAsiaTheme="minorEastAsia"/>
                <w:color w:val="auto"/>
                <w:highlight w:val="none"/>
              </w:rPr>
              <w:t>简易计税法</w:t>
            </w:r>
          </w:p>
          <w:p w14:paraId="5FDECA8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20330FDB">
            <w:pPr>
              <w:pStyle w:val="27"/>
              <w:spacing w:line="42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采购预算：</w:t>
            </w:r>
            <w:r>
              <w:rPr>
                <w:rFonts w:hint="eastAsia" w:asciiTheme="minorEastAsia" w:hAnsiTheme="minorEastAsia" w:eastAsiaTheme="minorEastAsia"/>
                <w:b/>
                <w:color w:val="auto"/>
                <w:szCs w:val="21"/>
                <w:highlight w:val="none"/>
                <w:lang w:eastAsia="zh-CN"/>
              </w:rPr>
              <w:t>2729643.38</w:t>
            </w:r>
            <w:r>
              <w:rPr>
                <w:rFonts w:hint="eastAsia" w:asciiTheme="minorEastAsia" w:hAnsiTheme="minorEastAsia" w:eastAsiaTheme="minorEastAsia"/>
                <w:b/>
                <w:color w:val="auto"/>
                <w:szCs w:val="21"/>
                <w:highlight w:val="none"/>
              </w:rPr>
              <w:t>元，最高限价：</w:t>
            </w:r>
            <w:r>
              <w:rPr>
                <w:rFonts w:hint="eastAsia" w:asciiTheme="minorEastAsia" w:hAnsiTheme="minorEastAsia" w:eastAsiaTheme="minorEastAsia"/>
                <w:b/>
                <w:color w:val="auto"/>
                <w:szCs w:val="21"/>
                <w:highlight w:val="none"/>
                <w:lang w:eastAsia="zh-CN"/>
              </w:rPr>
              <w:t>2729643.38</w:t>
            </w:r>
            <w:r>
              <w:rPr>
                <w:rFonts w:hint="eastAsia" w:asciiTheme="minorEastAsia" w:hAnsiTheme="minorEastAsia" w:eastAsiaTheme="minorEastAsia"/>
                <w:b/>
                <w:color w:val="auto"/>
                <w:szCs w:val="21"/>
                <w:highlight w:val="none"/>
              </w:rPr>
              <w:t>元。供应商最终报价超出最高限价的，磋商无效。</w:t>
            </w:r>
          </w:p>
        </w:tc>
      </w:tr>
      <w:tr w14:paraId="6DA9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6" w:type="dxa"/>
            <w:vAlign w:val="center"/>
          </w:tcPr>
          <w:p w14:paraId="7A80C5A0">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945" w:type="dxa"/>
            <w:vAlign w:val="center"/>
          </w:tcPr>
          <w:p w14:paraId="18510536">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w:t>
            </w:r>
          </w:p>
        </w:tc>
        <w:tc>
          <w:tcPr>
            <w:tcW w:w="7390" w:type="dxa"/>
            <w:vAlign w:val="center"/>
          </w:tcPr>
          <w:p w14:paraId="1429C316">
            <w:pPr>
              <w:pStyle w:val="27"/>
              <w:spacing w:line="400" w:lineRule="exact"/>
              <w:rPr>
                <w:rFonts w:hAnsi="宋体"/>
                <w:color w:val="auto"/>
                <w:szCs w:val="21"/>
                <w:highlight w:val="none"/>
              </w:rPr>
            </w:pPr>
            <w:r>
              <w:rPr>
                <w:rFonts w:hint="eastAsia" w:hAnsi="宋体"/>
                <w:color w:val="auto"/>
                <w:szCs w:val="21"/>
                <w:highlight w:val="none"/>
              </w:rPr>
              <w:t>首次响应文件递交截止时间：</w:t>
            </w:r>
            <w:r>
              <w:rPr>
                <w:rFonts w:hint="eastAsia" w:hAnsi="宋体" w:cs="宋体"/>
                <w:color w:val="auto"/>
                <w:highlight w:val="none"/>
                <w:lang w:eastAsia="zh-CN"/>
              </w:rPr>
              <w:t>2026年7月17日9时30分</w:t>
            </w:r>
          </w:p>
          <w:p w14:paraId="2525DF58">
            <w:pPr>
              <w:pStyle w:val="27"/>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地址：通过</w:t>
            </w:r>
            <w:r>
              <w:rPr>
                <w:rFonts w:hint="eastAsia" w:hAnsi="宋体"/>
                <w:color w:val="auto"/>
                <w:szCs w:val="21"/>
                <w:highlight w:val="none"/>
                <w:lang w:eastAsia="zh-CN"/>
              </w:rPr>
              <w:t>广西政府采购云平台</w:t>
            </w:r>
            <w:r>
              <w:rPr>
                <w:rFonts w:hint="eastAsia" w:hAnsi="宋体"/>
                <w:color w:val="auto"/>
                <w:szCs w:val="21"/>
                <w:highlight w:val="none"/>
              </w:rPr>
              <w:t>实行在线磋商。</w:t>
            </w:r>
          </w:p>
        </w:tc>
      </w:tr>
      <w:tr w14:paraId="1C31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6" w:type="dxa"/>
            <w:vAlign w:val="center"/>
          </w:tcPr>
          <w:p w14:paraId="6025B9F4">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945" w:type="dxa"/>
            <w:vAlign w:val="center"/>
          </w:tcPr>
          <w:p w14:paraId="36D6B786">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w:t>
            </w:r>
          </w:p>
        </w:tc>
        <w:tc>
          <w:tcPr>
            <w:tcW w:w="7390" w:type="dxa"/>
            <w:vAlign w:val="center"/>
          </w:tcPr>
          <w:p w14:paraId="30BB042C">
            <w:pPr>
              <w:spacing w:line="400" w:lineRule="exact"/>
              <w:rPr>
                <w:rFonts w:hAnsi="宋体"/>
                <w:color w:val="auto"/>
                <w:szCs w:val="21"/>
                <w:highlight w:val="none"/>
              </w:rPr>
            </w:pPr>
            <w:r>
              <w:rPr>
                <w:rFonts w:hint="eastAsia" w:hAnsi="宋体"/>
                <w:color w:val="auto"/>
                <w:szCs w:val="21"/>
                <w:highlight w:val="none"/>
              </w:rPr>
              <w:t>磋商时间：</w:t>
            </w:r>
            <w:r>
              <w:rPr>
                <w:rFonts w:hint="eastAsia" w:hAnsi="宋体" w:cs="宋体"/>
                <w:color w:val="auto"/>
                <w:highlight w:val="none"/>
                <w:lang w:eastAsia="zh-CN"/>
              </w:rPr>
              <w:t>2026年7月17日</w:t>
            </w:r>
            <w:r>
              <w:rPr>
                <w:rFonts w:hint="eastAsia" w:hAnsi="宋体"/>
                <w:color w:val="auto"/>
                <w:szCs w:val="21"/>
                <w:highlight w:val="none"/>
              </w:rPr>
              <w:t>截标后</w:t>
            </w:r>
          </w:p>
          <w:p w14:paraId="2ACCEC33">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磋商地点：</w:t>
            </w:r>
            <w:r>
              <w:rPr>
                <w:rFonts w:hint="eastAsia" w:ascii="Times New Roman" w:hAnsi="宋体"/>
                <w:color w:val="auto"/>
                <w:szCs w:val="21"/>
                <w:highlight w:val="none"/>
              </w:rPr>
              <w:t>通过</w:t>
            </w:r>
            <w:r>
              <w:rPr>
                <w:rFonts w:hint="eastAsia" w:ascii="Times New Roman" w:hAnsi="宋体"/>
                <w:color w:val="auto"/>
                <w:szCs w:val="21"/>
                <w:highlight w:val="none"/>
                <w:lang w:eastAsia="zh-CN"/>
              </w:rPr>
              <w:t>广西政府采购云平台</w:t>
            </w:r>
            <w:r>
              <w:rPr>
                <w:rFonts w:hint="eastAsia" w:ascii="Times New Roman" w:hAnsi="宋体"/>
                <w:color w:val="auto"/>
                <w:szCs w:val="21"/>
                <w:highlight w:val="none"/>
              </w:rPr>
              <w:t>实行在线磋商。</w:t>
            </w:r>
          </w:p>
        </w:tc>
      </w:tr>
      <w:tr w14:paraId="210D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6" w:type="dxa"/>
            <w:vAlign w:val="center"/>
          </w:tcPr>
          <w:p w14:paraId="7D0D24BF">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945" w:type="dxa"/>
            <w:vAlign w:val="center"/>
          </w:tcPr>
          <w:p w14:paraId="160A5CB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w:t>
            </w:r>
          </w:p>
        </w:tc>
        <w:tc>
          <w:tcPr>
            <w:tcW w:w="7390" w:type="dxa"/>
            <w:vAlign w:val="center"/>
          </w:tcPr>
          <w:p w14:paraId="613E22D4">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highlight w:val="none"/>
              </w:rPr>
              <w:t>履约保证金：无</w:t>
            </w:r>
            <w:r>
              <w:rPr>
                <w:rFonts w:hint="eastAsia" w:asciiTheme="minorEastAsia" w:hAnsiTheme="minorEastAsia" w:eastAsiaTheme="minorEastAsia"/>
                <w:color w:val="auto"/>
                <w:highlight w:val="none"/>
              </w:rPr>
              <w:t>。</w:t>
            </w:r>
          </w:p>
        </w:tc>
      </w:tr>
      <w:tr w14:paraId="2AE6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6" w:type="dxa"/>
            <w:vAlign w:val="center"/>
          </w:tcPr>
          <w:p w14:paraId="24E2537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945" w:type="dxa"/>
            <w:vAlign w:val="center"/>
          </w:tcPr>
          <w:p w14:paraId="124F5676">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31.1</w:t>
            </w:r>
          </w:p>
        </w:tc>
        <w:tc>
          <w:tcPr>
            <w:tcW w:w="7390" w:type="dxa"/>
            <w:vAlign w:val="center"/>
          </w:tcPr>
          <w:p w14:paraId="754B3A9D">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1.采购代理费支付方式：</w:t>
            </w:r>
          </w:p>
          <w:p w14:paraId="04205B99">
            <w:pPr>
              <w:spacing w:line="40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本项目代理服务费按如下规定由成交供应商在领取成交通知书前，一次性向采购代理机构支付。</w:t>
            </w:r>
          </w:p>
          <w:p w14:paraId="75B24045">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2.采购代理费收取标准：</w:t>
            </w:r>
          </w:p>
          <w:p w14:paraId="1DE6BA2E">
            <w:pPr>
              <w:spacing w:line="40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以成交金额为计费额，按采购文件</w:t>
            </w:r>
            <w:r>
              <w:rPr>
                <w:rFonts w:hint="eastAsia" w:asciiTheme="minorEastAsia" w:hAnsiTheme="minorEastAsia" w:eastAsiaTheme="minorEastAsia"/>
                <w:color w:val="auto"/>
                <w:szCs w:val="21"/>
                <w:highlight w:val="none"/>
                <w:lang w:val="en-US" w:eastAsia="zh-CN"/>
              </w:rPr>
              <w:t>磋商</w:t>
            </w:r>
            <w:r>
              <w:rPr>
                <w:rFonts w:hint="eastAsia" w:asciiTheme="minorEastAsia" w:hAnsiTheme="minorEastAsia" w:eastAsiaTheme="minorEastAsia"/>
                <w:color w:val="auto"/>
                <w:szCs w:val="21"/>
                <w:highlight w:val="none"/>
              </w:rPr>
              <w:t>须知</w:t>
            </w:r>
            <w:r>
              <w:rPr>
                <w:rFonts w:hint="eastAsia" w:asciiTheme="minorEastAsia" w:hAnsiTheme="minorEastAsia" w:eastAsiaTheme="minorEastAsia"/>
                <w:color w:val="auto"/>
                <w:szCs w:val="21"/>
                <w:highlight w:val="none"/>
                <w:lang w:val="en-US" w:eastAsia="zh-CN"/>
              </w:rPr>
              <w:t>正文30.2项</w:t>
            </w:r>
            <w:r>
              <w:rPr>
                <w:rFonts w:hint="eastAsia"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lang w:eastAsia="zh-CN"/>
              </w:rPr>
              <w:t>工程</w:t>
            </w:r>
            <w:r>
              <w:rPr>
                <w:rFonts w:hint="eastAsia" w:asciiTheme="minorEastAsia" w:hAnsiTheme="minorEastAsia" w:eastAsiaTheme="minorEastAsia"/>
                <w:color w:val="auto"/>
                <w:szCs w:val="21"/>
                <w:highlight w:val="none"/>
              </w:rPr>
              <w:t>类标准采用差额定率累进法计算出收费基准价格，采购代理收费以收费基准价格收取，成交单位在领取成交通知书前，一次性向采购代理机构支付。</w:t>
            </w:r>
          </w:p>
          <w:p w14:paraId="3EF673DF">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账户名称：广西达华工程造价咨询有限责任公司防城港分公司</w:t>
            </w:r>
          </w:p>
          <w:p w14:paraId="4EB00FA8">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银行账号：4505 0165 9542 0000 0837</w:t>
            </w:r>
          </w:p>
          <w:p w14:paraId="7FF94996">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开户银行：中国建设银行防城港桃花湾广场支行</w:t>
            </w:r>
          </w:p>
        </w:tc>
      </w:tr>
      <w:tr w14:paraId="7FDE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37B46E31">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945" w:type="dxa"/>
            <w:vAlign w:val="center"/>
          </w:tcPr>
          <w:p w14:paraId="0E5BAB29">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w:t>
            </w:r>
          </w:p>
        </w:tc>
        <w:tc>
          <w:tcPr>
            <w:tcW w:w="7390" w:type="dxa"/>
            <w:vAlign w:val="center"/>
          </w:tcPr>
          <w:p w14:paraId="26BC9456">
            <w:pPr>
              <w:snapToGrid w:val="0"/>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32D0309F">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2、本磋商文件中描述供应商的“签字”是指供应商的法定代表人（负责人）或被授权人亲自在磋商文件规定签署处亲笔写上个人的名字的行为，私章、签字章、印鉴、影印等其它形式均不能代替亲笔签字。</w:t>
            </w:r>
          </w:p>
        </w:tc>
      </w:tr>
    </w:tbl>
    <w:p w14:paraId="583E5E01">
      <w:pPr>
        <w:rPr>
          <w:rFonts w:asciiTheme="minorEastAsia" w:hAnsiTheme="minorEastAsia" w:eastAsiaTheme="minorEastAsia"/>
          <w:color w:val="auto"/>
          <w:highlight w:val="none"/>
        </w:rPr>
      </w:pPr>
    </w:p>
    <w:p w14:paraId="04B8BEAA">
      <w:pPr>
        <w:spacing w:line="400" w:lineRule="exact"/>
        <w:jc w:val="center"/>
        <w:rPr>
          <w:rFonts w:asciiTheme="minorEastAsia" w:hAnsiTheme="minorEastAsia" w:eastAsiaTheme="minorEastAsia"/>
          <w:b/>
          <w:color w:val="auto"/>
          <w:sz w:val="30"/>
          <w:szCs w:val="30"/>
          <w:highlight w:val="none"/>
        </w:rPr>
        <w:sectPr>
          <w:footerReference r:id="rId6" w:type="first"/>
          <w:footerReference r:id="rId5" w:type="default"/>
          <w:pgSz w:w="11907" w:h="16840"/>
          <w:pgMar w:top="1304" w:right="1134" w:bottom="1304" w:left="1304" w:header="964" w:footer="737" w:gutter="0"/>
          <w:pgNumType w:start="1"/>
          <w:cols w:space="720" w:num="1"/>
          <w:titlePg/>
          <w:docGrid w:linePitch="312" w:charSpace="0"/>
        </w:sectPr>
      </w:pPr>
    </w:p>
    <w:p w14:paraId="6FF19F43">
      <w:pPr>
        <w:spacing w:line="400" w:lineRule="exact"/>
        <w:jc w:val="center"/>
        <w:outlineLvl w:val="1"/>
        <w:rPr>
          <w:rFonts w:asciiTheme="minorEastAsia" w:hAnsiTheme="minorEastAsia" w:eastAsiaTheme="minorEastAsia"/>
          <w:b/>
          <w:color w:val="auto"/>
          <w:sz w:val="30"/>
          <w:szCs w:val="30"/>
          <w:highlight w:val="none"/>
        </w:rPr>
      </w:pPr>
      <w:bookmarkStart w:id="7" w:name="_Toc31729"/>
      <w:r>
        <w:rPr>
          <w:rFonts w:hint="eastAsia" w:asciiTheme="minorEastAsia" w:hAnsiTheme="minorEastAsia" w:eastAsiaTheme="minorEastAsia"/>
          <w:b/>
          <w:color w:val="auto"/>
          <w:sz w:val="30"/>
          <w:szCs w:val="30"/>
          <w:highlight w:val="none"/>
        </w:rPr>
        <w:t>磋商须知</w:t>
      </w:r>
      <w:bookmarkEnd w:id="7"/>
    </w:p>
    <w:p w14:paraId="33C77764">
      <w:pPr>
        <w:spacing w:line="400" w:lineRule="exact"/>
        <w:ind w:firstLine="422" w:firstLineChars="200"/>
        <w:outlineLvl w:val="2"/>
        <w:rPr>
          <w:rFonts w:hAnsi="宋体"/>
          <w:b/>
          <w:color w:val="auto"/>
          <w:szCs w:val="21"/>
          <w:highlight w:val="none"/>
        </w:rPr>
      </w:pPr>
      <w:bookmarkStart w:id="8" w:name="_Toc13772"/>
      <w:r>
        <w:rPr>
          <w:rFonts w:hint="eastAsia" w:hAnsi="宋体"/>
          <w:b/>
          <w:color w:val="auto"/>
          <w:szCs w:val="21"/>
          <w:highlight w:val="none"/>
        </w:rPr>
        <w:t>一、总　则</w:t>
      </w:r>
      <w:bookmarkEnd w:id="8"/>
    </w:p>
    <w:p w14:paraId="7883D2D0">
      <w:pPr>
        <w:spacing w:line="400" w:lineRule="exact"/>
        <w:ind w:firstLine="422" w:firstLineChars="200"/>
        <w:rPr>
          <w:rFonts w:hAnsi="宋体"/>
          <w:b/>
          <w:color w:val="auto"/>
          <w:szCs w:val="21"/>
          <w:highlight w:val="none"/>
        </w:rPr>
      </w:pPr>
      <w:r>
        <w:rPr>
          <w:rFonts w:hint="eastAsia" w:hAnsi="宋体"/>
          <w:b/>
          <w:color w:val="auto"/>
          <w:szCs w:val="21"/>
          <w:highlight w:val="none"/>
        </w:rPr>
        <w:t>1.</w:t>
      </w:r>
      <w:r>
        <w:rPr>
          <w:rFonts w:hint="eastAsia" w:hAnsi="宋体"/>
          <w:color w:val="auto"/>
          <w:highlight w:val="none"/>
        </w:rPr>
        <w:t xml:space="preserve"> </w:t>
      </w:r>
      <w:r>
        <w:rPr>
          <w:rFonts w:hint="eastAsia" w:hAnsi="宋体"/>
          <w:b/>
          <w:color w:val="auto"/>
          <w:szCs w:val="21"/>
          <w:highlight w:val="none"/>
        </w:rPr>
        <w:t>项目概况</w:t>
      </w:r>
    </w:p>
    <w:p w14:paraId="0615473A">
      <w:pPr>
        <w:spacing w:line="400" w:lineRule="exact"/>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本项目名称</w:t>
      </w:r>
      <w:r>
        <w:rPr>
          <w:rFonts w:hint="eastAsia" w:hAnsi="宋体"/>
          <w:color w:val="auto"/>
          <w:szCs w:val="21"/>
          <w:highlight w:val="none"/>
        </w:rPr>
        <w:t>及项目编号</w:t>
      </w:r>
      <w:r>
        <w:rPr>
          <w:rFonts w:hAnsi="宋体"/>
          <w:color w:val="auto"/>
          <w:szCs w:val="21"/>
          <w:highlight w:val="none"/>
        </w:rPr>
        <w:t>：见“</w:t>
      </w:r>
      <w:r>
        <w:rPr>
          <w:rFonts w:hint="eastAsia" w:hAnsi="宋体"/>
          <w:color w:val="auto"/>
          <w:szCs w:val="21"/>
          <w:highlight w:val="none"/>
        </w:rPr>
        <w:t>磋商</w:t>
      </w:r>
      <w:r>
        <w:rPr>
          <w:rFonts w:hAnsi="宋体"/>
          <w:color w:val="auto"/>
          <w:szCs w:val="21"/>
          <w:highlight w:val="none"/>
        </w:rPr>
        <w:t>须知前附表”。</w:t>
      </w:r>
    </w:p>
    <w:p w14:paraId="03265532">
      <w:pPr>
        <w:spacing w:line="400" w:lineRule="exact"/>
        <w:ind w:firstLine="420" w:firstLineChars="200"/>
        <w:rPr>
          <w:rFonts w:hAnsi="宋体"/>
          <w:color w:val="auto"/>
          <w:szCs w:val="21"/>
          <w:highlight w:val="none"/>
        </w:rPr>
      </w:pPr>
      <w:r>
        <w:rPr>
          <w:rFonts w:hint="eastAsia" w:hAnsi="宋体"/>
          <w:color w:val="auto"/>
          <w:szCs w:val="21"/>
          <w:highlight w:val="none"/>
        </w:rPr>
        <w:t>1.2</w:t>
      </w:r>
      <w:r>
        <w:rPr>
          <w:rFonts w:hAnsi="宋体"/>
          <w:color w:val="auto"/>
          <w:szCs w:val="21"/>
          <w:highlight w:val="none"/>
        </w:rPr>
        <w:t>本项目建设地点：见“</w:t>
      </w:r>
      <w:r>
        <w:rPr>
          <w:rFonts w:hint="eastAsia" w:hAnsi="宋体"/>
          <w:color w:val="auto"/>
          <w:szCs w:val="21"/>
          <w:highlight w:val="none"/>
        </w:rPr>
        <w:t>磋商</w:t>
      </w:r>
      <w:r>
        <w:rPr>
          <w:rFonts w:hAnsi="宋体"/>
          <w:color w:val="auto"/>
          <w:szCs w:val="21"/>
          <w:highlight w:val="none"/>
        </w:rPr>
        <w:t>须知前附表”。</w:t>
      </w:r>
    </w:p>
    <w:p w14:paraId="01856BC1">
      <w:pPr>
        <w:spacing w:line="400" w:lineRule="exact"/>
        <w:ind w:firstLine="420" w:firstLineChars="200"/>
        <w:rPr>
          <w:rFonts w:hAnsi="宋体"/>
          <w:color w:val="auto"/>
          <w:szCs w:val="21"/>
          <w:highlight w:val="none"/>
        </w:rPr>
      </w:pPr>
      <w:r>
        <w:rPr>
          <w:rFonts w:hAnsi="宋体"/>
          <w:color w:val="auto"/>
          <w:szCs w:val="21"/>
          <w:highlight w:val="none"/>
        </w:rPr>
        <w:t>1.3 本项目</w:t>
      </w:r>
      <w:r>
        <w:rPr>
          <w:rFonts w:hint="eastAsia" w:hAnsi="宋体"/>
          <w:color w:val="auto"/>
          <w:szCs w:val="21"/>
          <w:highlight w:val="none"/>
        </w:rPr>
        <w:t>采购</w:t>
      </w:r>
      <w:r>
        <w:rPr>
          <w:rFonts w:hAnsi="宋体"/>
          <w:color w:val="auto"/>
          <w:szCs w:val="21"/>
          <w:highlight w:val="none"/>
        </w:rPr>
        <w:t>范围：见“</w:t>
      </w:r>
      <w:r>
        <w:rPr>
          <w:rFonts w:hint="eastAsia" w:hAnsi="宋体"/>
          <w:color w:val="auto"/>
          <w:szCs w:val="21"/>
          <w:highlight w:val="none"/>
        </w:rPr>
        <w:t>磋商</w:t>
      </w:r>
      <w:r>
        <w:rPr>
          <w:rFonts w:hAnsi="宋体"/>
          <w:color w:val="auto"/>
          <w:szCs w:val="21"/>
          <w:highlight w:val="none"/>
        </w:rPr>
        <w:t>须知前附表”。</w:t>
      </w:r>
    </w:p>
    <w:p w14:paraId="312D74D4">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4</w:t>
      </w:r>
      <w:r>
        <w:rPr>
          <w:rFonts w:hAnsi="宋体"/>
          <w:color w:val="auto"/>
          <w:szCs w:val="21"/>
          <w:highlight w:val="none"/>
        </w:rPr>
        <w:t xml:space="preserve"> 本项目的</w:t>
      </w:r>
      <w:r>
        <w:rPr>
          <w:rFonts w:hint="eastAsia" w:hAnsi="宋体"/>
          <w:color w:val="auto"/>
          <w:szCs w:val="21"/>
          <w:highlight w:val="none"/>
        </w:rPr>
        <w:t>要求</w:t>
      </w:r>
      <w:r>
        <w:rPr>
          <w:rFonts w:hAnsi="宋体"/>
          <w:color w:val="auto"/>
          <w:szCs w:val="21"/>
          <w:highlight w:val="none"/>
        </w:rPr>
        <w:t>工期：见“</w:t>
      </w:r>
      <w:r>
        <w:rPr>
          <w:rFonts w:hint="eastAsia" w:hAnsi="宋体"/>
          <w:color w:val="auto"/>
          <w:szCs w:val="21"/>
          <w:highlight w:val="none"/>
        </w:rPr>
        <w:t>磋商</w:t>
      </w:r>
      <w:r>
        <w:rPr>
          <w:rFonts w:hAnsi="宋体"/>
          <w:color w:val="auto"/>
          <w:szCs w:val="21"/>
          <w:highlight w:val="none"/>
        </w:rPr>
        <w:t>须知前附表”。</w:t>
      </w:r>
    </w:p>
    <w:p w14:paraId="283F0D38">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5</w:t>
      </w:r>
      <w:r>
        <w:rPr>
          <w:rFonts w:hAnsi="宋体"/>
          <w:color w:val="auto"/>
          <w:szCs w:val="21"/>
          <w:highlight w:val="none"/>
        </w:rPr>
        <w:t xml:space="preserve"> 本项目的质量要求：见“</w:t>
      </w:r>
      <w:r>
        <w:rPr>
          <w:rFonts w:hint="eastAsia" w:hAnsi="宋体"/>
          <w:color w:val="auto"/>
          <w:szCs w:val="21"/>
          <w:highlight w:val="none"/>
        </w:rPr>
        <w:t>磋商</w:t>
      </w:r>
      <w:r>
        <w:rPr>
          <w:rFonts w:hAnsi="宋体"/>
          <w:color w:val="auto"/>
          <w:szCs w:val="21"/>
          <w:highlight w:val="none"/>
        </w:rPr>
        <w:t>须知前附表”。</w:t>
      </w:r>
    </w:p>
    <w:p w14:paraId="31153142">
      <w:pPr>
        <w:spacing w:line="400" w:lineRule="exact"/>
        <w:ind w:firstLine="422" w:firstLineChars="200"/>
        <w:rPr>
          <w:rFonts w:hAnsi="宋体"/>
          <w:b/>
          <w:color w:val="auto"/>
          <w:szCs w:val="21"/>
          <w:highlight w:val="none"/>
        </w:rPr>
      </w:pPr>
      <w:r>
        <w:rPr>
          <w:rFonts w:hint="eastAsia" w:hAnsi="宋体"/>
          <w:b/>
          <w:color w:val="auto"/>
          <w:szCs w:val="21"/>
          <w:highlight w:val="none"/>
        </w:rPr>
        <w:t>2.定义</w:t>
      </w:r>
    </w:p>
    <w:p w14:paraId="12A5FB14">
      <w:pPr>
        <w:spacing w:line="400" w:lineRule="exact"/>
        <w:ind w:firstLine="420" w:firstLineChars="200"/>
        <w:rPr>
          <w:rFonts w:hAnsi="宋体"/>
          <w:color w:val="auto"/>
          <w:szCs w:val="21"/>
          <w:highlight w:val="none"/>
        </w:rPr>
      </w:pPr>
      <w:r>
        <w:rPr>
          <w:rFonts w:hint="eastAsia" w:hAnsi="宋体"/>
          <w:color w:val="auto"/>
          <w:szCs w:val="21"/>
          <w:highlight w:val="none"/>
        </w:rPr>
        <w:t>2.1“采购人”是指：依法进行政府采购的国家机关、事业单位、团体组织</w:t>
      </w:r>
      <w:r>
        <w:rPr>
          <w:rFonts w:hint="eastAsia" w:hAnsi="宋体"/>
          <w:color w:val="auto"/>
          <w:szCs w:val="21"/>
          <w:highlight w:val="none"/>
          <w:lang w:eastAsia="zh-Hans"/>
        </w:rPr>
        <w:t>，本项目采购人为</w:t>
      </w:r>
      <w:r>
        <w:rPr>
          <w:rFonts w:hint="eastAsia" w:hAnsi="宋体"/>
          <w:color w:val="auto"/>
          <w:szCs w:val="21"/>
          <w:highlight w:val="none"/>
          <w:lang w:eastAsia="zh-CN"/>
        </w:rPr>
        <w:t>防城港职业技术学院</w:t>
      </w:r>
      <w:r>
        <w:rPr>
          <w:rFonts w:hint="eastAsia" w:hAnsi="宋体"/>
          <w:color w:val="auto"/>
          <w:szCs w:val="21"/>
          <w:highlight w:val="none"/>
        </w:rPr>
        <w:t>。</w:t>
      </w:r>
    </w:p>
    <w:p w14:paraId="1CC939E2">
      <w:pPr>
        <w:spacing w:line="400" w:lineRule="exact"/>
        <w:ind w:firstLine="420" w:firstLineChars="200"/>
        <w:rPr>
          <w:rFonts w:hAnsi="宋体"/>
          <w:color w:val="auto"/>
          <w:szCs w:val="21"/>
          <w:highlight w:val="none"/>
        </w:rPr>
      </w:pPr>
      <w:r>
        <w:rPr>
          <w:rFonts w:hint="eastAsia" w:hAnsi="宋体"/>
          <w:color w:val="auto"/>
          <w:szCs w:val="21"/>
          <w:highlight w:val="none"/>
        </w:rPr>
        <w:t>2.2“采购代理机构”是指：根据采购人的委托办理采购事宜的机构，本项目的采购代理机构为</w:t>
      </w:r>
      <w:r>
        <w:rPr>
          <w:rFonts w:hint="eastAsia" w:hAnsi="宋体"/>
          <w:color w:val="auto"/>
          <w:szCs w:val="21"/>
          <w:highlight w:val="none"/>
          <w:lang w:eastAsia="zh-CN"/>
        </w:rPr>
        <w:t>广西达华工程造价咨询有限责任公司</w:t>
      </w:r>
      <w:r>
        <w:rPr>
          <w:rFonts w:hint="eastAsia" w:hAnsi="宋体"/>
          <w:color w:val="auto"/>
          <w:szCs w:val="21"/>
          <w:highlight w:val="none"/>
        </w:rPr>
        <w:t>。</w:t>
      </w:r>
    </w:p>
    <w:p w14:paraId="245F376B">
      <w:pPr>
        <w:spacing w:line="400" w:lineRule="exact"/>
        <w:ind w:firstLine="420" w:firstLineChars="200"/>
        <w:rPr>
          <w:rFonts w:hAnsi="宋体"/>
          <w:color w:val="auto"/>
          <w:szCs w:val="21"/>
          <w:highlight w:val="none"/>
        </w:rPr>
      </w:pPr>
      <w:r>
        <w:rPr>
          <w:rFonts w:hint="eastAsia" w:hAnsi="宋体"/>
          <w:color w:val="auto"/>
          <w:szCs w:val="21"/>
          <w:highlight w:val="none"/>
        </w:rPr>
        <w:t>2.3“供应商”是指购买了竞争性磋商文件，响应本文件要求，参加磋商的法人、其他组织或者自然人。如果该供应商在本次磋商中成交，即成为“成交供应商”。</w:t>
      </w:r>
    </w:p>
    <w:p w14:paraId="56D4E690">
      <w:pPr>
        <w:spacing w:line="400" w:lineRule="exact"/>
        <w:ind w:firstLine="420" w:firstLineChars="200"/>
        <w:rPr>
          <w:rFonts w:hAnsi="宋体"/>
          <w:color w:val="auto"/>
          <w:szCs w:val="21"/>
          <w:highlight w:val="none"/>
        </w:rPr>
      </w:pPr>
      <w:r>
        <w:rPr>
          <w:rFonts w:hint="eastAsia" w:hAnsi="宋体"/>
          <w:color w:val="auto"/>
          <w:szCs w:val="21"/>
          <w:highlight w:val="none"/>
        </w:rPr>
        <w:t>2.4“工程”是指建设工程，包括建筑物和构筑物的新建、改建、扩建及其相关的装修、拆除、修缮等。</w:t>
      </w:r>
    </w:p>
    <w:p w14:paraId="4943856B">
      <w:pPr>
        <w:spacing w:line="320" w:lineRule="exact"/>
        <w:ind w:firstLine="422" w:firstLineChars="201"/>
        <w:rPr>
          <w:rFonts w:ascii="Times New Roman" w:hAnsi="Times New Roman"/>
          <w:color w:val="auto"/>
          <w:szCs w:val="24"/>
          <w:highlight w:val="none"/>
        </w:rPr>
      </w:pPr>
      <w:r>
        <w:rPr>
          <w:rFonts w:hAnsi="宋体"/>
          <w:color w:val="auto"/>
          <w:szCs w:val="21"/>
          <w:highlight w:val="none"/>
        </w:rPr>
        <w:t>2.5</w:t>
      </w:r>
      <w:r>
        <w:rPr>
          <w:rFonts w:hint="eastAsia" w:hAnsi="宋体"/>
          <w:color w:val="auto"/>
          <w:szCs w:val="21"/>
          <w:highlight w:val="none"/>
        </w:rPr>
        <w:t>“服务”是指除货物和工程以外的其他采购对象。</w:t>
      </w:r>
    </w:p>
    <w:p w14:paraId="20E03B88">
      <w:pPr>
        <w:spacing w:line="400" w:lineRule="exact"/>
        <w:ind w:firstLine="420" w:firstLineChars="200"/>
        <w:rPr>
          <w:rFonts w:hAnsi="宋体"/>
          <w:color w:val="auto"/>
          <w:szCs w:val="21"/>
          <w:highlight w:val="none"/>
        </w:rPr>
      </w:pPr>
      <w:r>
        <w:rPr>
          <w:rFonts w:hint="eastAsia" w:hAnsi="宋体"/>
          <w:color w:val="auto"/>
          <w:szCs w:val="21"/>
          <w:highlight w:val="none"/>
        </w:rPr>
        <w:t>2.6“响应文件”是指：供应商根据本文件要求，编制包含报价、技术和服务等所有内容的文件。</w:t>
      </w:r>
    </w:p>
    <w:p w14:paraId="6C82C9EC">
      <w:pPr>
        <w:spacing w:line="400" w:lineRule="exact"/>
        <w:ind w:firstLine="422" w:firstLineChars="200"/>
        <w:rPr>
          <w:rFonts w:hAnsi="宋体"/>
          <w:b/>
          <w:color w:val="auto"/>
          <w:szCs w:val="21"/>
          <w:highlight w:val="none"/>
        </w:rPr>
      </w:pPr>
      <w:r>
        <w:rPr>
          <w:rFonts w:hint="eastAsia" w:hAnsi="宋体"/>
          <w:b/>
          <w:color w:val="auto"/>
          <w:szCs w:val="21"/>
          <w:highlight w:val="none"/>
        </w:rPr>
        <w:t>3.供应商的资格条件</w:t>
      </w:r>
    </w:p>
    <w:p w14:paraId="30BB661A">
      <w:pPr>
        <w:spacing w:line="400" w:lineRule="exact"/>
        <w:ind w:firstLine="420" w:firstLineChars="200"/>
        <w:rPr>
          <w:rFonts w:hAnsi="宋体" w:cs="Arial"/>
          <w:color w:val="auto"/>
          <w:szCs w:val="21"/>
          <w:highlight w:val="none"/>
        </w:rPr>
      </w:pPr>
      <w:r>
        <w:rPr>
          <w:rFonts w:hint="eastAsia" w:hAnsi="宋体"/>
          <w:color w:val="auto"/>
          <w:szCs w:val="21"/>
          <w:highlight w:val="none"/>
        </w:rPr>
        <w:t>3.1</w:t>
      </w:r>
      <w:r>
        <w:rPr>
          <w:rFonts w:hint="eastAsia" w:hAnsi="宋体" w:cs="Arial"/>
          <w:color w:val="auto"/>
          <w:szCs w:val="21"/>
          <w:highlight w:val="none"/>
        </w:rPr>
        <w:t>参加本项目的供应商必须满足符合《中华人民共和国政府采购法》第二十二条规定。</w:t>
      </w:r>
    </w:p>
    <w:p w14:paraId="6E379F51">
      <w:pPr>
        <w:spacing w:line="400" w:lineRule="exact"/>
        <w:ind w:firstLine="420" w:firstLineChars="200"/>
        <w:rPr>
          <w:rFonts w:hAnsi="宋体" w:cs="Arial"/>
          <w:color w:val="auto"/>
          <w:szCs w:val="21"/>
          <w:highlight w:val="none"/>
        </w:rPr>
      </w:pPr>
      <w:r>
        <w:rPr>
          <w:rFonts w:hint="eastAsia" w:hAnsi="宋体" w:cs="Arial"/>
          <w:color w:val="auto"/>
          <w:szCs w:val="21"/>
          <w:highlight w:val="none"/>
        </w:rPr>
        <w:t>3.2参加本项目的供应商应满足的其它特定资格条件：见“磋商须知前附表”。</w:t>
      </w:r>
    </w:p>
    <w:p w14:paraId="165868E7">
      <w:pPr>
        <w:spacing w:line="400" w:lineRule="exact"/>
        <w:ind w:firstLine="420" w:firstLineChars="200"/>
        <w:rPr>
          <w:rFonts w:hAnsi="宋体"/>
          <w:color w:val="auto"/>
          <w:szCs w:val="21"/>
          <w:highlight w:val="none"/>
        </w:rPr>
      </w:pPr>
      <w:r>
        <w:rPr>
          <w:rFonts w:hint="eastAsia" w:hAnsi="宋体" w:cs="Arial"/>
          <w:color w:val="auto"/>
          <w:szCs w:val="21"/>
          <w:highlight w:val="none"/>
        </w:rPr>
        <w:t>3.3本项目</w:t>
      </w:r>
      <w:r>
        <w:rPr>
          <w:rFonts w:hint="eastAsia" w:hAnsi="宋体"/>
          <w:color w:val="auto"/>
          <w:szCs w:val="21"/>
          <w:highlight w:val="none"/>
        </w:rPr>
        <w:t>不接受联合体磋商，供应商以联合体形式参加磋商的，磋商无效。</w:t>
      </w:r>
    </w:p>
    <w:p w14:paraId="276EC221">
      <w:pPr>
        <w:spacing w:line="400" w:lineRule="exact"/>
        <w:ind w:firstLine="422" w:firstLineChars="200"/>
        <w:rPr>
          <w:rFonts w:hAnsi="宋体"/>
          <w:b/>
          <w:color w:val="auto"/>
          <w:szCs w:val="21"/>
          <w:highlight w:val="none"/>
        </w:rPr>
      </w:pPr>
      <w:r>
        <w:rPr>
          <w:rFonts w:hint="eastAsia" w:hAnsi="宋体"/>
          <w:b/>
          <w:color w:val="auto"/>
          <w:szCs w:val="21"/>
          <w:highlight w:val="none"/>
        </w:rPr>
        <w:t>4. 磋商费用</w:t>
      </w:r>
    </w:p>
    <w:p w14:paraId="18A53A96">
      <w:pPr>
        <w:spacing w:line="400" w:lineRule="exact"/>
        <w:ind w:firstLine="420" w:firstLineChars="200"/>
        <w:rPr>
          <w:rFonts w:hAnsi="宋体"/>
          <w:color w:val="auto"/>
          <w:szCs w:val="21"/>
          <w:highlight w:val="none"/>
        </w:rPr>
      </w:pPr>
      <w:r>
        <w:rPr>
          <w:rFonts w:hint="eastAsia" w:hAnsi="宋体"/>
          <w:color w:val="auto"/>
          <w:szCs w:val="21"/>
          <w:highlight w:val="none"/>
        </w:rPr>
        <w:t xml:space="preserve">4.1 </w:t>
      </w:r>
      <w:r>
        <w:rPr>
          <w:rFonts w:hint="eastAsia" w:hAnsi="宋体" w:cs="Arial"/>
          <w:color w:val="auto"/>
          <w:szCs w:val="21"/>
          <w:highlight w:val="none"/>
        </w:rPr>
        <w:t>供应商</w:t>
      </w:r>
      <w:r>
        <w:rPr>
          <w:rFonts w:hint="eastAsia" w:hAnsi="宋体"/>
          <w:color w:val="auto"/>
          <w:szCs w:val="21"/>
          <w:highlight w:val="none"/>
        </w:rPr>
        <w:t>应自行承担所有与编写和提交响应文件有关的费用，不论磋商结果如何，采购人和采购代理机构在任何情况下无义务和责任承担此类费用。</w:t>
      </w:r>
    </w:p>
    <w:p w14:paraId="2BC12331">
      <w:pPr>
        <w:spacing w:line="400" w:lineRule="exact"/>
        <w:ind w:firstLine="422" w:firstLineChars="200"/>
        <w:outlineLvl w:val="2"/>
        <w:rPr>
          <w:rFonts w:hAnsi="宋体"/>
          <w:b/>
          <w:color w:val="auto"/>
          <w:szCs w:val="21"/>
          <w:highlight w:val="none"/>
        </w:rPr>
      </w:pPr>
      <w:bookmarkStart w:id="9" w:name="_Toc25480"/>
      <w:r>
        <w:rPr>
          <w:rFonts w:hint="eastAsia" w:hAnsi="宋体"/>
          <w:b/>
          <w:color w:val="auto"/>
          <w:szCs w:val="21"/>
          <w:highlight w:val="none"/>
        </w:rPr>
        <w:t>二、竞争性磋商文件</w:t>
      </w:r>
      <w:bookmarkEnd w:id="9"/>
    </w:p>
    <w:p w14:paraId="5EE0B7FD">
      <w:pPr>
        <w:spacing w:line="400" w:lineRule="exact"/>
        <w:ind w:firstLine="422" w:firstLineChars="200"/>
        <w:rPr>
          <w:rFonts w:hAnsi="宋体"/>
          <w:b/>
          <w:color w:val="auto"/>
          <w:szCs w:val="21"/>
          <w:highlight w:val="none"/>
        </w:rPr>
      </w:pPr>
      <w:r>
        <w:rPr>
          <w:rFonts w:hint="eastAsia" w:hAnsi="宋体"/>
          <w:b/>
          <w:color w:val="auto"/>
          <w:szCs w:val="21"/>
          <w:highlight w:val="none"/>
        </w:rPr>
        <w:t>5.竞争性磋商文件的组成</w:t>
      </w:r>
    </w:p>
    <w:p w14:paraId="4DCF3858">
      <w:pPr>
        <w:spacing w:line="400" w:lineRule="exact"/>
        <w:ind w:firstLine="420" w:firstLineChars="200"/>
        <w:rPr>
          <w:rFonts w:hAnsi="宋体"/>
          <w:color w:val="auto"/>
          <w:szCs w:val="21"/>
          <w:highlight w:val="none"/>
        </w:rPr>
      </w:pPr>
      <w:r>
        <w:rPr>
          <w:rFonts w:hint="eastAsia" w:hAnsi="宋体"/>
          <w:color w:val="auto"/>
          <w:szCs w:val="21"/>
          <w:highlight w:val="none"/>
        </w:rPr>
        <w:t>5.1 本竞争性磋商文件包括六个章节，各章的内容如下：</w:t>
      </w:r>
    </w:p>
    <w:p w14:paraId="5F423258">
      <w:pPr>
        <w:spacing w:line="400" w:lineRule="exact"/>
        <w:ind w:firstLine="420" w:firstLineChars="200"/>
        <w:rPr>
          <w:rFonts w:hAnsi="宋体"/>
          <w:color w:val="auto"/>
          <w:szCs w:val="21"/>
          <w:highlight w:val="none"/>
        </w:rPr>
      </w:pPr>
      <w:r>
        <w:rPr>
          <w:rFonts w:hint="eastAsia" w:hAnsi="宋体"/>
          <w:color w:val="auto"/>
          <w:szCs w:val="21"/>
          <w:highlight w:val="none"/>
        </w:rPr>
        <w:t>第一章  竞争性磋商公告</w:t>
      </w:r>
    </w:p>
    <w:p w14:paraId="30AD03F1">
      <w:pPr>
        <w:spacing w:line="400" w:lineRule="exact"/>
        <w:ind w:firstLine="420" w:firstLineChars="200"/>
        <w:rPr>
          <w:rFonts w:hAnsi="宋体"/>
          <w:color w:val="auto"/>
          <w:szCs w:val="21"/>
          <w:highlight w:val="none"/>
        </w:rPr>
      </w:pPr>
      <w:r>
        <w:rPr>
          <w:rFonts w:hint="eastAsia" w:hAnsi="宋体"/>
          <w:color w:val="auto"/>
          <w:szCs w:val="21"/>
          <w:highlight w:val="none"/>
        </w:rPr>
        <w:t>第二章  磋商须知及前附表</w:t>
      </w:r>
    </w:p>
    <w:p w14:paraId="786B33F8">
      <w:pPr>
        <w:spacing w:line="400" w:lineRule="exact"/>
        <w:ind w:firstLine="420" w:firstLineChars="200"/>
        <w:rPr>
          <w:rFonts w:hAnsi="宋体"/>
          <w:color w:val="auto"/>
          <w:szCs w:val="21"/>
          <w:highlight w:val="none"/>
        </w:rPr>
      </w:pPr>
      <w:r>
        <w:rPr>
          <w:rFonts w:hint="eastAsia" w:hAnsi="宋体"/>
          <w:color w:val="auto"/>
          <w:szCs w:val="21"/>
          <w:highlight w:val="none"/>
        </w:rPr>
        <w:t>第三章  评审方法</w:t>
      </w:r>
    </w:p>
    <w:p w14:paraId="1180CDA6">
      <w:pPr>
        <w:spacing w:line="400" w:lineRule="exact"/>
        <w:ind w:firstLine="420" w:firstLineChars="200"/>
        <w:rPr>
          <w:rFonts w:hAnsi="宋体"/>
          <w:color w:val="auto"/>
          <w:szCs w:val="21"/>
          <w:highlight w:val="none"/>
        </w:rPr>
      </w:pPr>
      <w:r>
        <w:rPr>
          <w:rFonts w:hint="eastAsia" w:hAnsi="宋体"/>
          <w:color w:val="auto"/>
          <w:szCs w:val="21"/>
          <w:highlight w:val="none"/>
        </w:rPr>
        <w:t>第四章  工程量清单和图纸</w:t>
      </w:r>
    </w:p>
    <w:p w14:paraId="43BA78FA">
      <w:pPr>
        <w:spacing w:line="400" w:lineRule="exact"/>
        <w:ind w:firstLine="420" w:firstLineChars="200"/>
        <w:rPr>
          <w:rFonts w:hAnsi="宋体"/>
          <w:color w:val="auto"/>
          <w:szCs w:val="21"/>
          <w:highlight w:val="none"/>
        </w:rPr>
      </w:pPr>
      <w:r>
        <w:rPr>
          <w:rFonts w:hint="eastAsia" w:hAnsi="宋体"/>
          <w:color w:val="auto"/>
          <w:szCs w:val="21"/>
          <w:highlight w:val="none"/>
        </w:rPr>
        <w:t>第五章  技术标准、规范</w:t>
      </w:r>
    </w:p>
    <w:p w14:paraId="4515FD85">
      <w:pPr>
        <w:spacing w:line="400" w:lineRule="exact"/>
        <w:ind w:firstLine="420" w:firstLineChars="200"/>
        <w:rPr>
          <w:rFonts w:hAnsi="宋体"/>
          <w:color w:val="auto"/>
          <w:szCs w:val="21"/>
          <w:highlight w:val="none"/>
        </w:rPr>
      </w:pPr>
      <w:r>
        <w:rPr>
          <w:rFonts w:hint="eastAsia" w:hAnsi="宋体"/>
          <w:color w:val="auto"/>
          <w:szCs w:val="21"/>
          <w:highlight w:val="none"/>
        </w:rPr>
        <w:t>第六章  合同条款及格式</w:t>
      </w:r>
    </w:p>
    <w:p w14:paraId="088D0739">
      <w:pPr>
        <w:spacing w:line="400" w:lineRule="exact"/>
        <w:ind w:firstLine="420" w:firstLineChars="200"/>
        <w:rPr>
          <w:rFonts w:hAnsi="宋体"/>
          <w:color w:val="auto"/>
          <w:szCs w:val="21"/>
          <w:highlight w:val="none"/>
        </w:rPr>
      </w:pPr>
      <w:r>
        <w:rPr>
          <w:rFonts w:hint="eastAsia" w:hAnsi="宋体"/>
          <w:color w:val="auto"/>
          <w:szCs w:val="21"/>
          <w:highlight w:val="none"/>
        </w:rPr>
        <w:t>第七章  响应文件基本格式</w:t>
      </w:r>
    </w:p>
    <w:p w14:paraId="61DD3339">
      <w:pPr>
        <w:spacing w:line="440" w:lineRule="exact"/>
        <w:ind w:firstLine="464" w:firstLineChars="221"/>
        <w:rPr>
          <w:rFonts w:hAnsi="宋体"/>
          <w:color w:val="auto"/>
          <w:szCs w:val="21"/>
          <w:highlight w:val="none"/>
        </w:rPr>
      </w:pPr>
      <w:r>
        <w:rPr>
          <w:rFonts w:hint="eastAsia" w:hAnsi="宋体"/>
          <w:color w:val="auto"/>
          <w:szCs w:val="21"/>
          <w:highlight w:val="none"/>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7EB2ABC8">
      <w:pPr>
        <w:spacing w:line="440" w:lineRule="exact"/>
        <w:ind w:firstLine="466" w:firstLineChars="221"/>
        <w:rPr>
          <w:rFonts w:hAnsi="宋体"/>
          <w:b/>
          <w:bCs/>
          <w:color w:val="auto"/>
          <w:szCs w:val="21"/>
          <w:highlight w:val="none"/>
        </w:rPr>
      </w:pPr>
      <w:r>
        <w:rPr>
          <w:rFonts w:hint="eastAsia" w:hAnsi="宋体"/>
          <w:b/>
          <w:bCs/>
          <w:color w:val="auto"/>
          <w:szCs w:val="21"/>
          <w:highlight w:val="none"/>
        </w:rPr>
        <w:t>6. 竞争性磋商文件的澄清和修改</w:t>
      </w:r>
    </w:p>
    <w:p w14:paraId="5F4FD501">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326058D6">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25586CC0">
      <w:pPr>
        <w:spacing w:line="440" w:lineRule="exact"/>
        <w:ind w:left="2" w:leftChars="1" w:firstLine="470" w:firstLineChars="224"/>
        <w:outlineLvl w:val="2"/>
        <w:rPr>
          <w:rFonts w:hAnsi="宋体"/>
          <w:b/>
          <w:color w:val="auto"/>
          <w:szCs w:val="21"/>
          <w:highlight w:val="none"/>
        </w:rPr>
      </w:pPr>
      <w:bookmarkStart w:id="10" w:name="_Toc10139"/>
      <w:r>
        <w:rPr>
          <w:rFonts w:hint="eastAsia"/>
          <w:color w:val="auto"/>
          <w:szCs w:val="21"/>
          <w:highlight w:val="none"/>
        </w:rPr>
        <w:t>三、</w:t>
      </w:r>
      <w:r>
        <w:rPr>
          <w:rFonts w:hint="eastAsia" w:hAnsi="宋体"/>
          <w:b/>
          <w:color w:val="auto"/>
          <w:szCs w:val="21"/>
          <w:highlight w:val="none"/>
        </w:rPr>
        <w:t>首次响应文件</w:t>
      </w:r>
      <w:bookmarkEnd w:id="10"/>
    </w:p>
    <w:p w14:paraId="4C2E6E7B">
      <w:pPr>
        <w:spacing w:line="400" w:lineRule="exact"/>
        <w:ind w:firstLine="422" w:firstLineChars="200"/>
        <w:rPr>
          <w:rFonts w:hAnsi="宋体"/>
          <w:b/>
          <w:color w:val="auto"/>
          <w:szCs w:val="21"/>
          <w:highlight w:val="none"/>
        </w:rPr>
      </w:pPr>
      <w:r>
        <w:rPr>
          <w:rFonts w:hint="eastAsia" w:hAnsi="宋体"/>
          <w:b/>
          <w:color w:val="auto"/>
          <w:szCs w:val="21"/>
          <w:highlight w:val="none"/>
        </w:rPr>
        <w:t>7. 首次响应文件编制基本要求</w:t>
      </w:r>
    </w:p>
    <w:p w14:paraId="3522B8BF">
      <w:pPr>
        <w:spacing w:line="400" w:lineRule="exact"/>
        <w:ind w:firstLine="420" w:firstLineChars="200"/>
        <w:rPr>
          <w:rFonts w:hAnsi="宋体"/>
          <w:color w:val="auto"/>
          <w:szCs w:val="21"/>
          <w:highlight w:val="none"/>
        </w:rPr>
      </w:pPr>
      <w:r>
        <w:rPr>
          <w:rFonts w:hint="eastAsia" w:hAnsi="宋体"/>
          <w:color w:val="auto"/>
          <w:szCs w:val="21"/>
          <w:highlight w:val="none"/>
        </w:rPr>
        <w:t xml:space="preserve">7.1  </w:t>
      </w:r>
      <w:r>
        <w:rPr>
          <w:rFonts w:hint="eastAsia" w:hAnsi="宋体" w:cs="Arial"/>
          <w:color w:val="auto"/>
          <w:szCs w:val="21"/>
          <w:highlight w:val="none"/>
        </w:rPr>
        <w:t>供应商</w:t>
      </w:r>
      <w:r>
        <w:rPr>
          <w:rFonts w:hint="eastAsia" w:hAnsi="宋体"/>
          <w:color w:val="auto"/>
          <w:szCs w:val="21"/>
          <w:highlight w:val="none"/>
        </w:rPr>
        <w:t>应仔细阅读竞争性磋商文件，在充分了解采购的内容、服务要求和商务条款以及实质性要求和条件后，编写首次响应文件。</w:t>
      </w:r>
    </w:p>
    <w:p w14:paraId="2248595E">
      <w:pPr>
        <w:spacing w:line="400" w:lineRule="exact"/>
        <w:ind w:firstLine="420" w:firstLineChars="200"/>
        <w:rPr>
          <w:rFonts w:hAnsi="宋体"/>
          <w:color w:val="auto"/>
          <w:szCs w:val="21"/>
          <w:highlight w:val="none"/>
        </w:rPr>
      </w:pPr>
      <w:r>
        <w:rPr>
          <w:rFonts w:hint="eastAsia" w:hAnsi="宋体"/>
          <w:color w:val="auto"/>
          <w:szCs w:val="21"/>
          <w:highlight w:val="none"/>
        </w:rPr>
        <w:t>7.2  对竞争性磋商文件的实质性要求和条件作出响应是指</w:t>
      </w:r>
      <w:r>
        <w:rPr>
          <w:rFonts w:hint="eastAsia" w:hAnsi="宋体" w:cs="Arial"/>
          <w:color w:val="auto"/>
          <w:szCs w:val="21"/>
          <w:highlight w:val="none"/>
        </w:rPr>
        <w:t>供应商</w:t>
      </w:r>
      <w:r>
        <w:rPr>
          <w:rFonts w:hint="eastAsia" w:hAnsi="宋体"/>
          <w:color w:val="auto"/>
          <w:szCs w:val="21"/>
          <w:highlight w:val="none"/>
        </w:rPr>
        <w:t>必须对竞争性磋商文件中标注为实质性要求和条件的服务要求、商务条款及其它内容作出满足或者优于原要求和条件的承诺，必要时提供证明材料。竞争性磋商文件中标注</w:t>
      </w:r>
      <w:r>
        <w:rPr>
          <w:rFonts w:hint="eastAsia" w:hAnsi="宋体" w:cs="宋体"/>
          <w:color w:val="auto"/>
          <w:szCs w:val="21"/>
          <w:highlight w:val="none"/>
        </w:rPr>
        <w:t>▲</w:t>
      </w:r>
      <w:r>
        <w:rPr>
          <w:rFonts w:hint="eastAsia" w:hAnsi="宋体"/>
          <w:color w:val="auto"/>
          <w:szCs w:val="21"/>
          <w:highlight w:val="none"/>
        </w:rPr>
        <w:t>号的内容为实质性要求和条件。</w:t>
      </w:r>
    </w:p>
    <w:p w14:paraId="712B64E3">
      <w:pPr>
        <w:spacing w:line="400" w:lineRule="exact"/>
        <w:ind w:firstLine="420" w:firstLineChars="200"/>
        <w:rPr>
          <w:rFonts w:hAnsi="宋体"/>
          <w:color w:val="auto"/>
          <w:szCs w:val="21"/>
          <w:highlight w:val="none"/>
        </w:rPr>
      </w:pPr>
      <w:r>
        <w:rPr>
          <w:rFonts w:hint="eastAsia" w:hAnsi="宋体"/>
          <w:color w:val="auto"/>
          <w:szCs w:val="21"/>
          <w:highlight w:val="none"/>
        </w:rPr>
        <w:t xml:space="preserve">7.3  </w:t>
      </w:r>
      <w:r>
        <w:rPr>
          <w:rFonts w:hint="eastAsia" w:hAnsi="宋体" w:cs="Arial"/>
          <w:color w:val="auto"/>
          <w:szCs w:val="21"/>
          <w:highlight w:val="none"/>
        </w:rPr>
        <w:t>供应商</w:t>
      </w:r>
      <w:r>
        <w:rPr>
          <w:rFonts w:hint="eastAsia" w:hAnsi="宋体"/>
          <w:color w:val="auto"/>
          <w:szCs w:val="21"/>
          <w:highlight w:val="none"/>
        </w:rPr>
        <w:t>提交的首次响应文件以及</w:t>
      </w:r>
      <w:r>
        <w:rPr>
          <w:rFonts w:hint="eastAsia" w:hAnsi="宋体" w:cs="Arial"/>
          <w:color w:val="auto"/>
          <w:szCs w:val="21"/>
          <w:highlight w:val="none"/>
        </w:rPr>
        <w:t>供应商</w:t>
      </w:r>
      <w:r>
        <w:rPr>
          <w:rFonts w:hint="eastAsia" w:hAnsi="宋体"/>
          <w:color w:val="auto"/>
          <w:szCs w:val="21"/>
          <w:highlight w:val="none"/>
        </w:rPr>
        <w:t>与</w:t>
      </w:r>
      <w:r>
        <w:rPr>
          <w:rFonts w:hint="eastAsia" w:ascii="Times New Roman" w:hAnsi="Times New Roman"/>
          <w:color w:val="auto"/>
          <w:szCs w:val="21"/>
          <w:highlight w:val="none"/>
        </w:rPr>
        <w:t>采购代理机构</w:t>
      </w:r>
      <w:r>
        <w:rPr>
          <w:rFonts w:hint="eastAsia" w:hAnsi="宋体"/>
          <w:color w:val="auto"/>
          <w:szCs w:val="21"/>
          <w:highlight w:val="none"/>
        </w:rPr>
        <w:t>和采购人就有关磋商的所有来往函电均应使用中文。</w:t>
      </w:r>
      <w:r>
        <w:rPr>
          <w:rFonts w:hint="eastAsia" w:hAnsi="宋体" w:cs="Arial"/>
          <w:color w:val="auto"/>
          <w:szCs w:val="21"/>
          <w:highlight w:val="none"/>
        </w:rPr>
        <w:t>供应商</w:t>
      </w:r>
      <w:r>
        <w:rPr>
          <w:rFonts w:hint="eastAsia" w:hAnsi="宋体"/>
          <w:color w:val="auto"/>
          <w:szCs w:val="21"/>
          <w:highlight w:val="none"/>
        </w:rPr>
        <w:t>提交的支持文件和印刷的文献可以使用别的语言，但其相应内容必须附有中文翻译文本，在解释响应文件时以翻译文本为主。</w:t>
      </w:r>
    </w:p>
    <w:p w14:paraId="49D80DF5">
      <w:pPr>
        <w:spacing w:line="400" w:lineRule="exact"/>
        <w:ind w:firstLine="420" w:firstLineChars="200"/>
        <w:rPr>
          <w:rFonts w:hAnsi="宋体"/>
          <w:color w:val="auto"/>
          <w:szCs w:val="21"/>
          <w:highlight w:val="none"/>
        </w:rPr>
      </w:pPr>
      <w:r>
        <w:rPr>
          <w:rFonts w:hint="eastAsia" w:hAnsi="宋体"/>
          <w:color w:val="auto"/>
          <w:szCs w:val="21"/>
          <w:highlight w:val="none"/>
        </w:rPr>
        <w:t>7.4  第七章“响应文件基本格式”中规定了响应文件格式的，应按相应格式要求编写。</w:t>
      </w:r>
    </w:p>
    <w:p w14:paraId="4C503E57">
      <w:pPr>
        <w:pStyle w:val="27"/>
        <w:spacing w:line="440" w:lineRule="exact"/>
        <w:ind w:left="2" w:leftChars="1" w:firstLine="470" w:firstLineChars="224"/>
        <w:rPr>
          <w:rFonts w:asciiTheme="minorEastAsia" w:hAnsiTheme="minorEastAsia" w:eastAsiaTheme="minorEastAsia"/>
          <w:color w:val="auto"/>
          <w:szCs w:val="21"/>
          <w:highlight w:val="none"/>
        </w:rPr>
      </w:pPr>
      <w:r>
        <w:rPr>
          <w:rFonts w:hint="eastAsia" w:ascii="Times New Roman" w:hAnsi="宋体"/>
          <w:color w:val="auto"/>
          <w:szCs w:val="21"/>
          <w:highlight w:val="none"/>
        </w:rPr>
        <w:t>7.5  响应文件应编制目录，且页码清晰准确。</w:t>
      </w:r>
    </w:p>
    <w:p w14:paraId="7524DACE">
      <w:pPr>
        <w:spacing w:line="40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8. 首次响应文件的组成</w:t>
      </w:r>
    </w:p>
    <w:p w14:paraId="611419EC">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w:t>
      </w:r>
      <w:r>
        <w:rPr>
          <w:rFonts w:hint="eastAsia" w:hAnsi="宋体"/>
          <w:color w:val="auto"/>
          <w:szCs w:val="21"/>
          <w:highlight w:val="none"/>
        </w:rPr>
        <w:t>8.1首次响应文件分为资格文件、价格文件、商务和技术文件三个部分。</w:t>
      </w:r>
      <w:r>
        <w:rPr>
          <w:rFonts w:hint="eastAsia" w:hAnsi="宋体"/>
          <w:b/>
          <w:color w:val="auto"/>
          <w:szCs w:val="21"/>
          <w:highlight w:val="none"/>
        </w:rPr>
        <w:t>属于必须提供的文件，如未提供或提供的文件无效，其响应文件按无效处理。</w:t>
      </w:r>
      <w:r>
        <w:rPr>
          <w:rFonts w:hint="eastAsia" w:hAnsi="宋体"/>
          <w:color w:val="auto"/>
          <w:szCs w:val="21"/>
          <w:highlight w:val="none"/>
        </w:rPr>
        <w:t>应递交的有关文件如未特别注明为原件的，可提交复印件。</w:t>
      </w:r>
    </w:p>
    <w:p w14:paraId="03E243EA">
      <w:pPr>
        <w:spacing w:line="400" w:lineRule="exact"/>
        <w:ind w:firstLine="420" w:firstLineChars="200"/>
        <w:rPr>
          <w:rFonts w:hAnsi="宋体"/>
          <w:color w:val="auto"/>
          <w:szCs w:val="21"/>
          <w:highlight w:val="none"/>
        </w:rPr>
      </w:pPr>
      <w:r>
        <w:rPr>
          <w:rFonts w:hint="eastAsia" w:hAnsi="宋体"/>
          <w:color w:val="auto"/>
          <w:szCs w:val="21"/>
          <w:highlight w:val="none"/>
        </w:rPr>
        <w:t>8.1.1资格文件</w:t>
      </w:r>
    </w:p>
    <w:p w14:paraId="5E2AB630">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（必须提供，并加盖电子公章，否则磋商无效。）</w:t>
      </w:r>
    </w:p>
    <w:p w14:paraId="4576E5C6">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①具有建筑工程施工总承包叁级以上(含叁级)资质或建筑装修装饰工程专业承包二级（含）及以上资质，并在人员、设备、资金等方面具有相应能力的施工企业。</w:t>
      </w:r>
      <w:r>
        <w:rPr>
          <w:rFonts w:hint="default" w:hAnsi="宋体" w:cs="宋体"/>
          <w:color w:val="auto"/>
          <w:szCs w:val="21"/>
          <w:highlight w:val="none"/>
        </w:rPr>
        <w:t>②</w:t>
      </w:r>
      <w:r>
        <w:rPr>
          <w:rFonts w:hint="eastAsia" w:hAnsi="宋体" w:cs="宋体"/>
          <w:color w:val="auto"/>
          <w:szCs w:val="21"/>
          <w:highlight w:val="none"/>
        </w:rPr>
        <w:t>拟投入本项目的项目经理必须是具备[建筑工程专业贰级]及以上专业注册建造师执业资格，具备有效的安全生产考核合格证书（B类），并为本单位员工。本项目不接受有在建、已中标未开工或已列为其他项目中标候选人第一名的建造师作为项目经理。</w:t>
      </w:r>
      <w:r>
        <w:rPr>
          <w:rFonts w:hint="eastAsia" w:hAnsi="宋体"/>
          <w:color w:val="auto"/>
          <w:szCs w:val="21"/>
          <w:highlight w:val="none"/>
        </w:rPr>
        <w:t>（</w:t>
      </w:r>
      <w:r>
        <w:rPr>
          <w:rFonts w:hint="eastAsia" w:ascii="Calibri" w:hAnsi="宋体"/>
          <w:b/>
          <w:color w:val="auto"/>
          <w:szCs w:val="21"/>
          <w:highlight w:val="none"/>
        </w:rPr>
        <w:t>必须提供相关资质证明材料，并加盖电子公章，否则磋商无效。）</w:t>
      </w:r>
    </w:p>
    <w:p w14:paraId="6D6F0B59">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（3）</w:t>
      </w:r>
      <w:bookmarkStart w:id="1782" w:name="_GoBack"/>
      <w:r>
        <w:rPr>
          <w:rFonts w:hint="eastAsia" w:hAnsi="宋体"/>
          <w:color w:val="auto"/>
          <w:szCs w:val="21"/>
          <w:highlight w:val="none"/>
        </w:rPr>
        <w:t>防城港市政府采购供应商信用承诺函</w:t>
      </w:r>
      <w:bookmarkEnd w:id="1782"/>
      <w:r>
        <w:rPr>
          <w:rFonts w:hint="eastAsia" w:hAnsi="宋体"/>
          <w:color w:val="auto"/>
          <w:szCs w:val="21"/>
          <w:highlight w:val="none"/>
        </w:rPr>
        <w:t>（格式后附）；（</w:t>
      </w:r>
      <w:r>
        <w:rPr>
          <w:rFonts w:hint="eastAsia" w:hAnsi="宋体"/>
          <w:b/>
          <w:color w:val="auto"/>
          <w:szCs w:val="21"/>
          <w:highlight w:val="none"/>
        </w:rPr>
        <w:t>必须提供，</w:t>
      </w:r>
      <w:r>
        <w:rPr>
          <w:rFonts w:hint="eastAsia" w:ascii="Calibri" w:hAnsi="宋体"/>
          <w:b/>
          <w:color w:val="auto"/>
          <w:szCs w:val="21"/>
          <w:highlight w:val="none"/>
        </w:rPr>
        <w:t>并加盖电子公章，</w:t>
      </w:r>
      <w:r>
        <w:rPr>
          <w:rFonts w:hint="eastAsia" w:hAnsi="宋体"/>
          <w:b/>
          <w:color w:val="auto"/>
          <w:szCs w:val="21"/>
          <w:highlight w:val="none"/>
        </w:rPr>
        <w:t>否则</w:t>
      </w:r>
      <w:r>
        <w:rPr>
          <w:rFonts w:hint="eastAsia" w:ascii="Calibri" w:hAnsi="宋体"/>
          <w:b/>
          <w:color w:val="auto"/>
          <w:szCs w:val="21"/>
          <w:highlight w:val="none"/>
        </w:rPr>
        <w:t>磋商</w:t>
      </w:r>
      <w:r>
        <w:rPr>
          <w:rFonts w:hint="eastAsia" w:hAnsi="宋体"/>
          <w:b/>
          <w:color w:val="auto"/>
          <w:szCs w:val="21"/>
          <w:highlight w:val="none"/>
        </w:rPr>
        <w:t>无效</w:t>
      </w:r>
      <w:r>
        <w:rPr>
          <w:rFonts w:hint="eastAsia" w:hAnsi="宋体"/>
          <w:color w:val="auto"/>
          <w:szCs w:val="21"/>
          <w:highlight w:val="none"/>
        </w:rPr>
        <w:t>）</w:t>
      </w:r>
    </w:p>
    <w:p w14:paraId="1E862C5A">
      <w:pPr>
        <w:spacing w:line="440" w:lineRule="exact"/>
        <w:ind w:firstLine="420" w:firstLineChars="200"/>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4</w:t>
      </w:r>
      <w:r>
        <w:rPr>
          <w:rFonts w:hint="eastAsia" w:hAnsi="宋体"/>
          <w:color w:val="auto"/>
          <w:szCs w:val="21"/>
          <w:highlight w:val="none"/>
        </w:rPr>
        <w:t>）供应商直接控股股东信息（格式见第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（必须提供，并加盖电子公章，否则磋商无效。）</w:t>
      </w:r>
    </w:p>
    <w:p w14:paraId="63E304EE">
      <w:pPr>
        <w:spacing w:line="440" w:lineRule="exact"/>
        <w:ind w:firstLine="420" w:firstLineChars="200"/>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5</w:t>
      </w:r>
      <w:r>
        <w:rPr>
          <w:rFonts w:hint="eastAsia" w:hAnsi="宋体"/>
          <w:color w:val="auto"/>
          <w:szCs w:val="21"/>
          <w:highlight w:val="none"/>
        </w:rPr>
        <w:t>）供应商直接管理关系信息表（格式见第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（必须提供，并加盖电子公章，否则磋商无效。）</w:t>
      </w:r>
    </w:p>
    <w:p w14:paraId="736FEFDF">
      <w:pPr>
        <w:spacing w:line="400" w:lineRule="exact"/>
        <w:ind w:firstLine="420" w:firstLineChars="200"/>
        <w:rPr>
          <w:rFonts w:ascii="Calibri" w:hAnsi="宋体"/>
          <w:b/>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6</w:t>
      </w:r>
      <w:r>
        <w:rPr>
          <w:rFonts w:hint="eastAsia" w:hAnsi="宋体"/>
          <w:color w:val="auto"/>
          <w:szCs w:val="21"/>
          <w:highlight w:val="none"/>
        </w:rPr>
        <w:t>）资格声明函（格式见第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（必须提供，并加盖电子公章，否则磋商无效。）</w:t>
      </w:r>
    </w:p>
    <w:p w14:paraId="38A377AF">
      <w:pPr>
        <w:spacing w:line="400" w:lineRule="exact"/>
        <w:ind w:firstLine="420" w:firstLineChars="200"/>
        <w:rPr>
          <w:rFonts w:hint="eastAsia" w:hAnsi="宋体" w:eastAsia="宋体"/>
          <w:color w:val="auto"/>
          <w:szCs w:val="21"/>
          <w:highlight w:val="none"/>
          <w:lang w:eastAsia="zh-CN"/>
        </w:rPr>
      </w:pPr>
      <w:r>
        <w:rPr>
          <w:rFonts w:hint="eastAsia" w:hAnsi="宋体"/>
          <w:color w:val="auto"/>
          <w:szCs w:val="21"/>
          <w:highlight w:val="none"/>
        </w:rPr>
        <w:t>（</w:t>
      </w:r>
      <w:r>
        <w:rPr>
          <w:rFonts w:hint="eastAsia" w:hAnsi="宋体"/>
          <w:color w:val="auto"/>
          <w:szCs w:val="21"/>
          <w:highlight w:val="none"/>
          <w:lang w:val="en-US" w:eastAsia="zh-CN"/>
        </w:rPr>
        <w:t>7</w:t>
      </w:r>
      <w:r>
        <w:rPr>
          <w:rFonts w:hint="eastAsia" w:hAnsi="宋体"/>
          <w:color w:val="auto"/>
          <w:szCs w:val="21"/>
          <w:highlight w:val="none"/>
        </w:rPr>
        <w:t>）中小企业声明函或监狱企业证明文件或残疾人福利性单位声明函。</w:t>
      </w:r>
      <w:r>
        <w:rPr>
          <w:rFonts w:hint="eastAsia" w:hAnsi="宋体"/>
          <w:b/>
          <w:color w:val="auto"/>
          <w:szCs w:val="21"/>
          <w:highlight w:val="none"/>
        </w:rPr>
        <w:t>（必须提供，并加盖电子公章，否则磋商无效。）</w:t>
      </w:r>
      <w:r>
        <w:rPr>
          <w:rFonts w:hint="eastAsia" w:hAnsi="宋体"/>
          <w:b/>
          <w:color w:val="auto"/>
          <w:szCs w:val="21"/>
          <w:highlight w:val="none"/>
          <w:lang w:eastAsia="zh-CN"/>
        </w:rPr>
        <w:t>【</w:t>
      </w:r>
      <w:r>
        <w:rPr>
          <w:rFonts w:hint="eastAsia" w:hAnsi="宋体"/>
          <w:b/>
          <w:color w:val="auto"/>
          <w:szCs w:val="21"/>
          <w:highlight w:val="none"/>
          <w:lang w:val="en-US" w:eastAsia="zh-CN"/>
        </w:rPr>
        <w:t>注：本项目为专门面向小微企业采购的项目（供应商应为小型、微型企业，监狱企业、残疾人福利性单位视同小微企业)</w:t>
      </w:r>
      <w:r>
        <w:rPr>
          <w:rFonts w:hint="eastAsia" w:hAnsi="宋体"/>
          <w:b/>
          <w:color w:val="auto"/>
          <w:szCs w:val="21"/>
          <w:highlight w:val="none"/>
          <w:lang w:eastAsia="zh-CN"/>
        </w:rPr>
        <w:t>】</w:t>
      </w:r>
      <w:r>
        <w:rPr>
          <w:rFonts w:hint="eastAsia" w:hAnsi="宋体"/>
          <w:b/>
          <w:color w:val="auto"/>
          <w:szCs w:val="21"/>
          <w:highlight w:val="none"/>
          <w:lang w:val="en-US" w:eastAsia="zh-CN"/>
        </w:rPr>
        <w:t>；</w:t>
      </w:r>
    </w:p>
    <w:p w14:paraId="4D4D126B">
      <w:pPr>
        <w:spacing w:line="400" w:lineRule="exact"/>
        <w:ind w:firstLine="420" w:firstLineChars="200"/>
        <w:rPr>
          <w:rFonts w:hAnsi="宋体"/>
          <w:color w:val="auto"/>
          <w:szCs w:val="21"/>
          <w:highlight w:val="none"/>
        </w:rPr>
      </w:pPr>
      <w:r>
        <w:rPr>
          <w:rFonts w:hint="eastAsia" w:hAnsi="宋体"/>
          <w:color w:val="auto"/>
          <w:szCs w:val="21"/>
          <w:highlight w:val="none"/>
        </w:rPr>
        <w:t>8.1.2 商务和技术文件</w:t>
      </w:r>
    </w:p>
    <w:p w14:paraId="129F17E8">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w:t>
      </w:r>
      <w:r>
        <w:rPr>
          <w:rFonts w:hint="eastAsia" w:hAnsi="宋体"/>
          <w:b/>
          <w:color w:val="auto"/>
          <w:szCs w:val="21"/>
          <w:highlight w:val="none"/>
        </w:rPr>
        <w:t>（</w:t>
      </w:r>
      <w:r>
        <w:rPr>
          <w:rFonts w:hint="eastAsia" w:ascii="Calibri" w:hAnsi="宋体"/>
          <w:b/>
          <w:color w:val="auto"/>
          <w:szCs w:val="21"/>
          <w:highlight w:val="none"/>
        </w:rPr>
        <w:t>必须提供，并加盖电子公章，否则磋商无效。</w:t>
      </w:r>
      <w:r>
        <w:rPr>
          <w:rFonts w:hint="eastAsia" w:hAnsi="宋体"/>
          <w:b/>
          <w:color w:val="auto"/>
          <w:szCs w:val="21"/>
          <w:highlight w:val="none"/>
        </w:rPr>
        <w:t>）</w:t>
      </w:r>
    </w:p>
    <w:p w14:paraId="57969E48">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必须提供，并加盖电子公章，否则磋商无效。</w:t>
      </w:r>
      <w:r>
        <w:rPr>
          <w:rFonts w:hint="eastAsia" w:hAnsi="宋体"/>
          <w:b/>
          <w:color w:val="auto"/>
          <w:szCs w:val="21"/>
          <w:highlight w:val="none"/>
        </w:rPr>
        <w:t>）</w:t>
      </w:r>
    </w:p>
    <w:p w14:paraId="51B8B4EB">
      <w:pPr>
        <w:spacing w:line="400" w:lineRule="exact"/>
        <w:ind w:left="-27" w:leftChars="-13" w:firstLine="420" w:firstLineChars="200"/>
        <w:rPr>
          <w:rFonts w:hAnsi="宋体" w:cs="宋体"/>
          <w:color w:val="auto"/>
          <w:highlight w:val="none"/>
        </w:rPr>
      </w:pPr>
      <w:r>
        <w:rPr>
          <w:rFonts w:hint="eastAsia" w:hAnsi="宋体" w:cs="宋体"/>
          <w:color w:val="auto"/>
          <w:highlight w:val="none"/>
        </w:rPr>
        <w:t>（3）农民工工资保证金的交纳与使用承诺书（格式见第七章）；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64DEB9E6">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5BE8F229">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1CB75FDA">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0E52AB10">
      <w:pPr>
        <w:spacing w:line="400" w:lineRule="exact"/>
        <w:ind w:left="-27" w:leftChars="-13" w:firstLine="420" w:firstLineChars="200"/>
        <w:rPr>
          <w:rFonts w:hAnsi="宋体" w:cs="宋体"/>
          <w:color w:val="auto"/>
          <w:highlight w:val="none"/>
        </w:rPr>
      </w:pPr>
      <w:r>
        <w:rPr>
          <w:rFonts w:hint="eastAsia" w:hAnsi="宋体" w:cs="宋体"/>
          <w:color w:val="auto"/>
          <w:highlight w:val="none"/>
        </w:rPr>
        <w:t>（7）主要施工管理人员表（格式见第七章）；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3C6BFABB">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asciiTheme="minorEastAsia" w:hAnsiTheme="minorEastAsia" w:eastAsiaTheme="minorEastAsia"/>
          <w:color w:val="auto"/>
          <w:highlight w:val="none"/>
        </w:rPr>
        <w:t>施工组织设计；</w:t>
      </w:r>
      <w:r>
        <w:rPr>
          <w:rFonts w:hint="eastAsia" w:hAnsi="宋体"/>
          <w:color w:val="auto"/>
          <w:szCs w:val="21"/>
          <w:highlight w:val="none"/>
        </w:rPr>
        <w:t>（格式自拟，内容要求详见第三章评审方法中评分标准第2点）</w:t>
      </w:r>
    </w:p>
    <w:p w14:paraId="6FD59F81">
      <w:pPr>
        <w:spacing w:line="400" w:lineRule="exact"/>
        <w:ind w:left="-27" w:leftChars="-13" w:firstLine="420" w:firstLineChars="200"/>
        <w:rPr>
          <w:rFonts w:hAnsi="宋体" w:cs="宋体"/>
          <w:color w:val="auto"/>
          <w:highlight w:val="none"/>
        </w:rPr>
      </w:pPr>
      <w:r>
        <w:rPr>
          <w:rFonts w:hint="eastAsia" w:hAnsi="宋体" w:cs="宋体"/>
          <w:color w:val="auto"/>
          <w:highlight w:val="none"/>
        </w:rPr>
        <w:t>（9）供应商认为需要提供的有关资料。</w:t>
      </w:r>
    </w:p>
    <w:p w14:paraId="26D1CF1A">
      <w:pPr>
        <w:spacing w:line="400" w:lineRule="exact"/>
        <w:ind w:firstLine="342" w:firstLineChars="16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8.1.3 价格文件</w:t>
      </w:r>
    </w:p>
    <w:p w14:paraId="01700B2B">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（1）磋商响应函及磋商函附录（格式见第七章）；</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并加盖电子公章，</w:t>
      </w:r>
      <w:r>
        <w:rPr>
          <w:rFonts w:hint="eastAsia" w:asciiTheme="minorEastAsia" w:hAnsiTheme="minorEastAsia" w:eastAsiaTheme="minorEastAsia"/>
          <w:b/>
          <w:color w:val="auto"/>
          <w:szCs w:val="21"/>
          <w:highlight w:val="none"/>
        </w:rPr>
        <w:t>否则磋商无效）</w:t>
      </w:r>
    </w:p>
    <w:p w14:paraId="3BB194E2">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（2）磋商报价表；</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并加盖电子公章，</w:t>
      </w:r>
      <w:r>
        <w:rPr>
          <w:rFonts w:hint="eastAsia" w:asciiTheme="minorEastAsia" w:hAnsiTheme="minorEastAsia" w:eastAsiaTheme="minorEastAsia"/>
          <w:b/>
          <w:color w:val="auto"/>
          <w:szCs w:val="21"/>
          <w:highlight w:val="none"/>
        </w:rPr>
        <w:t>否则磋商无效）</w:t>
      </w:r>
    </w:p>
    <w:p w14:paraId="01C7EEA0">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highlight w:val="none"/>
        </w:rPr>
        <w:t>已标价工程量清单</w:t>
      </w:r>
      <w:r>
        <w:rPr>
          <w:rFonts w:hint="eastAsia" w:asciiTheme="minorEastAsia" w:hAnsiTheme="minorEastAsia" w:eastAsiaTheme="minorEastAsia"/>
          <w:color w:val="auto"/>
          <w:szCs w:val="21"/>
          <w:highlight w:val="none"/>
        </w:rPr>
        <w:t>（格式见第七章）；</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并加盖电子公章，</w:t>
      </w:r>
      <w:r>
        <w:rPr>
          <w:rFonts w:hint="eastAsia" w:asciiTheme="minorEastAsia" w:hAnsiTheme="minorEastAsia" w:eastAsiaTheme="minorEastAsia"/>
          <w:b/>
          <w:color w:val="auto"/>
          <w:szCs w:val="21"/>
          <w:highlight w:val="none"/>
        </w:rPr>
        <w:t>否则磋商无效）</w:t>
      </w:r>
    </w:p>
    <w:p w14:paraId="338E46A1">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（4）供应商针对报价需要说明的其他文件和说明（格式自拟）</w:t>
      </w:r>
    </w:p>
    <w:p w14:paraId="3A0C1DF4">
      <w:pPr>
        <w:spacing w:line="400" w:lineRule="exact"/>
        <w:ind w:firstLine="344" w:firstLineChars="163"/>
        <w:rPr>
          <w:rFonts w:asciiTheme="minorEastAsia" w:hAnsiTheme="minorEastAsia" w:eastAsiaTheme="minorEastAsia"/>
          <w:color w:val="auto"/>
          <w:szCs w:val="21"/>
          <w:highlight w:val="none"/>
        </w:rPr>
      </w:pPr>
      <w:r>
        <w:rPr>
          <w:rFonts w:hint="eastAsia" w:hAnsi="宋体"/>
          <w:b/>
          <w:bCs/>
          <w:color w:val="auto"/>
          <w:szCs w:val="21"/>
          <w:highlight w:val="none"/>
        </w:rPr>
        <w:t>注：以上要求提供的证书文件复印件均须加盖供应商单位电子</w:t>
      </w:r>
      <w:r>
        <w:rPr>
          <w:rFonts w:hint="eastAsia" w:hAnsi="宋体"/>
          <w:b/>
          <w:color w:val="auto"/>
          <w:szCs w:val="21"/>
          <w:highlight w:val="none"/>
        </w:rPr>
        <w:t>公</w:t>
      </w:r>
      <w:r>
        <w:rPr>
          <w:rFonts w:hint="eastAsia" w:hAnsi="宋体"/>
          <w:b/>
          <w:bCs/>
          <w:color w:val="auto"/>
          <w:szCs w:val="21"/>
          <w:highlight w:val="none"/>
        </w:rPr>
        <w:t>章，文件材料均须按照</w:t>
      </w:r>
      <w:r>
        <w:rPr>
          <w:rFonts w:hint="eastAsia" w:hAnsi="宋体"/>
          <w:b/>
          <w:color w:val="auto"/>
          <w:szCs w:val="21"/>
          <w:highlight w:val="none"/>
        </w:rPr>
        <w:t>“第七章 响应文件基本格式”在规定盖章的地方加盖单位</w:t>
      </w:r>
      <w:r>
        <w:rPr>
          <w:rFonts w:hint="eastAsia" w:hAnsi="宋体"/>
          <w:b/>
          <w:bCs/>
          <w:color w:val="auto"/>
          <w:szCs w:val="21"/>
          <w:highlight w:val="none"/>
        </w:rPr>
        <w:t>电子</w:t>
      </w:r>
      <w:r>
        <w:rPr>
          <w:rFonts w:hint="eastAsia" w:hAnsi="宋体"/>
          <w:b/>
          <w:color w:val="auto"/>
          <w:szCs w:val="21"/>
          <w:highlight w:val="none"/>
        </w:rPr>
        <w:t>公章，骑缝盖公章不视为在规定位置盖章。规定签字的部分先打印出来按要求由法定代表人（负责人）或授权代理人亲笔签字后再扫描上传并加盖单位电子公章，不可使用手绘签章或签名章，</w:t>
      </w:r>
      <w:r>
        <w:rPr>
          <w:rFonts w:hint="eastAsia" w:hAnsi="宋体"/>
          <w:b/>
          <w:bCs/>
          <w:color w:val="auto"/>
          <w:szCs w:val="21"/>
          <w:highlight w:val="none"/>
        </w:rPr>
        <w:t>否则磋商无效。</w:t>
      </w:r>
    </w:p>
    <w:p w14:paraId="0033D917">
      <w:pPr>
        <w:spacing w:line="400" w:lineRule="exact"/>
        <w:ind w:firstLine="342" w:firstLineChars="163"/>
        <w:rPr>
          <w:rFonts w:hAnsi="宋体"/>
          <w:color w:val="auto"/>
          <w:szCs w:val="21"/>
          <w:highlight w:val="none"/>
        </w:rPr>
      </w:pPr>
      <w:r>
        <w:rPr>
          <w:rFonts w:hint="eastAsia" w:hAnsi="宋体"/>
          <w:color w:val="auto"/>
          <w:szCs w:val="21"/>
          <w:highlight w:val="none"/>
        </w:rPr>
        <w:t>8.2供应商应仔细阅读磋商文件的所有内容，按照磋商文件的要求提交响应文件，并对所提供的全部资料的真实性承担法律责任。</w:t>
      </w:r>
    </w:p>
    <w:p w14:paraId="0A47ABCC">
      <w:pPr>
        <w:spacing w:line="400" w:lineRule="exact"/>
        <w:ind w:firstLine="420" w:firstLineChars="200"/>
        <w:rPr>
          <w:rFonts w:hAnsi="宋体"/>
          <w:color w:val="auto"/>
          <w:szCs w:val="21"/>
          <w:highlight w:val="none"/>
        </w:rPr>
      </w:pPr>
      <w:r>
        <w:rPr>
          <w:rFonts w:hint="eastAsia" w:hAnsi="宋体"/>
          <w:color w:val="auto"/>
          <w:szCs w:val="21"/>
          <w:highlight w:val="none"/>
        </w:rPr>
        <w:t>8.3供应商在磋商活动中提供任何虚假材料，其磋商无效，并报监管部门查处；成交后发现的，成交人须依照《中华人民共和国消费者权益保护法》第49条之规定双倍赔偿采购人，且民事赔偿并不免除违法供应商的行政与刑事责任。</w:t>
      </w:r>
    </w:p>
    <w:p w14:paraId="77D87C5F">
      <w:pPr>
        <w:spacing w:line="400" w:lineRule="exact"/>
        <w:ind w:firstLine="422" w:firstLineChars="200"/>
        <w:rPr>
          <w:rFonts w:hAnsi="宋体"/>
          <w:b/>
          <w:color w:val="auto"/>
          <w:szCs w:val="21"/>
          <w:highlight w:val="none"/>
        </w:rPr>
      </w:pPr>
      <w:r>
        <w:rPr>
          <w:rFonts w:hint="eastAsia" w:hAnsi="宋体"/>
          <w:b/>
          <w:color w:val="auto"/>
          <w:szCs w:val="21"/>
          <w:highlight w:val="none"/>
        </w:rPr>
        <w:t>9. 计量单位</w:t>
      </w:r>
    </w:p>
    <w:p w14:paraId="0C3E8DFA">
      <w:pPr>
        <w:spacing w:line="400" w:lineRule="exact"/>
        <w:ind w:firstLine="420" w:firstLineChars="200"/>
        <w:rPr>
          <w:rFonts w:hAnsi="宋体"/>
          <w:color w:val="auto"/>
          <w:szCs w:val="21"/>
          <w:highlight w:val="none"/>
        </w:rPr>
      </w:pPr>
      <w:r>
        <w:rPr>
          <w:rFonts w:hint="eastAsia" w:hAnsi="宋体"/>
          <w:color w:val="auto"/>
          <w:szCs w:val="21"/>
          <w:highlight w:val="none"/>
        </w:rPr>
        <w:t>9.1除技术要求中另有规定外，本文件所要求使用的计量单位均应采用国家法定计量单位。</w:t>
      </w:r>
    </w:p>
    <w:p w14:paraId="2FFDE4AA">
      <w:pPr>
        <w:spacing w:line="400" w:lineRule="exact"/>
        <w:ind w:firstLine="422" w:firstLineChars="200"/>
        <w:rPr>
          <w:rFonts w:hAnsi="宋体"/>
          <w:b/>
          <w:color w:val="auto"/>
          <w:szCs w:val="21"/>
          <w:highlight w:val="none"/>
        </w:rPr>
      </w:pPr>
      <w:r>
        <w:rPr>
          <w:rFonts w:hint="eastAsia" w:hAnsi="宋体"/>
          <w:b/>
          <w:color w:val="auto"/>
          <w:szCs w:val="21"/>
          <w:highlight w:val="none"/>
        </w:rPr>
        <w:t>10.响应文件的有效期</w:t>
      </w:r>
    </w:p>
    <w:p w14:paraId="2BA91398">
      <w:pPr>
        <w:spacing w:line="400" w:lineRule="exact"/>
        <w:ind w:firstLine="420" w:firstLineChars="200"/>
        <w:rPr>
          <w:rFonts w:hAnsi="宋体"/>
          <w:color w:val="auto"/>
          <w:szCs w:val="21"/>
          <w:highlight w:val="none"/>
        </w:rPr>
      </w:pPr>
      <w:r>
        <w:rPr>
          <w:rFonts w:hint="eastAsia" w:hAnsi="宋体"/>
          <w:color w:val="auto"/>
          <w:szCs w:val="21"/>
          <w:highlight w:val="none"/>
        </w:rPr>
        <w:t>10.1响应文件从递交首次响应文件截止日后90天内有效。</w:t>
      </w:r>
    </w:p>
    <w:p w14:paraId="5E619C54">
      <w:pPr>
        <w:spacing w:line="400" w:lineRule="exact"/>
        <w:ind w:firstLine="420" w:firstLineChars="200"/>
        <w:rPr>
          <w:rFonts w:hAnsi="宋体"/>
          <w:color w:val="auto"/>
          <w:szCs w:val="21"/>
          <w:highlight w:val="none"/>
        </w:rPr>
      </w:pPr>
      <w:r>
        <w:rPr>
          <w:rFonts w:hint="eastAsia" w:hAnsi="宋体"/>
          <w:color w:val="auto"/>
          <w:szCs w:val="21"/>
          <w:highlight w:val="none"/>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14:paraId="62AEAB45">
      <w:pPr>
        <w:spacing w:line="400" w:lineRule="exact"/>
        <w:ind w:firstLine="422" w:firstLineChars="200"/>
        <w:rPr>
          <w:rFonts w:hAnsi="宋体"/>
          <w:b/>
          <w:color w:val="auto"/>
          <w:szCs w:val="21"/>
          <w:highlight w:val="none"/>
        </w:rPr>
      </w:pPr>
      <w:r>
        <w:rPr>
          <w:rFonts w:hint="eastAsia" w:hAnsi="宋体"/>
          <w:b/>
          <w:color w:val="auto"/>
          <w:szCs w:val="21"/>
          <w:highlight w:val="none"/>
        </w:rPr>
        <w:t>11.响应文件签名、盖章要求</w:t>
      </w:r>
    </w:p>
    <w:p w14:paraId="21C68562">
      <w:pPr>
        <w:spacing w:line="440" w:lineRule="exact"/>
        <w:ind w:firstLine="420" w:firstLineChars="200"/>
        <w:rPr>
          <w:rFonts w:hAnsi="宋体"/>
          <w:color w:val="auto"/>
          <w:szCs w:val="21"/>
          <w:highlight w:val="none"/>
        </w:rPr>
      </w:pPr>
      <w:r>
        <w:rPr>
          <w:rFonts w:hint="eastAsia" w:hAnsi="宋体"/>
          <w:color w:val="auto"/>
          <w:szCs w:val="21"/>
          <w:highlight w:val="none"/>
        </w:rPr>
        <w:t>11.1响应文件修改处应由法定代表人（负责人）或委托代理人亲笔签名并加盖电子公章，否则其磋商无效。</w:t>
      </w:r>
    </w:p>
    <w:p w14:paraId="69DEBA26">
      <w:pPr>
        <w:spacing w:line="440" w:lineRule="exact"/>
        <w:ind w:firstLine="420" w:firstLineChars="200"/>
        <w:rPr>
          <w:rFonts w:hAnsi="宋体"/>
          <w:color w:val="auto"/>
          <w:szCs w:val="21"/>
          <w:highlight w:val="none"/>
        </w:rPr>
      </w:pPr>
      <w:r>
        <w:rPr>
          <w:rFonts w:hint="eastAsia" w:hAnsi="宋体"/>
          <w:color w:val="auto"/>
          <w:szCs w:val="21"/>
          <w:highlight w:val="none"/>
        </w:rPr>
        <w:t>11.2字迹潦草、表达不清或未按要求填写的响应文件可能将被认定为无效的磋商。</w:t>
      </w:r>
    </w:p>
    <w:p w14:paraId="51E3E32A">
      <w:pPr>
        <w:spacing w:line="440" w:lineRule="exact"/>
        <w:ind w:firstLine="420" w:firstLineChars="200"/>
        <w:rPr>
          <w:rFonts w:hAnsi="宋体"/>
          <w:color w:val="auto"/>
          <w:szCs w:val="21"/>
          <w:highlight w:val="none"/>
        </w:rPr>
      </w:pPr>
      <w:r>
        <w:rPr>
          <w:rFonts w:hint="eastAsia" w:hAnsi="宋体"/>
          <w:color w:val="auto"/>
          <w:szCs w:val="21"/>
          <w:highlight w:val="none"/>
        </w:rPr>
        <w:t>11.3响应文件应由法定代表人（负责人）或委托代理人在凡规定签章处逐一签名和盖公章，否则其磋商无效。</w:t>
      </w:r>
    </w:p>
    <w:p w14:paraId="5C2DB999">
      <w:pPr>
        <w:spacing w:line="400" w:lineRule="exact"/>
        <w:ind w:firstLine="420" w:firstLineChars="200"/>
        <w:rPr>
          <w:rFonts w:hAnsi="宋体"/>
          <w:color w:val="auto"/>
          <w:szCs w:val="21"/>
          <w:highlight w:val="none"/>
        </w:rPr>
      </w:pPr>
      <w:r>
        <w:rPr>
          <w:rFonts w:hint="eastAsia" w:hAnsi="Calibri" w:cs="宋体"/>
          <w:color w:val="auto"/>
          <w:kern w:val="0"/>
          <w:szCs w:val="21"/>
          <w:highlight w:val="none"/>
        </w:rPr>
        <w:t>11.4响应文件应避免涂改、行间插字或者删除，否则其响应文件按无效响应处理。</w:t>
      </w:r>
    </w:p>
    <w:p w14:paraId="30ADC844">
      <w:pPr>
        <w:spacing w:line="400" w:lineRule="exact"/>
        <w:ind w:firstLine="422" w:firstLineChars="200"/>
        <w:rPr>
          <w:rFonts w:hAnsi="宋体"/>
          <w:b/>
          <w:color w:val="auto"/>
          <w:szCs w:val="21"/>
          <w:highlight w:val="none"/>
        </w:rPr>
      </w:pPr>
      <w:r>
        <w:rPr>
          <w:rFonts w:hint="eastAsia" w:hAnsi="宋体"/>
          <w:b/>
          <w:color w:val="auto"/>
          <w:szCs w:val="21"/>
          <w:highlight w:val="none"/>
        </w:rPr>
        <w:t>12. 保证金</w:t>
      </w:r>
    </w:p>
    <w:p w14:paraId="5FD584B1">
      <w:pPr>
        <w:snapToGrid w:val="0"/>
        <w:spacing w:line="440" w:lineRule="exact"/>
        <w:ind w:firstLine="411" w:firstLineChars="196"/>
        <w:rPr>
          <w:rFonts w:asciiTheme="minorEastAsia" w:hAnsiTheme="minorEastAsia" w:eastAsiaTheme="minorEastAsia"/>
          <w:b/>
          <w:color w:val="auto"/>
          <w:szCs w:val="21"/>
          <w:highlight w:val="none"/>
        </w:rPr>
      </w:pPr>
      <w:r>
        <w:rPr>
          <w:rFonts w:hint="eastAsia" w:hAnsi="宋体"/>
          <w:color w:val="auto"/>
          <w:szCs w:val="21"/>
          <w:highlight w:val="none"/>
        </w:rPr>
        <w:t>12.1本项目不需要缴纳磋商保证金。</w:t>
      </w:r>
    </w:p>
    <w:p w14:paraId="5EBFFF40">
      <w:pPr>
        <w:spacing w:line="400" w:lineRule="exact"/>
        <w:ind w:firstLine="422" w:firstLineChars="200"/>
        <w:outlineLvl w:val="2"/>
        <w:rPr>
          <w:rFonts w:asciiTheme="minorEastAsia" w:hAnsiTheme="minorEastAsia" w:eastAsiaTheme="minorEastAsia"/>
          <w:b/>
          <w:color w:val="auto"/>
          <w:szCs w:val="21"/>
          <w:highlight w:val="none"/>
        </w:rPr>
      </w:pPr>
      <w:bookmarkStart w:id="11" w:name="_Toc5631"/>
      <w:r>
        <w:rPr>
          <w:rFonts w:hint="eastAsia" w:asciiTheme="minorEastAsia" w:hAnsiTheme="minorEastAsia" w:eastAsiaTheme="minorEastAsia"/>
          <w:b/>
          <w:color w:val="auto"/>
          <w:szCs w:val="21"/>
          <w:highlight w:val="none"/>
        </w:rPr>
        <w:t>四、磋商报价要求</w:t>
      </w:r>
      <w:bookmarkEnd w:id="11"/>
    </w:p>
    <w:p w14:paraId="640909D5">
      <w:pPr>
        <w:spacing w:line="40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13.磋商报价</w:t>
      </w:r>
    </w:p>
    <w:p w14:paraId="0BF4967C">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13.1供应商应以人民币报价。</w:t>
      </w:r>
    </w:p>
    <w:p w14:paraId="2C947326">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13.2磋商报价：供应商</w:t>
      </w:r>
      <w:r>
        <w:rPr>
          <w:rFonts w:asciiTheme="minorEastAsia" w:hAnsiTheme="minorEastAsia" w:eastAsiaTheme="minorEastAsia"/>
          <w:color w:val="auto"/>
          <w:szCs w:val="21"/>
          <w:highlight w:val="none"/>
        </w:rPr>
        <w:t>应按第</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章“工程量清单”的要求填写相应表格。</w:t>
      </w:r>
      <w:r>
        <w:rPr>
          <w:rFonts w:hint="eastAsia" w:asciiTheme="minorEastAsia" w:hAnsiTheme="minorEastAsia" w:eastAsiaTheme="minorEastAsia"/>
          <w:color w:val="auto"/>
          <w:szCs w:val="21"/>
          <w:highlight w:val="none"/>
        </w:rPr>
        <w:t>供应商不得修改工程量清单的项目结构、标段名称、单项工程名称、单位工程名称、项目编码、项目名称、项目特征、计量单位、工程量、清单顺序和序号。不得对工程量清单项目进行增减调整。</w:t>
      </w:r>
    </w:p>
    <w:p w14:paraId="4B1A3765">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13.3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14:paraId="5F76DB7D">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13.4磋商报价：按须知前附表中要求。</w:t>
      </w:r>
    </w:p>
    <w:p w14:paraId="7D8A5318">
      <w:pPr>
        <w:spacing w:line="400" w:lineRule="exact"/>
        <w:ind w:firstLine="422" w:firstLineChars="200"/>
        <w:outlineLvl w:val="2"/>
        <w:rPr>
          <w:rFonts w:hAnsi="宋体"/>
          <w:b/>
          <w:color w:val="auto"/>
          <w:szCs w:val="21"/>
          <w:highlight w:val="none"/>
        </w:rPr>
      </w:pPr>
      <w:bookmarkStart w:id="12" w:name="_Toc29607"/>
      <w:r>
        <w:rPr>
          <w:rFonts w:hint="eastAsia" w:hAnsi="宋体"/>
          <w:b/>
          <w:color w:val="auto"/>
          <w:szCs w:val="21"/>
          <w:highlight w:val="none"/>
        </w:rPr>
        <w:t>五、响应文件的封装和递交</w:t>
      </w:r>
      <w:bookmarkEnd w:id="12"/>
    </w:p>
    <w:p w14:paraId="47C0F69B">
      <w:pPr>
        <w:spacing w:line="440" w:lineRule="exact"/>
        <w:ind w:firstLine="422" w:firstLineChars="200"/>
        <w:rPr>
          <w:rFonts w:hAnsi="宋体"/>
          <w:b/>
          <w:color w:val="auto"/>
          <w:szCs w:val="21"/>
          <w:highlight w:val="none"/>
        </w:rPr>
      </w:pPr>
      <w:r>
        <w:rPr>
          <w:rFonts w:hint="eastAsia" w:hAnsi="宋体"/>
          <w:b/>
          <w:color w:val="auto"/>
          <w:szCs w:val="21"/>
          <w:highlight w:val="none"/>
        </w:rPr>
        <w:t>14.响应文件的封装、密封与标志</w:t>
      </w:r>
    </w:p>
    <w:p w14:paraId="6DFC2001">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14.1密封方式：供应商应将电子响应文件通过平台有效CA 加密后在</w:t>
      </w:r>
      <w:r>
        <w:rPr>
          <w:rFonts w:hint="eastAsia" w:hAnsi="宋体"/>
          <w:color w:val="auto"/>
          <w:szCs w:val="21"/>
          <w:highlight w:val="none"/>
          <w:lang w:eastAsia="zh-CN"/>
        </w:rPr>
        <w:t>广西政府采购云平台</w:t>
      </w:r>
      <w:r>
        <w:rPr>
          <w:rFonts w:hint="eastAsia" w:hAnsi="宋体"/>
          <w:color w:val="auto"/>
          <w:szCs w:val="21"/>
          <w:highlight w:val="none"/>
        </w:rPr>
        <w:t>投送。</w:t>
      </w:r>
    </w:p>
    <w:p w14:paraId="378498B5">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14.2供应商进行电子交易应安装客户端软件—“政采云电子交易客户端”，并按照竞争性磋商文件和电子交易平台的要求编制并加密响应文件。供应商未按规定加密的响应文件，电子交易平台将拒收并提示。</w:t>
      </w:r>
    </w:p>
    <w:p w14:paraId="55760EC2">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14.3 使用“政采云电子交易客户端”需要提前申领CA 数字证书，申领流程见该项目竞争性磋商公告。</w:t>
      </w:r>
    </w:p>
    <w:p w14:paraId="54D9DCD2">
      <w:pPr>
        <w:spacing w:line="400" w:lineRule="exact"/>
        <w:ind w:firstLine="329" w:firstLineChars="157"/>
        <w:rPr>
          <w:rFonts w:hAnsi="宋体"/>
          <w:color w:val="auto"/>
          <w:szCs w:val="21"/>
          <w:highlight w:val="none"/>
        </w:rPr>
      </w:pPr>
      <w:r>
        <w:rPr>
          <w:rFonts w:hint="eastAsia" w:hAnsi="宋体"/>
          <w:color w:val="auto"/>
          <w:szCs w:val="21"/>
          <w:highlight w:val="none"/>
        </w:rPr>
        <w:t>14.4 为确保网上操作合法、有效和安全，供应商应当在响应文件提交截止时间前完成在“政府采购云平台”的身份认证，确保在电子交易过程中能够对相关数据电文进行加密和使用电子签章。</w:t>
      </w:r>
    </w:p>
    <w:p w14:paraId="4B760C6C">
      <w:pPr>
        <w:spacing w:line="400" w:lineRule="exact"/>
        <w:ind w:firstLine="422" w:firstLineChars="200"/>
        <w:rPr>
          <w:rFonts w:hAnsi="宋体"/>
          <w:b/>
          <w:color w:val="auto"/>
          <w:szCs w:val="21"/>
          <w:highlight w:val="none"/>
        </w:rPr>
      </w:pPr>
      <w:r>
        <w:rPr>
          <w:rFonts w:hint="eastAsia" w:hAnsi="宋体"/>
          <w:b/>
          <w:color w:val="auto"/>
          <w:szCs w:val="21"/>
          <w:highlight w:val="none"/>
        </w:rPr>
        <w:t>15.响应文件的递交</w:t>
      </w:r>
    </w:p>
    <w:p w14:paraId="31DE5919">
      <w:pPr>
        <w:spacing w:line="440" w:lineRule="exact"/>
        <w:ind w:firstLine="420" w:firstLineChars="200"/>
        <w:rPr>
          <w:rFonts w:hAnsi="宋体"/>
          <w:color w:val="auto"/>
          <w:szCs w:val="21"/>
          <w:highlight w:val="none"/>
        </w:rPr>
      </w:pPr>
      <w:r>
        <w:rPr>
          <w:rFonts w:hint="eastAsia" w:hAnsi="宋体"/>
          <w:color w:val="auto"/>
          <w:szCs w:val="21"/>
          <w:highlight w:val="none"/>
        </w:rPr>
        <w:t>15.1所有响应文件应按“竞争性磋商公告”及“磋商须知前附表”中规定的时间前递交到规定地点。</w:t>
      </w:r>
    </w:p>
    <w:p w14:paraId="2BAA7571">
      <w:pPr>
        <w:spacing w:line="440" w:lineRule="exact"/>
        <w:ind w:firstLine="420" w:firstLineChars="200"/>
        <w:rPr>
          <w:rFonts w:hAnsi="Calibri" w:cs="宋体"/>
          <w:color w:val="auto"/>
          <w:kern w:val="0"/>
          <w:szCs w:val="21"/>
          <w:highlight w:val="none"/>
        </w:rPr>
      </w:pPr>
      <w:r>
        <w:rPr>
          <w:rFonts w:hint="eastAsia" w:hAnsi="Calibri" w:cs="宋体"/>
          <w:color w:val="auto"/>
          <w:kern w:val="0"/>
          <w:szCs w:val="21"/>
          <w:highlight w:val="none"/>
        </w:rPr>
        <w:t>15.2在提交“最后报价”后，供应商不能退出磋商。</w:t>
      </w:r>
    </w:p>
    <w:p w14:paraId="552FEEC5">
      <w:pPr>
        <w:spacing w:line="440" w:lineRule="exact"/>
        <w:ind w:firstLine="420" w:firstLineChars="200"/>
        <w:rPr>
          <w:rFonts w:hAnsi="宋体"/>
          <w:color w:val="auto"/>
          <w:szCs w:val="21"/>
          <w:highlight w:val="none"/>
        </w:rPr>
      </w:pPr>
      <w:r>
        <w:rPr>
          <w:rFonts w:hint="eastAsia" w:hAnsi="宋体"/>
          <w:color w:val="auto"/>
          <w:szCs w:val="21"/>
          <w:highlight w:val="none"/>
        </w:rPr>
        <w:t>15.3电子交易平台收到响应文件，将妥善保存并即时向供应商发出确认回执通知。在响应文件提交截止时间前，除供应商补充、修改或者撤回响应文件外，任何单位和个人不得解密或提取响应文件。</w:t>
      </w:r>
    </w:p>
    <w:p w14:paraId="7D380743">
      <w:pPr>
        <w:spacing w:line="440" w:lineRule="exact"/>
        <w:ind w:firstLine="420" w:firstLineChars="200"/>
        <w:rPr>
          <w:rFonts w:hAnsi="宋体"/>
          <w:color w:val="auto"/>
          <w:szCs w:val="21"/>
          <w:highlight w:val="none"/>
        </w:rPr>
      </w:pPr>
      <w:r>
        <w:rPr>
          <w:rFonts w:hint="eastAsia" w:hAnsi="宋体"/>
          <w:color w:val="auto"/>
          <w:szCs w:val="21"/>
          <w:highlight w:val="none"/>
        </w:rPr>
        <w:t>15.4 采购代理机构不可视情况延长提交响应文件的截止时间。</w:t>
      </w:r>
    </w:p>
    <w:p w14:paraId="20C7FF3A">
      <w:pPr>
        <w:spacing w:line="400" w:lineRule="exact"/>
        <w:ind w:firstLine="422" w:firstLineChars="200"/>
        <w:rPr>
          <w:rFonts w:hAnsi="宋体"/>
          <w:b/>
          <w:color w:val="auto"/>
          <w:szCs w:val="21"/>
          <w:highlight w:val="none"/>
        </w:rPr>
      </w:pPr>
      <w:r>
        <w:rPr>
          <w:rFonts w:hint="eastAsia" w:hAnsi="宋体"/>
          <w:b/>
          <w:color w:val="auto"/>
          <w:szCs w:val="21"/>
          <w:highlight w:val="none"/>
        </w:rPr>
        <w:t>16.迟交的响应文件</w:t>
      </w:r>
    </w:p>
    <w:p w14:paraId="58375F33">
      <w:pPr>
        <w:spacing w:line="400" w:lineRule="exact"/>
        <w:ind w:firstLine="420" w:firstLineChars="200"/>
        <w:rPr>
          <w:rFonts w:hAnsi="宋体"/>
          <w:color w:val="auto"/>
          <w:szCs w:val="21"/>
          <w:highlight w:val="none"/>
        </w:rPr>
      </w:pPr>
      <w:r>
        <w:rPr>
          <w:rFonts w:hint="eastAsia" w:hAnsi="宋体"/>
          <w:color w:val="auto"/>
          <w:szCs w:val="21"/>
          <w:highlight w:val="none"/>
        </w:rPr>
        <w:t>按《中华人民共和国政府采购法》的规定，在规定的提交响应文件截止时间之后提交的任何响应文件将被</w:t>
      </w:r>
      <w:r>
        <w:rPr>
          <w:rFonts w:hint="eastAsia" w:hAnsi="宋体"/>
          <w:color w:val="auto"/>
          <w:szCs w:val="21"/>
          <w:highlight w:val="none"/>
          <w:lang w:eastAsia="zh-CN"/>
        </w:rPr>
        <w:t>广西政府采购云平台</w:t>
      </w:r>
      <w:r>
        <w:rPr>
          <w:rFonts w:hint="eastAsia" w:hAnsi="宋体"/>
          <w:color w:val="auto"/>
          <w:szCs w:val="21"/>
          <w:highlight w:val="none"/>
        </w:rPr>
        <w:t>拒收。</w:t>
      </w:r>
    </w:p>
    <w:p w14:paraId="4A200CF3">
      <w:pPr>
        <w:spacing w:line="400" w:lineRule="exact"/>
        <w:ind w:firstLine="422" w:firstLineChars="200"/>
        <w:rPr>
          <w:rFonts w:hAnsi="宋体"/>
          <w:b/>
          <w:color w:val="auto"/>
          <w:szCs w:val="21"/>
          <w:highlight w:val="none"/>
        </w:rPr>
      </w:pPr>
      <w:r>
        <w:rPr>
          <w:rFonts w:hint="eastAsia" w:hAnsi="宋体"/>
          <w:b/>
          <w:color w:val="auto"/>
          <w:szCs w:val="21"/>
          <w:highlight w:val="none"/>
        </w:rPr>
        <w:t>17．递交响应文件截止时间、地点</w:t>
      </w:r>
    </w:p>
    <w:p w14:paraId="2C9B435A">
      <w:pPr>
        <w:spacing w:line="440" w:lineRule="exact"/>
        <w:ind w:firstLine="420" w:firstLineChars="200"/>
        <w:rPr>
          <w:rFonts w:hAnsi="宋体"/>
          <w:color w:val="auto"/>
          <w:szCs w:val="21"/>
          <w:highlight w:val="none"/>
        </w:rPr>
      </w:pPr>
      <w:r>
        <w:rPr>
          <w:rFonts w:hint="eastAsia" w:hAnsi="宋体"/>
          <w:color w:val="auto"/>
          <w:szCs w:val="21"/>
          <w:highlight w:val="none"/>
        </w:rPr>
        <w:t>17.1响应文件的递交不得迟于本须知前附表规定的截止时间。</w:t>
      </w:r>
    </w:p>
    <w:p w14:paraId="5E99C0B0">
      <w:pPr>
        <w:spacing w:line="400" w:lineRule="exact"/>
        <w:ind w:firstLine="420" w:firstLineChars="200"/>
        <w:rPr>
          <w:rFonts w:hAnsi="宋体"/>
          <w:color w:val="auto"/>
          <w:szCs w:val="21"/>
          <w:highlight w:val="none"/>
        </w:rPr>
      </w:pPr>
      <w:r>
        <w:rPr>
          <w:rFonts w:hint="eastAsia" w:hAnsi="宋体"/>
          <w:color w:val="auto"/>
          <w:szCs w:val="21"/>
          <w:highlight w:val="none"/>
        </w:rPr>
        <w:t>17.2供应商必须在规定时间内将响应文件提交到本须知前附表规定地点，超过截止时间送达的响应文件为无效文件，</w:t>
      </w:r>
      <w:r>
        <w:rPr>
          <w:rFonts w:hint="eastAsia" w:hAnsi="宋体"/>
          <w:color w:val="auto"/>
          <w:szCs w:val="21"/>
          <w:highlight w:val="none"/>
          <w:lang w:eastAsia="zh-CN"/>
        </w:rPr>
        <w:t>广西政府采购云平台</w:t>
      </w:r>
      <w:r>
        <w:rPr>
          <w:rFonts w:hint="eastAsia" w:hAnsi="宋体"/>
          <w:color w:val="auto"/>
          <w:szCs w:val="21"/>
          <w:highlight w:val="none"/>
        </w:rPr>
        <w:t>将拒收。</w:t>
      </w:r>
    </w:p>
    <w:p w14:paraId="4FE803A7">
      <w:pPr>
        <w:spacing w:line="400" w:lineRule="exact"/>
        <w:ind w:right="168" w:rightChars="80" w:firstLine="432" w:firstLineChars="205"/>
        <w:rPr>
          <w:rFonts w:hAnsi="宋体"/>
          <w:b/>
          <w:color w:val="auto"/>
          <w:szCs w:val="21"/>
          <w:highlight w:val="none"/>
        </w:rPr>
      </w:pPr>
      <w:r>
        <w:rPr>
          <w:rFonts w:hint="eastAsia" w:hAnsi="宋体"/>
          <w:b/>
          <w:color w:val="auto"/>
          <w:szCs w:val="21"/>
          <w:highlight w:val="none"/>
        </w:rPr>
        <w:t>18. 响应文件的修改与撤回</w:t>
      </w:r>
    </w:p>
    <w:p w14:paraId="1EFCC0AF">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18.1 供应商的修改或撤回通知，详见“竞争性磋商公告”。</w:t>
      </w:r>
    </w:p>
    <w:p w14:paraId="4FF448DF">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18.2 在提交响应文件截止时间以后，供应商不得修改响应文件。</w:t>
      </w:r>
    </w:p>
    <w:p w14:paraId="4F7D0A08">
      <w:pPr>
        <w:spacing w:line="400" w:lineRule="exact"/>
        <w:ind w:right="168" w:rightChars="80" w:firstLine="430" w:firstLineChars="205"/>
        <w:rPr>
          <w:rFonts w:asciiTheme="minorEastAsia" w:hAnsiTheme="minorEastAsia" w:eastAsiaTheme="minorEastAsia"/>
          <w:color w:val="auto"/>
          <w:szCs w:val="21"/>
          <w:highlight w:val="none"/>
        </w:rPr>
      </w:pPr>
      <w:r>
        <w:rPr>
          <w:rFonts w:hint="eastAsia" w:hAnsi="宋体"/>
          <w:color w:val="auto"/>
          <w:szCs w:val="21"/>
          <w:highlight w:val="none"/>
        </w:rPr>
        <w:t>18.3 在磋商有效期内，供应商不能撤回其响应文件。</w:t>
      </w:r>
    </w:p>
    <w:p w14:paraId="39392870">
      <w:pPr>
        <w:spacing w:line="400" w:lineRule="exact"/>
        <w:ind w:firstLine="422" w:firstLineChars="200"/>
        <w:outlineLvl w:val="2"/>
        <w:rPr>
          <w:rFonts w:asciiTheme="minorEastAsia" w:hAnsiTheme="minorEastAsia" w:eastAsiaTheme="minorEastAsia"/>
          <w:b/>
          <w:color w:val="auto"/>
          <w:szCs w:val="21"/>
          <w:highlight w:val="none"/>
        </w:rPr>
      </w:pPr>
      <w:bookmarkStart w:id="13" w:name="_Toc5666"/>
      <w:bookmarkStart w:id="14" w:name="_Toc254970673"/>
      <w:bookmarkStart w:id="15" w:name="_Toc254970532"/>
      <w:r>
        <w:rPr>
          <w:rFonts w:hint="eastAsia" w:asciiTheme="minorEastAsia" w:hAnsiTheme="minorEastAsia" w:eastAsiaTheme="minorEastAsia"/>
          <w:b/>
          <w:color w:val="auto"/>
          <w:szCs w:val="21"/>
          <w:highlight w:val="none"/>
        </w:rPr>
        <w:t>六、磋商与评审</w:t>
      </w:r>
      <w:bookmarkEnd w:id="13"/>
    </w:p>
    <w:p w14:paraId="264F21C2">
      <w:pPr>
        <w:pStyle w:val="27"/>
        <w:spacing w:line="440" w:lineRule="exact"/>
        <w:ind w:firstLine="466" w:firstLineChars="22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19. 磋商</w:t>
      </w:r>
    </w:p>
    <w:p w14:paraId="3C09EE8F">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  磋商小组确认磋商文件，并将在磋商须知前附表规定的地点与各供应商进行磋商。磋商内容包括：磋商报价、工期、施工组织方案等，供应商资格条件不列为磋商内容。</w:t>
      </w:r>
    </w:p>
    <w:p w14:paraId="56AC6BFD">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14:paraId="3B9AFD72">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19.3  第一轮磋商</w:t>
      </w:r>
    </w:p>
    <w:p w14:paraId="05301204">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磋商小组按已确定的磋商顺序，磋商小组所有成员应当集中与单一供应商分别进行磋商，并给予所有参加磋商的供应商平等的磋商机会。</w:t>
      </w:r>
    </w:p>
    <w:p w14:paraId="5E6E98AE">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在磋商过程中，磋商小组可以根据磋商文件和磋商情况实质性变动采购需求中的要求以及合同草案条款。实质性变动的内容，须经采购人代表确认。</w:t>
      </w:r>
    </w:p>
    <w:p w14:paraId="15117879">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对磋商文件作出的实质性变动是磋商文件的有效组成部分，磋商小组应当及时通过政采云平台同时通知所有参加磋商的供应商。</w:t>
      </w:r>
    </w:p>
    <w:p w14:paraId="7DC945E9">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供应商应当按照磋商文件的变动情况和磋商小组的要求提交磋商应答响应文件，并由其法定代表人（负责人）或授权代表签字或者加盖电子公章。由授权代表签字的，应当附法定代表人（负责人）授权书。</w:t>
      </w:r>
    </w:p>
    <w:p w14:paraId="01B41501">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磋商中，磋商的任何一方不得透露与磋商有关的其他供应商的技术资料、价格和其他信息。</w:t>
      </w:r>
    </w:p>
    <w:p w14:paraId="141D375C">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采购代理机构对磋商过程和重要磋商内容进行记录，磋商双方在记录上签字确认。</w:t>
      </w:r>
    </w:p>
    <w:p w14:paraId="4E007B41">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磋商小组一致确定响应供应商符合磋商文件要求的，按磋商文件设定的方法和标准确定成交候选人。第一轮磋商小组未能确定成交候选人的，对磋商文件修正后进行第二轮磋商。</w:t>
      </w:r>
    </w:p>
    <w:p w14:paraId="236EC009">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19.4  磋商文件修正</w:t>
      </w:r>
    </w:p>
    <w:p w14:paraId="7E1C6F33">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（1）第一轮磋商结束后，各响应供应商退场等候，磋商小组进行合议。根据第一轮磋商掌握的情况，可以对磋商文件进行修改，确定采购内容的具体要求，优化采购方案。</w:t>
      </w:r>
    </w:p>
    <w:p w14:paraId="34B21F1A">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（2）采购代理机构通知响应供应商集中，磋商小组强调调整后的采购要求，将磋商文件的修改结果通过政采云平台通知响应供应商，向响应供应商提供较充分的修正时间。</w:t>
      </w:r>
    </w:p>
    <w:p w14:paraId="0C966E29">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供应商根据第一轮磋商情况和磋商文件修改通知内容，进行磋商应答响应，并将磋商应答响应文件签字（或盖电子公章）后提交政采云平台。逾时不交的，视同放弃磋商。磋商应答响应文件与首次响应文件同具法律效应。</w:t>
      </w:r>
    </w:p>
    <w:p w14:paraId="26AD63EC">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19.5  第二轮磋商</w:t>
      </w:r>
    </w:p>
    <w:p w14:paraId="67014B01">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磋商小组就修正后的磋商文件与响应供应商分别进行磋商。采购代理机构对磋商过程和重要磋商内容进行记录，磋商双方在记录上签字确认。磋商小组按磋商文件设定的方法和标准确定成交候选人。</w:t>
      </w:r>
    </w:p>
    <w:p w14:paraId="7186E630">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第二轮磋商小组未能确定成交候选人的，对磋商文件修正后进行第三轮磋商，以此类推。</w:t>
      </w:r>
    </w:p>
    <w:p w14:paraId="6FDC3BB4">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19.6  最后报价</w:t>
      </w:r>
    </w:p>
    <w:p w14:paraId="0229CA26">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（1）磋商文件能够详细列明采购标的的技术、服务要求的，磋商结束后，磋商小组应当要求所有继续参加磋商的供应商在规定时间内提交最后报价</w:t>
      </w:r>
      <w:r>
        <w:rPr>
          <w:rFonts w:hint="eastAsia" w:asciiTheme="minorEastAsia" w:hAnsiTheme="minorEastAsia" w:eastAsiaTheme="minorEastAsia"/>
          <w:b/>
          <w:color w:val="auto"/>
          <w:szCs w:val="21"/>
          <w:highlight w:val="none"/>
        </w:rPr>
        <w:t>（</w:t>
      </w:r>
      <w:r>
        <w:rPr>
          <w:rFonts w:hint="eastAsia" w:hAnsi="宋体"/>
          <w:b/>
          <w:color w:val="auto"/>
          <w:szCs w:val="21"/>
          <w:highlight w:val="none"/>
        </w:rPr>
        <w:t>如供应商最后的磋商报价有调整时，须附工程量清单，不得以总价下浮的方式做最后磋商报价，否则，其最后磋商报价无效，磋商小组将以其第一次报价为评审依据。</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，提交最后报价的供应商不得少于3家。</w:t>
      </w:r>
    </w:p>
    <w:p w14:paraId="28AD50EC">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423762C">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（3）最后报价是供应商响应文件的有效组成部分。</w:t>
      </w:r>
    </w:p>
    <w:p w14:paraId="34EB7E16">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已经提交响应文件的供应商，在提交最后报价之前，可以根据磋商情况退出磋商。采购人、采购代理机构将退还退出磋商的供应商的保证金。最终磋商结束后，磋商小组不得再与供应商进行任何形式的商谈。</w:t>
      </w:r>
    </w:p>
    <w:p w14:paraId="0790C836">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（5）磋商小组应当从质量和服务均能满足磋商文件实质性响应要求的供应商中，按照综合评分由高到低的顺序提出3名以上成交候选人，并编写评审报告。</w:t>
      </w:r>
    </w:p>
    <w:p w14:paraId="30950C9E">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2E319340">
      <w:pPr>
        <w:pStyle w:val="27"/>
        <w:spacing w:line="40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19.7响应供应商的报价均超过了本项目最高限价，采购人不能支付的，磋商活动终止。</w:t>
      </w:r>
    </w:p>
    <w:p w14:paraId="2C624856">
      <w:pPr>
        <w:pStyle w:val="27"/>
        <w:spacing w:line="400" w:lineRule="exact"/>
        <w:ind w:firstLine="466" w:firstLineChars="22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20. 评审方法</w:t>
      </w:r>
    </w:p>
    <w:p w14:paraId="2ECF3954">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  成立磋商小组：本采购项目的磋商小组分别由依法组成的评审专家、采购人代表等三人组成，其中专家人数不少于成员总数的三分之二。磋商与评审活动由依法组建的磋商小组负责。</w:t>
      </w:r>
    </w:p>
    <w:p w14:paraId="17487B49">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73D2AE61">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304CB7A7">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20.4磋商小组可以要求供应商对响应文件中</w:t>
      </w:r>
      <w:r>
        <w:rPr>
          <w:rFonts w:hint="eastAsia" w:asciiTheme="minorEastAsia" w:hAnsiTheme="minorEastAsia" w:eastAsiaTheme="minorEastAsia"/>
          <w:b/>
          <w:color w:val="auto"/>
          <w:szCs w:val="21"/>
          <w:highlight w:val="none"/>
        </w:rPr>
        <w:t>含义不明确、同类问题表述不一致或者有明显文字和计算错误的内容</w:t>
      </w:r>
      <w:r>
        <w:rPr>
          <w:rFonts w:hint="eastAsia" w:asciiTheme="minorEastAsia" w:hAnsiTheme="minorEastAsia" w:eastAsiaTheme="minorEastAsia"/>
          <w:color w:val="auto"/>
          <w:szCs w:val="21"/>
          <w:highlight w:val="none"/>
        </w:rPr>
        <w:t>作出必要的澄清、说明或者补正。</w:t>
      </w:r>
    </w:p>
    <w:p w14:paraId="5956BB96">
      <w:pPr>
        <w:snapToGrid w:val="0"/>
        <w:spacing w:line="420" w:lineRule="exact"/>
        <w:ind w:firstLine="499" w:firstLineChars="238"/>
        <w:rPr>
          <w:rFonts w:hAnsi="宋体"/>
          <w:color w:val="auto"/>
          <w:szCs w:val="21"/>
          <w:highlight w:val="none"/>
        </w:rPr>
      </w:pPr>
      <w:r>
        <w:rPr>
          <w:rFonts w:hint="eastAsia" w:asciiTheme="minorEastAsia" w:hAnsiTheme="minorEastAsia" w:eastAsiaTheme="minorEastAsia"/>
          <w:color w:val="auto"/>
          <w:szCs w:val="21"/>
          <w:highlight w:val="none"/>
        </w:rPr>
        <w:t>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7ABC22DB">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20.5在评审中，供应商提交的响应文件或磋商应答文件出现下列情形之一的，磋商无效：</w:t>
      </w:r>
    </w:p>
    <w:p w14:paraId="21581C99">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（1）不具备磋商文件中规定的资格要求的或未在规定时间内获取磋商文件的；</w:t>
      </w:r>
    </w:p>
    <w:p w14:paraId="4DBFD2E0">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（2）首次提交的资格证明文件不全或模糊、辩认不清，不合格的；</w:t>
      </w:r>
    </w:p>
    <w:p w14:paraId="19A7947F">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（3）响应文件或磋商应答文件无法定代表人（负责人）或其授权委托代理人签字，或未提供法定代表人（负责人）授权委托书；</w:t>
      </w:r>
    </w:p>
    <w:p w14:paraId="221307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（4）响应文件未按磋商文件要求签署、盖章的；</w:t>
      </w:r>
    </w:p>
    <w:p w14:paraId="05AB080C">
      <w:pPr>
        <w:snapToGrid w:val="0"/>
        <w:spacing w:line="400" w:lineRule="exact"/>
        <w:ind w:firstLine="411" w:firstLineChars="196"/>
        <w:rPr>
          <w:rFonts w:hAnsi="宋体" w:cs="宋体"/>
          <w:color w:val="auto"/>
          <w:szCs w:val="21"/>
          <w:highlight w:val="none"/>
        </w:rPr>
      </w:pPr>
      <w:r>
        <w:rPr>
          <w:rFonts w:hint="eastAsia" w:asciiTheme="minorEastAsia" w:hAnsiTheme="minorEastAsia" w:eastAsiaTheme="minorEastAsia"/>
          <w:color w:val="auto"/>
          <w:szCs w:val="21"/>
          <w:highlight w:val="none"/>
        </w:rPr>
        <w:t>（5）响应文件格式不符合第七章“响应文件基本格式”的要求的；</w:t>
      </w:r>
    </w:p>
    <w:p w14:paraId="0A9CA1A2">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（6）磋商有效期、工期、工程质量等不能满足磋商文件要求的；</w:t>
      </w:r>
    </w:p>
    <w:p w14:paraId="66C55EF1">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（7）未采用人民币报价或者未按照磋商文件标明的币种、计价规则报价的；</w:t>
      </w:r>
    </w:p>
    <w:p w14:paraId="51E42AA0">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（8）</w:t>
      </w:r>
      <w:r>
        <w:rPr>
          <w:rFonts w:hint="eastAsia"/>
          <w:color w:val="auto"/>
          <w:highlight w:val="none"/>
        </w:rPr>
        <w:t>最终报价不是唯一报价，具有选择性。</w:t>
      </w:r>
    </w:p>
    <w:p w14:paraId="11D92A8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（9）最终报价超出最高限价，采购人不能支付的；</w:t>
      </w:r>
    </w:p>
    <w:p w14:paraId="1A5E18A9">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（10）磋商小组会认为供应商的最终报价明显低于其他通过符合性审查供应商的最终报价，有可能影响工程质量或者不能诚信履约，供应商不能证明其报价合理性的；</w:t>
      </w:r>
    </w:p>
    <w:p w14:paraId="36BEBA6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（11）</w:t>
      </w:r>
      <w:r>
        <w:rPr>
          <w:rFonts w:hint="eastAsia" w:hAnsi="宋体" w:cs="宋体"/>
          <w:snapToGrid w:val="0"/>
          <w:color w:val="auto"/>
          <w:szCs w:val="21"/>
          <w:highlight w:val="none"/>
        </w:rPr>
        <w:t>供应商</w:t>
      </w:r>
      <w:r>
        <w:rPr>
          <w:rFonts w:hint="eastAsia" w:hAnsi="宋体"/>
          <w:color w:val="auto"/>
          <w:szCs w:val="21"/>
          <w:highlight w:val="none"/>
        </w:rPr>
        <w:t>代表拒绝磋商小组提出的响应文件澄清要求或者澄清的内容改变了响应文件的实质性内容的。</w:t>
      </w:r>
    </w:p>
    <w:p w14:paraId="47499AFA">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（12）响应文件或磋商应答文件附有采购人</w:t>
      </w:r>
      <w:r>
        <w:rPr>
          <w:rFonts w:hint="eastAsia" w:ascii="Times New Roman"/>
          <w:color w:val="auto"/>
          <w:szCs w:val="24"/>
          <w:highlight w:val="none"/>
        </w:rPr>
        <w:t>不能接受的附加条件的；</w:t>
      </w:r>
    </w:p>
    <w:p w14:paraId="2D3DB0A6">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（13）供应商存在如下串通行为：</w:t>
      </w:r>
    </w:p>
    <w:p w14:paraId="0FFDD8F7">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A、不同供应商的响应文件由同一单位或者个人编制；或不同供应商报名的IP地址一致的。</w:t>
      </w:r>
    </w:p>
    <w:p w14:paraId="4F8C609A">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B、不同供应商委托同一单位或者个人办理磋商事宜。</w:t>
      </w:r>
    </w:p>
    <w:p w14:paraId="5A66975B">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C、不同供应商的投标文件载明的项目管理成员或者联系人员为同一人。</w:t>
      </w:r>
    </w:p>
    <w:p w14:paraId="0535A73B">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D、不同供应商的响应文件异常一致或磋商报价呈规律性差异。</w:t>
      </w:r>
    </w:p>
    <w:p w14:paraId="1DD831D3">
      <w:pPr>
        <w:widowControl/>
        <w:spacing w:line="360" w:lineRule="exact"/>
        <w:ind w:firstLine="965" w:firstLineChars="460"/>
        <w:jc w:val="left"/>
        <w:rPr>
          <w:rFonts w:hint="eastAsia" w:hAnsi="宋体"/>
          <w:color w:val="auto"/>
          <w:szCs w:val="21"/>
          <w:highlight w:val="none"/>
        </w:rPr>
      </w:pPr>
      <w:r>
        <w:rPr>
          <w:rFonts w:hint="eastAsia" w:hAnsi="宋体"/>
          <w:color w:val="auto"/>
          <w:szCs w:val="21"/>
          <w:highlight w:val="none"/>
        </w:rPr>
        <w:t>E、不同供应商的响应文件相互混装</w:t>
      </w:r>
    </w:p>
    <w:p w14:paraId="714D2725">
      <w:pPr>
        <w:widowControl/>
        <w:spacing w:line="360" w:lineRule="exact"/>
        <w:ind w:firstLine="965" w:firstLineChars="460"/>
        <w:jc w:val="left"/>
        <w:rPr>
          <w:rFonts w:asciiTheme="minorEastAsia" w:hAnsiTheme="minorEastAsia" w:eastAsiaTheme="minorEastAsia"/>
          <w:color w:val="auto"/>
          <w:szCs w:val="21"/>
          <w:highlight w:val="none"/>
        </w:rPr>
      </w:pPr>
      <w:r>
        <w:rPr>
          <w:rFonts w:hint="eastAsia" w:hAnsi="宋体"/>
          <w:color w:val="auto"/>
          <w:szCs w:val="21"/>
          <w:highlight w:val="none"/>
          <w:lang w:val="en-US" w:eastAsia="zh-CN"/>
        </w:rPr>
        <w:t>F、</w:t>
      </w:r>
      <w:r>
        <w:rPr>
          <w:rFonts w:hint="eastAsia" w:hAnsi="宋体"/>
          <w:color w:val="auto"/>
          <w:szCs w:val="21"/>
          <w:highlight w:val="none"/>
        </w:rPr>
        <w:t>不同供应商的</w:t>
      </w:r>
      <w:r>
        <w:rPr>
          <w:rFonts w:hint="eastAsia" w:hAnsi="宋体"/>
          <w:color w:val="auto"/>
          <w:szCs w:val="21"/>
          <w:highlight w:val="none"/>
          <w:lang w:eastAsia="zh-CN"/>
        </w:rPr>
        <w:t>磋商</w:t>
      </w:r>
      <w:r>
        <w:rPr>
          <w:rFonts w:hint="eastAsia" w:hAnsi="宋体"/>
          <w:color w:val="auto"/>
          <w:szCs w:val="21"/>
          <w:highlight w:val="none"/>
        </w:rPr>
        <w:t>保证金从同一单位或者个人的账户转出。</w:t>
      </w:r>
    </w:p>
    <w:p w14:paraId="1483AA1E">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（14）法律、法规和磋商文件规定的其他无效情形。</w:t>
      </w:r>
    </w:p>
    <w:p w14:paraId="0B8B9E3A">
      <w:pPr>
        <w:pStyle w:val="21"/>
        <w:snapToGrid w:val="0"/>
        <w:spacing w:line="420" w:lineRule="exact"/>
        <w:ind w:firstLine="443" w:firstLineChars="21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20.6在磋商采购中，出现下列情形之一的，采购项目予以废标：</w:t>
      </w:r>
    </w:p>
    <w:p w14:paraId="125F4153">
      <w:pPr>
        <w:snapToGrid w:val="0"/>
        <w:spacing w:line="400" w:lineRule="exact"/>
        <w:ind w:firstLine="411" w:firstLineChars="196"/>
        <w:rPr>
          <w:rFonts w:hint="eastAsia" w:hAnsi="宋体" w:cs="宋体"/>
          <w:color w:val="auto"/>
          <w:szCs w:val="21"/>
          <w:highlight w:val="none"/>
        </w:rPr>
      </w:pPr>
      <w:r>
        <w:rPr>
          <w:rFonts w:hint="eastAsia" w:hAnsi="宋体" w:cs="宋体"/>
          <w:color w:val="auto"/>
          <w:szCs w:val="21"/>
          <w:highlight w:val="none"/>
        </w:rPr>
        <w:t>（1）因情况变化，不再符合规定的竞争性磋商采购方式适用情形的。</w:t>
      </w:r>
    </w:p>
    <w:p w14:paraId="206E8266">
      <w:pPr>
        <w:snapToGrid w:val="0"/>
        <w:spacing w:line="400" w:lineRule="exact"/>
        <w:ind w:firstLine="411" w:firstLineChars="196"/>
        <w:rPr>
          <w:rFonts w:hint="eastAsia" w:hAnsi="宋体" w:cs="宋体"/>
          <w:color w:val="auto"/>
          <w:szCs w:val="21"/>
          <w:highlight w:val="none"/>
        </w:rPr>
      </w:pPr>
      <w:r>
        <w:rPr>
          <w:rFonts w:hint="eastAsia" w:hAnsi="宋体" w:cs="宋体"/>
          <w:color w:val="auto"/>
          <w:szCs w:val="21"/>
          <w:highlight w:val="none"/>
        </w:rPr>
        <w:t>（2）出现影响采购公正的违法、违规行为的。</w:t>
      </w:r>
    </w:p>
    <w:p w14:paraId="1BD46CAB">
      <w:pPr>
        <w:snapToGrid w:val="0"/>
        <w:spacing w:line="400" w:lineRule="exact"/>
        <w:ind w:firstLine="411" w:firstLineChars="196"/>
        <w:rPr>
          <w:rFonts w:asciiTheme="minorEastAsia" w:hAnsiTheme="minorEastAsia" w:eastAsiaTheme="minorEastAsia"/>
          <w:color w:val="auto"/>
          <w:sz w:val="21"/>
          <w:szCs w:val="21"/>
          <w:highlight w:val="none"/>
        </w:rPr>
      </w:pPr>
      <w:r>
        <w:rPr>
          <w:rFonts w:hint="eastAsia" w:hAnsi="宋体" w:cs="宋体"/>
          <w:color w:val="auto"/>
          <w:szCs w:val="21"/>
          <w:highlight w:val="none"/>
        </w:rPr>
        <w:t>（3）在采购过程中符合竞争</w:t>
      </w:r>
      <w:r>
        <w:rPr>
          <w:rFonts w:hint="eastAsia" w:asciiTheme="minorEastAsia" w:hAnsiTheme="minorEastAsia" w:eastAsiaTheme="minorEastAsia"/>
          <w:color w:val="auto"/>
          <w:sz w:val="21"/>
          <w:szCs w:val="21"/>
          <w:highlight w:val="none"/>
        </w:rPr>
        <w:t>要求的供应商或者报价未超过本项目最高限价的供应商不足3家的，但本须知第19.6（6）款规定的情形除外。</w:t>
      </w:r>
    </w:p>
    <w:p w14:paraId="4C647371">
      <w:pPr>
        <w:widowControl/>
        <w:spacing w:line="360" w:lineRule="exact"/>
        <w:ind w:firstLine="378" w:firstLineChars="18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（4）因重大变故，采购任务取消的。</w:t>
      </w:r>
    </w:p>
    <w:bookmarkEnd w:id="14"/>
    <w:bookmarkEnd w:id="15"/>
    <w:p w14:paraId="5993F72F">
      <w:pPr>
        <w:spacing w:line="400" w:lineRule="exact"/>
        <w:ind w:firstLine="422" w:firstLineChars="200"/>
        <w:outlineLvl w:val="2"/>
        <w:rPr>
          <w:rFonts w:asciiTheme="minorEastAsia" w:hAnsiTheme="minorEastAsia" w:eastAsiaTheme="minorEastAsia"/>
          <w:b/>
          <w:color w:val="auto"/>
          <w:szCs w:val="21"/>
          <w:highlight w:val="none"/>
        </w:rPr>
      </w:pPr>
      <w:bookmarkStart w:id="16" w:name="_Toc6797"/>
      <w:bookmarkStart w:id="17" w:name="_Toc254970533"/>
      <w:bookmarkStart w:id="18" w:name="_Toc254970674"/>
      <w:r>
        <w:rPr>
          <w:rFonts w:hint="eastAsia" w:asciiTheme="minorEastAsia" w:hAnsiTheme="minorEastAsia" w:eastAsiaTheme="minorEastAsia"/>
          <w:b/>
          <w:bCs/>
          <w:color w:val="auto"/>
          <w:szCs w:val="21"/>
          <w:highlight w:val="none"/>
        </w:rPr>
        <w:t>七、</w:t>
      </w:r>
      <w:r>
        <w:rPr>
          <w:rFonts w:hint="eastAsia" w:asciiTheme="minorEastAsia" w:hAnsiTheme="minorEastAsia" w:eastAsiaTheme="minorEastAsia"/>
          <w:b/>
          <w:color w:val="auto"/>
          <w:szCs w:val="21"/>
          <w:highlight w:val="none"/>
        </w:rPr>
        <w:t>确定成交供应商办法</w:t>
      </w:r>
      <w:bookmarkEnd w:id="16"/>
    </w:p>
    <w:p w14:paraId="135DF0EB">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7D0AD27E">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31F79565">
      <w:pPr>
        <w:spacing w:line="400" w:lineRule="exact"/>
        <w:ind w:firstLine="422" w:firstLineChars="200"/>
        <w:outlineLvl w:val="2"/>
        <w:rPr>
          <w:rFonts w:asciiTheme="minorEastAsia" w:hAnsiTheme="minorEastAsia" w:eastAsiaTheme="minorEastAsia"/>
          <w:b/>
          <w:bCs/>
          <w:color w:val="auto"/>
          <w:szCs w:val="21"/>
          <w:highlight w:val="none"/>
        </w:rPr>
      </w:pPr>
      <w:bookmarkStart w:id="19" w:name="_Toc12076"/>
      <w:r>
        <w:rPr>
          <w:rFonts w:hint="eastAsia" w:asciiTheme="minorEastAsia" w:hAnsiTheme="minorEastAsia" w:eastAsiaTheme="minorEastAsia"/>
          <w:b/>
          <w:color w:val="auto"/>
          <w:szCs w:val="21"/>
          <w:highlight w:val="none"/>
        </w:rPr>
        <w:t>八、</w:t>
      </w:r>
      <w:r>
        <w:rPr>
          <w:rFonts w:hint="eastAsia" w:asciiTheme="minorEastAsia" w:hAnsiTheme="minorEastAsia" w:eastAsiaTheme="minorEastAsia"/>
          <w:b/>
          <w:bCs/>
          <w:color w:val="auto"/>
          <w:szCs w:val="21"/>
          <w:highlight w:val="none"/>
        </w:rPr>
        <w:t>质疑和投诉</w:t>
      </w:r>
      <w:bookmarkEnd w:id="17"/>
      <w:bookmarkEnd w:id="18"/>
      <w:bookmarkEnd w:id="19"/>
    </w:p>
    <w:p w14:paraId="4F560615">
      <w:pPr>
        <w:spacing w:line="400" w:lineRule="exact"/>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23.供应商认为磋商文件、磋商过程或成交结果使自己的合法权益受到损害的，应当在知道或者应知其权益受到损害之日起七个工作日内，以书面形式向采购人、采购代理机构提出质疑。</w:t>
      </w:r>
      <w:r>
        <w:rPr>
          <w:rFonts w:hint="eastAsia" w:asciiTheme="minorEastAsia" w:hAnsiTheme="minorEastAsia" w:eastAsiaTheme="minorEastAsia"/>
          <w:color w:val="auto"/>
          <w:szCs w:val="21"/>
          <w:highlight w:val="none"/>
        </w:rPr>
        <w:t>供应商对采购单位的质疑答复不满意或者采购单位未在规定时间内作出答复的，可以在答复期满后十五个工作日内向同级采购监管部门投诉。</w:t>
      </w:r>
    </w:p>
    <w:p w14:paraId="61897418">
      <w:pPr>
        <w:spacing w:line="400" w:lineRule="exact"/>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3C9FD956">
      <w:pPr>
        <w:spacing w:line="400" w:lineRule="exact"/>
        <w:ind w:left="420" w:leftChars="200" w:firstLine="105" w:firstLineChars="50"/>
        <w:outlineLvl w:val="2"/>
        <w:rPr>
          <w:rFonts w:asciiTheme="minorEastAsia" w:hAnsiTheme="minorEastAsia" w:eastAsiaTheme="minorEastAsia"/>
          <w:b/>
          <w:color w:val="auto"/>
          <w:szCs w:val="21"/>
          <w:highlight w:val="none"/>
        </w:rPr>
      </w:pPr>
      <w:bookmarkStart w:id="20" w:name="_Toc7004"/>
      <w:r>
        <w:rPr>
          <w:rFonts w:hint="eastAsia" w:asciiTheme="minorEastAsia" w:hAnsiTheme="minorEastAsia" w:eastAsiaTheme="minorEastAsia"/>
          <w:b/>
          <w:color w:val="auto"/>
          <w:szCs w:val="21"/>
          <w:highlight w:val="none"/>
        </w:rPr>
        <w:t>九、履约保证金</w:t>
      </w:r>
      <w:bookmarkEnd w:id="20"/>
    </w:p>
    <w:p w14:paraId="5E6CC016">
      <w:pPr>
        <w:pStyle w:val="27"/>
        <w:spacing w:line="420" w:lineRule="exact"/>
        <w:ind w:firstLine="434"/>
        <w:rPr>
          <w:rFonts w:hAnsi="宋体"/>
          <w:color w:val="auto"/>
          <w:highlight w:val="none"/>
        </w:rPr>
      </w:pPr>
      <w:r>
        <w:rPr>
          <w:rFonts w:hint="eastAsia" w:asciiTheme="minorEastAsia" w:hAnsiTheme="minorEastAsia" w:eastAsiaTheme="minorEastAsia"/>
          <w:color w:val="auto"/>
          <w:szCs w:val="21"/>
          <w:highlight w:val="none"/>
        </w:rPr>
        <w:t>25.本项目不收取履约保证金。</w:t>
      </w:r>
    </w:p>
    <w:p w14:paraId="34B56491">
      <w:pPr>
        <w:spacing w:line="400" w:lineRule="exact"/>
        <w:ind w:left="420" w:leftChars="200" w:firstLine="105" w:firstLineChars="50"/>
        <w:outlineLvl w:val="2"/>
        <w:rPr>
          <w:rFonts w:asciiTheme="minorEastAsia" w:hAnsiTheme="minorEastAsia" w:eastAsiaTheme="minorEastAsia"/>
          <w:b/>
          <w:color w:val="auto"/>
          <w:szCs w:val="21"/>
          <w:highlight w:val="none"/>
        </w:rPr>
      </w:pPr>
      <w:bookmarkStart w:id="21" w:name="_Toc27022"/>
      <w:r>
        <w:rPr>
          <w:rFonts w:hint="eastAsia" w:asciiTheme="minorEastAsia" w:hAnsiTheme="minorEastAsia" w:eastAsiaTheme="minorEastAsia"/>
          <w:b/>
          <w:color w:val="auto"/>
          <w:szCs w:val="21"/>
          <w:highlight w:val="none"/>
        </w:rPr>
        <w:t>十、签订合同</w:t>
      </w:r>
      <w:bookmarkEnd w:id="21"/>
    </w:p>
    <w:p w14:paraId="1C2C6F5D">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26.成交供应商接到成交通知书后，应自成交通知书发出之日起25天内与采购人签订合同。</w:t>
      </w:r>
    </w:p>
    <w:p w14:paraId="6CB94A29">
      <w:pPr>
        <w:pStyle w:val="27"/>
        <w:spacing w:line="420" w:lineRule="exact"/>
        <w:ind w:firstLine="403" w:firstLineChars="19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27.如成交供应商不按成交通知书的规定签订合同，则按成交供应商违约处理。</w:t>
      </w:r>
    </w:p>
    <w:p w14:paraId="58F56C97">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7E52AEB0">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29.政府采购合同公告</w:t>
      </w:r>
    </w:p>
    <w:p w14:paraId="5B01D420">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90935EF">
      <w:pPr>
        <w:spacing w:line="400" w:lineRule="exact"/>
        <w:ind w:left="420" w:leftChars="200" w:firstLine="105" w:firstLineChars="50"/>
        <w:outlineLvl w:val="2"/>
        <w:rPr>
          <w:rFonts w:asciiTheme="minorEastAsia" w:hAnsiTheme="minorEastAsia" w:eastAsiaTheme="minorEastAsia"/>
          <w:b/>
          <w:color w:val="auto"/>
          <w:szCs w:val="21"/>
          <w:highlight w:val="none"/>
        </w:rPr>
      </w:pPr>
      <w:bookmarkStart w:id="22" w:name="_Toc21475"/>
      <w:r>
        <w:rPr>
          <w:rFonts w:hint="eastAsia" w:asciiTheme="minorEastAsia" w:hAnsiTheme="minorEastAsia" w:eastAsiaTheme="minorEastAsia"/>
          <w:b/>
          <w:color w:val="auto"/>
          <w:szCs w:val="21"/>
          <w:highlight w:val="none"/>
        </w:rPr>
        <w:t>十一、其他事项</w:t>
      </w:r>
      <w:bookmarkEnd w:id="22"/>
    </w:p>
    <w:p w14:paraId="0651FA88">
      <w:pPr>
        <w:pStyle w:val="27"/>
        <w:spacing w:line="420" w:lineRule="exact"/>
        <w:ind w:firstLine="411" w:firstLineChars="196"/>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30.</w:t>
      </w:r>
      <w:r>
        <w:rPr>
          <w:rFonts w:hint="eastAsia" w:asciiTheme="minorEastAsia" w:hAnsiTheme="minorEastAsia" w:eastAsiaTheme="minorEastAsia"/>
          <w:b/>
          <w:color w:val="auto"/>
          <w:szCs w:val="21"/>
          <w:highlight w:val="none"/>
        </w:rPr>
        <w:t xml:space="preserve"> 代理服务费</w:t>
      </w:r>
    </w:p>
    <w:p w14:paraId="595675FE">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代理服务费参照原国家发展计划委员会计价格〔2002〕1980号《招标代理服务费管理暂行办法》及国家发改委发改价格〔2011〕534号文收费标准，收费标准以成交金额为计算基数，按“工程招标”费率计算。签订合同前，成交人应向采购代理机构一次付清代理服务费。</w:t>
      </w:r>
    </w:p>
    <w:p w14:paraId="34070A0B">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30.2代理服务收费标准(按工程招标类)：</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011"/>
        <w:gridCol w:w="1701"/>
        <w:gridCol w:w="1721"/>
      </w:tblGrid>
      <w:tr w14:paraId="461A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092" w:type="dxa"/>
          </w:tcPr>
          <w:p w14:paraId="2E2C65A8">
            <w:pPr>
              <w:spacing w:line="42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-6350</wp:posOffset>
                      </wp:positionV>
                      <wp:extent cx="1951990" cy="592455"/>
                      <wp:effectExtent l="1270" t="4445" r="8890" b="12700"/>
                      <wp:wrapNone/>
                      <wp:docPr id="1"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071" o:spid="_x0000_s1026" o:spt="20" style="position:absolute;left:0pt;margin-left:-5.4pt;margin-top:-0.5pt;height:46.65pt;width:153.7pt;z-index:251660288;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H7Yf/XAAAACQEAAA8AAAAAAAAA&#10;AQAgAAAAIgAAAGRycy9kb3ducmV2LnhtbFBLAQIUABQAAAAIAIdO4kBU9VBx2QEAANYDAAAOAAAA&#10;AAAAAAEAIAAAACYBAABkcnMvZTJvRG9jLnhtbFBLBQYAAAAABgAGAFkBAABxBQAAAAA=&#10;">
                      <v:fill on="f" focussize="0,0"/>
                      <v:stroke color="#000000" joinstyle="round"/>
                      <v:imagedata o:title=""/>
                      <o:lock v:ext="edit" aspectratio="f"/>
                    </v:line>
                  </w:pict>
                </mc:Fallback>
              </mc:AlternateContent>
            </w:r>
            <w:r>
              <w:rPr>
                <w:rFonts w:hint="eastAsia" w:asciiTheme="minorEastAsia" w:hAnsiTheme="minorEastAsia" w:eastAsiaTheme="minorEastAsia"/>
                <w:color w:val="auto"/>
                <w:szCs w:val="21"/>
                <w:highlight w:val="none"/>
              </w:rPr>
              <w:t xml:space="preserve">          费率</w:t>
            </w:r>
          </w:p>
          <w:p w14:paraId="4E26D3E8">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中标金额</w:t>
            </w:r>
          </w:p>
        </w:tc>
        <w:tc>
          <w:tcPr>
            <w:tcW w:w="2011" w:type="dxa"/>
            <w:vAlign w:val="center"/>
          </w:tcPr>
          <w:p w14:paraId="4FAE8D48">
            <w:pPr>
              <w:spacing w:line="420" w:lineRule="exact"/>
              <w:ind w:firstLine="105" w:firstLineChars="5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货物招标</w:t>
            </w:r>
          </w:p>
        </w:tc>
        <w:tc>
          <w:tcPr>
            <w:tcW w:w="1701" w:type="dxa"/>
            <w:vAlign w:val="center"/>
          </w:tcPr>
          <w:p w14:paraId="6DAD5AC3">
            <w:pPr>
              <w:spacing w:line="42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服务招标</w:t>
            </w:r>
          </w:p>
        </w:tc>
        <w:tc>
          <w:tcPr>
            <w:tcW w:w="1721" w:type="dxa"/>
            <w:vAlign w:val="center"/>
          </w:tcPr>
          <w:p w14:paraId="7B16021C">
            <w:pPr>
              <w:spacing w:line="42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工程招标</w:t>
            </w:r>
          </w:p>
        </w:tc>
      </w:tr>
      <w:tr w14:paraId="4E66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4349B7B0">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100万元以下</w:t>
            </w:r>
          </w:p>
        </w:tc>
        <w:tc>
          <w:tcPr>
            <w:tcW w:w="2011" w:type="dxa"/>
          </w:tcPr>
          <w:p w14:paraId="1C9BB600">
            <w:pPr>
              <w:spacing w:line="4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  1.5%                </w:t>
            </w:r>
          </w:p>
        </w:tc>
        <w:tc>
          <w:tcPr>
            <w:tcW w:w="1701" w:type="dxa"/>
          </w:tcPr>
          <w:p w14:paraId="2597B46D">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1.5%</w:t>
            </w:r>
          </w:p>
        </w:tc>
        <w:tc>
          <w:tcPr>
            <w:tcW w:w="1721" w:type="dxa"/>
          </w:tcPr>
          <w:p w14:paraId="219E3BEA">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1.0% </w:t>
            </w:r>
          </w:p>
        </w:tc>
      </w:tr>
      <w:tr w14:paraId="226A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30E316C0">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100～500万元</w:t>
            </w:r>
          </w:p>
        </w:tc>
        <w:tc>
          <w:tcPr>
            <w:tcW w:w="2011" w:type="dxa"/>
          </w:tcPr>
          <w:p w14:paraId="5F817E99">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1.1%                 </w:t>
            </w:r>
          </w:p>
        </w:tc>
        <w:tc>
          <w:tcPr>
            <w:tcW w:w="1701" w:type="dxa"/>
          </w:tcPr>
          <w:p w14:paraId="72DC8E69">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0.8%</w:t>
            </w:r>
          </w:p>
        </w:tc>
        <w:tc>
          <w:tcPr>
            <w:tcW w:w="1721" w:type="dxa"/>
          </w:tcPr>
          <w:p w14:paraId="5B473CE8">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0.7% </w:t>
            </w:r>
          </w:p>
        </w:tc>
      </w:tr>
      <w:tr w14:paraId="69FF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0DD50782">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500～1000万元</w:t>
            </w:r>
          </w:p>
        </w:tc>
        <w:tc>
          <w:tcPr>
            <w:tcW w:w="2011" w:type="dxa"/>
          </w:tcPr>
          <w:p w14:paraId="5F7F909F">
            <w:pPr>
              <w:spacing w:line="4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  0.8%                </w:t>
            </w:r>
          </w:p>
        </w:tc>
        <w:tc>
          <w:tcPr>
            <w:tcW w:w="1701" w:type="dxa"/>
          </w:tcPr>
          <w:p w14:paraId="5CE95A23">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0.45%</w:t>
            </w:r>
          </w:p>
        </w:tc>
        <w:tc>
          <w:tcPr>
            <w:tcW w:w="1721" w:type="dxa"/>
          </w:tcPr>
          <w:p w14:paraId="0E15F307">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0.55%</w:t>
            </w:r>
          </w:p>
        </w:tc>
      </w:tr>
      <w:tr w14:paraId="0F05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6DCB5864">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1000～5000万元</w:t>
            </w:r>
          </w:p>
        </w:tc>
        <w:tc>
          <w:tcPr>
            <w:tcW w:w="2011" w:type="dxa"/>
          </w:tcPr>
          <w:p w14:paraId="3837D6B4">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0.5%                </w:t>
            </w:r>
          </w:p>
        </w:tc>
        <w:tc>
          <w:tcPr>
            <w:tcW w:w="1701" w:type="dxa"/>
          </w:tcPr>
          <w:p w14:paraId="2B3A6F94">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0.25%</w:t>
            </w:r>
          </w:p>
        </w:tc>
        <w:tc>
          <w:tcPr>
            <w:tcW w:w="1721" w:type="dxa"/>
          </w:tcPr>
          <w:p w14:paraId="391344A9">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0.35% </w:t>
            </w:r>
          </w:p>
        </w:tc>
      </w:tr>
      <w:tr w14:paraId="07F5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2BD6F07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5000万元～1亿元</w:t>
            </w:r>
          </w:p>
        </w:tc>
        <w:tc>
          <w:tcPr>
            <w:tcW w:w="2011" w:type="dxa"/>
          </w:tcPr>
          <w:p w14:paraId="1C1C9492">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0.25%                 </w:t>
            </w:r>
          </w:p>
        </w:tc>
        <w:tc>
          <w:tcPr>
            <w:tcW w:w="1701" w:type="dxa"/>
          </w:tcPr>
          <w:p w14:paraId="007981B4">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0.1%</w:t>
            </w:r>
          </w:p>
        </w:tc>
        <w:tc>
          <w:tcPr>
            <w:tcW w:w="1721" w:type="dxa"/>
          </w:tcPr>
          <w:p w14:paraId="6E9D1E74">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0.2%</w:t>
            </w:r>
          </w:p>
        </w:tc>
      </w:tr>
      <w:tr w14:paraId="7B9C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1FD25647">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1～5亿元</w:t>
            </w:r>
          </w:p>
        </w:tc>
        <w:tc>
          <w:tcPr>
            <w:tcW w:w="2011" w:type="dxa"/>
          </w:tcPr>
          <w:p w14:paraId="169B52CE">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0.05%</w:t>
            </w:r>
          </w:p>
        </w:tc>
        <w:tc>
          <w:tcPr>
            <w:tcW w:w="1701" w:type="dxa"/>
          </w:tcPr>
          <w:p w14:paraId="7DCB6E47">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0.05%</w:t>
            </w:r>
          </w:p>
        </w:tc>
        <w:tc>
          <w:tcPr>
            <w:tcW w:w="1721" w:type="dxa"/>
          </w:tcPr>
          <w:p w14:paraId="4D4B5FFF">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0.05%</w:t>
            </w:r>
          </w:p>
        </w:tc>
      </w:tr>
      <w:tr w14:paraId="4E5D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6058E835">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5～10亿元</w:t>
            </w:r>
          </w:p>
        </w:tc>
        <w:tc>
          <w:tcPr>
            <w:tcW w:w="2011" w:type="dxa"/>
          </w:tcPr>
          <w:p w14:paraId="358A7E91">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0.035%</w:t>
            </w:r>
          </w:p>
        </w:tc>
        <w:tc>
          <w:tcPr>
            <w:tcW w:w="1701" w:type="dxa"/>
          </w:tcPr>
          <w:p w14:paraId="0A888B3D">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0.035%</w:t>
            </w:r>
          </w:p>
        </w:tc>
        <w:tc>
          <w:tcPr>
            <w:tcW w:w="1721" w:type="dxa"/>
          </w:tcPr>
          <w:p w14:paraId="1C4B560D">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0.035%</w:t>
            </w:r>
          </w:p>
        </w:tc>
      </w:tr>
      <w:tr w14:paraId="519C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0961D05C">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10～50亿元</w:t>
            </w:r>
          </w:p>
        </w:tc>
        <w:tc>
          <w:tcPr>
            <w:tcW w:w="2011" w:type="dxa"/>
          </w:tcPr>
          <w:p w14:paraId="364F2013">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c>
          <w:tcPr>
            <w:tcW w:w="1701" w:type="dxa"/>
          </w:tcPr>
          <w:p w14:paraId="3F48F55B">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c>
          <w:tcPr>
            <w:tcW w:w="1721" w:type="dxa"/>
          </w:tcPr>
          <w:p w14:paraId="4D4BCA55">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r>
      <w:tr w14:paraId="671E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BA2ADEC">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50～100亿元</w:t>
            </w:r>
          </w:p>
        </w:tc>
        <w:tc>
          <w:tcPr>
            <w:tcW w:w="2011" w:type="dxa"/>
          </w:tcPr>
          <w:p w14:paraId="1BD8E0F6">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0.006%</w:t>
            </w:r>
          </w:p>
        </w:tc>
        <w:tc>
          <w:tcPr>
            <w:tcW w:w="1701" w:type="dxa"/>
          </w:tcPr>
          <w:p w14:paraId="7D419C85">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0.006%</w:t>
            </w:r>
          </w:p>
        </w:tc>
        <w:tc>
          <w:tcPr>
            <w:tcW w:w="1721" w:type="dxa"/>
          </w:tcPr>
          <w:p w14:paraId="3A2283EF">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0.006%</w:t>
            </w:r>
          </w:p>
        </w:tc>
      </w:tr>
      <w:tr w14:paraId="4690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2" w:type="dxa"/>
          </w:tcPr>
          <w:p w14:paraId="2BC6FCF8">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100亿以上</w:t>
            </w:r>
          </w:p>
        </w:tc>
        <w:tc>
          <w:tcPr>
            <w:tcW w:w="2011" w:type="dxa"/>
          </w:tcPr>
          <w:p w14:paraId="36FD8E6E">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0.004%</w:t>
            </w:r>
          </w:p>
        </w:tc>
        <w:tc>
          <w:tcPr>
            <w:tcW w:w="1701" w:type="dxa"/>
          </w:tcPr>
          <w:p w14:paraId="62595894">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0.004%</w:t>
            </w:r>
          </w:p>
        </w:tc>
        <w:tc>
          <w:tcPr>
            <w:tcW w:w="1721" w:type="dxa"/>
          </w:tcPr>
          <w:p w14:paraId="63AE30D3">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0.004%</w:t>
            </w:r>
          </w:p>
        </w:tc>
      </w:tr>
    </w:tbl>
    <w:p w14:paraId="4EFC4F65">
      <w:pPr>
        <w:pStyle w:val="27"/>
        <w:spacing w:line="420" w:lineRule="exac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注：招标代理服务收费按差额定率累进法计算。</w:t>
      </w:r>
    </w:p>
    <w:p w14:paraId="2764FDFA">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31.采购当事人的一切活动均适用于《中华人民共和国政府采购法》、《中华人民共和国政府采购法实施条例》及相关规定。</w:t>
      </w:r>
    </w:p>
    <w:p w14:paraId="694CA4E6">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p>
    <w:bookmarkEnd w:id="3"/>
    <w:bookmarkEnd w:id="4"/>
    <w:bookmarkEnd w:id="6"/>
    <w:p w14:paraId="2923B60E">
      <w:pPr>
        <w:spacing w:line="500" w:lineRule="exact"/>
        <w:jc w:val="left"/>
        <w:rPr>
          <w:rFonts w:hAnsi="宋体"/>
          <w:b/>
          <w:color w:val="auto"/>
          <w:sz w:val="24"/>
          <w:szCs w:val="24"/>
          <w:highlight w:val="none"/>
        </w:rPr>
        <w:sectPr>
          <w:pgSz w:w="11907" w:h="16840"/>
          <w:pgMar w:top="1304" w:right="1304" w:bottom="1304" w:left="1304" w:header="964" w:footer="737" w:gutter="0"/>
          <w:cols w:space="720" w:num="1"/>
          <w:titlePg/>
          <w:docGrid w:linePitch="312" w:charSpace="0"/>
        </w:sectPr>
      </w:pPr>
      <w:bookmarkStart w:id="23" w:name="_Toc453681440"/>
      <w:bookmarkStart w:id="24" w:name="_Toc108836086"/>
      <w:bookmarkStart w:id="25" w:name="_Toc108835675"/>
    </w:p>
    <w:p w14:paraId="0F542E06">
      <w:pPr>
        <w:spacing w:line="500" w:lineRule="exact"/>
        <w:jc w:val="left"/>
        <w:outlineLvl w:val="2"/>
        <w:rPr>
          <w:rFonts w:hAnsi="宋体"/>
          <w:b/>
          <w:color w:val="auto"/>
          <w:sz w:val="24"/>
          <w:szCs w:val="24"/>
          <w:highlight w:val="none"/>
        </w:rPr>
      </w:pPr>
      <w:bookmarkStart w:id="26" w:name="_Toc11923"/>
      <w:r>
        <w:rPr>
          <w:rFonts w:hint="eastAsia" w:hAnsi="宋体"/>
          <w:b/>
          <w:color w:val="auto"/>
          <w:sz w:val="24"/>
          <w:szCs w:val="24"/>
          <w:highlight w:val="none"/>
        </w:rPr>
        <w:t>附件1</w:t>
      </w:r>
      <w:bookmarkEnd w:id="26"/>
    </w:p>
    <w:p w14:paraId="6273C779">
      <w:pPr>
        <w:widowControl/>
        <w:shd w:val="clear" w:color="auto" w:fill="FFFFFF"/>
        <w:spacing w:line="480" w:lineRule="atLeast"/>
        <w:jc w:val="center"/>
        <w:outlineLvl w:val="2"/>
        <w:rPr>
          <w:rFonts w:cs="宋体" w:asciiTheme="minorEastAsia" w:hAnsiTheme="minorEastAsia" w:eastAsiaTheme="minorEastAsia"/>
          <w:color w:val="auto"/>
          <w:kern w:val="0"/>
          <w:sz w:val="32"/>
          <w:szCs w:val="32"/>
          <w:highlight w:val="none"/>
        </w:rPr>
      </w:pPr>
      <w:bookmarkStart w:id="27" w:name="_Toc18475"/>
      <w:r>
        <w:rPr>
          <w:rFonts w:hint="eastAsia" w:cs="黑体" w:asciiTheme="minorEastAsia" w:hAnsiTheme="minorEastAsia" w:eastAsiaTheme="minorEastAsia"/>
          <w:color w:val="auto"/>
          <w:kern w:val="0"/>
          <w:sz w:val="32"/>
          <w:szCs w:val="32"/>
          <w:highlight w:val="none"/>
        </w:rPr>
        <w:t>广西壮族自治区政府采购项目合同验收书</w:t>
      </w:r>
      <w:r>
        <w:rPr>
          <w:rFonts w:hint="eastAsia" w:cs="宋体" w:asciiTheme="minorEastAsia" w:hAnsiTheme="minorEastAsia" w:eastAsiaTheme="minorEastAsia"/>
          <w:color w:val="auto"/>
          <w:kern w:val="0"/>
          <w:sz w:val="32"/>
          <w:szCs w:val="32"/>
          <w:highlight w:val="none"/>
        </w:rPr>
        <w:t>（格式）</w:t>
      </w:r>
      <w:bookmarkEnd w:id="27"/>
    </w:p>
    <w:p w14:paraId="257B5F66">
      <w:pPr>
        <w:widowControl/>
        <w:shd w:val="clear" w:color="auto" w:fill="FFFFFF"/>
        <w:spacing w:line="480" w:lineRule="atLeast"/>
        <w:jc w:val="center"/>
        <w:rPr>
          <w:rFonts w:ascii="仿宋" w:hAnsi="仿宋" w:eastAsia="仿宋" w:cs="宋体"/>
          <w:color w:val="auto"/>
          <w:kern w:val="0"/>
          <w:sz w:val="32"/>
          <w:szCs w:val="32"/>
          <w:highlight w:val="none"/>
        </w:rPr>
      </w:pPr>
    </w:p>
    <w:p w14:paraId="56E854AF">
      <w:pPr>
        <w:widowControl/>
        <w:shd w:val="clear" w:color="auto" w:fill="FFFFFF"/>
        <w:snapToGrid w:val="0"/>
        <w:spacing w:line="320" w:lineRule="atLeast"/>
        <w:ind w:firstLine="48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根据政府采购项目（</w:t>
      </w:r>
      <w:r>
        <w:rPr>
          <w:rFonts w:hint="eastAsia" w:cs="宋体" w:asciiTheme="minorEastAsia" w:hAnsiTheme="minorEastAsia" w:eastAsiaTheme="minorEastAsia"/>
          <w:color w:val="auto"/>
          <w:kern w:val="0"/>
          <w:szCs w:val="21"/>
          <w:highlight w:val="none"/>
          <w:u w:val="single"/>
        </w:rPr>
        <w:t>采购合同编号：</w:t>
      </w:r>
      <w:r>
        <w:rPr>
          <w:rFonts w:hint="eastAsia" w:cs="宋体" w:asciiTheme="minorEastAsia" w:hAnsiTheme="minorEastAsia" w:eastAsiaTheme="minorEastAsia"/>
          <w:color w:val="auto"/>
          <w:kern w:val="0"/>
          <w:szCs w:val="21"/>
          <w:highlight w:val="none"/>
          <w:u w:val="single"/>
        </w:rPr>
        <w:softHyphen/>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rPr>
        <w:t>）的约定，我单位对（</w:t>
      </w:r>
      <w:r>
        <w:rPr>
          <w:rFonts w:hint="eastAsia" w:cs="宋体" w:asciiTheme="minorEastAsia" w:hAnsiTheme="minorEastAsia" w:eastAsiaTheme="minorEastAsia"/>
          <w:color w:val="auto"/>
          <w:kern w:val="0"/>
          <w:szCs w:val="21"/>
          <w:highlight w:val="none"/>
          <w:u w:val="single"/>
        </w:rPr>
        <w:t xml:space="preserve"> 项目名称 </w:t>
      </w:r>
      <w:r>
        <w:rPr>
          <w:rFonts w:hint="eastAsia" w:cs="宋体" w:asciiTheme="minorEastAsia" w:hAnsiTheme="minorEastAsia" w:eastAsiaTheme="minorEastAsia"/>
          <w:color w:val="auto"/>
          <w:kern w:val="0"/>
          <w:szCs w:val="21"/>
          <w:highlight w:val="none"/>
        </w:rPr>
        <w:t>） 政府采购项目中标（或成交）供应商（</w:t>
      </w:r>
      <w:r>
        <w:rPr>
          <w:rFonts w:hint="eastAsia" w:cs="宋体" w:asciiTheme="minorEastAsia" w:hAnsiTheme="minorEastAsia" w:eastAsiaTheme="minorEastAsia"/>
          <w:color w:val="auto"/>
          <w:kern w:val="0"/>
          <w:szCs w:val="21"/>
          <w:highlight w:val="none"/>
          <w:u w:val="single"/>
        </w:rPr>
        <w:t xml:space="preserve"> 公司名称 </w:t>
      </w:r>
      <w:r>
        <w:rPr>
          <w:rFonts w:hint="eastAsia" w:cs="宋体" w:asciiTheme="minorEastAsia" w:hAnsiTheme="minorEastAsia" w:eastAsiaTheme="minorEastAsia"/>
          <w:color w:val="auto"/>
          <w:kern w:val="0"/>
          <w:szCs w:val="21"/>
          <w:highlight w:val="none"/>
        </w:rPr>
        <w:t>） 提供的货物（或工程、服务）进行了验收，验收情况如下：</w:t>
      </w:r>
    </w:p>
    <w:tbl>
      <w:tblPr>
        <w:tblStyle w:val="57"/>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79D20864">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52F35A30">
            <w:pPr>
              <w:widowControl/>
              <w:snapToGrid w:val="0"/>
              <w:spacing w:before="100" w:beforeAutospacing="1" w:after="100" w:afterAutospacing="1" w:line="320" w:lineRule="atLeast"/>
              <w:ind w:firstLine="5"/>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6934A5E0">
            <w:pPr>
              <w:widowControl/>
              <w:snapToGrid w:val="0"/>
              <w:spacing w:before="100" w:beforeAutospacing="1" w:after="100" w:afterAutospacing="1" w:line="320" w:lineRule="atLeast"/>
              <w:ind w:firstLine="480"/>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□自行验收 □委托验收</w:t>
            </w:r>
          </w:p>
        </w:tc>
      </w:tr>
      <w:tr w14:paraId="178DCEB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30608379">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169C5D48">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2AA5CEFB">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14D9EC82">
            <w:pPr>
              <w:widowControl/>
              <w:snapToGrid w:val="0"/>
              <w:spacing w:before="100" w:beforeAutospacing="1" w:after="100" w:afterAutospacing="1" w:line="320" w:lineRule="atLeast"/>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20393889">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金 额</w:t>
            </w:r>
          </w:p>
        </w:tc>
      </w:tr>
      <w:tr w14:paraId="6AC161E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B6E4BDC">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8141716">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03D1AE8">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D447C50">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77CEBD37">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49B128C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6FC0DA8">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59D8B7F2">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1B64B93">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9361A1E">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63F5AE49">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16822B5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2E1146D">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58254C2A">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6B5C88E">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A9F9A39">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1F699B2E">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2DD1CF75">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3DAC38C4">
            <w:pPr>
              <w:widowControl/>
              <w:snapToGrid w:val="0"/>
              <w:spacing w:before="100" w:beforeAutospacing="1" w:after="100" w:afterAutospacing="1" w:line="320" w:lineRule="atLeast"/>
              <w:ind w:firstLine="5"/>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04356409">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590D4B10">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3BD30B99">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40B49F9F">
            <w:pPr>
              <w:widowControl/>
              <w:snapToGrid w:val="0"/>
              <w:spacing w:before="100" w:beforeAutospacing="1" w:after="100" w:afterAutospacing="1" w:line="320" w:lineRule="atLeast"/>
              <w:ind w:firstLine="2"/>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合计大写金额： 仟 佰 拾 万 仟 佰 拾 元</w:t>
            </w:r>
          </w:p>
        </w:tc>
      </w:tr>
      <w:tr w14:paraId="60BDBBE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57829DAF">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781A183">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5D9D973">
            <w:pPr>
              <w:widowControl/>
              <w:snapToGrid w:val="0"/>
              <w:spacing w:before="100" w:beforeAutospacing="1" w:after="100" w:afterAutospacing="1" w:line="320" w:lineRule="atLeast"/>
              <w:ind w:firstLine="46"/>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334A0DDF">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1672B75D">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E77AEE0">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39DA8519">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926AA09">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0C2169E4">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196B9F24">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F94699">
            <w:pPr>
              <w:widowControl/>
              <w:snapToGrid w:val="0"/>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8B6A5C1">
            <w:pPr>
              <w:widowControl/>
              <w:snapToGrid w:val="0"/>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7B078D4C">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9E2A0C">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5F14F261">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验收结论性意见：</w:t>
            </w:r>
          </w:p>
        </w:tc>
      </w:tr>
      <w:tr w14:paraId="68657AC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5ED51F25">
            <w:pPr>
              <w:widowControl/>
              <w:jc w:val="left"/>
              <w:rPr>
                <w:rFonts w:cs="宋体" w:asciiTheme="minorEastAsia" w:hAnsiTheme="minorEastAsia" w:eastAsiaTheme="minorEastAsia"/>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3897FD38">
            <w:pPr>
              <w:widowControl/>
              <w:spacing w:before="100" w:beforeAutospacing="1" w:after="100" w:afterAutospacing="1" w:line="320" w:lineRule="atLeast"/>
              <w:ind w:firstLine="96"/>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有异议的意见和说明理由：</w:t>
            </w:r>
          </w:p>
          <w:p w14:paraId="6066C58B">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签字：</w:t>
            </w:r>
          </w:p>
        </w:tc>
      </w:tr>
      <w:tr w14:paraId="484B001D">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0C678F">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验收小组成员签字：</w:t>
            </w:r>
          </w:p>
        </w:tc>
      </w:tr>
      <w:tr w14:paraId="45EAD82C">
        <w:tblPrEx>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1F2011">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监督人员或其他相关人员签字：</w:t>
            </w:r>
          </w:p>
          <w:p w14:paraId="4B19AE04">
            <w:pPr>
              <w:widowControl/>
              <w:spacing w:before="100" w:beforeAutospacing="1" w:after="100" w:afterAutospacing="1" w:line="320" w:lineRule="atLeast"/>
              <w:ind w:firstLine="74"/>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或受邀机构的意见（盖章）：</w:t>
            </w:r>
          </w:p>
        </w:tc>
      </w:tr>
      <w:tr w14:paraId="745B33CD">
        <w:tblPrEx>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05B7BF51">
            <w:pPr>
              <w:widowControl/>
              <w:spacing w:before="100" w:beforeAutospacing="1" w:after="100" w:afterAutospacing="1" w:line="320" w:lineRule="atLeast"/>
              <w:ind w:firstLine="74"/>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中标或者成交供应商负责人签字或盖章：</w:t>
            </w:r>
            <w:r>
              <w:rPr>
                <w:rFonts w:hint="eastAsia" w:cs="宋体" w:asciiTheme="minorEastAsia" w:hAnsiTheme="minorEastAsia" w:eastAsiaTheme="minorEastAsia"/>
                <w:color w:val="auto"/>
                <w:kern w:val="0"/>
                <w:szCs w:val="21"/>
                <w:highlight w:val="none"/>
              </w:rPr>
              <w:t xml:space="preserve">   </w:t>
            </w:r>
          </w:p>
          <w:p w14:paraId="213AC3AA">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p>
          <w:p w14:paraId="4F3515E1">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联系电话：</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年 </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月</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486014D3">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采购人或受托机构的意见（盖章）：</w:t>
            </w:r>
          </w:p>
          <w:p w14:paraId="23384C6F">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p>
          <w:p w14:paraId="086DDD2A">
            <w:pPr>
              <w:widowControl/>
              <w:spacing w:before="100" w:beforeAutospacing="1" w:after="100" w:afterAutospacing="1" w:line="320" w:lineRule="atLeast"/>
              <w:ind w:firstLine="525" w:firstLineChars="2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xml:space="preserve">联系电话： </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年</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月</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日</w:t>
            </w:r>
          </w:p>
        </w:tc>
      </w:tr>
    </w:tbl>
    <w:p w14:paraId="23DE816F">
      <w:pPr>
        <w:pStyle w:val="27"/>
        <w:snapToGrid w:val="0"/>
        <w:spacing w:line="370" w:lineRule="exact"/>
        <w:ind w:firstLine="315" w:firstLineChars="150"/>
        <w:outlineLvl w:val="2"/>
        <w:rPr>
          <w:rFonts w:hAnsi="宋体" w:cs="宋体"/>
          <w:color w:val="auto"/>
          <w:highlight w:val="none"/>
        </w:rPr>
        <w:sectPr>
          <w:footerReference r:id="rId7" w:type="first"/>
          <w:pgSz w:w="11907" w:h="16840"/>
          <w:pgMar w:top="1304" w:right="1304" w:bottom="1304" w:left="1304" w:header="964" w:footer="737" w:gutter="0"/>
          <w:cols w:space="720" w:num="1"/>
          <w:titlePg/>
          <w:docGrid w:linePitch="312" w:charSpace="0"/>
        </w:sectPr>
      </w:pPr>
    </w:p>
    <w:p w14:paraId="54605ED4">
      <w:pPr>
        <w:spacing w:line="360" w:lineRule="auto"/>
        <w:jc w:val="center"/>
        <w:outlineLvl w:val="0"/>
        <w:rPr>
          <w:rFonts w:asciiTheme="minorEastAsia" w:hAnsiTheme="minorEastAsia" w:eastAsiaTheme="minorEastAsia"/>
          <w:b/>
          <w:color w:val="auto"/>
          <w:sz w:val="44"/>
          <w:szCs w:val="44"/>
          <w:highlight w:val="none"/>
        </w:rPr>
      </w:pPr>
      <w:bookmarkStart w:id="28" w:name="_Toc14068"/>
      <w:r>
        <w:rPr>
          <w:rFonts w:hint="eastAsia" w:asciiTheme="minorEastAsia" w:hAnsiTheme="minorEastAsia" w:eastAsiaTheme="minorEastAsia"/>
          <w:b/>
          <w:color w:val="auto"/>
          <w:sz w:val="44"/>
          <w:szCs w:val="44"/>
          <w:highlight w:val="none"/>
        </w:rPr>
        <w:t>第三章  评审方法</w:t>
      </w:r>
      <w:bookmarkEnd w:id="23"/>
      <w:bookmarkEnd w:id="28"/>
    </w:p>
    <w:p w14:paraId="03AA5713">
      <w:pPr>
        <w:spacing w:line="360" w:lineRule="auto"/>
        <w:ind w:firstLine="422" w:firstLineChars="200"/>
        <w:outlineLvl w:val="1"/>
        <w:rPr>
          <w:rFonts w:hAnsi="宋体"/>
          <w:b/>
          <w:color w:val="auto"/>
          <w:szCs w:val="21"/>
          <w:highlight w:val="none"/>
        </w:rPr>
      </w:pPr>
      <w:bookmarkStart w:id="29" w:name="_Toc3932"/>
      <w:r>
        <w:rPr>
          <w:rFonts w:hint="eastAsia" w:hAnsi="宋体"/>
          <w:b/>
          <w:color w:val="auto"/>
          <w:szCs w:val="21"/>
          <w:highlight w:val="none"/>
        </w:rPr>
        <w:t>一、评审原则：</w:t>
      </w:r>
      <w:bookmarkEnd w:id="29"/>
    </w:p>
    <w:p w14:paraId="193DD841">
      <w:pPr>
        <w:spacing w:line="360" w:lineRule="auto"/>
        <w:ind w:firstLine="420" w:firstLineChars="200"/>
        <w:rPr>
          <w:rFonts w:hAnsi="宋体"/>
          <w:color w:val="auto"/>
          <w:szCs w:val="21"/>
          <w:highlight w:val="none"/>
        </w:rPr>
      </w:pPr>
      <w:r>
        <w:rPr>
          <w:rFonts w:hint="eastAsia" w:hAnsi="宋体"/>
          <w:color w:val="auto"/>
          <w:szCs w:val="21"/>
          <w:highlight w:val="none"/>
        </w:rPr>
        <w:t>（一）磋商小组的构成：本采购项目的磋商小组分别由依法组成的评审专家、采购人代表等三人组成，其中专家人数不少于成员总数的三分之二。</w:t>
      </w:r>
    </w:p>
    <w:p w14:paraId="251A5830">
      <w:pPr>
        <w:spacing w:line="360" w:lineRule="auto"/>
        <w:ind w:firstLine="420" w:firstLineChars="200"/>
        <w:rPr>
          <w:rFonts w:hAnsi="宋体"/>
          <w:color w:val="auto"/>
          <w:szCs w:val="21"/>
          <w:highlight w:val="none"/>
        </w:rPr>
      </w:pPr>
      <w:r>
        <w:rPr>
          <w:rFonts w:hint="eastAsia" w:hAnsi="宋体"/>
          <w:color w:val="auto"/>
          <w:szCs w:val="21"/>
          <w:highlight w:val="none"/>
        </w:rPr>
        <w:t>（二）评审依据：以磋商采购文件、响应文件为评定依据。</w:t>
      </w:r>
    </w:p>
    <w:p w14:paraId="4E2F8647">
      <w:pPr>
        <w:spacing w:line="360" w:lineRule="auto"/>
        <w:ind w:firstLine="420" w:firstLineChars="200"/>
        <w:rPr>
          <w:rFonts w:hAnsi="宋体"/>
          <w:color w:val="auto"/>
          <w:szCs w:val="21"/>
          <w:highlight w:val="none"/>
        </w:rPr>
      </w:pPr>
      <w:r>
        <w:rPr>
          <w:rFonts w:hint="eastAsia" w:hAnsi="宋体"/>
          <w:color w:val="auto"/>
          <w:szCs w:val="21"/>
          <w:highlight w:val="none"/>
        </w:rPr>
        <w:t>（三）本项目专门面向小微企业采购（参加磋商的供应商应符合《政府采购促进中小企业发展管理办法》（财库[2020]46号）中关于中小微企业的相关规定；监狱企业及残疾人福利性单位视同于小微企业），不再执行价格评审优惠的扶持政策。</w:t>
      </w:r>
    </w:p>
    <w:p w14:paraId="28A618A6">
      <w:pPr>
        <w:spacing w:line="360" w:lineRule="auto"/>
        <w:ind w:firstLine="420" w:firstLineChars="200"/>
        <w:rPr>
          <w:rFonts w:hAnsi="宋体"/>
          <w:color w:val="auto"/>
          <w:szCs w:val="21"/>
          <w:highlight w:val="none"/>
        </w:rPr>
      </w:pPr>
      <w:r>
        <w:rPr>
          <w:rFonts w:hint="eastAsia" w:hAnsi="宋体"/>
          <w:color w:val="auto"/>
          <w:szCs w:val="21"/>
          <w:highlight w:val="none"/>
        </w:rPr>
        <w:t>（四）响应文件的报价如果出现计算或表达上的错误，修正错误的原则如下：</w:t>
      </w:r>
    </w:p>
    <w:p w14:paraId="0BE4C069">
      <w:pPr>
        <w:spacing w:line="360" w:lineRule="auto"/>
        <w:ind w:firstLine="420" w:firstLineChars="200"/>
        <w:rPr>
          <w:rFonts w:hAnsi="宋体"/>
          <w:color w:val="auto"/>
          <w:szCs w:val="21"/>
          <w:highlight w:val="none"/>
        </w:rPr>
      </w:pPr>
      <w:r>
        <w:rPr>
          <w:rFonts w:hint="eastAsia" w:hAnsi="宋体"/>
          <w:color w:val="auto"/>
          <w:szCs w:val="21"/>
          <w:highlight w:val="none"/>
        </w:rPr>
        <w:t>1、最终报价表内容与响应文件中相应内容不一致的，以最终报价表为准；</w:t>
      </w:r>
    </w:p>
    <w:p w14:paraId="0647246E">
      <w:pPr>
        <w:spacing w:line="360" w:lineRule="auto"/>
        <w:ind w:firstLine="420" w:firstLineChars="200"/>
        <w:rPr>
          <w:rFonts w:hAnsi="宋体"/>
          <w:color w:val="auto"/>
          <w:szCs w:val="21"/>
          <w:highlight w:val="none"/>
        </w:rPr>
      </w:pPr>
      <w:r>
        <w:rPr>
          <w:rFonts w:hint="eastAsia" w:hAnsi="宋体"/>
          <w:color w:val="auto"/>
          <w:szCs w:val="21"/>
          <w:highlight w:val="none"/>
        </w:rPr>
        <w:t>2、大写金额和小写金额不一致的，以大写金额为准；</w:t>
      </w:r>
    </w:p>
    <w:p w14:paraId="102EF6DC">
      <w:pPr>
        <w:spacing w:line="360" w:lineRule="auto"/>
        <w:ind w:firstLine="420" w:firstLineChars="200"/>
        <w:rPr>
          <w:rFonts w:hAnsi="宋体"/>
          <w:color w:val="auto"/>
          <w:szCs w:val="21"/>
          <w:highlight w:val="none"/>
        </w:rPr>
      </w:pPr>
      <w:r>
        <w:rPr>
          <w:rFonts w:hint="eastAsia" w:hAnsi="宋体"/>
          <w:color w:val="auto"/>
          <w:szCs w:val="21"/>
          <w:highlight w:val="none"/>
        </w:rPr>
        <w:t>3、单价金额小数点或者百分比有明显错位的，以最终报价表的总价为准，并修改单价；</w:t>
      </w:r>
    </w:p>
    <w:p w14:paraId="389D7CD6">
      <w:pPr>
        <w:spacing w:line="360" w:lineRule="auto"/>
        <w:ind w:firstLine="420" w:firstLineChars="200"/>
        <w:rPr>
          <w:rFonts w:hAnsi="宋体"/>
          <w:color w:val="auto"/>
          <w:szCs w:val="21"/>
          <w:highlight w:val="none"/>
        </w:rPr>
      </w:pPr>
      <w:r>
        <w:rPr>
          <w:rFonts w:hint="eastAsia" w:hAnsi="宋体"/>
          <w:color w:val="auto"/>
          <w:szCs w:val="21"/>
          <w:highlight w:val="none"/>
        </w:rPr>
        <w:t>4、总价金额与按单价汇总金额不一致的，以单价金额计算结果为准。</w:t>
      </w:r>
    </w:p>
    <w:p w14:paraId="1A74EA50">
      <w:pPr>
        <w:spacing w:line="360" w:lineRule="auto"/>
        <w:ind w:firstLine="420" w:firstLineChars="200"/>
        <w:rPr>
          <w:rFonts w:hint="eastAsia" w:hAnsi="宋体"/>
          <w:color w:val="auto"/>
          <w:szCs w:val="21"/>
          <w:highlight w:val="none"/>
        </w:rPr>
      </w:pPr>
      <w:r>
        <w:rPr>
          <w:rFonts w:hint="eastAsia" w:hAnsi="宋体"/>
          <w:color w:val="auto"/>
          <w:szCs w:val="21"/>
          <w:highlight w:val="none"/>
        </w:rPr>
        <w:t>同时出现两种以上不一致的，按照前款规定的顺序修正。修正后的报价经供应商确认后产生约束力，供应商不确认的，其磋商无效。</w:t>
      </w:r>
    </w:p>
    <w:p w14:paraId="157222E0">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eastAsia="zh-CN"/>
        </w:rPr>
        <w:t>（</w:t>
      </w:r>
      <w:r>
        <w:rPr>
          <w:rFonts w:hint="eastAsia" w:hAnsi="宋体"/>
          <w:color w:val="auto"/>
          <w:szCs w:val="21"/>
          <w:highlight w:val="none"/>
          <w:lang w:val="en-US" w:eastAsia="zh-CN"/>
        </w:rPr>
        <w:t>五） 依据《关于推动解决政府采购异常低价问题的通知》（财库〔2026〕2号）文件要求，政府采购评审中出现下列情形之一的，磋商小组应当启动异常低价响应审查程序：</w:t>
      </w:r>
    </w:p>
    <w:p w14:paraId="023F1275">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①响应报价低于全部通过符合性审查供应商响应报价平均值50%的，即响应报价〈全部通过符合性审查供应商响应报价平均值×50%；</w:t>
      </w:r>
    </w:p>
    <w:p w14:paraId="05E8A71D">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②响应报价低于通过符合性审查的次低报价供应商响应报价50%的，即响应报价〈通过符合性审查的次低报价供应商响应报价×50%；</w:t>
      </w:r>
    </w:p>
    <w:p w14:paraId="7DB52BFE">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③响应报价低于采购项目最高限价45%的，即响应报价＜采购项目最高限价×45%；</w:t>
      </w:r>
    </w:p>
    <w:p w14:paraId="78F5E31F">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④磋商小组基于专业判断，认为供应商报价过低，有可能影响产品质量或者不能诚信履约的其他情形。</w:t>
      </w:r>
    </w:p>
    <w:p w14:paraId="1A5E7720">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相关法律法规对供应商报价有规定的，从其规定。</w:t>
      </w:r>
    </w:p>
    <w:p w14:paraId="03C61FA3">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六）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D33C3A2">
      <w:pPr>
        <w:spacing w:line="360" w:lineRule="auto"/>
        <w:ind w:firstLine="420" w:firstLineChars="200"/>
        <w:rPr>
          <w:rFonts w:hint="eastAsia" w:hAnsi="宋体" w:eastAsia="宋体"/>
          <w:color w:val="auto"/>
          <w:szCs w:val="21"/>
          <w:highlight w:val="none"/>
          <w:lang w:eastAsia="zh-CN"/>
        </w:rPr>
      </w:pPr>
      <w:r>
        <w:rPr>
          <w:rFonts w:hint="eastAsia" w:hAnsi="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1A116C3A">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七</w:t>
      </w:r>
      <w:r>
        <w:rPr>
          <w:rFonts w:hint="eastAsia" w:hAnsi="宋体"/>
          <w:color w:val="auto"/>
          <w:szCs w:val="21"/>
          <w:highlight w:val="none"/>
        </w:rPr>
        <w:t>）评审方式：以封闭方式进行。</w:t>
      </w:r>
    </w:p>
    <w:p w14:paraId="5C96091C">
      <w:pPr>
        <w:pStyle w:val="27"/>
        <w:spacing w:line="400" w:lineRule="exact"/>
        <w:ind w:firstLine="525" w:firstLineChars="250"/>
        <w:outlineLvl w:val="1"/>
        <w:rPr>
          <w:rFonts w:hAnsi="宋体"/>
          <w:b/>
          <w:color w:val="auto"/>
          <w:szCs w:val="21"/>
          <w:highlight w:val="none"/>
        </w:rPr>
      </w:pPr>
      <w:bookmarkStart w:id="30" w:name="_Toc28681"/>
      <w:r>
        <w:rPr>
          <w:rFonts w:hint="eastAsia" w:hAnsi="宋体"/>
          <w:color w:val="auto"/>
          <w:szCs w:val="21"/>
          <w:highlight w:val="none"/>
        </w:rPr>
        <w:t>二、</w:t>
      </w:r>
      <w:r>
        <w:rPr>
          <w:rFonts w:hint="eastAsia" w:hAnsi="宋体"/>
          <w:b/>
          <w:color w:val="auto"/>
          <w:szCs w:val="21"/>
          <w:highlight w:val="none"/>
        </w:rPr>
        <w:t>评分标准：</w:t>
      </w:r>
      <w:bookmarkEnd w:id="30"/>
    </w:p>
    <w:p w14:paraId="288F5C79">
      <w:pPr>
        <w:pStyle w:val="27"/>
        <w:spacing w:line="400" w:lineRule="exact"/>
        <w:ind w:firstLine="315" w:firstLineChars="150"/>
        <w:rPr>
          <w:rFonts w:hAnsi="宋体"/>
          <w:color w:val="auto"/>
          <w:highlight w:val="none"/>
        </w:rPr>
      </w:pPr>
      <w:r>
        <w:rPr>
          <w:rFonts w:hint="eastAsia" w:hAnsi="宋体"/>
          <w:color w:val="auto"/>
          <w:highlight w:val="none"/>
        </w:rPr>
        <w:t>（一）对通过资格审查、符合性审查经磋商确定的供应商进行详细评分，采用百分制综合评分法。</w:t>
      </w:r>
    </w:p>
    <w:p w14:paraId="48E42291">
      <w:pPr>
        <w:pStyle w:val="27"/>
        <w:spacing w:line="400" w:lineRule="exact"/>
        <w:ind w:firstLine="315" w:firstLineChars="150"/>
        <w:rPr>
          <w:rFonts w:hAnsi="宋体"/>
          <w:color w:val="auto"/>
          <w:highlight w:val="none"/>
        </w:rPr>
      </w:pPr>
      <w:r>
        <w:rPr>
          <w:rFonts w:hint="eastAsia" w:hAnsi="宋体"/>
          <w:color w:val="auto"/>
          <w:highlight w:val="none"/>
        </w:rPr>
        <w:t>（二）计分办法（按四舍五入取至百分位）：</w:t>
      </w:r>
    </w:p>
    <w:p w14:paraId="22762565">
      <w:pPr>
        <w:pStyle w:val="27"/>
        <w:spacing w:line="400" w:lineRule="exact"/>
        <w:ind w:firstLine="422" w:firstLineChars="200"/>
        <w:rPr>
          <w:rFonts w:hAnsi="宋体"/>
          <w:b/>
          <w:color w:val="auto"/>
          <w:szCs w:val="21"/>
          <w:highlight w:val="none"/>
        </w:rPr>
      </w:pPr>
      <w:r>
        <w:rPr>
          <w:rFonts w:hint="eastAsia" w:hAnsi="宋体"/>
          <w:b/>
          <w:color w:val="auto"/>
          <w:szCs w:val="21"/>
          <w:highlight w:val="none"/>
        </w:rPr>
        <w:t>1、价格分………………………………………………………………………………………满分30分</w:t>
      </w:r>
    </w:p>
    <w:p w14:paraId="7892830B">
      <w:pPr>
        <w:spacing w:line="400" w:lineRule="exact"/>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）评审价为供应商的最后报价，最终成交供应商的成交金额等于最后报价(如有修正，以确认修正后的最后报价为准)。</w:t>
      </w:r>
    </w:p>
    <w:p w14:paraId="1D9FDAA6">
      <w:pPr>
        <w:spacing w:line="400" w:lineRule="exact"/>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本项目为专门面向小微企业采购的项目，参加本项目磋商的供应商必须为小微企业，或监狱企业，或残疾人福利性单位，否则竞标无效。价格评审时，参加本次项目竞标的供应商不重复享受政策，其评审价=竞标报价。</w:t>
      </w:r>
    </w:p>
    <w:p w14:paraId="177CA71C">
      <w:pPr>
        <w:spacing w:line="400" w:lineRule="exact"/>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）以进入详评的且最后报价最低的供应商的价格为磋商基准价，其价格分为30分。</w:t>
      </w:r>
    </w:p>
    <w:p w14:paraId="71D15EB1">
      <w:pPr>
        <w:pStyle w:val="27"/>
        <w:spacing w:line="400" w:lineRule="exact"/>
        <w:ind w:firstLine="420" w:firstLineChars="200"/>
        <w:rPr>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）价格分计算公式:报价得分=(基准价/</w:t>
      </w:r>
      <w:r>
        <w:rPr>
          <w:rFonts w:hint="eastAsia" w:ascii="宋体" w:hAnsi="宋体"/>
          <w:color w:val="auto"/>
          <w:szCs w:val="21"/>
          <w:highlight w:val="none"/>
          <w:lang w:val="en-US" w:eastAsia="zh-CN"/>
        </w:rPr>
        <w:t>供应商</w:t>
      </w:r>
      <w:r>
        <w:rPr>
          <w:rFonts w:hint="eastAsia" w:ascii="宋体" w:hAnsi="宋体"/>
          <w:color w:val="auto"/>
          <w:szCs w:val="21"/>
          <w:highlight w:val="none"/>
        </w:rPr>
        <w:t>最后报价)</w:t>
      </w:r>
      <w:r>
        <w:rPr>
          <w:rFonts w:hint="eastAsia" w:ascii="宋体" w:hAnsi="宋体" w:eastAsia="宋体" w:cs="宋体"/>
          <w:color w:val="auto"/>
          <w:szCs w:val="21"/>
          <w:highlight w:val="none"/>
        </w:rPr>
        <w:t>×</w:t>
      </w:r>
      <w:r>
        <w:rPr>
          <w:rFonts w:hint="eastAsia" w:ascii="宋体" w:hAnsi="宋体"/>
          <w:color w:val="auto"/>
          <w:szCs w:val="21"/>
          <w:highlight w:val="none"/>
        </w:rPr>
        <w:t>30分</w:t>
      </w:r>
    </w:p>
    <w:p w14:paraId="42A7CE50">
      <w:pPr>
        <w:pStyle w:val="27"/>
        <w:spacing w:line="400" w:lineRule="exact"/>
        <w:ind w:firstLine="422" w:firstLineChars="200"/>
        <w:rPr>
          <w:rFonts w:hAnsi="宋体"/>
          <w:b/>
          <w:color w:val="auto"/>
          <w:szCs w:val="21"/>
          <w:highlight w:val="none"/>
        </w:rPr>
      </w:pPr>
      <w:r>
        <w:rPr>
          <w:rFonts w:hint="eastAsia" w:hAnsi="宋体"/>
          <w:b/>
          <w:color w:val="auto"/>
          <w:szCs w:val="21"/>
          <w:highlight w:val="none"/>
        </w:rPr>
        <w:t>2、技术分…………………………………………………………………………满分6</w:t>
      </w:r>
      <w:r>
        <w:rPr>
          <w:rFonts w:hint="eastAsia" w:hAnsi="宋体"/>
          <w:b/>
          <w:color w:val="auto"/>
          <w:szCs w:val="21"/>
          <w:highlight w:val="none"/>
          <w:lang w:val="en-US" w:eastAsia="zh-CN"/>
        </w:rPr>
        <w:t>2</w:t>
      </w:r>
      <w:r>
        <w:rPr>
          <w:rFonts w:hint="eastAsia" w:hAnsi="宋体"/>
          <w:b/>
          <w:color w:val="auto"/>
          <w:szCs w:val="21"/>
          <w:highlight w:val="none"/>
        </w:rPr>
        <w:t>分</w:t>
      </w:r>
    </w:p>
    <w:p w14:paraId="5412C600">
      <w:pPr>
        <w:spacing w:line="400" w:lineRule="exact"/>
        <w:ind w:firstLine="527" w:firstLineChars="250"/>
        <w:rPr>
          <w:rFonts w:hAnsi="宋体"/>
          <w:b/>
          <w:color w:val="auto"/>
          <w:szCs w:val="21"/>
          <w:highlight w:val="none"/>
        </w:rPr>
      </w:pPr>
      <w:r>
        <w:rPr>
          <w:rFonts w:hint="eastAsia" w:hAnsi="宋体"/>
          <w:b/>
          <w:color w:val="auto"/>
          <w:szCs w:val="21"/>
          <w:highlight w:val="none"/>
        </w:rPr>
        <w:t>（1）</w:t>
      </w:r>
      <w:r>
        <w:rPr>
          <w:b/>
          <w:color w:val="auto"/>
          <w:szCs w:val="21"/>
          <w:highlight w:val="none"/>
        </w:rPr>
        <w:t>项目管理机构</w:t>
      </w:r>
      <w:r>
        <w:rPr>
          <w:rFonts w:hint="eastAsia"/>
          <w:b/>
          <w:color w:val="auto"/>
          <w:szCs w:val="21"/>
          <w:highlight w:val="none"/>
        </w:rPr>
        <w:t>（</w:t>
      </w:r>
      <w:r>
        <w:rPr>
          <w:rFonts w:hint="eastAsia"/>
          <w:b/>
          <w:color w:val="auto"/>
          <w:szCs w:val="21"/>
          <w:highlight w:val="none"/>
          <w:lang w:val="en-US" w:eastAsia="zh-CN"/>
        </w:rPr>
        <w:t>6</w:t>
      </w:r>
      <w:r>
        <w:rPr>
          <w:rFonts w:hint="eastAsia"/>
          <w:b/>
          <w:color w:val="auto"/>
          <w:szCs w:val="21"/>
          <w:highlight w:val="none"/>
        </w:rPr>
        <w:t>分）</w:t>
      </w:r>
    </w:p>
    <w:p w14:paraId="7703D5E5">
      <w:pPr>
        <w:spacing w:line="400" w:lineRule="exact"/>
        <w:ind w:firstLine="517" w:firstLineChars="245"/>
        <w:rPr>
          <w:rFonts w:hAnsi="宋体"/>
          <w:b/>
          <w:color w:val="auto"/>
          <w:szCs w:val="21"/>
          <w:highlight w:val="none"/>
        </w:rPr>
      </w:pPr>
      <w:r>
        <w:rPr>
          <w:rFonts w:hint="eastAsia" w:hAnsi="宋体"/>
          <w:b/>
          <w:color w:val="auto"/>
          <w:szCs w:val="21"/>
          <w:highlight w:val="none"/>
        </w:rPr>
        <w:t>A．项目经理资信、能力等（</w:t>
      </w:r>
      <w:r>
        <w:rPr>
          <w:rFonts w:hint="eastAsia" w:hAnsi="宋体"/>
          <w:b/>
          <w:color w:val="auto"/>
          <w:szCs w:val="21"/>
          <w:highlight w:val="none"/>
          <w:lang w:val="en-US" w:eastAsia="zh-CN"/>
        </w:rPr>
        <w:t>3</w:t>
      </w:r>
      <w:r>
        <w:rPr>
          <w:rFonts w:hint="eastAsia" w:hAnsi="宋体"/>
          <w:b/>
          <w:color w:val="auto"/>
          <w:szCs w:val="21"/>
          <w:highlight w:val="none"/>
        </w:rPr>
        <w:t>分）</w:t>
      </w:r>
    </w:p>
    <w:p w14:paraId="13EBBBFB">
      <w:pPr>
        <w:spacing w:line="400" w:lineRule="exact"/>
        <w:ind w:firstLine="514" w:firstLineChars="245"/>
        <w:rPr>
          <w:color w:val="auto"/>
          <w:highlight w:val="none"/>
        </w:rPr>
      </w:pPr>
      <w:r>
        <w:rPr>
          <w:rFonts w:hint="eastAsia"/>
          <w:color w:val="auto"/>
          <w:highlight w:val="none"/>
        </w:rPr>
        <w:t>拟派任项目经理必须与资格审查合格通过的项目经理在名称、专业、资格等级等方面一致。</w:t>
      </w:r>
    </w:p>
    <w:p w14:paraId="2CDB15D3">
      <w:pPr>
        <w:spacing w:line="400" w:lineRule="exact"/>
        <w:ind w:firstLine="514" w:firstLineChars="245"/>
        <w:rPr>
          <w:rFonts w:hint="eastAsia" w:ascii="宋体" w:eastAsia="宋体" w:cs="Times New Roman"/>
          <w:color w:val="auto"/>
          <w:highlight w:val="none"/>
        </w:rPr>
      </w:pPr>
      <w:r>
        <w:rPr>
          <w:rFonts w:hint="default" w:ascii="宋体" w:eastAsia="宋体" w:cs="Times New Roman"/>
          <w:color w:val="auto"/>
          <w:highlight w:val="none"/>
        </w:rPr>
        <w:t>①</w:t>
      </w:r>
      <w:r>
        <w:rPr>
          <w:rFonts w:hint="eastAsia" w:ascii="宋体" w:eastAsia="宋体" w:cs="Times New Roman"/>
          <w:color w:val="auto"/>
          <w:highlight w:val="none"/>
        </w:rPr>
        <w:t>项目经理职称：具有工程类</w:t>
      </w:r>
      <w:r>
        <w:rPr>
          <w:rFonts w:hint="eastAsia" w:ascii="宋体" w:eastAsia="宋体" w:cs="Times New Roman"/>
          <w:color w:val="auto"/>
          <w:highlight w:val="none"/>
          <w:lang w:val="en-US" w:eastAsia="zh-CN"/>
        </w:rPr>
        <w:t>初</w:t>
      </w:r>
      <w:r>
        <w:rPr>
          <w:rFonts w:hint="eastAsia" w:ascii="宋体" w:eastAsia="宋体" w:cs="Times New Roman"/>
          <w:color w:val="auto"/>
          <w:highlight w:val="none"/>
        </w:rPr>
        <w:t>级职称的得</w:t>
      </w:r>
      <w:r>
        <w:rPr>
          <w:rFonts w:hint="eastAsia" w:ascii="宋体" w:eastAsia="宋体" w:cs="Times New Roman"/>
          <w:color w:val="auto"/>
          <w:highlight w:val="none"/>
          <w:lang w:val="en-US" w:eastAsia="zh-CN"/>
        </w:rPr>
        <w:t>1</w:t>
      </w:r>
      <w:r>
        <w:rPr>
          <w:rFonts w:hint="eastAsia" w:ascii="宋体" w:eastAsia="宋体" w:cs="Times New Roman"/>
          <w:color w:val="auto"/>
          <w:highlight w:val="none"/>
        </w:rPr>
        <w:t>分</w:t>
      </w:r>
      <w:r>
        <w:rPr>
          <w:rFonts w:hint="eastAsia" w:ascii="宋体" w:eastAsia="宋体" w:cs="Times New Roman"/>
          <w:color w:val="auto"/>
          <w:highlight w:val="none"/>
          <w:lang w:eastAsia="zh-CN"/>
        </w:rPr>
        <w:t>；</w:t>
      </w:r>
      <w:r>
        <w:rPr>
          <w:rFonts w:hint="eastAsia" w:ascii="宋体" w:eastAsia="宋体" w:cs="Times New Roman"/>
          <w:color w:val="auto"/>
          <w:highlight w:val="none"/>
        </w:rPr>
        <w:t>具有工程类</w:t>
      </w:r>
      <w:r>
        <w:rPr>
          <w:rFonts w:hint="eastAsia" w:ascii="宋体" w:eastAsia="宋体" w:cs="Times New Roman"/>
          <w:color w:val="auto"/>
          <w:highlight w:val="none"/>
          <w:lang w:val="en-US" w:eastAsia="zh-CN"/>
        </w:rPr>
        <w:t>中</w:t>
      </w:r>
      <w:r>
        <w:rPr>
          <w:rFonts w:hint="eastAsia" w:ascii="宋体" w:eastAsia="宋体" w:cs="Times New Roman"/>
          <w:color w:val="auto"/>
          <w:highlight w:val="none"/>
        </w:rPr>
        <w:t>级（含）以上职称的</w:t>
      </w:r>
      <w:r>
        <w:rPr>
          <w:rFonts w:hint="eastAsia" w:ascii="宋体" w:eastAsia="宋体" w:cs="Times New Roman"/>
          <w:color w:val="auto"/>
          <w:highlight w:val="none"/>
          <w:lang w:eastAsia="zh-CN"/>
        </w:rPr>
        <w:t>得</w:t>
      </w:r>
      <w:r>
        <w:rPr>
          <w:rFonts w:hint="eastAsia" w:ascii="宋体" w:eastAsia="宋体" w:cs="Times New Roman"/>
          <w:color w:val="auto"/>
          <w:highlight w:val="none"/>
          <w:lang w:val="en-US" w:eastAsia="zh-CN"/>
        </w:rPr>
        <w:t>3分；</w:t>
      </w:r>
      <w:r>
        <w:rPr>
          <w:rFonts w:hint="eastAsia" w:ascii="宋体" w:eastAsia="宋体" w:cs="Times New Roman"/>
          <w:color w:val="auto"/>
          <w:highlight w:val="none"/>
        </w:rPr>
        <w:t>满分</w:t>
      </w:r>
      <w:r>
        <w:rPr>
          <w:rFonts w:hint="eastAsia" w:ascii="宋体" w:eastAsia="宋体" w:cs="Times New Roman"/>
          <w:color w:val="auto"/>
          <w:highlight w:val="none"/>
          <w:lang w:val="en-US" w:eastAsia="zh-CN"/>
        </w:rPr>
        <w:t>3</w:t>
      </w:r>
      <w:r>
        <w:rPr>
          <w:rFonts w:hint="eastAsia" w:ascii="宋体" w:eastAsia="宋体" w:cs="Times New Roman"/>
          <w:color w:val="auto"/>
          <w:highlight w:val="none"/>
        </w:rPr>
        <w:t>分。</w:t>
      </w:r>
    </w:p>
    <w:p w14:paraId="6B6F4825">
      <w:pPr>
        <w:spacing w:line="400" w:lineRule="exact"/>
        <w:ind w:firstLine="514" w:firstLineChars="245"/>
        <w:rPr>
          <w:rFonts w:hAnsi="宋体"/>
          <w:color w:val="auto"/>
          <w:szCs w:val="21"/>
          <w:highlight w:val="none"/>
        </w:rPr>
      </w:pPr>
      <w:r>
        <w:rPr>
          <w:rFonts w:hint="eastAsia" w:hAnsi="宋体"/>
          <w:color w:val="auto"/>
          <w:szCs w:val="21"/>
          <w:highlight w:val="none"/>
        </w:rPr>
        <w:t>注：未提供供应商</w:t>
      </w:r>
      <w:r>
        <w:rPr>
          <w:rFonts w:hint="eastAsia" w:hAnsi="宋体"/>
          <w:color w:val="auto"/>
          <w:szCs w:val="21"/>
          <w:highlight w:val="none"/>
          <w:lang w:eastAsia="zh-CN"/>
        </w:rPr>
        <w:t>与其签订的劳动合同</w:t>
      </w:r>
      <w:r>
        <w:rPr>
          <w:rFonts w:hint="eastAsia" w:hAnsi="宋体"/>
          <w:color w:val="auto"/>
          <w:szCs w:val="21"/>
          <w:highlight w:val="none"/>
        </w:rPr>
        <w:t>证明的不予计分。</w:t>
      </w:r>
    </w:p>
    <w:p w14:paraId="05D0DF01">
      <w:pPr>
        <w:spacing w:line="400" w:lineRule="exact"/>
        <w:ind w:firstLine="517" w:firstLineChars="245"/>
        <w:rPr>
          <w:rFonts w:hAnsi="宋体"/>
          <w:b/>
          <w:color w:val="auto"/>
          <w:szCs w:val="21"/>
          <w:highlight w:val="none"/>
        </w:rPr>
      </w:pPr>
      <w:r>
        <w:rPr>
          <w:rFonts w:hint="eastAsia" w:hAnsi="宋体"/>
          <w:b/>
          <w:color w:val="auto"/>
          <w:szCs w:val="21"/>
          <w:highlight w:val="none"/>
        </w:rPr>
        <w:t>B．其他人员（</w:t>
      </w:r>
      <w:r>
        <w:rPr>
          <w:rFonts w:hint="eastAsia" w:hAnsi="宋体"/>
          <w:b/>
          <w:color w:val="auto"/>
          <w:szCs w:val="21"/>
          <w:highlight w:val="none"/>
          <w:lang w:val="en-US" w:eastAsia="zh-CN"/>
        </w:rPr>
        <w:t>3</w:t>
      </w:r>
      <w:r>
        <w:rPr>
          <w:rFonts w:hint="eastAsia" w:hAnsi="宋体"/>
          <w:b/>
          <w:color w:val="auto"/>
          <w:szCs w:val="21"/>
          <w:highlight w:val="none"/>
        </w:rPr>
        <w:t>分）</w:t>
      </w:r>
    </w:p>
    <w:p w14:paraId="1ACDDF1F">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拟投入本项目管理人员配置齐全、专业匹配，且与资格审查提交人员名单保持一致，同时满足以下全部持证要求，得3分：</w:t>
      </w:r>
    </w:p>
    <w:p w14:paraId="7E9C0BB6">
      <w:pPr>
        <w:spacing w:line="400" w:lineRule="exact"/>
        <w:ind w:firstLine="420" w:firstLineChars="200"/>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①</w:t>
      </w:r>
      <w:r>
        <w:rPr>
          <w:rFonts w:hint="eastAsia" w:ascii="宋体" w:hAnsi="宋体" w:eastAsia="宋体" w:cs="Times New Roman"/>
          <w:color w:val="auto"/>
          <w:szCs w:val="21"/>
          <w:highlight w:val="none"/>
        </w:rPr>
        <w:t>项目技术负责人：持有工程类中级及以上职称证书；</w:t>
      </w:r>
    </w:p>
    <w:p w14:paraId="15C2BF93">
      <w:pPr>
        <w:spacing w:line="400" w:lineRule="exact"/>
        <w:ind w:firstLine="420" w:firstLineChars="200"/>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②</w:t>
      </w:r>
      <w:r>
        <w:rPr>
          <w:rFonts w:hint="eastAsia" w:ascii="宋体" w:hAnsi="宋体" w:eastAsia="宋体" w:cs="Times New Roman"/>
          <w:color w:val="auto"/>
          <w:szCs w:val="21"/>
          <w:highlight w:val="none"/>
        </w:rPr>
        <w:t>施工员、质量员、材料员：持有有效施工现场专业人员职业培训合格证书；</w:t>
      </w:r>
    </w:p>
    <w:p w14:paraId="4392209D">
      <w:pPr>
        <w:spacing w:line="400" w:lineRule="exact"/>
        <w:ind w:firstLine="420" w:firstLineChars="200"/>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③</w:t>
      </w:r>
      <w:r>
        <w:rPr>
          <w:rFonts w:hint="eastAsia" w:ascii="宋体" w:hAnsi="宋体" w:eastAsia="宋体" w:cs="Times New Roman"/>
          <w:color w:val="auto"/>
          <w:szCs w:val="21"/>
          <w:highlight w:val="none"/>
        </w:rPr>
        <w:t>专职安全员：持有有效建筑施工企业安全生产管理人员C类证书。</w:t>
      </w:r>
    </w:p>
    <w:p w14:paraId="57044701">
      <w:pPr>
        <w:spacing w:line="400" w:lineRule="exact"/>
        <w:ind w:firstLine="422" w:firstLineChars="200"/>
        <w:rPr>
          <w:rFonts w:hAnsi="宋体"/>
          <w:b/>
          <w:color w:val="auto"/>
          <w:szCs w:val="21"/>
          <w:highlight w:val="none"/>
        </w:rPr>
      </w:pPr>
      <w:r>
        <w:rPr>
          <w:rFonts w:hint="eastAsia" w:hAnsi="宋体"/>
          <w:b/>
          <w:color w:val="auto"/>
          <w:szCs w:val="21"/>
          <w:highlight w:val="none"/>
        </w:rPr>
        <w:t>（2）</w:t>
      </w:r>
      <w:r>
        <w:rPr>
          <w:b/>
          <w:color w:val="auto"/>
          <w:szCs w:val="21"/>
          <w:highlight w:val="none"/>
        </w:rPr>
        <w:t>施工组织设计</w:t>
      </w:r>
      <w:r>
        <w:rPr>
          <w:rFonts w:hint="eastAsia"/>
          <w:b/>
          <w:color w:val="auto"/>
          <w:szCs w:val="21"/>
          <w:highlight w:val="none"/>
        </w:rPr>
        <w:t>（5</w:t>
      </w:r>
      <w:r>
        <w:rPr>
          <w:rFonts w:hint="eastAsia"/>
          <w:b/>
          <w:color w:val="auto"/>
          <w:szCs w:val="21"/>
          <w:highlight w:val="none"/>
          <w:lang w:val="en-US" w:eastAsia="zh-CN"/>
        </w:rPr>
        <w:t>6</w:t>
      </w:r>
      <w:r>
        <w:rPr>
          <w:rFonts w:hint="eastAsia"/>
          <w:b/>
          <w:color w:val="auto"/>
          <w:szCs w:val="21"/>
          <w:highlight w:val="none"/>
        </w:rPr>
        <w:t>分）</w:t>
      </w:r>
    </w:p>
    <w:p w14:paraId="17B592B2">
      <w:pPr>
        <w:spacing w:line="400" w:lineRule="exact"/>
        <w:ind w:firstLine="517" w:firstLineChars="245"/>
        <w:rPr>
          <w:b/>
          <w:color w:val="auto"/>
          <w:kern w:val="0"/>
          <w:szCs w:val="21"/>
          <w:highlight w:val="none"/>
        </w:rPr>
      </w:pPr>
      <w:r>
        <w:rPr>
          <w:rFonts w:hint="eastAsia"/>
          <w:b/>
          <w:color w:val="auto"/>
          <w:kern w:val="0"/>
          <w:szCs w:val="21"/>
          <w:highlight w:val="none"/>
        </w:rPr>
        <w:t>A.</w:t>
      </w:r>
      <w:r>
        <w:rPr>
          <w:b/>
          <w:color w:val="auto"/>
          <w:kern w:val="0"/>
          <w:szCs w:val="21"/>
          <w:highlight w:val="none"/>
        </w:rPr>
        <w:t>主要施工方法</w:t>
      </w:r>
      <w:r>
        <w:rPr>
          <w:rFonts w:hint="eastAsia"/>
          <w:b/>
          <w:color w:val="auto"/>
          <w:kern w:val="0"/>
          <w:szCs w:val="21"/>
          <w:highlight w:val="none"/>
        </w:rPr>
        <w:t>（10分）</w:t>
      </w:r>
    </w:p>
    <w:p w14:paraId="654B2E50">
      <w:pPr>
        <w:spacing w:line="400" w:lineRule="exact"/>
        <w:ind w:firstLine="420" w:firstLineChars="200"/>
        <w:rPr>
          <w:rFonts w:hint="eastAsia" w:hAnsi="宋体"/>
          <w:color w:val="auto"/>
          <w:szCs w:val="21"/>
          <w:highlight w:val="none"/>
        </w:rPr>
      </w:pPr>
      <w:r>
        <w:rPr>
          <w:rFonts w:hint="eastAsia" w:hAnsi="宋体"/>
          <w:color w:val="auto"/>
          <w:szCs w:val="21"/>
          <w:highlight w:val="none"/>
        </w:rPr>
        <w:t>各主要分部施工方法符合项目实际，须有详尽的施工技术方案，工艺先进、方法科学合理、可行，能指导具体施工并确保安全。</w:t>
      </w:r>
    </w:p>
    <w:p w14:paraId="05D7973E">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档（10分）：各主要分部施工方法贴合项目现场实际，编制内容详实完备的专项施工技术方案，施工工艺先进成熟，实施思路科学合理、落地性强，针对性突出，可精准指导现场全流程施工作业，全面保障施工质量与作业安全。</w:t>
      </w:r>
    </w:p>
    <w:p w14:paraId="3B153D92">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二档（7分）：各主要分部施工方法契合项目实际情况，具备完整施工技术方案，施工工艺常规通用，实施方式基本稳妥可行，能够满足现场基础施工指导需求，可有效把控施工安全。</w:t>
      </w:r>
    </w:p>
    <w:p w14:paraId="18CD1E3D">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三档（4分）：各主要分部施工方法与项目现场实际工况偏差较大，虽已编制施工技术方案，但选用施工工艺、实施方式欠缺合理性与适用性，无法有效指导现场规范施工。</w:t>
      </w:r>
    </w:p>
    <w:p w14:paraId="297015BD">
      <w:pPr>
        <w:spacing w:line="400" w:lineRule="exact"/>
        <w:ind w:firstLine="420" w:firstLineChars="200"/>
        <w:rPr>
          <w:color w:val="auto"/>
          <w:highlight w:val="none"/>
        </w:rPr>
      </w:pPr>
      <w:r>
        <w:rPr>
          <w:rFonts w:hint="eastAsia" w:ascii="宋体" w:hAnsi="宋体" w:eastAsia="宋体" w:cs="Times New Roman"/>
          <w:color w:val="auto"/>
          <w:szCs w:val="21"/>
          <w:highlight w:val="none"/>
        </w:rPr>
        <w:t>四档（1分）：仅简单罗列零散施工相关内容，无完整系统施工思路，内容杂乱无序、逻辑不清，施工思路严重脱离项目实际建设条件，不具备任何现场施工指导价值。</w:t>
      </w:r>
    </w:p>
    <w:p w14:paraId="33E4B11C">
      <w:pPr>
        <w:widowControl/>
        <w:spacing w:line="400" w:lineRule="exact"/>
        <w:ind w:firstLine="517" w:firstLineChars="245"/>
        <w:rPr>
          <w:b/>
          <w:color w:val="auto"/>
          <w:kern w:val="0"/>
          <w:szCs w:val="21"/>
          <w:highlight w:val="none"/>
        </w:rPr>
      </w:pPr>
      <w:r>
        <w:rPr>
          <w:rFonts w:hint="eastAsia"/>
          <w:b/>
          <w:color w:val="auto"/>
          <w:kern w:val="0"/>
          <w:szCs w:val="21"/>
          <w:highlight w:val="none"/>
        </w:rPr>
        <w:t>B.拟投入的主要物资计划（10分）</w:t>
      </w:r>
      <w:r>
        <w:rPr>
          <w:rFonts w:hint="eastAsia"/>
          <w:b/>
          <w:color w:val="auto"/>
          <w:kern w:val="0"/>
          <w:szCs w:val="21"/>
          <w:highlight w:val="none"/>
        </w:rPr>
        <w:tab/>
      </w:r>
    </w:p>
    <w:p w14:paraId="635009C4">
      <w:pPr>
        <w:spacing w:line="400" w:lineRule="exact"/>
        <w:ind w:firstLine="420" w:firstLineChars="200"/>
        <w:rPr>
          <w:rFonts w:hint="eastAsia" w:hAnsi="宋体"/>
          <w:color w:val="auto"/>
          <w:szCs w:val="21"/>
          <w:highlight w:val="none"/>
        </w:rPr>
      </w:pPr>
      <w:r>
        <w:rPr>
          <w:rFonts w:hint="eastAsia" w:hAnsi="宋体"/>
          <w:color w:val="auto"/>
          <w:szCs w:val="21"/>
          <w:highlight w:val="none"/>
        </w:rPr>
        <w:t>投入的施工材料有详细的组织计划且计划周密，数量、选型配置、进场时间安排合理，满足施工需要。</w:t>
      </w:r>
    </w:p>
    <w:p w14:paraId="6A5B4E97">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一档（10 分）</w:t>
      </w:r>
      <w:r>
        <w:rPr>
          <w:rFonts w:hint="eastAsia" w:hAnsi="宋体" w:cs="Times New Roman"/>
          <w:color w:val="auto"/>
          <w:szCs w:val="21"/>
          <w:highlight w:val="none"/>
          <w:lang w:eastAsia="zh-CN"/>
        </w:rPr>
        <w:t>：</w:t>
      </w:r>
      <w:r>
        <w:rPr>
          <w:rFonts w:hint="eastAsia" w:ascii="宋体" w:hAnsi="宋体" w:eastAsia="宋体" w:cs="Times New Roman"/>
          <w:color w:val="auto"/>
          <w:szCs w:val="21"/>
          <w:highlight w:val="none"/>
        </w:rPr>
        <w:t>投入的施工材料有详细周密的组织计划，配套有充足完善的物资运输保障技术措施，可有效应对雨天、大风天等恶劣天气，保障物资正常运送；材料数量、选型配置、进场时序安排科学合理，可充分全面满足整体施工需求。</w:t>
      </w:r>
    </w:p>
    <w:p w14:paraId="5CA572F1">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二档（7 分）</w:t>
      </w:r>
      <w:r>
        <w:rPr>
          <w:rFonts w:hint="eastAsia" w:hAnsi="宋体" w:cs="Times New Roman"/>
          <w:color w:val="auto"/>
          <w:szCs w:val="21"/>
          <w:highlight w:val="none"/>
          <w:lang w:eastAsia="zh-CN"/>
        </w:rPr>
        <w:t>：</w:t>
      </w:r>
      <w:r>
        <w:rPr>
          <w:rFonts w:hint="eastAsia" w:ascii="宋体" w:hAnsi="宋体" w:eastAsia="宋体" w:cs="Times New Roman"/>
          <w:color w:val="auto"/>
          <w:szCs w:val="21"/>
          <w:highlight w:val="none"/>
        </w:rPr>
        <w:t>已编制施工材料组织计划，制定有相应物资运输防护措施，可应对常见恶劣天气，基本保障物资运送；材料数量、选型及进场时间安排较为妥当，能够基本满足现场施工需求。</w:t>
      </w:r>
    </w:p>
    <w:p w14:paraId="709CBBA3">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三档（4 分）</w:t>
      </w:r>
      <w:r>
        <w:rPr>
          <w:rFonts w:hint="eastAsia" w:hAnsi="宋体" w:cs="Times New Roman"/>
          <w:color w:val="auto"/>
          <w:szCs w:val="21"/>
          <w:highlight w:val="none"/>
          <w:lang w:eastAsia="zh-CN"/>
        </w:rPr>
        <w:t>：</w:t>
      </w:r>
      <w:r>
        <w:rPr>
          <w:rFonts w:hint="eastAsia" w:ascii="宋体" w:hAnsi="宋体" w:eastAsia="宋体" w:cs="Times New Roman"/>
          <w:color w:val="auto"/>
          <w:szCs w:val="21"/>
          <w:highlight w:val="none"/>
        </w:rPr>
        <w:t>虽制定有施工材料组织计划，仅简单提及物资运输相关安排，未针对雨天、大风天等天气制定专项技术保障措施；材料各项安排与项目现场实际施工需求存在明显偏差，适配性不足。</w:t>
      </w:r>
    </w:p>
    <w:p w14:paraId="5131BED4">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四档（1 分）</w:t>
      </w:r>
      <w:r>
        <w:rPr>
          <w:rFonts w:hint="eastAsia" w:hAnsi="宋体" w:cs="Times New Roman"/>
          <w:color w:val="auto"/>
          <w:szCs w:val="21"/>
          <w:highlight w:val="none"/>
          <w:lang w:eastAsia="zh-CN"/>
        </w:rPr>
        <w:t>：</w:t>
      </w:r>
      <w:r>
        <w:rPr>
          <w:rFonts w:hint="eastAsia" w:ascii="宋体" w:hAnsi="宋体" w:eastAsia="宋体" w:cs="Times New Roman"/>
          <w:color w:val="auto"/>
          <w:szCs w:val="21"/>
          <w:highlight w:val="none"/>
        </w:rPr>
        <w:t>仅粗浅罗列少量材料相关内容，未形成规范完整的材料投入统筹计划，也无任何物资运输及天气应对技术措施；排布混乱缺乏条理，材料配置、进场规划严重脱离项目实际，无法保障施工用料及物资正常运送需求。</w:t>
      </w:r>
    </w:p>
    <w:p w14:paraId="6E204AA9">
      <w:pPr>
        <w:widowControl/>
        <w:spacing w:line="400" w:lineRule="exact"/>
        <w:ind w:firstLine="413" w:firstLineChars="196"/>
        <w:rPr>
          <w:b/>
          <w:color w:val="auto"/>
          <w:kern w:val="0"/>
          <w:szCs w:val="21"/>
          <w:highlight w:val="none"/>
        </w:rPr>
      </w:pPr>
      <w:r>
        <w:rPr>
          <w:rFonts w:hint="eastAsia"/>
          <w:b/>
          <w:color w:val="auto"/>
          <w:kern w:val="0"/>
          <w:szCs w:val="21"/>
          <w:highlight w:val="none"/>
        </w:rPr>
        <w:t>C.劳动力安排计划（6分）</w:t>
      </w:r>
    </w:p>
    <w:p w14:paraId="53D83F63">
      <w:pPr>
        <w:spacing w:line="400" w:lineRule="exact"/>
        <w:ind w:firstLine="420" w:firstLineChars="200"/>
        <w:rPr>
          <w:rFonts w:hint="eastAsia" w:hAnsi="宋体"/>
          <w:color w:val="auto"/>
          <w:szCs w:val="21"/>
          <w:highlight w:val="none"/>
        </w:rPr>
      </w:pPr>
      <w:r>
        <w:rPr>
          <w:rFonts w:hint="eastAsia" w:hAnsi="宋体"/>
          <w:color w:val="auto"/>
          <w:szCs w:val="21"/>
          <w:highlight w:val="none"/>
        </w:rPr>
        <w:t>各主要施工工序应有详细周密的劳动力安排计划，有各工种劳动力安排计划，劳动力投入合理，满足施工需要。</w:t>
      </w:r>
    </w:p>
    <w:p w14:paraId="07DA0FA5">
      <w:pPr>
        <w:spacing w:line="400" w:lineRule="exact"/>
        <w:ind w:firstLine="420" w:firstLineChars="200"/>
        <w:rPr>
          <w:rFonts w:hint="eastAsia" w:hAnsi="宋体"/>
          <w:color w:val="auto"/>
          <w:szCs w:val="21"/>
          <w:highlight w:val="none"/>
        </w:rPr>
      </w:pPr>
      <w:r>
        <w:rPr>
          <w:rFonts w:hint="eastAsia" w:hAnsi="宋体"/>
          <w:color w:val="auto"/>
          <w:szCs w:val="21"/>
          <w:highlight w:val="none"/>
        </w:rPr>
        <w:t>一档（6分）：各主要施工工序贴合施工进度及现场工况，编制详实周密的专项劳动力安排计划，各工种人员划分清晰、配置完备，劳动力投入数量及结构切实合理，针对性与落地性强，可精准统筹全流程人员调配，完好满足施工生产需求。</w:t>
      </w:r>
    </w:p>
    <w:p w14:paraId="30941128">
      <w:pPr>
        <w:spacing w:line="400" w:lineRule="exact"/>
        <w:ind w:firstLine="420" w:firstLineChars="200"/>
        <w:rPr>
          <w:rFonts w:hint="eastAsia" w:hAnsi="宋体"/>
          <w:color w:val="auto"/>
          <w:szCs w:val="21"/>
          <w:highlight w:val="none"/>
        </w:rPr>
      </w:pPr>
      <w:r>
        <w:rPr>
          <w:rFonts w:hint="eastAsia" w:hAnsi="宋体"/>
          <w:color w:val="auto"/>
          <w:szCs w:val="21"/>
          <w:highlight w:val="none"/>
        </w:rPr>
        <w:t>二档（4分）：各主要施工工序契合项目施工要求，具备完整劳动力安排计划，明确各工种人员配置，劳动力投入配比基本稳妥合理，能够满足现场人员调配基础需求，保障施工正常推进。</w:t>
      </w:r>
    </w:p>
    <w:p w14:paraId="3D8D1F9B">
      <w:pPr>
        <w:spacing w:line="400" w:lineRule="exact"/>
        <w:ind w:firstLine="420" w:firstLineChars="200"/>
        <w:rPr>
          <w:rFonts w:hint="eastAsia" w:hAnsi="宋体"/>
          <w:color w:val="auto"/>
          <w:szCs w:val="21"/>
          <w:highlight w:val="none"/>
        </w:rPr>
      </w:pPr>
      <w:r>
        <w:rPr>
          <w:rFonts w:hint="eastAsia" w:hAnsi="宋体"/>
          <w:color w:val="auto"/>
          <w:szCs w:val="21"/>
          <w:highlight w:val="none"/>
        </w:rPr>
        <w:t>三档（2分）：劳动力安排计划内容简略，各工种配置方案模糊，人员排布逻辑欠缺合理性，劳动力投入与施工工序适配度较差，无法有效统筹现场人员调配，难以满足施工进度要求。</w:t>
      </w:r>
    </w:p>
    <w:p w14:paraId="5CCA3E40">
      <w:pPr>
        <w:spacing w:line="400" w:lineRule="exact"/>
        <w:ind w:firstLine="420" w:firstLineChars="200"/>
        <w:rPr>
          <w:rFonts w:hAnsi="宋体"/>
          <w:color w:val="auto"/>
          <w:szCs w:val="21"/>
          <w:highlight w:val="none"/>
        </w:rPr>
      </w:pPr>
      <w:r>
        <w:rPr>
          <w:rFonts w:hint="eastAsia" w:hAnsi="宋体"/>
          <w:color w:val="auto"/>
          <w:szCs w:val="21"/>
          <w:highlight w:val="none"/>
        </w:rPr>
        <w:t>四档（1分）：仅零散罗列人员相关内容，无系统完善的劳动力排布思路，计划内容杂乱无序、逻辑不清，人员投入方案严重脱离施工现场实际，不具备人员调配指导价值。</w:t>
      </w:r>
    </w:p>
    <w:p w14:paraId="15EAB2F1">
      <w:pPr>
        <w:widowControl/>
        <w:spacing w:line="400" w:lineRule="exact"/>
        <w:ind w:firstLine="517" w:firstLineChars="245"/>
        <w:rPr>
          <w:rFonts w:hAnsi="宋体"/>
          <w:b/>
          <w:color w:val="auto"/>
          <w:szCs w:val="21"/>
          <w:highlight w:val="none"/>
        </w:rPr>
      </w:pPr>
      <w:r>
        <w:rPr>
          <w:rFonts w:hint="eastAsia"/>
          <w:b/>
          <w:color w:val="auto"/>
          <w:kern w:val="0"/>
          <w:szCs w:val="21"/>
          <w:highlight w:val="none"/>
        </w:rPr>
        <w:t>D.</w:t>
      </w:r>
      <w:r>
        <w:rPr>
          <w:rFonts w:hint="eastAsia" w:hAnsi="宋体"/>
          <w:b/>
          <w:color w:val="auto"/>
          <w:szCs w:val="21"/>
          <w:highlight w:val="none"/>
        </w:rPr>
        <w:t>确保工程质量的技术组织措施（6分）</w:t>
      </w:r>
      <w:r>
        <w:rPr>
          <w:rFonts w:hint="eastAsia" w:hAnsi="宋体"/>
          <w:b/>
          <w:color w:val="auto"/>
          <w:szCs w:val="21"/>
          <w:highlight w:val="none"/>
        </w:rPr>
        <w:tab/>
      </w:r>
    </w:p>
    <w:p w14:paraId="58743A39">
      <w:pPr>
        <w:spacing w:line="400" w:lineRule="exact"/>
        <w:ind w:firstLine="420" w:firstLineChars="200"/>
        <w:rPr>
          <w:rFonts w:hint="eastAsia" w:hAnsi="宋体"/>
          <w:color w:val="auto"/>
          <w:szCs w:val="21"/>
          <w:highlight w:val="none"/>
        </w:rPr>
      </w:pPr>
      <w:r>
        <w:rPr>
          <w:rFonts w:hint="eastAsia" w:hAnsi="宋体"/>
          <w:color w:val="auto"/>
          <w:szCs w:val="21"/>
          <w:highlight w:val="none"/>
        </w:rPr>
        <w:t>应有专门的质量技术管理班子和制度，且人员配备合理，制度健全。主要工序应有质量技术保证措施和手段，自控体系完整，能有效保证技术质量，达到承诺的质量标准。</w:t>
      </w:r>
    </w:p>
    <w:p w14:paraId="38CB17DF">
      <w:pPr>
        <w:spacing w:line="400" w:lineRule="exact"/>
        <w:ind w:firstLine="420" w:firstLineChars="200"/>
        <w:rPr>
          <w:rFonts w:hint="eastAsia" w:hAnsi="宋体"/>
          <w:color w:val="auto"/>
          <w:szCs w:val="21"/>
          <w:highlight w:val="none"/>
        </w:rPr>
      </w:pPr>
      <w:r>
        <w:rPr>
          <w:rFonts w:hint="eastAsia" w:hAnsi="宋体"/>
          <w:color w:val="auto"/>
          <w:szCs w:val="21"/>
          <w:highlight w:val="none"/>
        </w:rPr>
        <w:t>一档（</w:t>
      </w:r>
      <w:r>
        <w:rPr>
          <w:rFonts w:hint="eastAsia" w:hAnsi="宋体"/>
          <w:color w:val="auto"/>
          <w:szCs w:val="21"/>
          <w:highlight w:val="none"/>
          <w:lang w:val="en-US" w:eastAsia="zh-CN"/>
        </w:rPr>
        <w:t>6</w:t>
      </w:r>
      <w:r>
        <w:rPr>
          <w:rFonts w:hint="eastAsia" w:hAnsi="宋体"/>
          <w:color w:val="auto"/>
          <w:szCs w:val="21"/>
          <w:highlight w:val="none"/>
        </w:rPr>
        <w:t>分）：设立专门的质量技术管理班子，岗位职责清晰，人员配备科学合理，质量管理制度详实健全、规范完善。主要工序编制详尽的质量技术保证措施，管控手段完备，自控体系闭环完整，可全程保障施工技术质量，稳定达到承诺质量标准。</w:t>
      </w:r>
    </w:p>
    <w:p w14:paraId="15AFDBA2">
      <w:pPr>
        <w:spacing w:line="400" w:lineRule="exact"/>
        <w:ind w:firstLine="420" w:firstLineChars="200"/>
        <w:rPr>
          <w:rFonts w:hint="eastAsia" w:hAnsi="宋体"/>
          <w:color w:val="auto"/>
          <w:szCs w:val="21"/>
          <w:highlight w:val="none"/>
        </w:rPr>
      </w:pPr>
      <w:r>
        <w:rPr>
          <w:rFonts w:hint="eastAsia" w:hAnsi="宋体"/>
          <w:color w:val="auto"/>
          <w:szCs w:val="21"/>
          <w:highlight w:val="none"/>
        </w:rPr>
        <w:t>二档（</w:t>
      </w:r>
      <w:r>
        <w:rPr>
          <w:rFonts w:hint="eastAsia" w:hAnsi="宋体"/>
          <w:color w:val="auto"/>
          <w:szCs w:val="21"/>
          <w:highlight w:val="none"/>
          <w:lang w:val="en-US" w:eastAsia="zh-CN"/>
        </w:rPr>
        <w:t>4</w:t>
      </w:r>
      <w:r>
        <w:rPr>
          <w:rFonts w:hint="eastAsia" w:hAnsi="宋体"/>
          <w:color w:val="auto"/>
          <w:szCs w:val="21"/>
          <w:highlight w:val="none"/>
        </w:rPr>
        <w:t>分）：设有质量技术管理班子，人员配备合规合理，管理制度基本完善但存在少量缺漏。主要工序具备常规质量技术保证措施，管控手段常规，自控体系基本完整，能够达到承诺的质量标准。</w:t>
      </w:r>
    </w:p>
    <w:p w14:paraId="72522CD3">
      <w:pPr>
        <w:spacing w:line="400" w:lineRule="exact"/>
        <w:ind w:firstLine="420" w:firstLineChars="200"/>
        <w:rPr>
          <w:rFonts w:hint="eastAsia" w:hAnsi="宋体"/>
          <w:color w:val="auto"/>
          <w:szCs w:val="21"/>
          <w:highlight w:val="none"/>
        </w:rPr>
      </w:pPr>
      <w:r>
        <w:rPr>
          <w:rFonts w:hint="eastAsia" w:hAnsi="宋体"/>
          <w:color w:val="auto"/>
          <w:szCs w:val="21"/>
          <w:highlight w:val="none"/>
        </w:rPr>
        <w:t>三档（2分）：设有简易质量技术管理组织，人员配备存在瑕疵，管理制度不完善。主要工序质量保障措施简略笼统，管控手段单一，自控体系有所欠缺，质量管控能力偏弱。</w:t>
      </w:r>
    </w:p>
    <w:p w14:paraId="1FEF3F96">
      <w:pPr>
        <w:spacing w:line="400" w:lineRule="exact"/>
        <w:ind w:firstLine="420" w:firstLineChars="200"/>
        <w:rPr>
          <w:rFonts w:hAnsi="宋体"/>
          <w:color w:val="auto"/>
          <w:szCs w:val="21"/>
          <w:highlight w:val="none"/>
        </w:rPr>
      </w:pPr>
      <w:r>
        <w:rPr>
          <w:rFonts w:hint="eastAsia" w:hAnsi="宋体"/>
          <w:color w:val="auto"/>
          <w:szCs w:val="21"/>
          <w:highlight w:val="none"/>
        </w:rPr>
        <w:t>四档（1分）：无规范质量技术管理班子，人员配备不合理，管理制度缺失紊乱。主要工序无任何质量技术保证措施，自控体系失效，无法保障施工质量，未达到承诺质量标准。</w:t>
      </w:r>
    </w:p>
    <w:p w14:paraId="4C5F95A4">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E.确保安全生产的技术组织措施（6分）</w:t>
      </w:r>
    </w:p>
    <w:p w14:paraId="1C51B5B1">
      <w:pPr>
        <w:spacing w:line="400" w:lineRule="exact"/>
        <w:ind w:firstLine="420" w:firstLineChars="200"/>
        <w:rPr>
          <w:rFonts w:hint="eastAsia" w:hAnsi="宋体"/>
          <w:color w:val="auto"/>
          <w:szCs w:val="21"/>
          <w:highlight w:val="none"/>
        </w:rPr>
      </w:pPr>
      <w:r>
        <w:rPr>
          <w:rFonts w:hint="eastAsia" w:hAnsi="宋体"/>
          <w:color w:val="auto"/>
          <w:szCs w:val="21"/>
          <w:highlight w:val="none"/>
        </w:rPr>
        <w:t>应有专门的质量技术管理班子和制度，且人员配备合理，制度健全。主要工序应有质量技术保证措施和手段，自控体系完整，能有效保证技术质量，达到承诺的质量标准。</w:t>
      </w:r>
    </w:p>
    <w:p w14:paraId="6C8F9FE0">
      <w:pPr>
        <w:spacing w:line="400" w:lineRule="exact"/>
        <w:ind w:firstLine="420" w:firstLineChars="200"/>
        <w:rPr>
          <w:rFonts w:hint="eastAsia" w:hAnsi="宋体"/>
          <w:color w:val="auto"/>
          <w:szCs w:val="21"/>
          <w:highlight w:val="none"/>
        </w:rPr>
      </w:pPr>
      <w:r>
        <w:rPr>
          <w:rFonts w:hint="eastAsia" w:hAnsi="宋体"/>
          <w:color w:val="auto"/>
          <w:szCs w:val="21"/>
          <w:highlight w:val="none"/>
        </w:rPr>
        <w:t>一档（6分）：设立专属专业的质量技术管理管理班子，岗位职责划分明确，质量管理制度详实完善、体系健全合规，人员配置科学合理。关键工序配备专项质量技术保障措施，质量管控手段成熟完备，自控体系闭环完整，可全过程严控施工质量，稳定达到既定质量承诺标准。</w:t>
      </w:r>
    </w:p>
    <w:p w14:paraId="6551C98C">
      <w:pPr>
        <w:spacing w:line="400" w:lineRule="exact"/>
        <w:ind w:firstLine="420" w:firstLineChars="200"/>
        <w:rPr>
          <w:rFonts w:hint="eastAsia" w:hAnsi="宋体"/>
          <w:color w:val="auto"/>
          <w:szCs w:val="21"/>
          <w:highlight w:val="none"/>
        </w:rPr>
      </w:pPr>
      <w:r>
        <w:rPr>
          <w:rFonts w:hint="eastAsia" w:hAnsi="宋体"/>
          <w:color w:val="auto"/>
          <w:szCs w:val="21"/>
          <w:highlight w:val="none"/>
        </w:rPr>
        <w:t>二档（4分）：设置质量技术管理班子，配套管理制度完整规范，人员配备合规合理。主要工序具备常规质量技术保障措施，自控体系完善，管控手段稳妥有效，能够把控施工质量，满足承诺的质量标准要求。</w:t>
      </w:r>
    </w:p>
    <w:p w14:paraId="4F9A0160">
      <w:pPr>
        <w:spacing w:line="400" w:lineRule="exact"/>
        <w:ind w:firstLine="420" w:firstLineChars="200"/>
        <w:rPr>
          <w:rFonts w:hint="eastAsia" w:hAnsi="宋体"/>
          <w:color w:val="auto"/>
          <w:szCs w:val="21"/>
          <w:highlight w:val="none"/>
        </w:rPr>
      </w:pPr>
      <w:r>
        <w:rPr>
          <w:rFonts w:hint="eastAsia" w:hAnsi="宋体"/>
          <w:color w:val="auto"/>
          <w:szCs w:val="21"/>
          <w:highlight w:val="none"/>
        </w:rPr>
        <w:t>三档（2分）：虽设有质量技术管理相关组织与制度，但人员配置存在疏漏，管理制度不够完善。主要工序质量保障措施简单笼统，自控体系存在短板，管控力度不足，难以稳定保障施工质量。</w:t>
      </w:r>
    </w:p>
    <w:p w14:paraId="2C6D71A8">
      <w:pPr>
        <w:spacing w:line="400" w:lineRule="exact"/>
        <w:ind w:firstLine="420" w:firstLineChars="200"/>
        <w:rPr>
          <w:rFonts w:hAnsi="宋体"/>
          <w:color w:val="auto"/>
          <w:szCs w:val="21"/>
          <w:highlight w:val="none"/>
        </w:rPr>
      </w:pPr>
      <w:r>
        <w:rPr>
          <w:rFonts w:hint="eastAsia" w:hAnsi="宋体"/>
          <w:color w:val="auto"/>
          <w:szCs w:val="21"/>
          <w:highlight w:val="none"/>
        </w:rPr>
        <w:t>四档（1分）：无专职质量技术管理班子，管理制度缺失、人员配置混乱，无规范的质量管控流程。主要工序无专项质量保障措施，自控体系残缺失效，无法管控施工质量，达不到承诺质量标准。</w:t>
      </w:r>
    </w:p>
    <w:p w14:paraId="28A49017">
      <w:pPr>
        <w:widowControl/>
        <w:spacing w:line="400" w:lineRule="exact"/>
        <w:ind w:firstLine="517" w:firstLineChars="245"/>
        <w:rPr>
          <w:rFonts w:hAnsi="宋体"/>
          <w:color w:val="auto"/>
          <w:szCs w:val="21"/>
          <w:highlight w:val="none"/>
        </w:rPr>
      </w:pPr>
      <w:r>
        <w:rPr>
          <w:rFonts w:hint="eastAsia" w:hAnsi="宋体"/>
          <w:b/>
          <w:color w:val="auto"/>
          <w:szCs w:val="21"/>
          <w:highlight w:val="none"/>
        </w:rPr>
        <w:t>F.确保工期的技术组织措施（6分）</w:t>
      </w:r>
    </w:p>
    <w:p w14:paraId="1C5DDB4B">
      <w:pPr>
        <w:spacing w:line="400" w:lineRule="exact"/>
        <w:ind w:firstLine="420" w:firstLineChars="200"/>
        <w:rPr>
          <w:rFonts w:hint="eastAsia" w:hAnsi="宋体"/>
          <w:color w:val="auto"/>
          <w:szCs w:val="21"/>
          <w:highlight w:val="none"/>
        </w:rPr>
      </w:pPr>
      <w:r>
        <w:rPr>
          <w:rFonts w:hint="eastAsia" w:hAnsi="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77308EF7">
      <w:pPr>
        <w:spacing w:line="400" w:lineRule="exact"/>
        <w:ind w:firstLine="420" w:firstLineChars="200"/>
        <w:rPr>
          <w:rFonts w:hint="eastAsia" w:hAnsi="宋体"/>
          <w:color w:val="auto"/>
          <w:szCs w:val="21"/>
          <w:highlight w:val="none"/>
        </w:rPr>
      </w:pPr>
      <w:r>
        <w:rPr>
          <w:rFonts w:hint="eastAsia" w:hAnsi="宋体"/>
          <w:color w:val="auto"/>
          <w:szCs w:val="21"/>
          <w:highlight w:val="none"/>
        </w:rPr>
        <w:t>一档（6分）：从施工工艺、施工方法、材料配置、劳动力调配、专项技术等多维度制定详实完整的工期保障措施，管控手段科学得当。编制精细化施工进度管控计划，同步配备施工总进度表及施工网络图，图表编制规范完备、逻辑严谨，工期排布科学贴合项目现场实际工况，可精准把控施工节点，保障工期如期竣工。</w:t>
      </w:r>
    </w:p>
    <w:p w14:paraId="6F0D2019">
      <w:pPr>
        <w:spacing w:line="400" w:lineRule="exact"/>
        <w:ind w:firstLine="420" w:firstLineChars="200"/>
        <w:rPr>
          <w:rFonts w:hint="eastAsia" w:hAnsi="宋体"/>
          <w:color w:val="auto"/>
          <w:szCs w:val="21"/>
          <w:highlight w:val="none"/>
        </w:rPr>
      </w:pPr>
      <w:r>
        <w:rPr>
          <w:rFonts w:hint="eastAsia" w:hAnsi="宋体"/>
          <w:color w:val="auto"/>
          <w:szCs w:val="21"/>
          <w:highlight w:val="none"/>
        </w:rPr>
        <w:t>二档（4分）：涵盖施工、材料、人员、技术等方面制定工期保障措施，措施常规通用、方式稳妥。具备完整的施工进度计划，配有施工进度相关图表，图表编制规范，工期排布合理，契合项目施工要求，能够有效把控整体施工进度。</w:t>
      </w:r>
    </w:p>
    <w:p w14:paraId="22F8B7F2">
      <w:pPr>
        <w:spacing w:line="400" w:lineRule="exact"/>
        <w:ind w:firstLine="420" w:firstLineChars="200"/>
        <w:rPr>
          <w:rFonts w:hint="eastAsia" w:hAnsi="宋体"/>
          <w:color w:val="auto"/>
          <w:szCs w:val="21"/>
          <w:highlight w:val="none"/>
        </w:rPr>
      </w:pPr>
      <w:r>
        <w:rPr>
          <w:rFonts w:hint="eastAsia" w:hAnsi="宋体"/>
          <w:color w:val="auto"/>
          <w:szCs w:val="21"/>
          <w:highlight w:val="none"/>
        </w:rPr>
        <w:t>三档（2分）：虽罗列工期保障相关措施，但措施内容笼统单一，工艺、人员、材料等保障维度不完善，适用性较差。进度计划及相关图表编制粗糙，工期排布逻辑性不足，与现场施工工况存在偏差，难以有效管控施工工期。</w:t>
      </w:r>
    </w:p>
    <w:p w14:paraId="70E6B9DD">
      <w:pPr>
        <w:spacing w:line="400" w:lineRule="exact"/>
        <w:ind w:firstLine="420" w:firstLineChars="200"/>
        <w:rPr>
          <w:rFonts w:hAnsi="宋体"/>
          <w:color w:val="auto"/>
          <w:szCs w:val="21"/>
          <w:highlight w:val="none"/>
        </w:rPr>
      </w:pPr>
      <w:r>
        <w:rPr>
          <w:rFonts w:hint="eastAsia" w:hAnsi="宋体"/>
          <w:color w:val="auto"/>
          <w:szCs w:val="21"/>
          <w:highlight w:val="none"/>
        </w:rPr>
        <w:t>四档（1分）：无系统完善的工期保障措施，各维度保障手段缺失、措施不合理。未编制规范的施工进度计划，进度图表残缺混乱、排布严重不合理，脱离项目施工实际，无工期管控指导价值。</w:t>
      </w:r>
    </w:p>
    <w:p w14:paraId="7E492898">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G.确保文明施工的技术组织措施（</w:t>
      </w:r>
      <w:r>
        <w:rPr>
          <w:rFonts w:hint="eastAsia" w:hAnsi="宋体"/>
          <w:b/>
          <w:color w:val="auto"/>
          <w:szCs w:val="21"/>
          <w:highlight w:val="none"/>
          <w:lang w:val="en-US" w:eastAsia="zh-CN"/>
        </w:rPr>
        <w:t>6</w:t>
      </w:r>
      <w:r>
        <w:rPr>
          <w:rFonts w:hint="eastAsia" w:hAnsi="宋体"/>
          <w:b/>
          <w:color w:val="auto"/>
          <w:szCs w:val="21"/>
          <w:highlight w:val="none"/>
        </w:rPr>
        <w:t>分）</w:t>
      </w:r>
      <w:r>
        <w:rPr>
          <w:rFonts w:hint="eastAsia" w:hAnsi="宋体"/>
          <w:b/>
          <w:color w:val="auto"/>
          <w:szCs w:val="21"/>
          <w:highlight w:val="none"/>
        </w:rPr>
        <w:tab/>
      </w:r>
    </w:p>
    <w:p w14:paraId="075C9D81">
      <w:pPr>
        <w:spacing w:line="400" w:lineRule="exact"/>
        <w:ind w:firstLine="420" w:firstLineChars="200"/>
        <w:rPr>
          <w:rFonts w:hint="eastAsia" w:hAnsi="宋体"/>
          <w:color w:val="auto"/>
          <w:szCs w:val="21"/>
          <w:highlight w:val="none"/>
        </w:rPr>
      </w:pPr>
      <w:r>
        <w:rPr>
          <w:rFonts w:hint="eastAsia" w:hAnsi="宋体"/>
          <w:color w:val="auto"/>
          <w:szCs w:val="21"/>
          <w:highlight w:val="none"/>
        </w:rPr>
        <w:t>需结合本工程项目特点，制定现场文明施工、环境保护专项措施，措施内容须满足《建筑施工安全生产检查标准》（JGJ59-2011）合格标准，且符合《广西壮族自治区建筑工程文明施工导则》相关要求。各项措施应科学周全、详实具体、落地有效，并出具明确的文明施工目标承诺。</w:t>
      </w:r>
    </w:p>
    <w:p w14:paraId="0FCC23C5">
      <w:pPr>
        <w:spacing w:line="400" w:lineRule="exact"/>
        <w:ind w:firstLine="420" w:firstLineChars="200"/>
        <w:rPr>
          <w:rFonts w:hint="eastAsia" w:hAnsi="宋体"/>
          <w:color w:val="auto"/>
          <w:szCs w:val="21"/>
          <w:highlight w:val="none"/>
        </w:rPr>
      </w:pPr>
      <w:r>
        <w:rPr>
          <w:rFonts w:hint="eastAsia" w:hAnsi="宋体"/>
          <w:color w:val="auto"/>
          <w:szCs w:val="21"/>
          <w:highlight w:val="none"/>
        </w:rPr>
        <w:t>一档（6分）：紧密贴合本项目工程特点，编制齐全完备的文明施工与环境保护专项措施，措施严格对标《建筑施工安全生产检查标准》（JGJ59-2011）合格标准及《广西壮族自治区建筑工程文明施工导则》地方要求。管控措施科学细化、覆盖面广、实操性强，同时出具明确、细化、可考核的文明施工目标承诺，管控体系完善。</w:t>
      </w:r>
    </w:p>
    <w:p w14:paraId="0EBF111B">
      <w:pPr>
        <w:spacing w:line="400" w:lineRule="exact"/>
        <w:ind w:firstLine="420" w:firstLineChars="200"/>
        <w:rPr>
          <w:rFonts w:hint="eastAsia" w:hAnsi="宋体"/>
          <w:color w:val="auto"/>
          <w:szCs w:val="21"/>
          <w:highlight w:val="none"/>
        </w:rPr>
      </w:pPr>
      <w:r>
        <w:rPr>
          <w:rFonts w:hint="eastAsia" w:hAnsi="宋体"/>
          <w:color w:val="auto"/>
          <w:szCs w:val="21"/>
          <w:highlight w:val="none"/>
        </w:rPr>
        <w:t>二档（</w:t>
      </w:r>
      <w:r>
        <w:rPr>
          <w:rFonts w:hint="eastAsia" w:hAnsi="宋体"/>
          <w:color w:val="auto"/>
          <w:szCs w:val="21"/>
          <w:highlight w:val="none"/>
          <w:lang w:val="en-US" w:eastAsia="zh-CN"/>
        </w:rPr>
        <w:t>4</w:t>
      </w:r>
      <w:r>
        <w:rPr>
          <w:rFonts w:hint="eastAsia" w:hAnsi="宋体"/>
          <w:color w:val="auto"/>
          <w:szCs w:val="21"/>
          <w:highlight w:val="none"/>
        </w:rPr>
        <w:t>分）：结合项目施工特点，配备规范完整的文明施工及环境保护措施，措施满足国家检查标准及广西地方文明施工导则要求。各项措施条理清晰、合理有效，附带明确的文明施工达标承诺，可满足现场文明管控基本要求。</w:t>
      </w:r>
    </w:p>
    <w:p w14:paraId="5C9447A6">
      <w:pPr>
        <w:spacing w:line="400" w:lineRule="exact"/>
        <w:ind w:firstLine="420" w:firstLineChars="200"/>
        <w:rPr>
          <w:rFonts w:hint="eastAsia" w:hAnsi="宋体"/>
          <w:color w:val="auto"/>
          <w:szCs w:val="21"/>
          <w:highlight w:val="none"/>
        </w:rPr>
      </w:pPr>
      <w:r>
        <w:rPr>
          <w:rFonts w:hint="eastAsia" w:hAnsi="宋体"/>
          <w:color w:val="auto"/>
          <w:szCs w:val="21"/>
          <w:highlight w:val="none"/>
        </w:rPr>
        <w:t>三档（2分）：虽编制文明施工、环境保护相关措施，但内容简略笼统，贴合项目特点性不足，仅勉强达到规范合格底线。措施覆盖面不全、针对性偏弱，文明施工目标承诺表述简单笼统，管控力度一般。</w:t>
      </w:r>
    </w:p>
    <w:p w14:paraId="1233A37C">
      <w:pPr>
        <w:spacing w:line="400" w:lineRule="exact"/>
        <w:ind w:firstLine="420" w:firstLineChars="200"/>
        <w:rPr>
          <w:rFonts w:hAnsi="宋体"/>
          <w:color w:val="auto"/>
          <w:szCs w:val="21"/>
          <w:highlight w:val="none"/>
        </w:rPr>
      </w:pPr>
      <w:r>
        <w:rPr>
          <w:rFonts w:hint="eastAsia" w:hAnsi="宋体"/>
          <w:color w:val="auto"/>
          <w:szCs w:val="21"/>
          <w:highlight w:val="none"/>
        </w:rPr>
        <w:t>四档（1分）：未结合项目特点布设文明施工及环保管控措施，措施不符合《建筑施工安全生产检查标准》（JGJ59-2011）及广西地方导则要求，管控措施缺失且无效。无文明施工目标承诺，不具备现场文明施工管控指导价值。</w:t>
      </w:r>
    </w:p>
    <w:p w14:paraId="7BD66C26">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H.工程施工的重点和难点及保证措施（</w:t>
      </w:r>
      <w:r>
        <w:rPr>
          <w:rFonts w:hint="eastAsia" w:hAnsi="宋体"/>
          <w:b/>
          <w:color w:val="auto"/>
          <w:szCs w:val="21"/>
          <w:highlight w:val="none"/>
          <w:lang w:val="en-US" w:eastAsia="zh-CN"/>
        </w:rPr>
        <w:t>6</w:t>
      </w:r>
      <w:r>
        <w:rPr>
          <w:rFonts w:hint="eastAsia" w:hAnsi="宋体"/>
          <w:b/>
          <w:color w:val="auto"/>
          <w:szCs w:val="21"/>
          <w:highlight w:val="none"/>
        </w:rPr>
        <w:t>分）</w:t>
      </w:r>
    </w:p>
    <w:p w14:paraId="0465F2E1">
      <w:pPr>
        <w:spacing w:line="400" w:lineRule="exact"/>
        <w:ind w:firstLine="420" w:firstLineChars="200"/>
        <w:rPr>
          <w:rFonts w:hint="eastAsia" w:hAnsi="宋体"/>
          <w:color w:val="auto"/>
          <w:szCs w:val="21"/>
          <w:highlight w:val="none"/>
        </w:rPr>
      </w:pPr>
      <w:r>
        <w:rPr>
          <w:rFonts w:hint="eastAsia" w:hAnsi="宋体"/>
          <w:color w:val="auto"/>
          <w:szCs w:val="21"/>
          <w:highlight w:val="none"/>
        </w:rPr>
        <w:t>需结合本工程实际特点，精准剖析工程施工重点与施工难点，拟定针对性处置方案，重难点解决方法需科学合规、贴合现场，具备较强实操性，能够有效化解施工管控风险。</w:t>
      </w:r>
    </w:p>
    <w:p w14:paraId="078C5FFA">
      <w:pPr>
        <w:spacing w:line="400" w:lineRule="exact"/>
        <w:ind w:firstLine="420" w:firstLineChars="200"/>
        <w:rPr>
          <w:rFonts w:hint="eastAsia" w:hAnsi="宋体"/>
          <w:color w:val="auto"/>
          <w:szCs w:val="21"/>
          <w:highlight w:val="none"/>
        </w:rPr>
      </w:pPr>
      <w:r>
        <w:rPr>
          <w:rFonts w:hint="eastAsia" w:hAnsi="宋体"/>
          <w:color w:val="auto"/>
          <w:szCs w:val="21"/>
          <w:highlight w:val="none"/>
        </w:rPr>
        <w:t>一档（6分）：紧密结合本工程施工特点，全面且细致剖析工程施工重点、施工难点，问题研判精准到位。重难点处置方案科学严谨、逻辑缜密，解决方法科学合理、贴合现场工况，针对性与落地性极强，可高效破解施工管控难点。</w:t>
      </w:r>
    </w:p>
    <w:p w14:paraId="1C2B0574">
      <w:pPr>
        <w:spacing w:line="400" w:lineRule="exact"/>
        <w:ind w:firstLine="420" w:firstLineChars="200"/>
        <w:rPr>
          <w:rFonts w:hint="eastAsia" w:hAnsi="宋体"/>
          <w:color w:val="auto"/>
          <w:szCs w:val="21"/>
          <w:highlight w:val="none"/>
        </w:rPr>
      </w:pPr>
      <w:r>
        <w:rPr>
          <w:rFonts w:hint="eastAsia" w:hAnsi="宋体"/>
          <w:color w:val="auto"/>
          <w:szCs w:val="21"/>
          <w:highlight w:val="none"/>
        </w:rPr>
        <w:t>二档（</w:t>
      </w:r>
      <w:r>
        <w:rPr>
          <w:rFonts w:hint="eastAsia" w:hAnsi="宋体"/>
          <w:color w:val="auto"/>
          <w:szCs w:val="21"/>
          <w:highlight w:val="none"/>
          <w:lang w:val="en-US" w:eastAsia="zh-CN"/>
        </w:rPr>
        <w:t>4</w:t>
      </w:r>
      <w:r>
        <w:rPr>
          <w:rFonts w:hint="eastAsia" w:hAnsi="宋体"/>
          <w:color w:val="auto"/>
          <w:szCs w:val="21"/>
          <w:highlight w:val="none"/>
        </w:rPr>
        <w:t>分）：结合本工程特点，清晰梳理工程施工重点及难点，重难点识别准确无误。配套处置方案完善规范，解决方法合理合规，能够满足重难点管控需求，可保障工程平稳施工。</w:t>
      </w:r>
    </w:p>
    <w:p w14:paraId="31820E40">
      <w:pPr>
        <w:spacing w:line="400" w:lineRule="exact"/>
        <w:ind w:firstLine="420" w:firstLineChars="200"/>
        <w:rPr>
          <w:rFonts w:hint="eastAsia" w:hAnsi="宋体"/>
          <w:color w:val="auto"/>
          <w:szCs w:val="21"/>
          <w:highlight w:val="none"/>
        </w:rPr>
      </w:pPr>
      <w:r>
        <w:rPr>
          <w:rFonts w:hint="eastAsia" w:hAnsi="宋体"/>
          <w:color w:val="auto"/>
          <w:szCs w:val="21"/>
          <w:highlight w:val="none"/>
        </w:rPr>
        <w:t>三档（2分）：虽对工程重难点进行简要阐述，但分析内容浅显笼统，贴合本工程专项特点不足。重难点处置方式简单常规，解决方法合理性一般，针对性偏弱，管控优化效果有限。</w:t>
      </w:r>
    </w:p>
    <w:p w14:paraId="410EC364">
      <w:pPr>
        <w:spacing w:line="400" w:lineRule="exact"/>
        <w:ind w:firstLine="420" w:firstLineChars="200"/>
        <w:rPr>
          <w:rFonts w:hAnsi="宋体"/>
          <w:color w:val="auto"/>
          <w:szCs w:val="21"/>
          <w:highlight w:val="none"/>
        </w:rPr>
      </w:pPr>
      <w:r>
        <w:rPr>
          <w:rFonts w:hint="eastAsia" w:hAnsi="宋体"/>
          <w:color w:val="auto"/>
          <w:szCs w:val="21"/>
          <w:highlight w:val="none"/>
        </w:rPr>
        <w:t>四档（1分）：未结合本工程实际特点开展重难点分析，无明确的工程重点、难点梳理内容。无对应处置方案或解决方法严重不合理，脱离项目施工实际，无任何施工参考指导价值。</w:t>
      </w:r>
    </w:p>
    <w:p w14:paraId="6EDF71E0">
      <w:pPr>
        <w:spacing w:line="400" w:lineRule="exact"/>
        <w:ind w:firstLine="422" w:firstLineChars="200"/>
        <w:rPr>
          <w:rFonts w:hAnsi="宋体"/>
          <w:b/>
          <w:color w:val="auto"/>
          <w:szCs w:val="21"/>
          <w:highlight w:val="none"/>
        </w:rPr>
      </w:pPr>
      <w:r>
        <w:rPr>
          <w:rFonts w:hint="eastAsia" w:hAnsi="宋体"/>
          <w:b/>
          <w:bCs/>
          <w:color w:val="auto"/>
          <w:szCs w:val="21"/>
          <w:highlight w:val="none"/>
        </w:rPr>
        <w:t>3</w:t>
      </w:r>
      <w:r>
        <w:rPr>
          <w:rFonts w:hAnsi="宋体"/>
          <w:b/>
          <w:bCs/>
          <w:color w:val="auto"/>
          <w:szCs w:val="21"/>
          <w:highlight w:val="none"/>
        </w:rPr>
        <w:t>、业绩分……………………………………………………………………………满分</w:t>
      </w:r>
      <w:r>
        <w:rPr>
          <w:rFonts w:hint="eastAsia" w:hAnsi="宋体"/>
          <w:b/>
          <w:bCs/>
          <w:color w:val="auto"/>
          <w:szCs w:val="21"/>
          <w:highlight w:val="none"/>
          <w:lang w:val="en-US" w:eastAsia="zh-CN"/>
        </w:rPr>
        <w:t>8</w:t>
      </w:r>
      <w:r>
        <w:rPr>
          <w:rFonts w:hAnsi="宋体"/>
          <w:b/>
          <w:bCs/>
          <w:color w:val="auto"/>
          <w:szCs w:val="21"/>
          <w:highlight w:val="none"/>
        </w:rPr>
        <w:t>分</w:t>
      </w:r>
    </w:p>
    <w:p w14:paraId="689682E7">
      <w:pPr>
        <w:widowControl/>
        <w:spacing w:line="400" w:lineRule="exact"/>
        <w:ind w:firstLine="514" w:firstLineChars="245"/>
        <w:rPr>
          <w:rFonts w:hAnsi="宋体"/>
          <w:color w:val="auto"/>
          <w:szCs w:val="21"/>
          <w:highlight w:val="none"/>
        </w:rPr>
      </w:pPr>
      <w:r>
        <w:rPr>
          <w:rFonts w:hint="eastAsia" w:hAnsi="宋体"/>
          <w:color w:val="auto"/>
          <w:szCs w:val="21"/>
          <w:highlight w:val="none"/>
        </w:rPr>
        <w:t>202</w:t>
      </w:r>
      <w:r>
        <w:rPr>
          <w:rFonts w:hint="eastAsia" w:hAnsi="宋体"/>
          <w:color w:val="auto"/>
          <w:szCs w:val="21"/>
          <w:highlight w:val="none"/>
          <w:lang w:val="en-US" w:eastAsia="zh-CN"/>
        </w:rPr>
        <w:t>2</w:t>
      </w:r>
      <w:r>
        <w:rPr>
          <w:rFonts w:hAnsi="宋体"/>
          <w:color w:val="auto"/>
          <w:szCs w:val="21"/>
          <w:highlight w:val="none"/>
        </w:rPr>
        <w:t>年1月1日以来至</w:t>
      </w:r>
      <w:r>
        <w:rPr>
          <w:rFonts w:hint="eastAsia" w:hAnsi="宋体"/>
          <w:color w:val="auto"/>
          <w:szCs w:val="21"/>
          <w:highlight w:val="none"/>
        </w:rPr>
        <w:t>首次响应</w:t>
      </w:r>
      <w:r>
        <w:rPr>
          <w:rFonts w:hAnsi="宋体"/>
          <w:color w:val="auto"/>
          <w:szCs w:val="21"/>
          <w:highlight w:val="none"/>
        </w:rPr>
        <w:t>文件递交截止日期止，</w:t>
      </w:r>
      <w:r>
        <w:rPr>
          <w:rFonts w:hint="eastAsia" w:hAnsi="宋体"/>
          <w:color w:val="auto"/>
          <w:szCs w:val="21"/>
          <w:highlight w:val="none"/>
        </w:rPr>
        <w:t>供应商</w:t>
      </w:r>
      <w:r>
        <w:rPr>
          <w:rFonts w:hAnsi="宋体"/>
          <w:color w:val="auto"/>
          <w:szCs w:val="21"/>
          <w:highlight w:val="none"/>
        </w:rPr>
        <w:t>承</w:t>
      </w:r>
      <w:r>
        <w:rPr>
          <w:rFonts w:hint="eastAsia" w:hAnsi="宋体"/>
          <w:color w:val="auto"/>
          <w:szCs w:val="21"/>
          <w:highlight w:val="none"/>
        </w:rPr>
        <w:t>接在建或完成过类似工程施工业绩的</w:t>
      </w:r>
      <w:r>
        <w:rPr>
          <w:rFonts w:hAnsi="宋体"/>
          <w:color w:val="auto"/>
          <w:szCs w:val="21"/>
          <w:highlight w:val="none"/>
        </w:rPr>
        <w:t>，每</w:t>
      </w:r>
      <w:r>
        <w:rPr>
          <w:rFonts w:hint="eastAsia" w:hAnsi="宋体"/>
          <w:color w:val="auto"/>
          <w:szCs w:val="21"/>
          <w:highlight w:val="none"/>
        </w:rPr>
        <w:t>个</w:t>
      </w:r>
      <w:r>
        <w:rPr>
          <w:rFonts w:hAnsi="宋体"/>
          <w:color w:val="auto"/>
          <w:szCs w:val="21"/>
          <w:highlight w:val="none"/>
        </w:rPr>
        <w:t>得</w:t>
      </w:r>
      <w:r>
        <w:rPr>
          <w:rFonts w:hint="eastAsia" w:hAnsi="宋体"/>
          <w:color w:val="auto"/>
          <w:szCs w:val="21"/>
          <w:highlight w:val="none"/>
        </w:rPr>
        <w:t>2</w:t>
      </w:r>
      <w:r>
        <w:rPr>
          <w:rFonts w:hAnsi="宋体"/>
          <w:color w:val="auto"/>
          <w:szCs w:val="21"/>
          <w:highlight w:val="none"/>
        </w:rPr>
        <w:t>分，满分</w:t>
      </w:r>
      <w:r>
        <w:rPr>
          <w:rFonts w:hint="eastAsia" w:hAnsi="宋体"/>
          <w:color w:val="auto"/>
          <w:szCs w:val="21"/>
          <w:highlight w:val="none"/>
          <w:lang w:val="en-US" w:eastAsia="zh-CN"/>
        </w:rPr>
        <w:t>8</w:t>
      </w:r>
      <w:r>
        <w:rPr>
          <w:rFonts w:hAnsi="宋体"/>
          <w:color w:val="auto"/>
          <w:szCs w:val="21"/>
          <w:highlight w:val="none"/>
        </w:rPr>
        <w:t>分。[提供合同扫描件或中标(成交)通知书证明材料为准</w:t>
      </w:r>
      <w:r>
        <w:rPr>
          <w:rFonts w:hint="eastAsia" w:hAnsi="宋体"/>
          <w:color w:val="auto"/>
          <w:szCs w:val="21"/>
          <w:highlight w:val="none"/>
        </w:rPr>
        <w:t>，</w:t>
      </w:r>
      <w:r>
        <w:rPr>
          <w:rFonts w:hAnsi="宋体"/>
          <w:color w:val="auto"/>
          <w:szCs w:val="21"/>
          <w:highlight w:val="none"/>
        </w:rPr>
        <w:t>并加盖供供应商</w:t>
      </w:r>
      <w:r>
        <w:rPr>
          <w:rFonts w:hint="eastAsia" w:hAnsi="宋体"/>
          <w:color w:val="auto"/>
          <w:szCs w:val="21"/>
          <w:highlight w:val="none"/>
        </w:rPr>
        <w:t>单位</w:t>
      </w:r>
      <w:r>
        <w:rPr>
          <w:rFonts w:hAnsi="宋体"/>
          <w:color w:val="auto"/>
          <w:szCs w:val="21"/>
          <w:highlight w:val="none"/>
        </w:rPr>
        <w:t>公章</w:t>
      </w:r>
      <w:r>
        <w:rPr>
          <w:rFonts w:hAnsi="宋体"/>
          <w:bCs/>
          <w:color w:val="auto"/>
          <w:szCs w:val="21"/>
          <w:highlight w:val="none"/>
        </w:rPr>
        <w:t>]。</w:t>
      </w:r>
    </w:p>
    <w:p w14:paraId="15C81DCD">
      <w:pPr>
        <w:pStyle w:val="70"/>
        <w:rPr>
          <w:color w:val="auto"/>
          <w:highlight w:val="none"/>
        </w:rPr>
      </w:pPr>
    </w:p>
    <w:p w14:paraId="1ED31C11">
      <w:pPr>
        <w:pStyle w:val="27"/>
        <w:spacing w:line="400" w:lineRule="exact"/>
        <w:ind w:left="-134" w:leftChars="-64" w:firstLine="527" w:firstLineChars="250"/>
        <w:rPr>
          <w:rFonts w:hAnsi="宋体"/>
          <w:b/>
          <w:color w:val="auto"/>
          <w:szCs w:val="21"/>
          <w:highlight w:val="none"/>
        </w:rPr>
      </w:pPr>
      <w:r>
        <w:rPr>
          <w:rFonts w:hint="eastAsia" w:hAnsi="宋体"/>
          <w:b/>
          <w:color w:val="auto"/>
          <w:szCs w:val="21"/>
          <w:highlight w:val="none"/>
        </w:rPr>
        <w:t>（三）总得分=1+2+3</w:t>
      </w:r>
    </w:p>
    <w:p w14:paraId="39087BE3">
      <w:pPr>
        <w:pStyle w:val="27"/>
        <w:spacing w:line="400" w:lineRule="exact"/>
        <w:ind w:left="-134" w:leftChars="-64" w:firstLine="527" w:firstLineChars="250"/>
        <w:rPr>
          <w:rFonts w:hAnsi="宋体"/>
          <w:b/>
          <w:color w:val="auto"/>
          <w:szCs w:val="21"/>
          <w:highlight w:val="none"/>
        </w:rPr>
      </w:pPr>
    </w:p>
    <w:p w14:paraId="2745BBCE">
      <w:pPr>
        <w:spacing w:line="400" w:lineRule="exact"/>
        <w:ind w:firstLine="527" w:firstLineChars="250"/>
        <w:rPr>
          <w:rFonts w:hAnsi="宋体"/>
          <w:b/>
          <w:color w:val="auto"/>
          <w:szCs w:val="21"/>
          <w:highlight w:val="none"/>
        </w:rPr>
      </w:pPr>
    </w:p>
    <w:p w14:paraId="29F8F598">
      <w:pPr>
        <w:spacing w:line="400" w:lineRule="exact"/>
        <w:ind w:firstLine="527" w:firstLineChars="250"/>
        <w:outlineLvl w:val="1"/>
        <w:rPr>
          <w:rFonts w:hAnsi="宋体"/>
          <w:b/>
          <w:color w:val="auto"/>
          <w:szCs w:val="21"/>
          <w:highlight w:val="none"/>
        </w:rPr>
      </w:pPr>
      <w:bookmarkStart w:id="31" w:name="_Toc2949"/>
      <w:r>
        <w:rPr>
          <w:rFonts w:hint="eastAsia" w:hAnsi="宋体"/>
          <w:b/>
          <w:color w:val="auto"/>
          <w:szCs w:val="21"/>
          <w:highlight w:val="none"/>
        </w:rPr>
        <w:t>三、成交候选供应商推荐原则：</w:t>
      </w:r>
      <w:bookmarkEnd w:id="31"/>
    </w:p>
    <w:p w14:paraId="3FA686FD">
      <w:pPr>
        <w:pStyle w:val="27"/>
        <w:spacing w:before="156" w:after="120" w:line="400" w:lineRule="exact"/>
        <w:ind w:firstLine="403" w:firstLineChars="192"/>
        <w:rPr>
          <w:rFonts w:hAnsi="宋体"/>
          <w:color w:val="auto"/>
          <w:szCs w:val="21"/>
          <w:highlight w:val="none"/>
        </w:rPr>
      </w:pPr>
      <w:r>
        <w:rPr>
          <w:rFonts w:hint="eastAsia" w:hAnsi="宋体"/>
          <w:color w:val="auto"/>
          <w:szCs w:val="21"/>
          <w:highlight w:val="none"/>
        </w:rPr>
        <w:t>在响应文件通过资格和符合性评审的前提下，磋商小组将根据总得分由高到低排列次序顺序推荐3名以上成交候选供应商。总得分相同的，按照最后报价由低到高的顺序推荐；总得分且最后报价相同的，按照施工组织设计得分由高到低的顺序推荐。采购单位应当确定磋商小组推荐排名第一的成交候选供应商为成交供应商。排名第一的成交候选供应商放弃成交、因不可抗力提出不能履行合同，采购单位可以确定排名第二的成交候选供应商为成交供应商。排名第二的成交候选供应商因前款规定的同样原因不能签订合同的，采购单位可以确定排名第三的成交候选供应商为成交供应商，其余以此类推。采购单位也可以重新进行政府采购活动。</w:t>
      </w:r>
    </w:p>
    <w:p w14:paraId="2971653E">
      <w:pPr>
        <w:pStyle w:val="27"/>
        <w:spacing w:before="156" w:after="120" w:line="400" w:lineRule="exact"/>
        <w:ind w:firstLine="403" w:firstLineChars="192"/>
        <w:rPr>
          <w:rFonts w:hAnsi="宋体"/>
          <w:color w:val="auto"/>
          <w:szCs w:val="21"/>
          <w:highlight w:val="none"/>
        </w:rPr>
      </w:pPr>
      <w:r>
        <w:rPr>
          <w:rFonts w:hint="eastAsia" w:hAnsi="宋体"/>
          <w:color w:val="auto"/>
          <w:szCs w:val="21"/>
          <w:highlight w:val="none"/>
        </w:rPr>
        <w:t>采购单位应当确定磋商小组推荐排名第一的成交候选供应商为成交供应商。排名第一的成交候选供应商放弃成交、因不可抗力提出不能履行合同，采购单位可以确定排名第二的成交候选供应商为成交供应商。排名第二的成交候选供应商因前款规定的同样原因不能签订合同的，采购单位可以确定排名第三的成交候选供应商为成交供应商，其余以此类推。采购单位也可以重新进行政府采购活动。</w:t>
      </w:r>
    </w:p>
    <w:p w14:paraId="7332F36D">
      <w:pPr>
        <w:pStyle w:val="3"/>
        <w:spacing w:line="360" w:lineRule="auto"/>
        <w:ind w:right="384" w:rightChars="183"/>
        <w:jc w:val="center"/>
        <w:rPr>
          <w:rFonts w:asciiTheme="minorEastAsia" w:hAnsiTheme="minorEastAsia" w:eastAsiaTheme="minorEastAsia"/>
          <w:color w:val="auto"/>
          <w:sz w:val="32"/>
          <w:szCs w:val="32"/>
          <w:highlight w:val="none"/>
        </w:rPr>
        <w:sectPr>
          <w:pgSz w:w="11907" w:h="16840"/>
          <w:pgMar w:top="1304" w:right="1304" w:bottom="1304" w:left="1304" w:header="964" w:footer="737" w:gutter="0"/>
          <w:cols w:space="720" w:num="1"/>
          <w:titlePg/>
          <w:docGrid w:linePitch="312" w:charSpace="0"/>
        </w:sectPr>
      </w:pPr>
      <w:bookmarkStart w:id="32" w:name="_Toc453681441"/>
    </w:p>
    <w:p w14:paraId="5625F4ED">
      <w:pPr>
        <w:spacing w:line="360" w:lineRule="auto"/>
        <w:jc w:val="center"/>
        <w:outlineLvl w:val="0"/>
        <w:rPr>
          <w:rFonts w:asciiTheme="minorEastAsia" w:hAnsiTheme="minorEastAsia" w:eastAsiaTheme="minorEastAsia"/>
          <w:b/>
          <w:color w:val="auto"/>
          <w:sz w:val="44"/>
          <w:szCs w:val="44"/>
          <w:highlight w:val="none"/>
        </w:rPr>
      </w:pPr>
      <w:bookmarkStart w:id="33" w:name="_Toc20222"/>
      <w:r>
        <w:rPr>
          <w:rFonts w:hint="eastAsia" w:asciiTheme="minorEastAsia" w:hAnsiTheme="minorEastAsia" w:eastAsiaTheme="minorEastAsia"/>
          <w:b/>
          <w:color w:val="auto"/>
          <w:sz w:val="44"/>
          <w:szCs w:val="44"/>
          <w:highlight w:val="none"/>
        </w:rPr>
        <w:t xml:space="preserve">第四章  </w:t>
      </w:r>
      <w:bookmarkEnd w:id="32"/>
      <w:r>
        <w:rPr>
          <w:rFonts w:hint="eastAsia" w:asciiTheme="minorEastAsia" w:hAnsiTheme="minorEastAsia" w:eastAsiaTheme="minorEastAsia"/>
          <w:b/>
          <w:color w:val="auto"/>
          <w:sz w:val="44"/>
          <w:szCs w:val="44"/>
          <w:highlight w:val="none"/>
        </w:rPr>
        <w:t>采购项目需求</w:t>
      </w:r>
      <w:bookmarkEnd w:id="33"/>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789"/>
        <w:gridCol w:w="6412"/>
      </w:tblGrid>
      <w:tr w14:paraId="43E1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vAlign w:val="center"/>
          </w:tcPr>
          <w:p w14:paraId="767DF0A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eastAsia="宋体"/>
                <w:b/>
                <w:color w:val="auto"/>
                <w:sz w:val="24"/>
                <w:szCs w:val="24"/>
                <w:highlight w:val="none"/>
                <w:vertAlign w:val="baseline"/>
                <w:lang w:eastAsia="zh-CN"/>
              </w:rPr>
            </w:pPr>
            <w:bookmarkStart w:id="34" w:name="_Toc6009"/>
            <w:r>
              <w:rPr>
                <w:rFonts w:hint="eastAsia"/>
                <w:b/>
                <w:color w:val="auto"/>
                <w:sz w:val="24"/>
                <w:szCs w:val="24"/>
                <w:highlight w:val="none"/>
                <w:vertAlign w:val="baseline"/>
                <w:lang w:eastAsia="zh-CN"/>
              </w:rPr>
              <w:t>技术要求</w:t>
            </w:r>
          </w:p>
        </w:tc>
        <w:tc>
          <w:tcPr>
            <w:tcW w:w="8201" w:type="dxa"/>
            <w:gridSpan w:val="2"/>
          </w:tcPr>
          <w:p w14:paraId="6A304C35">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rPr>
            </w:pPr>
            <w:r>
              <w:rPr>
                <w:rFonts w:hint="eastAsia"/>
                <w:b w:val="0"/>
                <w:bCs/>
                <w:color w:val="auto"/>
                <w:sz w:val="24"/>
                <w:szCs w:val="24"/>
                <w:highlight w:val="none"/>
                <w:vertAlign w:val="baseline"/>
                <w:lang w:val="en-US" w:eastAsia="zh-CN"/>
              </w:rPr>
              <w:t>一、</w:t>
            </w:r>
            <w:r>
              <w:rPr>
                <w:rFonts w:hint="eastAsia"/>
                <w:b w:val="0"/>
                <w:bCs/>
                <w:color w:val="auto"/>
                <w:sz w:val="24"/>
                <w:szCs w:val="24"/>
                <w:highlight w:val="none"/>
                <w:vertAlign w:val="baseline"/>
              </w:rPr>
              <w:t>本采购工程，应该认真按施工图纸要求进行施工；同时也要严格执行建筑工程各专业有关的现行标准和技术规范。</w:t>
            </w:r>
          </w:p>
          <w:p w14:paraId="387A53D8">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二、建设地点:防城港职业技术学院。</w:t>
            </w:r>
          </w:p>
          <w:p w14:paraId="05F42F38">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三、质量要求:工程质量符合国家施工验收规范合格标准。</w:t>
            </w:r>
          </w:p>
          <w:p w14:paraId="57824383">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outlineLvl w:val="1"/>
              <w:rPr>
                <w:rFonts w:hint="eastAsia" w:eastAsia="宋体"/>
                <w:color w:val="auto"/>
                <w:highlight w:val="none"/>
                <w:lang w:val="en-US" w:eastAsia="zh-CN"/>
              </w:rPr>
            </w:pPr>
            <w:r>
              <w:rPr>
                <w:rFonts w:hint="eastAsia"/>
                <w:b w:val="0"/>
                <w:bCs/>
                <w:color w:val="auto"/>
                <w:sz w:val="24"/>
                <w:szCs w:val="24"/>
                <w:highlight w:val="none"/>
                <w:vertAlign w:val="baseline"/>
                <w:lang w:val="en-US" w:eastAsia="zh-CN"/>
              </w:rPr>
              <w:t>四、工程要求：</w:t>
            </w:r>
            <w:r>
              <w:rPr>
                <w:rFonts w:hint="eastAsia" w:ascii="宋体" w:eastAsia="宋体" w:cs="Times New Roman"/>
                <w:b w:val="0"/>
                <w:bCs/>
                <w:color w:val="auto"/>
                <w:sz w:val="24"/>
                <w:szCs w:val="24"/>
                <w:highlight w:val="none"/>
                <w:vertAlign w:val="baseline"/>
                <w:lang w:val="en-US" w:eastAsia="zh-CN"/>
              </w:rPr>
              <w:t>供应商在施工过程中，不得影响学校正常工作，同时要加强施工安全管理，由供应商此引起的各种事故、火灾或案件由供应商承担全部责任。</w:t>
            </w:r>
          </w:p>
        </w:tc>
      </w:tr>
      <w:tr w14:paraId="27F3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vAlign w:val="center"/>
          </w:tcPr>
          <w:p w14:paraId="5D4DFE6E">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eastAsia="宋体"/>
                <w:b/>
                <w:color w:val="auto"/>
                <w:sz w:val="24"/>
                <w:szCs w:val="24"/>
                <w:highlight w:val="none"/>
                <w:vertAlign w:val="baseline"/>
                <w:lang w:eastAsia="zh-CN"/>
              </w:rPr>
            </w:pPr>
            <w:r>
              <w:rPr>
                <w:rFonts w:hint="eastAsia"/>
                <w:b/>
                <w:color w:val="auto"/>
                <w:sz w:val="24"/>
                <w:szCs w:val="24"/>
                <w:highlight w:val="none"/>
                <w:vertAlign w:val="baseline"/>
                <w:lang w:eastAsia="zh-CN"/>
              </w:rPr>
              <w:t>商务要求</w:t>
            </w:r>
          </w:p>
        </w:tc>
        <w:tc>
          <w:tcPr>
            <w:tcW w:w="1789" w:type="dxa"/>
            <w:vAlign w:val="center"/>
          </w:tcPr>
          <w:p w14:paraId="0866C854">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b/>
                <w:color w:val="auto"/>
                <w:sz w:val="24"/>
                <w:szCs w:val="24"/>
                <w:highlight w:val="none"/>
                <w:vertAlign w:val="baseline"/>
              </w:rPr>
            </w:pPr>
            <w:r>
              <w:rPr>
                <w:rFonts w:hint="eastAsia"/>
                <w:b/>
                <w:color w:val="auto"/>
                <w:sz w:val="24"/>
                <w:szCs w:val="24"/>
                <w:highlight w:val="none"/>
                <w:vertAlign w:val="baseline"/>
              </w:rPr>
              <w:t>项目名称</w:t>
            </w:r>
          </w:p>
        </w:tc>
        <w:tc>
          <w:tcPr>
            <w:tcW w:w="6412" w:type="dxa"/>
          </w:tcPr>
          <w:p w14:paraId="49434A1F">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rPr>
            </w:pPr>
            <w:r>
              <w:rPr>
                <w:rFonts w:hint="eastAsia"/>
                <w:b w:val="0"/>
                <w:bCs/>
                <w:color w:val="auto"/>
                <w:sz w:val="24"/>
                <w:szCs w:val="24"/>
                <w:highlight w:val="none"/>
                <w:lang w:eastAsia="zh-CN"/>
              </w:rPr>
              <w:t>防城港职业技术学院学生宿舍提升改造工程</w:t>
            </w:r>
          </w:p>
        </w:tc>
      </w:tr>
      <w:tr w14:paraId="4E7F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14:paraId="654B4E2C">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color w:val="auto"/>
                <w:sz w:val="24"/>
                <w:szCs w:val="24"/>
                <w:highlight w:val="none"/>
                <w:vertAlign w:val="baseline"/>
              </w:rPr>
            </w:pPr>
          </w:p>
        </w:tc>
        <w:tc>
          <w:tcPr>
            <w:tcW w:w="1789" w:type="dxa"/>
            <w:vAlign w:val="center"/>
          </w:tcPr>
          <w:p w14:paraId="3481E2B7">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b/>
                <w:color w:val="auto"/>
                <w:sz w:val="24"/>
                <w:szCs w:val="24"/>
                <w:highlight w:val="none"/>
                <w:vertAlign w:val="baseline"/>
              </w:rPr>
            </w:pPr>
            <w:r>
              <w:rPr>
                <w:rFonts w:hint="eastAsia"/>
                <w:b/>
                <w:color w:val="auto"/>
                <w:sz w:val="24"/>
                <w:szCs w:val="24"/>
                <w:highlight w:val="none"/>
              </w:rPr>
              <w:t>项目编号</w:t>
            </w:r>
          </w:p>
        </w:tc>
        <w:tc>
          <w:tcPr>
            <w:tcW w:w="6412" w:type="dxa"/>
          </w:tcPr>
          <w:p w14:paraId="6F6DDCA2">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lang w:eastAsia="zh-CN"/>
              </w:rPr>
            </w:pPr>
            <w:r>
              <w:rPr>
                <w:rFonts w:hint="eastAsia"/>
                <w:b w:val="0"/>
                <w:bCs/>
                <w:color w:val="auto"/>
                <w:sz w:val="24"/>
                <w:szCs w:val="24"/>
                <w:highlight w:val="none"/>
                <w:lang w:eastAsia="zh-CN"/>
              </w:rPr>
              <w:t xml:space="preserve">FCZC2026-C2-990104-GXDH </w:t>
            </w:r>
          </w:p>
        </w:tc>
      </w:tr>
      <w:tr w14:paraId="10C6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14:paraId="6624634B">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color w:val="auto"/>
                <w:sz w:val="24"/>
                <w:szCs w:val="24"/>
                <w:highlight w:val="none"/>
                <w:vertAlign w:val="baseline"/>
              </w:rPr>
            </w:pPr>
          </w:p>
        </w:tc>
        <w:tc>
          <w:tcPr>
            <w:tcW w:w="1789" w:type="dxa"/>
            <w:vAlign w:val="center"/>
          </w:tcPr>
          <w:p w14:paraId="2C8EA75B">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b/>
                <w:color w:val="auto"/>
                <w:sz w:val="24"/>
                <w:szCs w:val="24"/>
                <w:highlight w:val="none"/>
                <w:vertAlign w:val="baseline"/>
              </w:rPr>
            </w:pPr>
            <w:r>
              <w:rPr>
                <w:rFonts w:hint="eastAsia"/>
                <w:b/>
                <w:color w:val="auto"/>
                <w:sz w:val="24"/>
                <w:szCs w:val="24"/>
                <w:highlight w:val="none"/>
              </w:rPr>
              <w:t>工程概况</w:t>
            </w:r>
          </w:p>
        </w:tc>
        <w:tc>
          <w:tcPr>
            <w:tcW w:w="6412" w:type="dxa"/>
          </w:tcPr>
          <w:p w14:paraId="5E5D362F">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eastAsia="宋体"/>
                <w:b w:val="0"/>
                <w:bCs/>
                <w:color w:val="auto"/>
                <w:sz w:val="24"/>
                <w:szCs w:val="24"/>
                <w:highlight w:val="none"/>
                <w:vertAlign w:val="baseline"/>
                <w:lang w:eastAsia="zh-CN"/>
              </w:rPr>
            </w:pPr>
            <w:r>
              <w:rPr>
                <w:rFonts w:hint="eastAsia"/>
                <w:b w:val="0"/>
                <w:bCs/>
                <w:color w:val="auto"/>
                <w:sz w:val="24"/>
                <w:szCs w:val="24"/>
                <w:highlight w:val="none"/>
                <w:lang w:eastAsia="zh-CN"/>
              </w:rPr>
              <w:t>防城港职业技术学院学生宿舍提升改造工程，</w:t>
            </w:r>
            <w:r>
              <w:rPr>
                <w:rFonts w:hint="eastAsia"/>
                <w:b w:val="0"/>
                <w:bCs/>
                <w:color w:val="auto"/>
                <w:sz w:val="24"/>
                <w:szCs w:val="24"/>
                <w:highlight w:val="none"/>
              </w:rPr>
              <w:t>具体内容详见施工图纸和工程量清单</w:t>
            </w:r>
            <w:r>
              <w:rPr>
                <w:rFonts w:hint="eastAsia"/>
                <w:b w:val="0"/>
                <w:bCs/>
                <w:color w:val="auto"/>
                <w:sz w:val="24"/>
                <w:szCs w:val="24"/>
                <w:highlight w:val="none"/>
                <w:lang w:eastAsia="zh-CN"/>
              </w:rPr>
              <w:t>。</w:t>
            </w:r>
          </w:p>
        </w:tc>
      </w:tr>
      <w:tr w14:paraId="4B15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14:paraId="5833DF81">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color w:val="auto"/>
                <w:sz w:val="24"/>
                <w:szCs w:val="24"/>
                <w:highlight w:val="none"/>
                <w:vertAlign w:val="baseline"/>
              </w:rPr>
            </w:pPr>
          </w:p>
        </w:tc>
        <w:tc>
          <w:tcPr>
            <w:tcW w:w="1789" w:type="dxa"/>
            <w:vAlign w:val="center"/>
          </w:tcPr>
          <w:p w14:paraId="58C595F1">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b/>
                <w:color w:val="auto"/>
                <w:sz w:val="24"/>
                <w:szCs w:val="24"/>
                <w:highlight w:val="none"/>
                <w:vertAlign w:val="baseline"/>
              </w:rPr>
            </w:pPr>
            <w:r>
              <w:rPr>
                <w:rFonts w:hint="eastAsia"/>
                <w:b/>
                <w:color w:val="auto"/>
                <w:sz w:val="24"/>
                <w:szCs w:val="24"/>
                <w:highlight w:val="none"/>
              </w:rPr>
              <w:t>项目所属行业</w:t>
            </w:r>
          </w:p>
        </w:tc>
        <w:tc>
          <w:tcPr>
            <w:tcW w:w="6412" w:type="dxa"/>
          </w:tcPr>
          <w:p w14:paraId="71814EAA">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rPr>
            </w:pPr>
            <w:r>
              <w:rPr>
                <w:rFonts w:hint="eastAsia"/>
                <w:b w:val="0"/>
                <w:bCs/>
                <w:color w:val="auto"/>
                <w:sz w:val="24"/>
                <w:szCs w:val="24"/>
                <w:highlight w:val="none"/>
              </w:rPr>
              <w:t>建筑业</w:t>
            </w:r>
          </w:p>
        </w:tc>
      </w:tr>
      <w:tr w14:paraId="5866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14:paraId="5D8D0844">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color w:val="auto"/>
                <w:sz w:val="24"/>
                <w:szCs w:val="24"/>
                <w:highlight w:val="none"/>
                <w:vertAlign w:val="baseline"/>
              </w:rPr>
            </w:pPr>
          </w:p>
        </w:tc>
        <w:tc>
          <w:tcPr>
            <w:tcW w:w="1789" w:type="dxa"/>
            <w:vAlign w:val="center"/>
          </w:tcPr>
          <w:p w14:paraId="7300D48D">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b/>
                <w:color w:val="auto"/>
                <w:sz w:val="24"/>
                <w:szCs w:val="24"/>
                <w:highlight w:val="none"/>
                <w:vertAlign w:val="baseline"/>
              </w:rPr>
            </w:pPr>
            <w:r>
              <w:rPr>
                <w:rFonts w:hint="eastAsia"/>
                <w:b/>
                <w:color w:val="auto"/>
                <w:sz w:val="24"/>
                <w:szCs w:val="24"/>
                <w:highlight w:val="none"/>
              </w:rPr>
              <w:t>工期</w:t>
            </w:r>
          </w:p>
        </w:tc>
        <w:tc>
          <w:tcPr>
            <w:tcW w:w="6412" w:type="dxa"/>
          </w:tcPr>
          <w:p w14:paraId="28186806">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rPr>
            </w:pPr>
            <w:r>
              <w:rPr>
                <w:rFonts w:hint="eastAsia"/>
                <w:b w:val="0"/>
                <w:bCs/>
                <w:color w:val="auto"/>
                <w:sz w:val="24"/>
                <w:szCs w:val="24"/>
                <w:highlight w:val="none"/>
                <w:u w:val="single"/>
                <w:vertAlign w:val="baseline"/>
                <w:lang w:val="en-US" w:eastAsia="zh-CN"/>
              </w:rPr>
              <w:t>30日历天</w:t>
            </w:r>
          </w:p>
        </w:tc>
      </w:tr>
      <w:tr w14:paraId="5184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14:paraId="48514FF4">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color w:val="auto"/>
                <w:sz w:val="24"/>
                <w:szCs w:val="24"/>
                <w:highlight w:val="none"/>
                <w:vertAlign w:val="baseline"/>
              </w:rPr>
            </w:pPr>
          </w:p>
        </w:tc>
        <w:tc>
          <w:tcPr>
            <w:tcW w:w="1789" w:type="dxa"/>
            <w:vAlign w:val="center"/>
          </w:tcPr>
          <w:p w14:paraId="7481A57F">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b/>
                <w:color w:val="auto"/>
                <w:sz w:val="24"/>
                <w:szCs w:val="24"/>
                <w:highlight w:val="none"/>
              </w:rPr>
            </w:pPr>
            <w:r>
              <w:rPr>
                <w:rFonts w:hint="eastAsia"/>
                <w:b/>
                <w:color w:val="auto"/>
                <w:sz w:val="24"/>
                <w:szCs w:val="24"/>
                <w:highlight w:val="none"/>
              </w:rPr>
              <w:t>缺陷责任期</w:t>
            </w:r>
          </w:p>
          <w:p w14:paraId="12CA415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eastAsia="宋体"/>
                <w:b/>
                <w:color w:val="auto"/>
                <w:sz w:val="24"/>
                <w:szCs w:val="24"/>
                <w:highlight w:val="none"/>
                <w:vertAlign w:val="baseline"/>
                <w:lang w:eastAsia="zh-CN"/>
              </w:rPr>
            </w:pPr>
            <w:r>
              <w:rPr>
                <w:rFonts w:hint="eastAsia"/>
                <w:b/>
                <w:color w:val="auto"/>
                <w:sz w:val="24"/>
                <w:szCs w:val="24"/>
                <w:highlight w:val="none"/>
                <w:lang w:eastAsia="zh-CN"/>
              </w:rPr>
              <w:t>（</w:t>
            </w:r>
            <w:r>
              <w:rPr>
                <w:rFonts w:hint="eastAsia"/>
                <w:b/>
                <w:color w:val="auto"/>
                <w:sz w:val="24"/>
                <w:szCs w:val="24"/>
                <w:highlight w:val="none"/>
                <w:lang w:val="en-US" w:eastAsia="zh-CN"/>
              </w:rPr>
              <w:t>质保期</w:t>
            </w:r>
            <w:r>
              <w:rPr>
                <w:rFonts w:hint="eastAsia"/>
                <w:b/>
                <w:color w:val="auto"/>
                <w:sz w:val="24"/>
                <w:szCs w:val="24"/>
                <w:highlight w:val="none"/>
                <w:lang w:eastAsia="zh-CN"/>
              </w:rPr>
              <w:t>）</w:t>
            </w:r>
          </w:p>
        </w:tc>
        <w:tc>
          <w:tcPr>
            <w:tcW w:w="6412" w:type="dxa"/>
          </w:tcPr>
          <w:p w14:paraId="00ED0D44">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一、施工项目质量保修期按相关建设项目法律法规的规定约定，质保期不少于1年。</w:t>
            </w:r>
          </w:p>
          <w:p w14:paraId="4EBCD1AA">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二、若保修期内项目出现质量问题，供应商在接到采购人通知后48小时内修复完毕;其他质量问题，在接到通知后3天内修复完毕。保修期自验收合格之日起计算。</w:t>
            </w:r>
          </w:p>
          <w:p w14:paraId="3EE3FA3F">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rPr>
            </w:pPr>
            <w:r>
              <w:rPr>
                <w:rFonts w:hint="eastAsia"/>
                <w:b w:val="0"/>
                <w:bCs/>
                <w:color w:val="auto"/>
                <w:sz w:val="24"/>
                <w:szCs w:val="24"/>
                <w:highlight w:val="none"/>
                <w:vertAlign w:val="baseline"/>
                <w:lang w:val="en-US" w:eastAsia="zh-CN"/>
              </w:rPr>
              <w:t>三、如因供应商原因未按照约定完成质保工作，每延误1天，供应商应按工程结算总价的0.1%支付采购人违约金，且采购人有权委托第三方代为履行，因此产生的违约金及代履行费用可直接在工程结算款中抵扣或另行扣除。</w:t>
            </w:r>
          </w:p>
        </w:tc>
      </w:tr>
      <w:tr w14:paraId="308A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14:paraId="39F1AA39">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color w:val="auto"/>
                <w:sz w:val="24"/>
                <w:szCs w:val="24"/>
                <w:highlight w:val="none"/>
                <w:vertAlign w:val="baseline"/>
              </w:rPr>
            </w:pPr>
          </w:p>
        </w:tc>
        <w:tc>
          <w:tcPr>
            <w:tcW w:w="1789" w:type="dxa"/>
            <w:vAlign w:val="center"/>
          </w:tcPr>
          <w:p w14:paraId="318F5934">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default"/>
                <w:b/>
                <w:color w:val="auto"/>
                <w:sz w:val="24"/>
                <w:szCs w:val="24"/>
                <w:highlight w:val="none"/>
                <w:lang w:val="en-US" w:eastAsia="zh-CN"/>
              </w:rPr>
            </w:pPr>
            <w:r>
              <w:rPr>
                <w:rFonts w:hint="eastAsia"/>
                <w:b/>
                <w:color w:val="auto"/>
                <w:sz w:val="24"/>
                <w:szCs w:val="24"/>
                <w:highlight w:val="none"/>
                <w:lang w:val="en-US" w:eastAsia="zh-CN"/>
              </w:rPr>
              <w:t>售后服务</w:t>
            </w:r>
          </w:p>
        </w:tc>
        <w:tc>
          <w:tcPr>
            <w:tcW w:w="6412" w:type="dxa"/>
          </w:tcPr>
          <w:p w14:paraId="33708A03">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一、如售后施工质量不合格，供应商无条件修复后还需供应商以未合格部分工程量结算价的10%向采购人支付违约金，违约金可直接在工程质保金中抵扣或另行扣除。</w:t>
            </w:r>
          </w:p>
          <w:p w14:paraId="1D6D8932">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二、供应商接到维修通知没有在承诺时间到达现场，每次扣罚500元，年度累计5次未按承诺时间到达现场或供应商3次以上不能按采购人要求开展工作的，采购人有权解除合同并上报财政监管部门进行处理。</w:t>
            </w:r>
          </w:p>
        </w:tc>
      </w:tr>
      <w:tr w14:paraId="60F7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14:paraId="59417A3C">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b/>
                <w:color w:val="auto"/>
                <w:sz w:val="24"/>
                <w:szCs w:val="24"/>
                <w:highlight w:val="none"/>
                <w:vertAlign w:val="baseline"/>
              </w:rPr>
            </w:pPr>
          </w:p>
        </w:tc>
        <w:tc>
          <w:tcPr>
            <w:tcW w:w="1789" w:type="dxa"/>
            <w:vAlign w:val="center"/>
          </w:tcPr>
          <w:p w14:paraId="362E707E">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b/>
                <w:color w:val="auto"/>
                <w:sz w:val="24"/>
                <w:szCs w:val="24"/>
                <w:highlight w:val="none"/>
              </w:rPr>
            </w:pPr>
            <w:r>
              <w:rPr>
                <w:rFonts w:hint="eastAsia"/>
                <w:b/>
                <w:color w:val="auto"/>
                <w:sz w:val="24"/>
                <w:szCs w:val="24"/>
                <w:highlight w:val="none"/>
              </w:rPr>
              <w:t>付款方式</w:t>
            </w:r>
          </w:p>
        </w:tc>
        <w:tc>
          <w:tcPr>
            <w:tcW w:w="6412" w:type="dxa"/>
          </w:tcPr>
          <w:p w14:paraId="4BE5682F">
            <w:pPr>
              <w:keepNext w:val="0"/>
              <w:keepLines w:val="0"/>
              <w:pageBreakBefore w:val="0"/>
              <w:widowControl w:val="0"/>
              <w:kinsoku/>
              <w:wordWrap/>
              <w:overflowPunct/>
              <w:topLinePunct w:val="0"/>
              <w:autoSpaceDE/>
              <w:autoSpaceDN/>
              <w:bidi w:val="0"/>
              <w:adjustRightInd w:val="0"/>
              <w:snapToGrid/>
              <w:spacing w:line="400" w:lineRule="exact"/>
              <w:textAlignment w:val="baseline"/>
              <w:outlineLvl w:val="1"/>
              <w:rPr>
                <w:rFonts w:hint="eastAsia" w:eastAsia="宋体"/>
                <w:b w:val="0"/>
                <w:bCs/>
                <w:color w:val="auto"/>
                <w:sz w:val="24"/>
                <w:szCs w:val="24"/>
                <w:highlight w:val="none"/>
                <w:vertAlign w:val="baseline"/>
                <w:lang w:eastAsia="zh-CN"/>
              </w:rPr>
            </w:pPr>
            <w:r>
              <w:rPr>
                <w:rFonts w:hint="eastAsia" w:eastAsia="宋体"/>
                <w:b w:val="0"/>
                <w:bCs/>
                <w:color w:val="auto"/>
                <w:sz w:val="24"/>
                <w:szCs w:val="24"/>
                <w:highlight w:val="none"/>
                <w:vertAlign w:val="baseline"/>
                <w:lang w:eastAsia="zh-CN"/>
              </w:rPr>
              <w:t>合同签订后10个工作日内，采购人向成交供应商支付合同总价的30%作为工程预付款；工程完工并通过竣工验收、质量达标合格后，付款累计付至合同总价的80%（含前期已支付款项）；竣工结算资料报送财政部门审定完成后，付款累计付至财政审定结算价款的97%（含前期已支付全部款项）。采购人留存审定结算总价款3%作为工程质量保修金，待约定的工程质量保修期(成交供应商按要求完成保修责任，并经采购人验收合格)满后无息一次性付清剩余全部款项。</w:t>
            </w:r>
          </w:p>
        </w:tc>
      </w:tr>
      <w:tr w14:paraId="6C0F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63DF30CA">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outlineLvl w:val="1"/>
              <w:rPr>
                <w:rFonts w:hint="eastAsia" w:eastAsia="宋体"/>
                <w:b/>
                <w:color w:val="auto"/>
                <w:sz w:val="24"/>
                <w:szCs w:val="24"/>
                <w:highlight w:val="none"/>
                <w:vertAlign w:val="baseline"/>
                <w:lang w:eastAsia="zh-CN"/>
              </w:rPr>
            </w:pPr>
            <w:r>
              <w:rPr>
                <w:rFonts w:hint="eastAsia"/>
                <w:b/>
                <w:color w:val="auto"/>
                <w:sz w:val="24"/>
                <w:szCs w:val="24"/>
                <w:highlight w:val="none"/>
                <w:vertAlign w:val="baseline"/>
                <w:lang w:eastAsia="zh-CN"/>
              </w:rPr>
              <w:t>其他说明</w:t>
            </w:r>
          </w:p>
        </w:tc>
        <w:tc>
          <w:tcPr>
            <w:tcW w:w="8201" w:type="dxa"/>
            <w:gridSpan w:val="2"/>
          </w:tcPr>
          <w:p w14:paraId="2BFCA25E">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outlineLvl w:val="1"/>
              <w:rPr>
                <w:rFonts w:hint="eastAsia" w:ascii="宋体" w:eastAsia="宋体"/>
                <w:b w:val="0"/>
                <w:bCs/>
                <w:color w:val="auto"/>
                <w:sz w:val="24"/>
                <w:szCs w:val="24"/>
                <w:highlight w:val="none"/>
                <w:vertAlign w:val="baseline"/>
                <w:lang w:eastAsia="zh-CN"/>
              </w:rPr>
            </w:pPr>
            <w:r>
              <w:rPr>
                <w:rFonts w:hint="eastAsia" w:ascii="宋体" w:hAnsi="Courier New" w:eastAsia="宋体" w:cs="Times New Roman"/>
                <w:b w:val="0"/>
                <w:bCs/>
                <w:color w:val="auto"/>
                <w:kern w:val="2"/>
                <w:sz w:val="24"/>
                <w:szCs w:val="24"/>
                <w:highlight w:val="none"/>
                <w:lang w:val="en-US" w:eastAsia="zh-CN" w:bidi="ar-SA"/>
              </w:rPr>
              <w:t>1</w:t>
            </w:r>
            <w:r>
              <w:rPr>
                <w:rFonts w:hint="eastAsia" w:ascii="宋体" w:eastAsia="宋体"/>
                <w:b w:val="0"/>
                <w:bCs/>
                <w:color w:val="auto"/>
                <w:sz w:val="24"/>
                <w:szCs w:val="24"/>
                <w:highlight w:val="none"/>
                <w:vertAlign w:val="baseline"/>
                <w:lang w:val="en-US" w:eastAsia="zh-CN"/>
              </w:rPr>
              <w:t>、</w:t>
            </w:r>
            <w:r>
              <w:rPr>
                <w:rFonts w:hint="eastAsia" w:ascii="宋体" w:eastAsia="宋体"/>
                <w:b w:val="0"/>
                <w:bCs/>
                <w:color w:val="auto"/>
                <w:sz w:val="24"/>
                <w:szCs w:val="24"/>
                <w:highlight w:val="none"/>
                <w:vertAlign w:val="baseline"/>
                <w:lang w:eastAsia="zh-CN"/>
              </w:rPr>
              <w:t>本项目图纸和工程量清单另册发放。</w:t>
            </w:r>
          </w:p>
          <w:p w14:paraId="158FE5C0">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outlineLvl w:val="1"/>
              <w:rPr>
                <w:rFonts w:hint="default"/>
                <w:color w:val="auto"/>
                <w:highlight w:val="none"/>
                <w:lang w:val="en-US" w:eastAsia="zh-CN"/>
              </w:rPr>
            </w:pPr>
            <w:r>
              <w:rPr>
                <w:rFonts w:hint="eastAsia" w:ascii="宋体" w:eastAsia="宋体"/>
                <w:b w:val="0"/>
                <w:bCs/>
                <w:color w:val="auto"/>
                <w:sz w:val="24"/>
                <w:szCs w:val="24"/>
                <w:highlight w:val="none"/>
                <w:vertAlign w:val="baseline"/>
                <w:lang w:val="en-US" w:eastAsia="zh-CN"/>
              </w:rPr>
              <w:t>2、未尽事宜详见本工程工程量清单、最高限价控制价编制说明以及现行《计价规范》等有关规定执行。</w:t>
            </w:r>
          </w:p>
        </w:tc>
      </w:tr>
    </w:tbl>
    <w:p w14:paraId="6C8529C2">
      <w:pPr>
        <w:spacing w:line="440" w:lineRule="exact"/>
        <w:ind w:firstLine="482" w:firstLineChars="200"/>
        <w:outlineLvl w:val="1"/>
        <w:rPr>
          <w:rFonts w:hint="eastAsia"/>
          <w:b/>
          <w:color w:val="auto"/>
          <w:sz w:val="24"/>
          <w:szCs w:val="24"/>
          <w:highlight w:val="none"/>
        </w:rPr>
      </w:pPr>
    </w:p>
    <w:bookmarkEnd w:id="34"/>
    <w:p w14:paraId="2FA82342">
      <w:pPr>
        <w:spacing w:line="360" w:lineRule="auto"/>
        <w:jc w:val="center"/>
        <w:outlineLvl w:val="0"/>
        <w:rPr>
          <w:rFonts w:hint="eastAsia" w:asciiTheme="minorEastAsia" w:hAnsiTheme="minorEastAsia" w:eastAsiaTheme="minorEastAsia"/>
          <w:b/>
          <w:color w:val="auto"/>
          <w:sz w:val="44"/>
          <w:szCs w:val="44"/>
          <w:highlight w:val="none"/>
        </w:rPr>
      </w:pPr>
      <w:bookmarkStart w:id="35" w:name="_Toc453681445"/>
      <w:bookmarkStart w:id="36" w:name="_Toc24270"/>
    </w:p>
    <w:p w14:paraId="6EA210AC">
      <w:pPr>
        <w:spacing w:line="360" w:lineRule="auto"/>
        <w:jc w:val="center"/>
        <w:outlineLvl w:val="0"/>
        <w:rPr>
          <w:rFonts w:hint="eastAsia" w:asciiTheme="minorEastAsia" w:hAnsiTheme="minorEastAsia" w:eastAsiaTheme="minorEastAsia"/>
          <w:b/>
          <w:color w:val="auto"/>
          <w:sz w:val="44"/>
          <w:szCs w:val="44"/>
          <w:highlight w:val="none"/>
        </w:rPr>
      </w:pPr>
    </w:p>
    <w:p w14:paraId="3EFEB9C4">
      <w:pPr>
        <w:spacing w:line="360" w:lineRule="auto"/>
        <w:jc w:val="center"/>
        <w:outlineLvl w:val="0"/>
        <w:rPr>
          <w:rFonts w:hint="eastAsia" w:asciiTheme="minorEastAsia" w:hAnsiTheme="minorEastAsia" w:eastAsiaTheme="minorEastAsia"/>
          <w:b/>
          <w:color w:val="auto"/>
          <w:sz w:val="44"/>
          <w:szCs w:val="44"/>
          <w:highlight w:val="none"/>
        </w:rPr>
      </w:pPr>
    </w:p>
    <w:p w14:paraId="184AD1F8">
      <w:pPr>
        <w:spacing w:line="360" w:lineRule="auto"/>
        <w:jc w:val="center"/>
        <w:outlineLvl w:val="0"/>
        <w:rPr>
          <w:rFonts w:hint="eastAsia" w:asciiTheme="minorEastAsia" w:hAnsiTheme="minorEastAsia" w:eastAsiaTheme="minorEastAsia"/>
          <w:b/>
          <w:color w:val="auto"/>
          <w:sz w:val="44"/>
          <w:szCs w:val="44"/>
          <w:highlight w:val="none"/>
        </w:rPr>
      </w:pPr>
    </w:p>
    <w:p w14:paraId="480CB360">
      <w:pPr>
        <w:spacing w:line="360" w:lineRule="auto"/>
        <w:jc w:val="center"/>
        <w:outlineLvl w:val="0"/>
        <w:rPr>
          <w:rFonts w:hint="eastAsia" w:asciiTheme="minorEastAsia" w:hAnsiTheme="minorEastAsia" w:eastAsiaTheme="minorEastAsia"/>
          <w:b/>
          <w:color w:val="auto"/>
          <w:sz w:val="44"/>
          <w:szCs w:val="44"/>
          <w:highlight w:val="none"/>
        </w:rPr>
      </w:pPr>
    </w:p>
    <w:p w14:paraId="603DB766">
      <w:pPr>
        <w:spacing w:line="360" w:lineRule="auto"/>
        <w:jc w:val="center"/>
        <w:outlineLvl w:val="0"/>
        <w:rPr>
          <w:rFonts w:hint="eastAsia" w:asciiTheme="minorEastAsia" w:hAnsiTheme="minorEastAsia" w:eastAsiaTheme="minorEastAsia"/>
          <w:b/>
          <w:color w:val="auto"/>
          <w:sz w:val="44"/>
          <w:szCs w:val="44"/>
          <w:highlight w:val="none"/>
        </w:rPr>
      </w:pPr>
    </w:p>
    <w:p w14:paraId="313F6ED7">
      <w:pPr>
        <w:spacing w:line="360" w:lineRule="auto"/>
        <w:jc w:val="center"/>
        <w:outlineLvl w:val="0"/>
        <w:rPr>
          <w:rFonts w:hint="eastAsia" w:asciiTheme="minorEastAsia" w:hAnsiTheme="minorEastAsia" w:eastAsiaTheme="minorEastAsia"/>
          <w:b/>
          <w:color w:val="auto"/>
          <w:sz w:val="44"/>
          <w:szCs w:val="44"/>
          <w:highlight w:val="none"/>
        </w:rPr>
      </w:pPr>
    </w:p>
    <w:p w14:paraId="2320D82B">
      <w:pPr>
        <w:spacing w:line="360" w:lineRule="auto"/>
        <w:jc w:val="center"/>
        <w:outlineLvl w:val="0"/>
        <w:rPr>
          <w:rFonts w:hint="eastAsia" w:asciiTheme="minorEastAsia" w:hAnsiTheme="minorEastAsia" w:eastAsiaTheme="minorEastAsia"/>
          <w:b/>
          <w:color w:val="auto"/>
          <w:sz w:val="44"/>
          <w:szCs w:val="44"/>
          <w:highlight w:val="none"/>
        </w:rPr>
      </w:pPr>
    </w:p>
    <w:p w14:paraId="4219D021">
      <w:pPr>
        <w:pStyle w:val="2"/>
        <w:rPr>
          <w:rFonts w:hint="eastAsia"/>
        </w:rPr>
      </w:pPr>
    </w:p>
    <w:p w14:paraId="2462FE33">
      <w:pPr>
        <w:spacing w:line="360" w:lineRule="auto"/>
        <w:jc w:val="center"/>
        <w:outlineLvl w:val="0"/>
        <w:rPr>
          <w:rFonts w:hint="eastAsia" w:asciiTheme="minorEastAsia" w:hAnsiTheme="minorEastAsia" w:eastAsiaTheme="minorEastAsia"/>
          <w:b/>
          <w:color w:val="auto"/>
          <w:sz w:val="44"/>
          <w:szCs w:val="44"/>
          <w:highlight w:val="none"/>
        </w:rPr>
      </w:pPr>
    </w:p>
    <w:p w14:paraId="73643D36">
      <w:pPr>
        <w:spacing w:line="360" w:lineRule="auto"/>
        <w:jc w:val="center"/>
        <w:outlineLvl w:val="0"/>
        <w:rPr>
          <w:rFonts w:hint="eastAsia" w:asciiTheme="minorEastAsia" w:hAnsiTheme="minorEastAsia" w:eastAsiaTheme="minorEastAsia"/>
          <w:b/>
          <w:color w:val="auto"/>
          <w:sz w:val="44"/>
          <w:szCs w:val="44"/>
          <w:highlight w:val="none"/>
        </w:rPr>
      </w:pPr>
    </w:p>
    <w:p w14:paraId="144BEDDF">
      <w:pPr>
        <w:spacing w:line="360" w:lineRule="auto"/>
        <w:jc w:val="center"/>
        <w:outlineLvl w:val="0"/>
        <w:rPr>
          <w:rFonts w:hint="eastAsia" w:asciiTheme="minorEastAsia" w:hAnsiTheme="minorEastAsia" w:eastAsiaTheme="minorEastAsia"/>
          <w:b/>
          <w:color w:val="auto"/>
          <w:sz w:val="44"/>
          <w:szCs w:val="44"/>
          <w:highlight w:val="none"/>
        </w:rPr>
      </w:pPr>
    </w:p>
    <w:p w14:paraId="2F256BE3">
      <w:pPr>
        <w:spacing w:line="360" w:lineRule="auto"/>
        <w:jc w:val="center"/>
        <w:outlineLvl w:val="0"/>
        <w:rPr>
          <w:rFonts w:hint="eastAsia" w:asciiTheme="minorEastAsia" w:hAnsiTheme="minorEastAsia" w:eastAsiaTheme="minorEastAsia"/>
          <w:b/>
          <w:color w:val="auto"/>
          <w:sz w:val="44"/>
          <w:szCs w:val="44"/>
          <w:highlight w:val="none"/>
        </w:rPr>
      </w:pPr>
    </w:p>
    <w:p w14:paraId="7FAC1CB3">
      <w:pPr>
        <w:spacing w:line="360" w:lineRule="auto"/>
        <w:jc w:val="center"/>
        <w:outlineLvl w:val="0"/>
        <w:rPr>
          <w:rFonts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第五章  技术标准、规范</w:t>
      </w:r>
      <w:bookmarkEnd w:id="35"/>
      <w:bookmarkEnd w:id="36"/>
    </w:p>
    <w:p w14:paraId="1BAF3CE6">
      <w:pPr>
        <w:pStyle w:val="27"/>
        <w:spacing w:line="360" w:lineRule="auto"/>
        <w:ind w:right="384" w:rightChars="183"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本采购工程，应该认真按施工图纸要求进行施工；同时也要严格执行建筑工程各专业有关的现行标准和技术规范。</w:t>
      </w:r>
    </w:p>
    <w:p w14:paraId="732F225A">
      <w:pPr>
        <w:pStyle w:val="27"/>
        <w:spacing w:line="360" w:lineRule="auto"/>
        <w:ind w:right="384" w:rightChars="183"/>
        <w:jc w:val="center"/>
        <w:rPr>
          <w:rFonts w:asciiTheme="minorEastAsia" w:hAnsiTheme="minorEastAsia" w:eastAsiaTheme="minorEastAsia"/>
          <w:b/>
          <w:color w:val="auto"/>
          <w:sz w:val="48"/>
          <w:szCs w:val="48"/>
          <w:highlight w:val="none"/>
        </w:rPr>
      </w:pPr>
    </w:p>
    <w:p w14:paraId="49031420">
      <w:pPr>
        <w:pStyle w:val="27"/>
        <w:spacing w:line="360" w:lineRule="auto"/>
        <w:ind w:right="384" w:rightChars="183"/>
        <w:jc w:val="center"/>
        <w:rPr>
          <w:rFonts w:asciiTheme="minorEastAsia" w:hAnsiTheme="minorEastAsia" w:eastAsiaTheme="minorEastAsia"/>
          <w:b/>
          <w:color w:val="auto"/>
          <w:sz w:val="32"/>
          <w:szCs w:val="32"/>
          <w:highlight w:val="none"/>
        </w:rPr>
        <w:sectPr>
          <w:pgSz w:w="11907" w:h="16840"/>
          <w:pgMar w:top="1304" w:right="1304" w:bottom="1304" w:left="1304" w:header="964" w:footer="737" w:gutter="0"/>
          <w:cols w:space="720" w:num="1"/>
          <w:titlePg/>
          <w:docGrid w:linePitch="312" w:charSpace="0"/>
        </w:sectPr>
      </w:pPr>
    </w:p>
    <w:p w14:paraId="07B44B5B">
      <w:pPr>
        <w:spacing w:line="360" w:lineRule="auto"/>
        <w:jc w:val="center"/>
        <w:outlineLvl w:val="0"/>
        <w:rPr>
          <w:rFonts w:asciiTheme="minorEastAsia" w:hAnsiTheme="minorEastAsia" w:eastAsiaTheme="minorEastAsia"/>
          <w:b/>
          <w:color w:val="auto"/>
          <w:sz w:val="44"/>
          <w:szCs w:val="44"/>
          <w:highlight w:val="none"/>
        </w:rPr>
      </w:pPr>
      <w:bookmarkStart w:id="37" w:name="_Toc12218"/>
      <w:bookmarkStart w:id="38" w:name="_Toc453681446"/>
      <w:r>
        <w:rPr>
          <w:rFonts w:hint="eastAsia" w:asciiTheme="minorEastAsia" w:hAnsiTheme="minorEastAsia" w:eastAsiaTheme="minorEastAsia"/>
          <w:b/>
          <w:color w:val="auto"/>
          <w:sz w:val="44"/>
          <w:szCs w:val="44"/>
          <w:highlight w:val="none"/>
        </w:rPr>
        <w:t>第六章  合同条款及格式</w:t>
      </w:r>
      <w:bookmarkEnd w:id="37"/>
      <w:bookmarkEnd w:id="38"/>
    </w:p>
    <w:bookmarkEnd w:id="24"/>
    <w:bookmarkEnd w:id="25"/>
    <w:p w14:paraId="1512C675">
      <w:pPr>
        <w:pStyle w:val="27"/>
        <w:spacing w:line="440" w:lineRule="exact"/>
        <w:ind w:firstLine="420" w:firstLineChars="200"/>
        <w:rPr>
          <w:rFonts w:hAnsi="宋体" w:cs="宋体"/>
          <w:color w:val="auto"/>
          <w:szCs w:val="21"/>
          <w:highlight w:val="none"/>
        </w:rPr>
      </w:pPr>
      <w:bookmarkStart w:id="39" w:name="_Toc453681539"/>
      <w:bookmarkStart w:id="40" w:name="_Toc108836089"/>
      <w:bookmarkStart w:id="41" w:name="_Toc108835678"/>
      <w:r>
        <w:rPr>
          <w:rFonts w:hint="eastAsia" w:hAnsi="宋体" w:cs="宋体"/>
          <w:color w:val="auto"/>
          <w:szCs w:val="21"/>
          <w:highlight w:val="none"/>
        </w:rPr>
        <w:t>（注：本合同样本仅供参考，具体内容由采购人和成交人协商确定，但补充和修改不得造成与本章格式内容有实质性的违背。）</w:t>
      </w:r>
    </w:p>
    <w:p w14:paraId="3403407A">
      <w:pPr>
        <w:spacing w:line="276" w:lineRule="auto"/>
        <w:rPr>
          <w:rFonts w:hAnsi="Times New Roman"/>
          <w:color w:val="auto"/>
          <w:sz w:val="44"/>
          <w:szCs w:val="44"/>
          <w:highlight w:val="none"/>
        </w:rPr>
      </w:pPr>
    </w:p>
    <w:p w14:paraId="16A5F11F">
      <w:pPr>
        <w:keepNext/>
        <w:keepLines/>
        <w:spacing w:line="360" w:lineRule="auto"/>
        <w:jc w:val="center"/>
        <w:outlineLvl w:val="0"/>
        <w:rPr>
          <w:rFonts w:ascii="Calibri" w:hAnsi="Calibri" w:eastAsia="黑体" w:cs="黑体"/>
          <w:b/>
          <w:bCs/>
          <w:color w:val="auto"/>
          <w:kern w:val="44"/>
          <w:sz w:val="44"/>
          <w:szCs w:val="44"/>
          <w:highlight w:val="none"/>
          <w:lang w:val="zh-CN"/>
        </w:rPr>
        <w:sectPr>
          <w:footerReference r:id="rId8" w:type="default"/>
          <w:pgSz w:w="11907" w:h="16840"/>
          <w:pgMar w:top="1440" w:right="1440" w:bottom="1440" w:left="1797" w:header="851" w:footer="851" w:gutter="0"/>
          <w:cols w:space="720" w:num="1"/>
          <w:docGrid w:linePitch="312" w:charSpace="0"/>
        </w:sectPr>
      </w:pPr>
      <w:bookmarkStart w:id="42" w:name="_Toc373227552"/>
      <w:bookmarkStart w:id="43" w:name="_Toc389065255"/>
      <w:bookmarkStart w:id="44" w:name="_Toc256000127"/>
      <w:bookmarkStart w:id="45" w:name="_Toc373478199"/>
      <w:bookmarkStart w:id="46" w:name="_Toc296890982"/>
      <w:bookmarkStart w:id="47" w:name="_Toc351203480"/>
      <w:bookmarkStart w:id="48" w:name="_Toc407135191"/>
      <w:bookmarkStart w:id="49" w:name="_Toc83895638"/>
      <w:bookmarkStart w:id="50" w:name="_Toc296503025"/>
    </w:p>
    <w:bookmarkEnd w:id="42"/>
    <w:bookmarkEnd w:id="43"/>
    <w:bookmarkEnd w:id="44"/>
    <w:bookmarkEnd w:id="45"/>
    <w:bookmarkEnd w:id="46"/>
    <w:bookmarkEnd w:id="47"/>
    <w:bookmarkEnd w:id="48"/>
    <w:bookmarkEnd w:id="49"/>
    <w:bookmarkEnd w:id="50"/>
    <w:p w14:paraId="084ACAEC">
      <w:pPr>
        <w:keepNext/>
        <w:keepLines/>
        <w:spacing w:before="340" w:after="330" w:line="578" w:lineRule="auto"/>
        <w:jc w:val="center"/>
        <w:outlineLvl w:val="0"/>
        <w:rPr>
          <w:rFonts w:ascii="宋体" w:hAnsi="宋体"/>
          <w:b/>
          <w:bCs/>
          <w:color w:val="auto"/>
          <w:kern w:val="44"/>
          <w:sz w:val="44"/>
          <w:szCs w:val="44"/>
          <w:highlight w:val="none"/>
        </w:rPr>
      </w:pPr>
      <w:bookmarkStart w:id="51" w:name="_Toc12955971"/>
      <w:bookmarkStart w:id="52" w:name="_Toc466537223"/>
      <w:bookmarkStart w:id="53" w:name="_Toc534962159"/>
      <w:bookmarkStart w:id="54" w:name="_Toc256000078"/>
      <w:bookmarkStart w:id="55" w:name="_Toc256000079"/>
      <w:bookmarkStart w:id="56" w:name="EBe5284d1842b94f0c98d02c465f9a426c"/>
      <w:r>
        <w:rPr>
          <w:rFonts w:ascii="宋体" w:hAnsi="宋体"/>
          <w:b/>
          <w:bCs/>
          <w:color w:val="auto"/>
          <w:kern w:val="44"/>
          <w:sz w:val="44"/>
          <w:szCs w:val="44"/>
          <w:highlight w:val="none"/>
        </w:rPr>
        <w:t>第一</w:t>
      </w:r>
      <w:r>
        <w:rPr>
          <w:rFonts w:hint="eastAsia" w:ascii="宋体" w:hAnsi="宋体"/>
          <w:b/>
          <w:bCs/>
          <w:color w:val="auto"/>
          <w:kern w:val="44"/>
          <w:sz w:val="44"/>
          <w:szCs w:val="44"/>
          <w:highlight w:val="none"/>
        </w:rPr>
        <w:t>部分</w:t>
      </w:r>
      <w:r>
        <w:rPr>
          <w:rFonts w:ascii="宋体" w:hAnsi="宋体"/>
          <w:b/>
          <w:bCs/>
          <w:color w:val="auto"/>
          <w:kern w:val="44"/>
          <w:sz w:val="44"/>
          <w:szCs w:val="44"/>
          <w:highlight w:val="none"/>
        </w:rPr>
        <w:t xml:space="preserve"> 合同协议书</w:t>
      </w:r>
      <w:bookmarkEnd w:id="51"/>
      <w:bookmarkEnd w:id="52"/>
      <w:bookmarkEnd w:id="53"/>
      <w:bookmarkEnd w:id="54"/>
      <w:bookmarkEnd w:id="55"/>
    </w:p>
    <w:p w14:paraId="74206D1B">
      <w:pPr>
        <w:spacing w:line="360" w:lineRule="auto"/>
        <w:rPr>
          <w:rFonts w:ascii="Calibri" w:hAnsi="Calibri"/>
          <w:color w:val="auto"/>
          <w:szCs w:val="21"/>
          <w:highlight w:val="none"/>
          <w:u w:val="single"/>
        </w:rPr>
      </w:pPr>
      <w:r>
        <w:rPr>
          <w:rFonts w:ascii="Calibri" w:hAnsi="宋体"/>
          <w:color w:val="auto"/>
          <w:szCs w:val="21"/>
          <w:highlight w:val="none"/>
        </w:rPr>
        <w:t>发包人（全称）：</w:t>
      </w:r>
      <w:r>
        <w:rPr>
          <w:rFonts w:ascii="Calibri" w:hAnsi="宋体"/>
          <w:color w:val="auto"/>
          <w:szCs w:val="21"/>
          <w:highlight w:val="none"/>
          <w:u w:val="single"/>
        </w:rPr>
        <w:t></w:t>
      </w:r>
    </w:p>
    <w:p w14:paraId="50FDDEA5">
      <w:pPr>
        <w:spacing w:line="360" w:lineRule="auto"/>
        <w:rPr>
          <w:rFonts w:ascii="Calibri" w:hAnsi="Calibri"/>
          <w:color w:val="auto"/>
          <w:szCs w:val="21"/>
          <w:highlight w:val="none"/>
          <w:u w:val="single"/>
        </w:rPr>
      </w:pPr>
      <w:r>
        <w:rPr>
          <w:rFonts w:ascii="Calibri" w:hAnsi="宋体"/>
          <w:color w:val="auto"/>
          <w:szCs w:val="21"/>
          <w:highlight w:val="none"/>
        </w:rPr>
        <w:t>承包人（全称）：</w:t>
      </w:r>
      <w:r>
        <w:rPr>
          <w:rFonts w:ascii="Calibri" w:hAnsi="宋体"/>
          <w:color w:val="auto"/>
          <w:szCs w:val="21"/>
          <w:highlight w:val="none"/>
          <w:u w:val="single"/>
        </w:rPr>
        <w:t></w:t>
      </w:r>
    </w:p>
    <w:p w14:paraId="0F28D7C9">
      <w:pPr>
        <w:spacing w:line="360" w:lineRule="auto"/>
        <w:ind w:firstLine="420" w:firstLineChars="200"/>
        <w:rPr>
          <w:rFonts w:ascii="Calibri" w:hAnsi="宋体"/>
          <w:color w:val="auto"/>
          <w:szCs w:val="21"/>
          <w:highlight w:val="none"/>
        </w:rPr>
      </w:pPr>
      <w:r>
        <w:rPr>
          <w:rFonts w:ascii="Calibri" w:hAnsi="宋体"/>
          <w:color w:val="auto"/>
          <w:szCs w:val="21"/>
          <w:highlight w:val="none"/>
        </w:rPr>
        <w:t>根据《中华人民共和国</w:t>
      </w:r>
      <w:r>
        <w:rPr>
          <w:rFonts w:hint="eastAsia" w:ascii="Calibri" w:hAnsi="宋体"/>
          <w:color w:val="auto"/>
          <w:szCs w:val="21"/>
          <w:highlight w:val="none"/>
        </w:rPr>
        <w:t>民法典</w:t>
      </w:r>
      <w:r>
        <w:rPr>
          <w:rFonts w:ascii="Calibri" w:hAnsi="宋体"/>
          <w:color w:val="auto"/>
          <w:szCs w:val="21"/>
          <w:highlight w:val="none"/>
        </w:rPr>
        <w:t>》、《中华人民共和国建筑法》及有关法律规定，遵循平等、自愿、公平和诚实信用的原则，双方就工程施工及有关事项协商一致，共同达成如下协议：</w:t>
      </w:r>
      <w:bookmarkStart w:id="57" w:name="_Toc351203481"/>
    </w:p>
    <w:p w14:paraId="066007DA">
      <w:pPr>
        <w:spacing w:line="360" w:lineRule="auto"/>
        <w:ind w:firstLine="422" w:firstLineChars="200"/>
        <w:rPr>
          <w:rFonts w:ascii="Calibri" w:hAnsi="Calibri"/>
          <w:b/>
          <w:bCs/>
          <w:color w:val="auto"/>
          <w:szCs w:val="21"/>
          <w:highlight w:val="none"/>
        </w:rPr>
      </w:pPr>
      <w:r>
        <w:rPr>
          <w:rFonts w:ascii="Calibri" w:hAnsi="宋体"/>
          <w:b/>
          <w:bCs/>
          <w:color w:val="auto"/>
          <w:szCs w:val="21"/>
          <w:highlight w:val="none"/>
        </w:rPr>
        <w:t>一、工程概况</w:t>
      </w:r>
      <w:bookmarkEnd w:id="57"/>
    </w:p>
    <w:p w14:paraId="12B89A7C">
      <w:pPr>
        <w:spacing w:line="360" w:lineRule="auto"/>
        <w:ind w:firstLine="411" w:firstLineChars="196"/>
        <w:rPr>
          <w:rFonts w:ascii="Calibri" w:hAnsi="Calibri"/>
          <w:color w:val="auto"/>
          <w:szCs w:val="21"/>
          <w:highlight w:val="none"/>
          <w:u w:val="single"/>
        </w:rPr>
      </w:pPr>
      <w:r>
        <w:rPr>
          <w:rFonts w:ascii="Calibri" w:hAnsi="Calibri"/>
          <w:bCs/>
          <w:color w:val="auto"/>
          <w:szCs w:val="21"/>
          <w:highlight w:val="none"/>
        </w:rPr>
        <w:t>1.</w:t>
      </w:r>
      <w:r>
        <w:rPr>
          <w:rFonts w:ascii="Calibri" w:hAnsi="宋体"/>
          <w:bCs/>
          <w:color w:val="auto"/>
          <w:szCs w:val="21"/>
          <w:highlight w:val="none"/>
        </w:rPr>
        <w:t>工程名称</w:t>
      </w:r>
      <w:r>
        <w:rPr>
          <w:rFonts w:ascii="Calibri" w:hAnsi="宋体"/>
          <w:color w:val="auto"/>
          <w:szCs w:val="21"/>
          <w:highlight w:val="none"/>
        </w:rPr>
        <w:t>：</w:t>
      </w:r>
      <w:r>
        <w:rPr>
          <w:rFonts w:ascii="Calibri" w:hAnsi="宋体"/>
          <w:color w:val="auto"/>
          <w:szCs w:val="21"/>
          <w:highlight w:val="none"/>
          <w:u w:val="single"/>
        </w:rPr>
        <w:t></w:t>
      </w:r>
      <w:r>
        <w:rPr>
          <w:rFonts w:ascii="Calibri" w:hAnsi="宋体"/>
          <w:color w:val="auto"/>
          <w:szCs w:val="21"/>
          <w:highlight w:val="none"/>
        </w:rPr>
        <w:t>。</w:t>
      </w:r>
    </w:p>
    <w:p w14:paraId="05B85218">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2.</w:t>
      </w:r>
      <w:r>
        <w:rPr>
          <w:rFonts w:ascii="Calibri" w:hAnsi="宋体"/>
          <w:bCs/>
          <w:color w:val="auto"/>
          <w:szCs w:val="21"/>
          <w:highlight w:val="none"/>
        </w:rPr>
        <w:t>工程地点：</w:t>
      </w:r>
      <w:r>
        <w:rPr>
          <w:rFonts w:ascii="Calibri" w:hAnsi="宋体"/>
          <w:color w:val="auto"/>
          <w:szCs w:val="21"/>
          <w:highlight w:val="none"/>
          <w:u w:val="single"/>
        </w:rPr>
        <w:t></w:t>
      </w:r>
      <w:r>
        <w:rPr>
          <w:rFonts w:ascii="Calibri" w:hAnsi="宋体"/>
          <w:color w:val="auto"/>
          <w:szCs w:val="21"/>
          <w:highlight w:val="none"/>
        </w:rPr>
        <w:t>。</w:t>
      </w:r>
    </w:p>
    <w:p w14:paraId="7ADD42E3">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3.</w:t>
      </w:r>
      <w:r>
        <w:rPr>
          <w:rFonts w:ascii="Calibri" w:hAnsi="宋体"/>
          <w:bCs/>
          <w:color w:val="auto"/>
          <w:szCs w:val="21"/>
          <w:highlight w:val="none"/>
        </w:rPr>
        <w:t>工程立项批准文号：</w:t>
      </w:r>
      <w:r>
        <w:rPr>
          <w:rFonts w:ascii="Calibri" w:hAnsi="宋体"/>
          <w:color w:val="auto"/>
          <w:szCs w:val="21"/>
          <w:highlight w:val="none"/>
          <w:u w:val="single"/>
        </w:rPr>
        <w:t></w:t>
      </w:r>
      <w:r>
        <w:rPr>
          <w:rFonts w:ascii="Calibri" w:hAnsi="宋体"/>
          <w:bCs/>
          <w:color w:val="auto"/>
          <w:szCs w:val="21"/>
          <w:highlight w:val="none"/>
        </w:rPr>
        <w:t>。</w:t>
      </w:r>
    </w:p>
    <w:p w14:paraId="3445D73B">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4.</w:t>
      </w:r>
      <w:r>
        <w:rPr>
          <w:rFonts w:ascii="Calibri" w:hAnsi="宋体"/>
          <w:bCs/>
          <w:color w:val="auto"/>
          <w:szCs w:val="21"/>
          <w:highlight w:val="none"/>
        </w:rPr>
        <w:t>资金来源：</w:t>
      </w:r>
      <w:r>
        <w:rPr>
          <w:rFonts w:ascii="Calibri" w:hAnsi="宋体"/>
          <w:color w:val="auto"/>
          <w:szCs w:val="21"/>
          <w:highlight w:val="none"/>
          <w:u w:val="single"/>
        </w:rPr>
        <w:t></w:t>
      </w:r>
      <w:r>
        <w:rPr>
          <w:rFonts w:ascii="Calibri" w:hAnsi="宋体"/>
          <w:bCs/>
          <w:color w:val="auto"/>
          <w:szCs w:val="21"/>
          <w:highlight w:val="none"/>
        </w:rPr>
        <w:t>。</w:t>
      </w:r>
    </w:p>
    <w:p w14:paraId="1A534ABB">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5.</w:t>
      </w:r>
      <w:r>
        <w:rPr>
          <w:rFonts w:ascii="Calibri" w:hAnsi="宋体"/>
          <w:bCs/>
          <w:color w:val="auto"/>
          <w:szCs w:val="21"/>
          <w:highlight w:val="none"/>
        </w:rPr>
        <w:t>工程内容：</w:t>
      </w:r>
      <w:r>
        <w:rPr>
          <w:rFonts w:ascii="Calibri" w:hAnsi="宋体"/>
          <w:color w:val="auto"/>
          <w:szCs w:val="21"/>
          <w:highlight w:val="none"/>
          <w:u w:val="single"/>
        </w:rPr>
        <w:t></w:t>
      </w:r>
      <w:r>
        <w:rPr>
          <w:rFonts w:ascii="Calibri" w:hAnsi="宋体"/>
          <w:bCs/>
          <w:color w:val="auto"/>
          <w:szCs w:val="21"/>
          <w:highlight w:val="none"/>
        </w:rPr>
        <w:t>。</w:t>
      </w:r>
    </w:p>
    <w:p w14:paraId="67899676">
      <w:pPr>
        <w:spacing w:line="360" w:lineRule="auto"/>
        <w:ind w:firstLine="411" w:firstLineChars="196"/>
        <w:rPr>
          <w:rFonts w:ascii="Calibri" w:hAnsi="Calibri"/>
          <w:bCs/>
          <w:color w:val="auto"/>
          <w:szCs w:val="21"/>
          <w:highlight w:val="none"/>
        </w:rPr>
      </w:pPr>
      <w:r>
        <w:rPr>
          <w:rFonts w:ascii="Calibri" w:hAnsi="宋体"/>
          <w:color w:val="auto"/>
          <w:szCs w:val="21"/>
          <w:highlight w:val="none"/>
        </w:rPr>
        <w:t>群体工程应附《承包人承揽工程项目一览表》（附件</w:t>
      </w:r>
      <w:r>
        <w:rPr>
          <w:rFonts w:ascii="Calibri" w:hAnsi="Calibri"/>
          <w:color w:val="auto"/>
          <w:szCs w:val="21"/>
          <w:highlight w:val="none"/>
        </w:rPr>
        <w:t>1</w:t>
      </w:r>
      <w:r>
        <w:rPr>
          <w:rFonts w:ascii="Calibri" w:hAnsi="宋体"/>
          <w:color w:val="auto"/>
          <w:szCs w:val="21"/>
          <w:highlight w:val="none"/>
        </w:rPr>
        <w:t>）。</w:t>
      </w:r>
    </w:p>
    <w:p w14:paraId="2E892098">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6.</w:t>
      </w:r>
      <w:r>
        <w:rPr>
          <w:rFonts w:ascii="Calibri" w:hAnsi="宋体"/>
          <w:bCs/>
          <w:color w:val="auto"/>
          <w:szCs w:val="21"/>
          <w:highlight w:val="none"/>
        </w:rPr>
        <w:t>工程承包范围：</w:t>
      </w:r>
    </w:p>
    <w:p w14:paraId="540DFEC0">
      <w:pPr>
        <w:spacing w:line="360" w:lineRule="auto"/>
        <w:ind w:firstLine="405" w:firstLineChars="193"/>
        <w:rPr>
          <w:rFonts w:ascii="Calibri" w:hAnsi="宋体"/>
          <w:color w:val="auto"/>
          <w:szCs w:val="21"/>
          <w:highlight w:val="none"/>
        </w:rPr>
      </w:pPr>
      <w:r>
        <w:rPr>
          <w:rFonts w:ascii="Calibri" w:hAnsi="宋体"/>
          <w:color w:val="auto"/>
          <w:szCs w:val="21"/>
          <w:highlight w:val="none"/>
          <w:u w:val="single"/>
        </w:rPr>
        <w:t></w:t>
      </w:r>
      <w:r>
        <w:rPr>
          <w:rFonts w:ascii="Calibri" w:hAnsi="宋体"/>
          <w:color w:val="auto"/>
          <w:szCs w:val="21"/>
          <w:highlight w:val="none"/>
        </w:rPr>
        <w:t>。</w:t>
      </w:r>
    </w:p>
    <w:p w14:paraId="2958FCE5">
      <w:pPr>
        <w:spacing w:line="360" w:lineRule="auto"/>
        <w:ind w:firstLine="407" w:firstLineChars="193"/>
        <w:rPr>
          <w:rFonts w:ascii="Calibri" w:hAnsi="Calibri"/>
          <w:b/>
          <w:bCs/>
          <w:color w:val="auto"/>
          <w:szCs w:val="21"/>
          <w:highlight w:val="none"/>
        </w:rPr>
      </w:pPr>
      <w:bookmarkStart w:id="58" w:name="_Toc351203482"/>
      <w:r>
        <w:rPr>
          <w:rFonts w:ascii="Calibri" w:hAnsi="宋体"/>
          <w:b/>
          <w:bCs/>
          <w:color w:val="auto"/>
          <w:szCs w:val="21"/>
          <w:highlight w:val="none"/>
        </w:rPr>
        <w:t>二、合同工期</w:t>
      </w:r>
      <w:bookmarkEnd w:id="58"/>
    </w:p>
    <w:p w14:paraId="10E5EF1A">
      <w:pPr>
        <w:spacing w:line="360" w:lineRule="auto"/>
        <w:ind w:firstLine="459"/>
        <w:rPr>
          <w:rFonts w:ascii="Calibri" w:hAnsi="Calibri"/>
          <w:color w:val="auto"/>
          <w:szCs w:val="21"/>
          <w:highlight w:val="none"/>
        </w:rPr>
      </w:pPr>
      <w:r>
        <w:rPr>
          <w:rFonts w:ascii="Calibri" w:hAnsi="宋体"/>
          <w:color w:val="auto"/>
          <w:szCs w:val="21"/>
          <w:highlight w:val="none"/>
        </w:rPr>
        <w:t>计划开工日期：</w:t>
      </w:r>
      <w:r>
        <w:rPr>
          <w:rFonts w:ascii="Calibri" w:hAnsi="宋体"/>
          <w:color w:val="auto"/>
          <w:szCs w:val="21"/>
          <w:highlight w:val="none"/>
          <w:u w:val="single"/>
        </w:rPr>
        <w:t></w:t>
      </w:r>
      <w:r>
        <w:rPr>
          <w:rFonts w:ascii="Calibri" w:hAnsi="宋体"/>
          <w:color w:val="auto"/>
          <w:szCs w:val="21"/>
          <w:highlight w:val="none"/>
        </w:rPr>
        <w:t>年</w:t>
      </w:r>
      <w:r>
        <w:rPr>
          <w:rFonts w:ascii="Calibri" w:hAnsi="宋体"/>
          <w:color w:val="auto"/>
          <w:szCs w:val="21"/>
          <w:highlight w:val="none"/>
          <w:u w:val="single"/>
        </w:rPr>
        <w:t></w:t>
      </w:r>
      <w:r>
        <w:rPr>
          <w:rFonts w:ascii="Calibri" w:hAnsi="宋体"/>
          <w:color w:val="auto"/>
          <w:szCs w:val="21"/>
          <w:highlight w:val="none"/>
        </w:rPr>
        <w:t>月</w:t>
      </w:r>
      <w:r>
        <w:rPr>
          <w:rFonts w:ascii="Calibri" w:hAnsi="宋体"/>
          <w:color w:val="auto"/>
          <w:szCs w:val="21"/>
          <w:highlight w:val="none"/>
          <w:u w:val="single"/>
        </w:rPr>
        <w:t></w:t>
      </w:r>
      <w:r>
        <w:rPr>
          <w:rFonts w:ascii="Calibri" w:hAnsi="宋体"/>
          <w:color w:val="auto"/>
          <w:szCs w:val="21"/>
          <w:highlight w:val="none"/>
        </w:rPr>
        <w:t>日。</w:t>
      </w:r>
    </w:p>
    <w:p w14:paraId="477B189C">
      <w:pPr>
        <w:spacing w:line="360" w:lineRule="auto"/>
        <w:ind w:firstLine="459"/>
        <w:rPr>
          <w:rFonts w:ascii="Calibri" w:hAnsi="Calibri"/>
          <w:color w:val="auto"/>
          <w:szCs w:val="21"/>
          <w:highlight w:val="none"/>
        </w:rPr>
      </w:pPr>
      <w:r>
        <w:rPr>
          <w:rFonts w:ascii="Calibri" w:hAnsi="宋体"/>
          <w:color w:val="auto"/>
          <w:szCs w:val="21"/>
          <w:highlight w:val="none"/>
        </w:rPr>
        <w:t>计划竣工日期：</w:t>
      </w:r>
      <w:r>
        <w:rPr>
          <w:rFonts w:ascii="Calibri" w:hAnsi="宋体"/>
          <w:color w:val="auto"/>
          <w:szCs w:val="21"/>
          <w:highlight w:val="none"/>
          <w:u w:val="single"/>
        </w:rPr>
        <w:t></w:t>
      </w:r>
      <w:r>
        <w:rPr>
          <w:rFonts w:ascii="Calibri" w:hAnsi="宋体"/>
          <w:color w:val="auto"/>
          <w:szCs w:val="21"/>
          <w:highlight w:val="none"/>
        </w:rPr>
        <w:t>年</w:t>
      </w:r>
      <w:r>
        <w:rPr>
          <w:rFonts w:ascii="Calibri" w:hAnsi="宋体"/>
          <w:color w:val="auto"/>
          <w:szCs w:val="21"/>
          <w:highlight w:val="none"/>
          <w:u w:val="single"/>
        </w:rPr>
        <w:t></w:t>
      </w:r>
      <w:r>
        <w:rPr>
          <w:rFonts w:ascii="Calibri" w:hAnsi="宋体"/>
          <w:color w:val="auto"/>
          <w:szCs w:val="21"/>
          <w:highlight w:val="none"/>
        </w:rPr>
        <w:t>月</w:t>
      </w:r>
      <w:r>
        <w:rPr>
          <w:rFonts w:ascii="Calibri" w:hAnsi="宋体"/>
          <w:color w:val="auto"/>
          <w:szCs w:val="21"/>
          <w:highlight w:val="none"/>
          <w:u w:val="single"/>
        </w:rPr>
        <w:t></w:t>
      </w:r>
      <w:r>
        <w:rPr>
          <w:rFonts w:ascii="Calibri" w:hAnsi="宋体"/>
          <w:color w:val="auto"/>
          <w:szCs w:val="21"/>
          <w:highlight w:val="none"/>
        </w:rPr>
        <w:t>日。</w:t>
      </w:r>
    </w:p>
    <w:p w14:paraId="66B407AA">
      <w:pPr>
        <w:spacing w:line="360" w:lineRule="auto"/>
        <w:ind w:firstLine="459"/>
        <w:rPr>
          <w:rFonts w:ascii="Calibri" w:hAnsi="宋体"/>
          <w:color w:val="auto"/>
          <w:szCs w:val="21"/>
          <w:highlight w:val="none"/>
        </w:rPr>
      </w:pPr>
      <w:r>
        <w:rPr>
          <w:rFonts w:ascii="Calibri" w:hAnsi="宋体"/>
          <w:color w:val="auto"/>
          <w:szCs w:val="21"/>
          <w:highlight w:val="none"/>
        </w:rPr>
        <w:t>工期总日历天数：</w:t>
      </w:r>
      <w:r>
        <w:rPr>
          <w:rFonts w:ascii="Calibri" w:hAnsi="宋体"/>
          <w:color w:val="auto"/>
          <w:szCs w:val="21"/>
          <w:highlight w:val="none"/>
          <w:u w:val="single"/>
        </w:rPr>
        <w:t></w:t>
      </w:r>
      <w:r>
        <w:rPr>
          <w:rFonts w:ascii="Calibri" w:hAnsi="宋体"/>
          <w:color w:val="auto"/>
          <w:szCs w:val="21"/>
          <w:highlight w:val="none"/>
        </w:rPr>
        <w:t>天。工期总日历天数与根据前述计划开竣工日期计算的工期天数不一致的，以工期总日历天数为准。</w:t>
      </w:r>
    </w:p>
    <w:p w14:paraId="098A76D1">
      <w:pPr>
        <w:spacing w:line="360" w:lineRule="auto"/>
        <w:ind w:firstLine="459"/>
        <w:rPr>
          <w:rFonts w:ascii="Calibri" w:hAnsi="Calibri"/>
          <w:b/>
          <w:bCs/>
          <w:color w:val="auto"/>
          <w:szCs w:val="21"/>
          <w:highlight w:val="none"/>
        </w:rPr>
      </w:pPr>
      <w:bookmarkStart w:id="59" w:name="_Toc351203483"/>
      <w:r>
        <w:rPr>
          <w:rFonts w:ascii="Calibri" w:hAnsi="宋体"/>
          <w:b/>
          <w:bCs/>
          <w:color w:val="auto"/>
          <w:szCs w:val="21"/>
          <w:highlight w:val="none"/>
        </w:rPr>
        <w:t>三、质量标准</w:t>
      </w:r>
      <w:bookmarkEnd w:id="59"/>
    </w:p>
    <w:p w14:paraId="7F481F0D">
      <w:pPr>
        <w:spacing w:line="360" w:lineRule="auto"/>
        <w:ind w:firstLine="459"/>
        <w:rPr>
          <w:rFonts w:ascii="Calibri" w:hAnsi="宋体"/>
          <w:color w:val="auto"/>
          <w:szCs w:val="21"/>
          <w:highlight w:val="none"/>
        </w:rPr>
      </w:pPr>
      <w:r>
        <w:rPr>
          <w:rFonts w:ascii="Calibri" w:hAnsi="宋体"/>
          <w:color w:val="auto"/>
          <w:szCs w:val="21"/>
          <w:highlight w:val="none"/>
        </w:rPr>
        <w:t>工程质量符合</w:t>
      </w:r>
      <w:r>
        <w:rPr>
          <w:rFonts w:ascii="Calibri" w:hAnsi="宋体"/>
          <w:color w:val="auto"/>
          <w:szCs w:val="21"/>
          <w:highlight w:val="none"/>
          <w:u w:val="single"/>
        </w:rPr>
        <w:t></w:t>
      </w:r>
      <w:r>
        <w:rPr>
          <w:rFonts w:ascii="Calibri" w:hAnsi="宋体"/>
          <w:color w:val="auto"/>
          <w:szCs w:val="21"/>
          <w:highlight w:val="none"/>
        </w:rPr>
        <w:t>标准。</w:t>
      </w:r>
    </w:p>
    <w:p w14:paraId="7BD9F0D7">
      <w:pPr>
        <w:spacing w:line="360" w:lineRule="auto"/>
        <w:ind w:firstLine="459"/>
        <w:rPr>
          <w:rFonts w:ascii="Calibri" w:hAnsi="宋体"/>
          <w:b/>
          <w:bCs/>
          <w:color w:val="auto"/>
          <w:szCs w:val="21"/>
          <w:highlight w:val="none"/>
        </w:rPr>
      </w:pPr>
      <w:bookmarkStart w:id="60" w:name="_Toc351203484"/>
      <w:r>
        <w:rPr>
          <w:rFonts w:ascii="Calibri" w:hAnsi="宋体"/>
          <w:b/>
          <w:bCs/>
          <w:color w:val="auto"/>
          <w:szCs w:val="21"/>
          <w:highlight w:val="none"/>
        </w:rPr>
        <w:t>四、签约合同价与合同价格形式</w:t>
      </w:r>
      <w:bookmarkEnd w:id="60"/>
    </w:p>
    <w:p w14:paraId="01B2A414">
      <w:pPr>
        <w:spacing w:line="360" w:lineRule="auto"/>
        <w:ind w:firstLine="459"/>
        <w:rPr>
          <w:rFonts w:ascii="Calibri" w:hAnsi="Calibri"/>
          <w:color w:val="auto"/>
          <w:szCs w:val="21"/>
          <w:highlight w:val="none"/>
        </w:rPr>
      </w:pPr>
      <w:r>
        <w:rPr>
          <w:rFonts w:ascii="Calibri" w:hAnsi="Calibri"/>
          <w:color w:val="auto"/>
          <w:szCs w:val="21"/>
          <w:highlight w:val="none"/>
        </w:rPr>
        <w:t>1.</w:t>
      </w:r>
      <w:r>
        <w:rPr>
          <w:rFonts w:ascii="Calibri" w:hAnsi="宋体"/>
          <w:color w:val="auto"/>
          <w:szCs w:val="21"/>
          <w:highlight w:val="none"/>
        </w:rPr>
        <w:t>签约合同价为：</w:t>
      </w:r>
    </w:p>
    <w:p w14:paraId="21F98C62">
      <w:pPr>
        <w:spacing w:line="360" w:lineRule="auto"/>
        <w:ind w:firstLine="525" w:firstLineChars="250"/>
        <w:rPr>
          <w:rFonts w:ascii="Calibri" w:hAnsi="宋体"/>
          <w:color w:val="auto"/>
          <w:szCs w:val="21"/>
          <w:highlight w:val="none"/>
        </w:rPr>
      </w:pPr>
      <w:r>
        <w:rPr>
          <w:rFonts w:ascii="Calibri" w:hAnsi="宋体"/>
          <w:color w:val="auto"/>
          <w:szCs w:val="21"/>
          <w:highlight w:val="none"/>
        </w:rPr>
        <w:t>人民币（大写）</w:t>
      </w:r>
      <w:r>
        <w:rPr>
          <w:rFonts w:hint="eastAsia" w:ascii="Calibri" w:hAnsi="Calibri"/>
          <w:color w:val="auto"/>
          <w:szCs w:val="21"/>
          <w:highlight w:val="none"/>
        </w:rPr>
        <w:t>（</w:t>
      </w:r>
      <w:r>
        <w:rPr>
          <w:rFonts w:ascii="Calibri" w:hAnsi="Calibri"/>
          <w:color w:val="auto"/>
          <w:szCs w:val="21"/>
          <w:highlight w:val="none"/>
        </w:rPr>
        <w:t>¥</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131CEBA4">
      <w:pPr>
        <w:spacing w:line="360" w:lineRule="auto"/>
        <w:ind w:firstLine="525" w:firstLineChars="250"/>
        <w:rPr>
          <w:rFonts w:ascii="Calibri" w:hAnsi="宋体"/>
          <w:color w:val="auto"/>
          <w:szCs w:val="21"/>
          <w:highlight w:val="none"/>
        </w:rPr>
      </w:pPr>
      <w:r>
        <w:rPr>
          <w:rFonts w:ascii="Calibri" w:hAnsi="宋体"/>
          <w:color w:val="auto"/>
          <w:szCs w:val="21"/>
          <w:highlight w:val="none"/>
        </w:rPr>
        <w:t>其中：</w:t>
      </w:r>
    </w:p>
    <w:p w14:paraId="106F3D5A">
      <w:pPr>
        <w:spacing w:line="360" w:lineRule="auto"/>
        <w:ind w:firstLine="420" w:firstLineChars="200"/>
        <w:rPr>
          <w:rFonts w:ascii="Calibri" w:hAnsi="Calibri"/>
          <w:color w:val="auto"/>
          <w:szCs w:val="21"/>
          <w:highlight w:val="none"/>
        </w:rPr>
      </w:pPr>
      <w:r>
        <w:rPr>
          <w:rFonts w:hint="eastAsia" w:ascii="Calibri" w:hAnsi="宋体"/>
          <w:color w:val="auto"/>
          <w:szCs w:val="21"/>
          <w:highlight w:val="none"/>
        </w:rPr>
        <w:t>（1）</w:t>
      </w:r>
      <w:r>
        <w:rPr>
          <w:rFonts w:ascii="Calibri" w:hAnsi="宋体"/>
          <w:color w:val="auto"/>
          <w:szCs w:val="21"/>
          <w:highlight w:val="none"/>
        </w:rPr>
        <w:t>安全文明施工费：</w:t>
      </w:r>
    </w:p>
    <w:p w14:paraId="69834836">
      <w:pPr>
        <w:spacing w:line="360" w:lineRule="auto"/>
        <w:ind w:left="420" w:leftChars="200" w:firstLine="525" w:firstLineChars="250"/>
        <w:rPr>
          <w:rFonts w:ascii="Calibri" w:hAnsi="宋体"/>
          <w:color w:val="auto"/>
          <w:szCs w:val="21"/>
          <w:highlight w:val="none"/>
        </w:rPr>
      </w:pPr>
      <w:r>
        <w:rPr>
          <w:rFonts w:ascii="Calibri" w:hAnsi="宋体"/>
          <w:color w:val="auto"/>
          <w:szCs w:val="21"/>
          <w:highlight w:val="none"/>
        </w:rPr>
        <w:t>人民币（大写）</w:t>
      </w:r>
      <w:r>
        <w:rPr>
          <w:rFonts w:hint="eastAsia" w:ascii="Calibri" w:hAnsi="Calibri"/>
          <w:color w:val="auto"/>
          <w:szCs w:val="21"/>
          <w:highlight w:val="none"/>
        </w:rPr>
        <w:t>（</w:t>
      </w:r>
      <w:r>
        <w:rPr>
          <w:rFonts w:ascii="Calibri" w:hAnsi="Calibri"/>
          <w:color w:val="auto"/>
          <w:szCs w:val="21"/>
          <w:highlight w:val="none"/>
        </w:rPr>
        <w:t>¥</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6CF5B73F">
      <w:pPr>
        <w:spacing w:line="360" w:lineRule="auto"/>
        <w:ind w:firstLine="420" w:firstLineChars="200"/>
        <w:rPr>
          <w:rFonts w:ascii="Calibri" w:hAnsi="宋体"/>
          <w:color w:val="auto"/>
          <w:szCs w:val="21"/>
          <w:highlight w:val="none"/>
        </w:rPr>
      </w:pPr>
      <w:r>
        <w:rPr>
          <w:rFonts w:ascii="Calibri" w:hAnsi="宋体"/>
          <w:color w:val="auto"/>
          <w:szCs w:val="21"/>
          <w:highlight w:val="none"/>
        </w:rPr>
        <w:t>（</w:t>
      </w:r>
      <w:r>
        <w:rPr>
          <w:rFonts w:ascii="Calibri" w:hAnsi="Calibri"/>
          <w:color w:val="auto"/>
          <w:szCs w:val="21"/>
          <w:highlight w:val="none"/>
        </w:rPr>
        <w:t>2</w:t>
      </w:r>
      <w:r>
        <w:rPr>
          <w:rFonts w:ascii="Calibri" w:hAnsi="宋体"/>
          <w:color w:val="auto"/>
          <w:szCs w:val="21"/>
          <w:highlight w:val="none"/>
        </w:rPr>
        <w:t>）建安劳保费：</w:t>
      </w:r>
    </w:p>
    <w:p w14:paraId="54B54051">
      <w:pPr>
        <w:spacing w:line="360" w:lineRule="auto"/>
        <w:ind w:left="420" w:leftChars="200" w:firstLine="525" w:firstLineChars="250"/>
        <w:rPr>
          <w:rFonts w:ascii="Calibri" w:hAnsi="Calibri"/>
          <w:color w:val="auto"/>
          <w:szCs w:val="21"/>
          <w:highlight w:val="none"/>
        </w:rPr>
      </w:pPr>
      <w:r>
        <w:rPr>
          <w:rFonts w:ascii="Calibri" w:hAnsi="宋体"/>
          <w:color w:val="auto"/>
          <w:szCs w:val="21"/>
          <w:highlight w:val="none"/>
        </w:rPr>
        <w:t>人民币（大写）</w:t>
      </w:r>
      <w:r>
        <w:rPr>
          <w:rFonts w:hint="eastAsia" w:ascii="Calibri" w:hAnsi="Calibri"/>
          <w:color w:val="auto"/>
          <w:szCs w:val="21"/>
          <w:highlight w:val="none"/>
        </w:rPr>
        <w:t>（</w:t>
      </w:r>
      <w:r>
        <w:rPr>
          <w:rFonts w:ascii="Calibri" w:hAnsi="Calibri"/>
          <w:color w:val="auto"/>
          <w:szCs w:val="21"/>
          <w:highlight w:val="none"/>
        </w:rPr>
        <w:t>¥</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51AA383D">
      <w:pPr>
        <w:spacing w:line="360" w:lineRule="auto"/>
        <w:ind w:firstLine="420" w:firstLineChars="200"/>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3</w:t>
      </w:r>
      <w:r>
        <w:rPr>
          <w:rFonts w:ascii="Calibri" w:hAnsi="宋体"/>
          <w:color w:val="auto"/>
          <w:szCs w:val="21"/>
          <w:highlight w:val="none"/>
        </w:rPr>
        <w:t>）材料和工程设备暂估价金额：</w:t>
      </w:r>
    </w:p>
    <w:p w14:paraId="7A82888B">
      <w:pPr>
        <w:spacing w:line="360" w:lineRule="auto"/>
        <w:ind w:firstLine="945" w:firstLineChars="450"/>
        <w:rPr>
          <w:rFonts w:ascii="Calibri" w:hAnsi="Calibri"/>
          <w:color w:val="auto"/>
          <w:szCs w:val="21"/>
          <w:highlight w:val="none"/>
        </w:rPr>
      </w:pPr>
      <w:r>
        <w:rPr>
          <w:rFonts w:ascii="Calibri" w:hAnsi="宋体"/>
          <w:color w:val="auto"/>
          <w:szCs w:val="21"/>
          <w:highlight w:val="none"/>
        </w:rPr>
        <w:t>人民币（大写）</w:t>
      </w:r>
      <w:r>
        <w:rPr>
          <w:rFonts w:hint="eastAsia" w:ascii="Calibri" w:hAnsi="宋体"/>
          <w:color w:val="auto"/>
          <w:szCs w:val="21"/>
          <w:highlight w:val="none"/>
          <w:u w:val="single"/>
        </w:rPr>
        <w:t xml:space="preserve">              </w:t>
      </w:r>
      <w:r>
        <w:rPr>
          <w:rFonts w:hint="eastAsia" w:ascii="Calibri" w:hAnsi="Calibri"/>
          <w:color w:val="auto"/>
          <w:szCs w:val="21"/>
          <w:highlight w:val="none"/>
        </w:rPr>
        <w:t>（</w:t>
      </w:r>
      <w:r>
        <w:rPr>
          <w:rFonts w:ascii="Calibri" w:hAnsi="Calibri"/>
          <w:color w:val="auto"/>
          <w:szCs w:val="21"/>
          <w:highlight w:val="none"/>
        </w:rPr>
        <w:t>¥</w:t>
      </w:r>
      <w:r>
        <w:rPr>
          <w:rFonts w:hint="eastAsia"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4A7BAE5D">
      <w:pPr>
        <w:spacing w:line="360" w:lineRule="auto"/>
        <w:ind w:firstLine="420" w:firstLineChars="200"/>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4</w:t>
      </w:r>
      <w:r>
        <w:rPr>
          <w:rFonts w:ascii="Calibri" w:hAnsi="宋体"/>
          <w:color w:val="auto"/>
          <w:szCs w:val="21"/>
          <w:highlight w:val="none"/>
        </w:rPr>
        <w:t>）专业工程暂估价金额：</w:t>
      </w:r>
    </w:p>
    <w:p w14:paraId="2249A741">
      <w:pPr>
        <w:spacing w:line="360" w:lineRule="auto"/>
        <w:ind w:firstLine="945" w:firstLineChars="450"/>
        <w:rPr>
          <w:rFonts w:ascii="Calibri" w:hAnsi="Calibri"/>
          <w:color w:val="auto"/>
          <w:szCs w:val="21"/>
          <w:highlight w:val="none"/>
        </w:rPr>
      </w:pPr>
      <w:r>
        <w:rPr>
          <w:rFonts w:ascii="Calibri" w:hAnsi="宋体"/>
          <w:color w:val="auto"/>
          <w:szCs w:val="21"/>
          <w:highlight w:val="none"/>
        </w:rPr>
        <w:t>人民币（大写）</w:t>
      </w:r>
      <w:r>
        <w:rPr>
          <w:rFonts w:hint="eastAsia" w:ascii="Calibri" w:hAnsi="宋体"/>
          <w:color w:val="auto"/>
          <w:szCs w:val="21"/>
          <w:highlight w:val="none"/>
          <w:u w:val="single"/>
        </w:rPr>
        <w:t xml:space="preserve">               </w:t>
      </w:r>
      <w:r>
        <w:rPr>
          <w:rFonts w:hint="eastAsia" w:ascii="Calibri" w:hAnsi="Calibri"/>
          <w:color w:val="auto"/>
          <w:szCs w:val="21"/>
          <w:highlight w:val="none"/>
        </w:rPr>
        <w:t>（</w:t>
      </w:r>
      <w:r>
        <w:rPr>
          <w:rFonts w:ascii="Calibri" w:hAnsi="Calibri"/>
          <w:color w:val="auto"/>
          <w:szCs w:val="21"/>
          <w:highlight w:val="none"/>
        </w:rPr>
        <w:t>¥</w:t>
      </w:r>
      <w:r>
        <w:rPr>
          <w:rFonts w:hint="eastAsia"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1AB2CD5E">
      <w:pPr>
        <w:spacing w:line="360" w:lineRule="auto"/>
        <w:ind w:firstLine="420" w:firstLineChars="200"/>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5</w:t>
      </w:r>
      <w:r>
        <w:rPr>
          <w:rFonts w:ascii="Calibri" w:hAnsi="宋体"/>
          <w:color w:val="auto"/>
          <w:szCs w:val="21"/>
          <w:highlight w:val="none"/>
        </w:rPr>
        <w:t>）暂列金额：</w:t>
      </w:r>
    </w:p>
    <w:p w14:paraId="7D686FD3">
      <w:pPr>
        <w:spacing w:line="360" w:lineRule="auto"/>
        <w:ind w:firstLine="945" w:firstLineChars="450"/>
        <w:rPr>
          <w:rFonts w:ascii="Calibri" w:hAnsi="Calibri"/>
          <w:color w:val="auto"/>
          <w:szCs w:val="21"/>
          <w:highlight w:val="none"/>
        </w:rPr>
      </w:pPr>
      <w:r>
        <w:rPr>
          <w:rFonts w:ascii="Calibri" w:hAnsi="宋体"/>
          <w:color w:val="auto"/>
          <w:szCs w:val="21"/>
          <w:highlight w:val="none"/>
        </w:rPr>
        <w:t>人民币（大写）</w:t>
      </w:r>
      <w:r>
        <w:rPr>
          <w:rFonts w:hint="eastAsia" w:ascii="Calibri" w:hAnsi="宋体"/>
          <w:color w:val="auto"/>
          <w:szCs w:val="21"/>
          <w:highlight w:val="none"/>
          <w:u w:val="single"/>
        </w:rPr>
        <w:t xml:space="preserve">                  </w:t>
      </w:r>
      <w:r>
        <w:rPr>
          <w:rFonts w:hint="eastAsia" w:ascii="Calibri" w:hAnsi="Calibri"/>
          <w:color w:val="auto"/>
          <w:szCs w:val="21"/>
          <w:highlight w:val="none"/>
        </w:rPr>
        <w:t>（</w:t>
      </w:r>
      <w:r>
        <w:rPr>
          <w:rFonts w:ascii="Calibri" w:hAnsi="Calibri"/>
          <w:color w:val="auto"/>
          <w:szCs w:val="21"/>
          <w:highlight w:val="none"/>
        </w:rPr>
        <w:t>¥</w:t>
      </w:r>
      <w:r>
        <w:rPr>
          <w:rFonts w:hint="eastAsia"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23EF646C">
      <w:pPr>
        <w:spacing w:line="360" w:lineRule="auto"/>
        <w:ind w:firstLine="420" w:firstLineChars="200"/>
        <w:rPr>
          <w:rFonts w:ascii="Calibri" w:hAnsi="宋体"/>
          <w:color w:val="auto"/>
          <w:szCs w:val="21"/>
          <w:highlight w:val="none"/>
        </w:rPr>
      </w:pPr>
      <w:r>
        <w:rPr>
          <w:rFonts w:ascii="Calibri" w:hAnsi="Calibri"/>
          <w:color w:val="auto"/>
          <w:szCs w:val="21"/>
          <w:highlight w:val="none"/>
        </w:rPr>
        <w:t>2.</w:t>
      </w:r>
      <w:r>
        <w:rPr>
          <w:rFonts w:ascii="Calibri" w:hAnsi="宋体"/>
          <w:color w:val="auto"/>
          <w:szCs w:val="21"/>
          <w:highlight w:val="none"/>
        </w:rPr>
        <w:t>合同价格形式：</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w:t>
      </w:r>
    </w:p>
    <w:p w14:paraId="16EEB51D">
      <w:pPr>
        <w:spacing w:line="360" w:lineRule="auto"/>
        <w:ind w:firstLine="422" w:firstLineChars="200"/>
        <w:rPr>
          <w:rFonts w:ascii="Calibri" w:hAnsi="Calibri"/>
          <w:b/>
          <w:bCs/>
          <w:color w:val="auto"/>
          <w:szCs w:val="21"/>
          <w:highlight w:val="none"/>
        </w:rPr>
      </w:pPr>
      <w:bookmarkStart w:id="61" w:name="_Toc351203485"/>
      <w:r>
        <w:rPr>
          <w:rFonts w:ascii="Calibri" w:hAnsi="宋体"/>
          <w:b/>
          <w:bCs/>
          <w:color w:val="auto"/>
          <w:szCs w:val="21"/>
          <w:highlight w:val="none"/>
        </w:rPr>
        <w:t>五、</w:t>
      </w:r>
      <w:bookmarkEnd w:id="61"/>
      <w:r>
        <w:rPr>
          <w:rFonts w:ascii="Calibri" w:hAnsi="宋体"/>
          <w:b/>
          <w:bCs/>
          <w:color w:val="auto"/>
          <w:szCs w:val="21"/>
          <w:highlight w:val="none"/>
        </w:rPr>
        <w:t>项目经理</w:t>
      </w:r>
    </w:p>
    <w:p w14:paraId="266FA5EB">
      <w:pPr>
        <w:spacing w:line="360" w:lineRule="auto"/>
        <w:ind w:firstLine="420" w:firstLineChars="200"/>
        <w:rPr>
          <w:rFonts w:ascii="Calibri" w:hAnsi="宋体"/>
          <w:color w:val="auto"/>
          <w:szCs w:val="21"/>
          <w:highlight w:val="none"/>
        </w:rPr>
      </w:pPr>
      <w:r>
        <w:rPr>
          <w:rFonts w:ascii="Calibri" w:hAnsi="宋体"/>
          <w:color w:val="auto"/>
          <w:szCs w:val="21"/>
          <w:highlight w:val="none"/>
        </w:rPr>
        <w:t>承包人项目经理：</w:t>
      </w:r>
      <w:r>
        <w:rPr>
          <w:rFonts w:ascii="Calibri" w:hAnsi="宋体"/>
          <w:color w:val="auto"/>
          <w:szCs w:val="21"/>
          <w:highlight w:val="none"/>
          <w:u w:val="single"/>
        </w:rPr>
        <w:t></w:t>
      </w:r>
      <w:r>
        <w:rPr>
          <w:rFonts w:ascii="Calibri" w:hAnsi="宋体"/>
          <w:color w:val="auto"/>
          <w:szCs w:val="21"/>
          <w:highlight w:val="none"/>
        </w:rPr>
        <w:t>。</w:t>
      </w:r>
    </w:p>
    <w:p w14:paraId="74E6289F">
      <w:pPr>
        <w:spacing w:line="360" w:lineRule="auto"/>
        <w:ind w:firstLine="422" w:firstLineChars="200"/>
        <w:rPr>
          <w:rFonts w:ascii="Calibri" w:hAnsi="Calibri"/>
          <w:b/>
          <w:bCs/>
          <w:color w:val="auto"/>
          <w:szCs w:val="21"/>
          <w:highlight w:val="none"/>
        </w:rPr>
      </w:pPr>
      <w:bookmarkStart w:id="62" w:name="_Toc351203486"/>
      <w:r>
        <w:rPr>
          <w:rFonts w:ascii="Calibri" w:hAnsi="宋体"/>
          <w:b/>
          <w:bCs/>
          <w:color w:val="auto"/>
          <w:szCs w:val="21"/>
          <w:highlight w:val="none"/>
        </w:rPr>
        <w:t>六、合同文件构成</w:t>
      </w:r>
      <w:bookmarkEnd w:id="62"/>
    </w:p>
    <w:p w14:paraId="78467C09">
      <w:pPr>
        <w:spacing w:line="360" w:lineRule="auto"/>
        <w:ind w:firstLine="420" w:firstLineChars="200"/>
        <w:rPr>
          <w:rFonts w:ascii="Calibri" w:hAnsi="Calibri"/>
          <w:bCs/>
          <w:color w:val="auto"/>
          <w:szCs w:val="21"/>
          <w:highlight w:val="none"/>
        </w:rPr>
      </w:pPr>
      <w:r>
        <w:rPr>
          <w:rFonts w:ascii="Calibri" w:hAnsi="宋体"/>
          <w:bCs/>
          <w:color w:val="auto"/>
          <w:szCs w:val="21"/>
          <w:highlight w:val="none"/>
        </w:rPr>
        <w:t>本协议书与下列文件一起构成合同文件：</w:t>
      </w:r>
    </w:p>
    <w:p w14:paraId="4609C05C">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1</w:t>
      </w:r>
      <w:r>
        <w:rPr>
          <w:rFonts w:ascii="Calibri" w:hAnsi="宋体"/>
          <w:color w:val="auto"/>
          <w:szCs w:val="21"/>
          <w:highlight w:val="none"/>
        </w:rPr>
        <w:t>）中标通知书（如果有）；</w:t>
      </w:r>
    </w:p>
    <w:p w14:paraId="6803DF2A">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2</w:t>
      </w:r>
      <w:r>
        <w:rPr>
          <w:rFonts w:ascii="Calibri" w:hAnsi="宋体"/>
          <w:color w:val="auto"/>
          <w:szCs w:val="21"/>
          <w:highlight w:val="none"/>
        </w:rPr>
        <w:t>）投标函及其附录（如果有）；</w:t>
      </w:r>
    </w:p>
    <w:p w14:paraId="345D78F0">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3</w:t>
      </w:r>
      <w:r>
        <w:rPr>
          <w:rFonts w:ascii="Calibri" w:hAnsi="宋体"/>
          <w:color w:val="auto"/>
          <w:szCs w:val="21"/>
          <w:highlight w:val="none"/>
        </w:rPr>
        <w:t>）专用合同条款及其附件；</w:t>
      </w:r>
    </w:p>
    <w:p w14:paraId="35735A59">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4</w:t>
      </w:r>
      <w:r>
        <w:rPr>
          <w:rFonts w:ascii="Calibri" w:hAnsi="宋体"/>
          <w:color w:val="auto"/>
          <w:szCs w:val="21"/>
          <w:highlight w:val="none"/>
        </w:rPr>
        <w:t>）通用合同条款；</w:t>
      </w:r>
    </w:p>
    <w:p w14:paraId="75B181CB">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5</w:t>
      </w:r>
      <w:r>
        <w:rPr>
          <w:rFonts w:ascii="Calibri" w:hAnsi="宋体"/>
          <w:color w:val="auto"/>
          <w:szCs w:val="21"/>
          <w:highlight w:val="none"/>
        </w:rPr>
        <w:t>）技术标准和要求；</w:t>
      </w:r>
    </w:p>
    <w:p w14:paraId="23536A6E">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6</w:t>
      </w:r>
      <w:r>
        <w:rPr>
          <w:rFonts w:ascii="Calibri" w:hAnsi="宋体"/>
          <w:color w:val="auto"/>
          <w:szCs w:val="21"/>
          <w:highlight w:val="none"/>
        </w:rPr>
        <w:t>）已标价工程量清单或预算书；</w:t>
      </w:r>
    </w:p>
    <w:p w14:paraId="1175BCC4">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7</w:t>
      </w:r>
      <w:r>
        <w:rPr>
          <w:rFonts w:ascii="Calibri" w:hAnsi="宋体"/>
          <w:color w:val="auto"/>
          <w:szCs w:val="21"/>
          <w:highlight w:val="none"/>
        </w:rPr>
        <w:t>）图纸；</w:t>
      </w:r>
    </w:p>
    <w:p w14:paraId="16EF1682">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8</w:t>
      </w:r>
      <w:r>
        <w:rPr>
          <w:rFonts w:ascii="Calibri" w:hAnsi="宋体"/>
          <w:color w:val="auto"/>
          <w:szCs w:val="21"/>
          <w:highlight w:val="none"/>
        </w:rPr>
        <w:t>）其他合同文件。</w:t>
      </w:r>
    </w:p>
    <w:p w14:paraId="57A5CE1A">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在合同订立及履行过程中形成的与合同有关的文件均构成合同文件组成部分。</w:t>
      </w:r>
    </w:p>
    <w:p w14:paraId="69803A36">
      <w:pPr>
        <w:autoSpaceDE w:val="0"/>
        <w:autoSpaceDN w:val="0"/>
        <w:adjustRightInd w:val="0"/>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37A91F02">
      <w:pPr>
        <w:autoSpaceDE w:val="0"/>
        <w:autoSpaceDN w:val="0"/>
        <w:adjustRightInd w:val="0"/>
        <w:spacing w:line="360" w:lineRule="auto"/>
        <w:ind w:firstLine="422" w:firstLineChars="200"/>
        <w:jc w:val="left"/>
        <w:rPr>
          <w:rFonts w:ascii="Calibri" w:hAnsi="Calibri"/>
          <w:b/>
          <w:bCs/>
          <w:color w:val="auto"/>
          <w:szCs w:val="21"/>
          <w:highlight w:val="none"/>
        </w:rPr>
      </w:pPr>
      <w:bookmarkStart w:id="63" w:name="_Toc351203487"/>
      <w:r>
        <w:rPr>
          <w:rFonts w:ascii="Calibri" w:hAnsi="宋体"/>
          <w:b/>
          <w:bCs/>
          <w:color w:val="auto"/>
          <w:szCs w:val="21"/>
          <w:highlight w:val="none"/>
        </w:rPr>
        <w:t>七、承诺</w:t>
      </w:r>
      <w:bookmarkEnd w:id="63"/>
    </w:p>
    <w:p w14:paraId="24EAA581">
      <w:pPr>
        <w:spacing w:line="360" w:lineRule="auto"/>
        <w:ind w:firstLine="420" w:firstLineChars="200"/>
        <w:rPr>
          <w:rFonts w:ascii="Calibri" w:hAnsi="Calibri"/>
          <w:bCs/>
          <w:color w:val="auto"/>
          <w:szCs w:val="21"/>
          <w:highlight w:val="none"/>
        </w:rPr>
      </w:pPr>
      <w:r>
        <w:rPr>
          <w:rFonts w:ascii="Calibri" w:hAnsi="Calibri"/>
          <w:bCs/>
          <w:color w:val="auto"/>
          <w:szCs w:val="21"/>
          <w:highlight w:val="none"/>
        </w:rPr>
        <w:t>1.</w:t>
      </w:r>
      <w:r>
        <w:rPr>
          <w:rFonts w:ascii="Calibri" w:hAnsi="宋体"/>
          <w:bCs/>
          <w:color w:val="auto"/>
          <w:szCs w:val="21"/>
          <w:highlight w:val="none"/>
        </w:rPr>
        <w:t>发包人承诺按照法律规定履行项目审批手续、筹集工程建设资金并按照合同约定的期限和方式支付合同价款。</w:t>
      </w:r>
    </w:p>
    <w:p w14:paraId="6CECF943">
      <w:pPr>
        <w:spacing w:line="360" w:lineRule="auto"/>
        <w:ind w:firstLine="420" w:firstLineChars="200"/>
        <w:rPr>
          <w:rFonts w:ascii="Calibri" w:hAnsi="Calibri"/>
          <w:bCs/>
          <w:color w:val="auto"/>
          <w:szCs w:val="21"/>
          <w:highlight w:val="none"/>
        </w:rPr>
      </w:pPr>
      <w:r>
        <w:rPr>
          <w:rFonts w:ascii="Calibri" w:hAnsi="Calibri"/>
          <w:bCs/>
          <w:color w:val="auto"/>
          <w:szCs w:val="21"/>
          <w:highlight w:val="none"/>
        </w:rPr>
        <w:t>2.</w:t>
      </w:r>
      <w:r>
        <w:rPr>
          <w:rFonts w:ascii="Calibri"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3E6C3522">
      <w:pPr>
        <w:spacing w:line="360" w:lineRule="auto"/>
        <w:ind w:firstLine="420" w:firstLineChars="200"/>
        <w:rPr>
          <w:rFonts w:ascii="Calibri" w:hAnsi="宋体"/>
          <w:bCs/>
          <w:color w:val="auto"/>
          <w:szCs w:val="21"/>
          <w:highlight w:val="none"/>
        </w:rPr>
      </w:pPr>
      <w:r>
        <w:rPr>
          <w:rFonts w:ascii="Calibri" w:hAnsi="Calibri"/>
          <w:bCs/>
          <w:color w:val="auto"/>
          <w:szCs w:val="21"/>
          <w:highlight w:val="none"/>
        </w:rPr>
        <w:t>3.</w:t>
      </w:r>
      <w:r>
        <w:rPr>
          <w:rFonts w:ascii="Calibri" w:hAnsi="宋体"/>
          <w:bCs/>
          <w:color w:val="auto"/>
          <w:szCs w:val="21"/>
          <w:highlight w:val="none"/>
        </w:rPr>
        <w:t>发包人和承包人通过招投标形式签订合同的，双方理解并承诺不再就同一工程另行签订与合同实质性内容相背离的协议。</w:t>
      </w:r>
      <w:bookmarkStart w:id="64" w:name="_Toc351203488"/>
    </w:p>
    <w:p w14:paraId="5FA28118">
      <w:pPr>
        <w:spacing w:line="360" w:lineRule="auto"/>
        <w:ind w:firstLine="422" w:firstLineChars="200"/>
        <w:rPr>
          <w:rFonts w:ascii="Calibri" w:hAnsi="Calibri"/>
          <w:b/>
          <w:bCs/>
          <w:color w:val="auto"/>
          <w:szCs w:val="21"/>
          <w:highlight w:val="none"/>
        </w:rPr>
      </w:pPr>
      <w:r>
        <w:rPr>
          <w:rFonts w:ascii="Calibri" w:hAnsi="宋体"/>
          <w:b/>
          <w:bCs/>
          <w:color w:val="auto"/>
          <w:szCs w:val="21"/>
          <w:highlight w:val="none"/>
        </w:rPr>
        <w:t>八、词语含义</w:t>
      </w:r>
      <w:bookmarkEnd w:id="64"/>
    </w:p>
    <w:p w14:paraId="347AC51D">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本协议书中词语含义与第二部分通用合同条款中赋予的含义相同。</w:t>
      </w:r>
    </w:p>
    <w:p w14:paraId="761999CC">
      <w:pPr>
        <w:spacing w:line="360" w:lineRule="auto"/>
        <w:ind w:firstLine="422" w:firstLineChars="200"/>
        <w:rPr>
          <w:rFonts w:ascii="Calibri" w:hAnsi="Calibri"/>
          <w:b/>
          <w:bCs/>
          <w:color w:val="auto"/>
          <w:szCs w:val="21"/>
          <w:highlight w:val="none"/>
        </w:rPr>
      </w:pPr>
      <w:bookmarkStart w:id="65" w:name="_Toc351203489"/>
      <w:r>
        <w:rPr>
          <w:rFonts w:ascii="Calibri" w:hAnsi="宋体"/>
          <w:b/>
          <w:bCs/>
          <w:color w:val="auto"/>
          <w:szCs w:val="21"/>
          <w:highlight w:val="none"/>
        </w:rPr>
        <w:t>九、签订时间</w:t>
      </w:r>
      <w:bookmarkEnd w:id="65"/>
    </w:p>
    <w:p w14:paraId="3A2C492C">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本合同于</w:t>
      </w:r>
      <w:r>
        <w:rPr>
          <w:rFonts w:hint="eastAsia" w:ascii="Calibri" w:hAnsi="宋体"/>
          <w:bCs/>
          <w:color w:val="auto"/>
          <w:szCs w:val="21"/>
          <w:highlight w:val="none"/>
        </w:rPr>
        <w:t xml:space="preserve">    </w:t>
      </w:r>
      <w:r>
        <w:rPr>
          <w:rFonts w:ascii="Calibri" w:hAnsi="宋体"/>
          <w:bCs/>
          <w:color w:val="auto"/>
          <w:szCs w:val="21"/>
          <w:highlight w:val="none"/>
        </w:rPr>
        <w:t>年</w:t>
      </w:r>
      <w:r>
        <w:rPr>
          <w:rFonts w:hint="eastAsia" w:ascii="Calibri" w:hAnsi="宋体"/>
          <w:bCs/>
          <w:color w:val="auto"/>
          <w:szCs w:val="21"/>
          <w:highlight w:val="none"/>
        </w:rPr>
        <w:t xml:space="preserve">    </w:t>
      </w:r>
      <w:r>
        <w:rPr>
          <w:rFonts w:ascii="Calibri" w:hAnsi="宋体"/>
          <w:bCs/>
          <w:color w:val="auto"/>
          <w:szCs w:val="21"/>
          <w:highlight w:val="none"/>
        </w:rPr>
        <w:t>月</w:t>
      </w:r>
      <w:r>
        <w:rPr>
          <w:rFonts w:hint="eastAsia" w:ascii="Calibri" w:hAnsi="宋体"/>
          <w:bCs/>
          <w:color w:val="auto"/>
          <w:szCs w:val="21"/>
          <w:highlight w:val="none"/>
        </w:rPr>
        <w:t xml:space="preserve">    </w:t>
      </w:r>
      <w:r>
        <w:rPr>
          <w:rFonts w:ascii="Calibri" w:hAnsi="宋体"/>
          <w:bCs/>
          <w:color w:val="auto"/>
          <w:szCs w:val="21"/>
          <w:highlight w:val="none"/>
        </w:rPr>
        <w:t>日签订。</w:t>
      </w:r>
    </w:p>
    <w:p w14:paraId="1FDEE29A">
      <w:pPr>
        <w:spacing w:line="360" w:lineRule="auto"/>
        <w:ind w:firstLine="422" w:firstLineChars="200"/>
        <w:rPr>
          <w:rFonts w:ascii="Calibri" w:hAnsi="Calibri"/>
          <w:b/>
          <w:bCs/>
          <w:color w:val="auto"/>
          <w:szCs w:val="21"/>
          <w:highlight w:val="none"/>
        </w:rPr>
      </w:pPr>
      <w:bookmarkStart w:id="66" w:name="_Toc351203490"/>
      <w:r>
        <w:rPr>
          <w:rFonts w:ascii="Calibri" w:hAnsi="宋体"/>
          <w:b/>
          <w:bCs/>
          <w:color w:val="auto"/>
          <w:szCs w:val="21"/>
          <w:highlight w:val="none"/>
        </w:rPr>
        <w:t>十、签订地点</w:t>
      </w:r>
      <w:bookmarkEnd w:id="66"/>
    </w:p>
    <w:p w14:paraId="4F6C7D56">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本合同在</w:t>
      </w:r>
      <w:r>
        <w:rPr>
          <w:rFonts w:hint="eastAsia" w:ascii="Calibri" w:hAnsi="宋体"/>
          <w:bCs/>
          <w:color w:val="auto"/>
          <w:szCs w:val="21"/>
          <w:highlight w:val="none"/>
          <w:u w:val="single"/>
        </w:rPr>
        <w:t xml:space="preserve">        </w:t>
      </w:r>
      <w:r>
        <w:rPr>
          <w:rFonts w:ascii="Calibri" w:hAnsi="宋体"/>
          <w:bCs/>
          <w:color w:val="auto"/>
          <w:szCs w:val="21"/>
          <w:highlight w:val="none"/>
        </w:rPr>
        <w:t>签订。</w:t>
      </w:r>
    </w:p>
    <w:p w14:paraId="6F5FCABC">
      <w:pPr>
        <w:spacing w:line="360" w:lineRule="auto"/>
        <w:ind w:firstLine="422" w:firstLineChars="200"/>
        <w:rPr>
          <w:rFonts w:ascii="Calibri" w:hAnsi="Calibri"/>
          <w:b/>
          <w:bCs/>
          <w:color w:val="auto"/>
          <w:szCs w:val="21"/>
          <w:highlight w:val="none"/>
        </w:rPr>
      </w:pPr>
      <w:bookmarkStart w:id="67" w:name="_Toc351203491"/>
      <w:r>
        <w:rPr>
          <w:rFonts w:ascii="Calibri" w:hAnsi="宋体"/>
          <w:b/>
          <w:bCs/>
          <w:color w:val="auto"/>
          <w:szCs w:val="21"/>
          <w:highlight w:val="none"/>
        </w:rPr>
        <w:t>十一、补充协议</w:t>
      </w:r>
      <w:bookmarkEnd w:id="67"/>
    </w:p>
    <w:p w14:paraId="1510F856">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合同未尽事宜，合同当事人另行签订补充协议，补充协议是合同的组成部分。</w:t>
      </w:r>
    </w:p>
    <w:p w14:paraId="481C0663">
      <w:pPr>
        <w:spacing w:line="360" w:lineRule="auto"/>
        <w:ind w:firstLine="422" w:firstLineChars="200"/>
        <w:rPr>
          <w:rFonts w:ascii="Calibri" w:hAnsi="Calibri"/>
          <w:b/>
          <w:bCs/>
          <w:color w:val="auto"/>
          <w:szCs w:val="21"/>
          <w:highlight w:val="none"/>
        </w:rPr>
      </w:pPr>
      <w:bookmarkStart w:id="68" w:name="_Toc351203492"/>
      <w:r>
        <w:rPr>
          <w:rFonts w:ascii="Calibri" w:hAnsi="宋体"/>
          <w:b/>
          <w:bCs/>
          <w:color w:val="auto"/>
          <w:szCs w:val="21"/>
          <w:highlight w:val="none"/>
        </w:rPr>
        <w:t>十二、合同生效</w:t>
      </w:r>
      <w:bookmarkEnd w:id="68"/>
    </w:p>
    <w:p w14:paraId="335C8E60">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本合同自</w:t>
      </w:r>
      <w:r>
        <w:rPr>
          <w:rFonts w:hint="eastAsia" w:ascii="Calibri" w:hAnsi="宋体"/>
          <w:bCs/>
          <w:color w:val="auto"/>
          <w:szCs w:val="21"/>
          <w:highlight w:val="none"/>
          <w:u w:val="single"/>
        </w:rPr>
        <w:t xml:space="preserve">          </w:t>
      </w:r>
      <w:r>
        <w:rPr>
          <w:rFonts w:ascii="Calibri" w:hAnsi="宋体"/>
          <w:bCs/>
          <w:color w:val="auto"/>
          <w:szCs w:val="21"/>
          <w:highlight w:val="none"/>
        </w:rPr>
        <w:t>生效。</w:t>
      </w:r>
    </w:p>
    <w:p w14:paraId="1DEDFCA5">
      <w:pPr>
        <w:spacing w:line="360" w:lineRule="auto"/>
        <w:ind w:firstLine="422" w:firstLineChars="200"/>
        <w:rPr>
          <w:rFonts w:ascii="Calibri" w:hAnsi="Calibri"/>
          <w:b/>
          <w:bCs/>
          <w:color w:val="auto"/>
          <w:szCs w:val="21"/>
          <w:highlight w:val="none"/>
        </w:rPr>
      </w:pPr>
      <w:bookmarkStart w:id="69" w:name="_Toc351203493"/>
      <w:r>
        <w:rPr>
          <w:rFonts w:ascii="Calibri" w:hAnsi="宋体"/>
          <w:b/>
          <w:bCs/>
          <w:color w:val="auto"/>
          <w:szCs w:val="21"/>
          <w:highlight w:val="none"/>
        </w:rPr>
        <w:t>十三、合同份数</w:t>
      </w:r>
      <w:bookmarkEnd w:id="69"/>
    </w:p>
    <w:p w14:paraId="6ECCFB90">
      <w:pPr>
        <w:spacing w:line="360" w:lineRule="auto"/>
        <w:ind w:firstLine="420" w:firstLineChars="200"/>
        <w:rPr>
          <w:rFonts w:ascii="Calibri" w:hAnsi="Calibri"/>
          <w:bCs/>
          <w:color w:val="auto"/>
          <w:szCs w:val="21"/>
          <w:highlight w:val="none"/>
        </w:rPr>
      </w:pPr>
      <w:r>
        <w:rPr>
          <w:rFonts w:ascii="Calibri" w:hAnsi="宋体"/>
          <w:bCs/>
          <w:color w:val="auto"/>
          <w:szCs w:val="21"/>
          <w:highlight w:val="none"/>
        </w:rPr>
        <w:t>本合同一式</w:t>
      </w:r>
      <w:r>
        <w:rPr>
          <w:rFonts w:hint="eastAsia" w:ascii="Calibri" w:hAnsi="宋体"/>
          <w:bCs/>
          <w:color w:val="auto"/>
          <w:szCs w:val="21"/>
          <w:highlight w:val="none"/>
          <w:u w:val="single"/>
        </w:rPr>
        <w:t xml:space="preserve">     </w:t>
      </w:r>
      <w:r>
        <w:rPr>
          <w:rFonts w:ascii="Calibri" w:hAnsi="宋体"/>
          <w:bCs/>
          <w:color w:val="auto"/>
          <w:szCs w:val="21"/>
          <w:highlight w:val="none"/>
        </w:rPr>
        <w:t>份，均具有同等法律效力，发包人执份，承包人执</w:t>
      </w:r>
      <w:r>
        <w:rPr>
          <w:rFonts w:hint="eastAsia" w:ascii="Calibri" w:hAnsi="宋体"/>
          <w:bCs/>
          <w:color w:val="auto"/>
          <w:szCs w:val="21"/>
          <w:highlight w:val="none"/>
          <w:u w:val="single"/>
        </w:rPr>
        <w:t xml:space="preserve">        </w:t>
      </w:r>
      <w:r>
        <w:rPr>
          <w:rFonts w:ascii="Calibri" w:hAnsi="宋体"/>
          <w:bCs/>
          <w:color w:val="auto"/>
          <w:szCs w:val="21"/>
          <w:highlight w:val="none"/>
        </w:rPr>
        <w:t>份。</w:t>
      </w:r>
    </w:p>
    <w:p w14:paraId="47C9620C">
      <w:pPr>
        <w:spacing w:line="360" w:lineRule="auto"/>
        <w:rPr>
          <w:rFonts w:ascii="Calibri" w:hAnsi="Calibri"/>
          <w:bCs/>
          <w:color w:val="auto"/>
          <w:szCs w:val="21"/>
          <w:highlight w:val="none"/>
        </w:rPr>
      </w:pPr>
    </w:p>
    <w:p w14:paraId="6953B842">
      <w:pPr>
        <w:spacing w:line="360" w:lineRule="auto"/>
        <w:rPr>
          <w:rFonts w:ascii="Calibri" w:hAnsi="Calibri"/>
          <w:color w:val="auto"/>
          <w:szCs w:val="21"/>
          <w:highlight w:val="none"/>
        </w:rPr>
      </w:pPr>
    </w:p>
    <w:p w14:paraId="735B1959">
      <w:pPr>
        <w:spacing w:line="360" w:lineRule="auto"/>
        <w:rPr>
          <w:rFonts w:ascii="Calibri" w:hAnsi="Calibri"/>
          <w:color w:val="auto"/>
          <w:szCs w:val="21"/>
          <w:highlight w:val="none"/>
        </w:rPr>
      </w:pPr>
      <w:r>
        <w:rPr>
          <w:rFonts w:ascii="Calibri" w:hAnsi="宋体"/>
          <w:color w:val="auto"/>
          <w:szCs w:val="21"/>
          <w:highlight w:val="none"/>
        </w:rPr>
        <w:t>发包人：</w:t>
      </w:r>
      <w:r>
        <w:rPr>
          <w:rFonts w:hint="eastAsia" w:ascii="Calibri" w:hAnsi="Calibri"/>
          <w:color w:val="auto"/>
          <w:szCs w:val="21"/>
          <w:highlight w:val="none"/>
        </w:rPr>
        <w:t>（</w:t>
      </w:r>
      <w:r>
        <w:rPr>
          <w:rFonts w:ascii="Calibri" w:hAnsi="宋体"/>
          <w:color w:val="auto"/>
          <w:szCs w:val="21"/>
          <w:highlight w:val="none"/>
        </w:rPr>
        <w:t>公章</w:t>
      </w:r>
      <w:r>
        <w:rPr>
          <w:rFonts w:hint="eastAsia" w:ascii="Calibri" w:hAnsi="Calibri"/>
          <w:color w:val="auto"/>
          <w:szCs w:val="21"/>
          <w:highlight w:val="none"/>
        </w:rPr>
        <w:t>）</w:t>
      </w:r>
      <w:r>
        <w:rPr>
          <w:rFonts w:ascii="Calibri" w:hAnsi="宋体"/>
          <w:color w:val="auto"/>
          <w:szCs w:val="21"/>
          <w:highlight w:val="none"/>
        </w:rPr>
        <w:t>承包人：</w:t>
      </w:r>
      <w:r>
        <w:rPr>
          <w:rFonts w:hint="eastAsia" w:ascii="Calibri" w:hAnsi="Calibri"/>
          <w:color w:val="auto"/>
          <w:szCs w:val="21"/>
          <w:highlight w:val="none"/>
        </w:rPr>
        <w:t>（</w:t>
      </w:r>
      <w:r>
        <w:rPr>
          <w:rFonts w:ascii="Calibri" w:hAnsi="宋体"/>
          <w:color w:val="auto"/>
          <w:szCs w:val="21"/>
          <w:highlight w:val="none"/>
        </w:rPr>
        <w:t>公章</w:t>
      </w:r>
      <w:r>
        <w:rPr>
          <w:rFonts w:hint="eastAsia" w:ascii="Calibri" w:hAnsi="Calibri"/>
          <w:color w:val="auto"/>
          <w:szCs w:val="21"/>
          <w:highlight w:val="none"/>
        </w:rPr>
        <w:t>）</w:t>
      </w:r>
    </w:p>
    <w:p w14:paraId="1CFD6EF1">
      <w:pPr>
        <w:spacing w:line="360" w:lineRule="auto"/>
        <w:rPr>
          <w:rFonts w:ascii="Calibri" w:hAnsi="Calibri"/>
          <w:color w:val="auto"/>
          <w:szCs w:val="21"/>
          <w:highlight w:val="none"/>
          <w:u w:val="single"/>
        </w:rPr>
      </w:pPr>
    </w:p>
    <w:p w14:paraId="7A884CBA">
      <w:pPr>
        <w:spacing w:line="360" w:lineRule="auto"/>
        <w:rPr>
          <w:rFonts w:ascii="Calibri" w:hAnsi="Calibri"/>
          <w:color w:val="auto"/>
          <w:szCs w:val="21"/>
          <w:highlight w:val="none"/>
        </w:rPr>
      </w:pPr>
      <w:r>
        <w:rPr>
          <w:rFonts w:ascii="Calibri" w:hAnsi="宋体"/>
          <w:color w:val="auto"/>
          <w:szCs w:val="21"/>
          <w:highlight w:val="none"/>
        </w:rPr>
        <w:t>法定代表人或其委托代理人：法定代表人或其委托代理人：</w:t>
      </w:r>
    </w:p>
    <w:p w14:paraId="28F2942D">
      <w:pPr>
        <w:spacing w:line="360" w:lineRule="auto"/>
        <w:rPr>
          <w:rFonts w:ascii="Calibri" w:hAnsi="Calibri"/>
          <w:color w:val="auto"/>
          <w:szCs w:val="21"/>
          <w:highlight w:val="none"/>
        </w:rPr>
      </w:pPr>
      <w:r>
        <w:rPr>
          <w:rFonts w:ascii="Calibri" w:hAnsi="宋体"/>
          <w:color w:val="auto"/>
          <w:szCs w:val="21"/>
          <w:highlight w:val="none"/>
        </w:rPr>
        <w:t>（签字）（签字）</w:t>
      </w:r>
    </w:p>
    <w:p w14:paraId="67A1DA8D">
      <w:pPr>
        <w:spacing w:line="360" w:lineRule="auto"/>
        <w:rPr>
          <w:rFonts w:ascii="Calibri" w:hAnsi="Calibri"/>
          <w:color w:val="auto"/>
          <w:szCs w:val="21"/>
          <w:highlight w:val="none"/>
          <w:u w:val="single"/>
        </w:rPr>
      </w:pPr>
    </w:p>
    <w:p w14:paraId="608DB291">
      <w:pPr>
        <w:tabs>
          <w:tab w:val="left" w:pos="4410"/>
        </w:tabs>
        <w:spacing w:line="360" w:lineRule="auto"/>
        <w:rPr>
          <w:rFonts w:ascii="Calibri" w:hAnsi="Calibri"/>
          <w:color w:val="auto"/>
          <w:szCs w:val="21"/>
          <w:highlight w:val="none"/>
        </w:rPr>
      </w:pPr>
      <w:r>
        <w:rPr>
          <w:rFonts w:ascii="Calibri" w:hAnsi="宋体"/>
          <w:color w:val="auto"/>
          <w:szCs w:val="21"/>
          <w:highlight w:val="none"/>
        </w:rPr>
        <w:t>组织机构代码：</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组织机构代码：</w:t>
      </w:r>
      <w:r>
        <w:rPr>
          <w:rFonts w:ascii="Calibri" w:hAnsi="宋体"/>
          <w:color w:val="auto"/>
          <w:szCs w:val="21"/>
          <w:highlight w:val="none"/>
          <w:u w:val="single"/>
        </w:rPr>
        <w:t></w:t>
      </w:r>
    </w:p>
    <w:p w14:paraId="18F5C6AB">
      <w:pPr>
        <w:spacing w:line="360" w:lineRule="auto"/>
        <w:rPr>
          <w:rFonts w:ascii="Calibri" w:hAnsi="Calibri"/>
          <w:color w:val="auto"/>
          <w:szCs w:val="21"/>
          <w:highlight w:val="none"/>
        </w:rPr>
      </w:pPr>
      <w:r>
        <w:rPr>
          <w:rFonts w:ascii="Calibri" w:hAnsi="宋体"/>
          <w:color w:val="auto"/>
          <w:szCs w:val="21"/>
          <w:highlight w:val="none"/>
        </w:rPr>
        <w:t>地址：</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地址：</w:t>
      </w:r>
      <w:r>
        <w:rPr>
          <w:rFonts w:ascii="Calibri" w:hAnsi="宋体"/>
          <w:color w:val="auto"/>
          <w:szCs w:val="21"/>
          <w:highlight w:val="none"/>
          <w:u w:val="single"/>
        </w:rPr>
        <w:t></w:t>
      </w:r>
    </w:p>
    <w:p w14:paraId="420C4CD7">
      <w:pPr>
        <w:spacing w:line="360" w:lineRule="auto"/>
        <w:rPr>
          <w:rFonts w:ascii="Calibri" w:hAnsi="Calibri"/>
          <w:color w:val="auto"/>
          <w:szCs w:val="21"/>
          <w:highlight w:val="none"/>
        </w:rPr>
      </w:pPr>
      <w:r>
        <w:rPr>
          <w:rFonts w:ascii="Calibri" w:hAnsi="宋体"/>
          <w:color w:val="auto"/>
          <w:szCs w:val="21"/>
          <w:highlight w:val="none"/>
        </w:rPr>
        <w:t>邮政编码：</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邮政编码：</w:t>
      </w:r>
      <w:r>
        <w:rPr>
          <w:rFonts w:ascii="Calibri" w:hAnsi="宋体"/>
          <w:color w:val="auto"/>
          <w:szCs w:val="21"/>
          <w:highlight w:val="none"/>
          <w:u w:val="single"/>
        </w:rPr>
        <w:t></w:t>
      </w:r>
    </w:p>
    <w:p w14:paraId="3F0504CC">
      <w:pPr>
        <w:spacing w:line="360" w:lineRule="auto"/>
        <w:rPr>
          <w:rFonts w:ascii="Calibri" w:hAnsi="Calibri"/>
          <w:color w:val="auto"/>
          <w:szCs w:val="21"/>
          <w:highlight w:val="none"/>
        </w:rPr>
      </w:pPr>
      <w:r>
        <w:rPr>
          <w:rFonts w:ascii="Calibri" w:hAnsi="宋体"/>
          <w:color w:val="auto"/>
          <w:szCs w:val="21"/>
          <w:highlight w:val="none"/>
        </w:rPr>
        <w:t>法定代表人：</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法定代表人：</w:t>
      </w:r>
      <w:r>
        <w:rPr>
          <w:rFonts w:ascii="Calibri" w:hAnsi="宋体"/>
          <w:color w:val="auto"/>
          <w:szCs w:val="21"/>
          <w:highlight w:val="none"/>
          <w:u w:val="single"/>
        </w:rPr>
        <w:t></w:t>
      </w:r>
    </w:p>
    <w:p w14:paraId="23141F92">
      <w:pPr>
        <w:spacing w:line="360" w:lineRule="auto"/>
        <w:rPr>
          <w:rFonts w:ascii="Calibri" w:hAnsi="Calibri"/>
          <w:color w:val="auto"/>
          <w:szCs w:val="21"/>
          <w:highlight w:val="none"/>
        </w:rPr>
      </w:pPr>
      <w:r>
        <w:rPr>
          <w:rFonts w:ascii="Calibri" w:hAnsi="宋体"/>
          <w:color w:val="auto"/>
          <w:szCs w:val="21"/>
          <w:highlight w:val="none"/>
        </w:rPr>
        <w:t>委托代理人：</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委托代理人：</w:t>
      </w:r>
      <w:r>
        <w:rPr>
          <w:rFonts w:ascii="Calibri" w:hAnsi="宋体"/>
          <w:color w:val="auto"/>
          <w:szCs w:val="21"/>
          <w:highlight w:val="none"/>
          <w:u w:val="single"/>
        </w:rPr>
        <w:t></w:t>
      </w:r>
    </w:p>
    <w:p w14:paraId="77D29D13">
      <w:pPr>
        <w:spacing w:line="360" w:lineRule="auto"/>
        <w:rPr>
          <w:rFonts w:ascii="Calibri" w:hAnsi="Calibri"/>
          <w:color w:val="auto"/>
          <w:szCs w:val="21"/>
          <w:highlight w:val="none"/>
        </w:rPr>
      </w:pPr>
      <w:r>
        <w:rPr>
          <w:rFonts w:ascii="Calibri" w:hAnsi="宋体"/>
          <w:color w:val="auto"/>
          <w:szCs w:val="21"/>
          <w:highlight w:val="none"/>
        </w:rPr>
        <w:t>电话：</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电话：</w:t>
      </w:r>
      <w:r>
        <w:rPr>
          <w:rFonts w:ascii="Calibri" w:hAnsi="宋体"/>
          <w:color w:val="auto"/>
          <w:szCs w:val="21"/>
          <w:highlight w:val="none"/>
          <w:u w:val="single"/>
        </w:rPr>
        <w:t></w:t>
      </w:r>
    </w:p>
    <w:p w14:paraId="7FC5F49F">
      <w:pPr>
        <w:spacing w:line="360" w:lineRule="auto"/>
        <w:rPr>
          <w:rFonts w:ascii="Calibri" w:hAnsi="Calibri"/>
          <w:color w:val="auto"/>
          <w:szCs w:val="21"/>
          <w:highlight w:val="none"/>
        </w:rPr>
      </w:pPr>
      <w:r>
        <w:rPr>
          <w:rFonts w:ascii="Calibri" w:hAnsi="宋体"/>
          <w:color w:val="auto"/>
          <w:szCs w:val="21"/>
          <w:highlight w:val="none"/>
        </w:rPr>
        <w:t>传真：</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传真：</w:t>
      </w:r>
      <w:r>
        <w:rPr>
          <w:rFonts w:ascii="Calibri" w:hAnsi="宋体"/>
          <w:color w:val="auto"/>
          <w:szCs w:val="21"/>
          <w:highlight w:val="none"/>
          <w:u w:val="single"/>
        </w:rPr>
        <w:t></w:t>
      </w:r>
    </w:p>
    <w:p w14:paraId="42725380">
      <w:pPr>
        <w:spacing w:line="360" w:lineRule="auto"/>
        <w:rPr>
          <w:rFonts w:ascii="Calibri" w:hAnsi="Calibri"/>
          <w:color w:val="auto"/>
          <w:szCs w:val="21"/>
          <w:highlight w:val="none"/>
        </w:rPr>
      </w:pPr>
      <w:r>
        <w:rPr>
          <w:rFonts w:ascii="Calibri" w:hAnsi="宋体"/>
          <w:color w:val="auto"/>
          <w:szCs w:val="21"/>
          <w:highlight w:val="none"/>
        </w:rPr>
        <w:t>电子信箱：</w:t>
      </w:r>
      <w:r>
        <w:rPr>
          <w:rFonts w:hint="eastAsia" w:ascii="Calibri" w:hAnsi="宋体"/>
          <w:color w:val="auto"/>
          <w:szCs w:val="21"/>
          <w:highlight w:val="none"/>
        </w:rPr>
        <w:t xml:space="preserve">                    </w:t>
      </w:r>
      <w:r>
        <w:rPr>
          <w:rFonts w:ascii="Calibri" w:hAnsi="宋体"/>
          <w:color w:val="auto"/>
          <w:szCs w:val="21"/>
          <w:highlight w:val="none"/>
        </w:rPr>
        <w:t>电子信箱：</w:t>
      </w:r>
      <w:r>
        <w:rPr>
          <w:rFonts w:ascii="Calibri" w:hAnsi="宋体"/>
          <w:color w:val="auto"/>
          <w:szCs w:val="21"/>
          <w:highlight w:val="none"/>
          <w:u w:val="single"/>
        </w:rPr>
        <w:t></w:t>
      </w:r>
    </w:p>
    <w:p w14:paraId="6A80B368">
      <w:pPr>
        <w:spacing w:line="360" w:lineRule="auto"/>
        <w:rPr>
          <w:rFonts w:ascii="Calibri" w:hAnsi="Calibri"/>
          <w:color w:val="auto"/>
          <w:szCs w:val="21"/>
          <w:highlight w:val="none"/>
        </w:rPr>
      </w:pPr>
      <w:r>
        <w:rPr>
          <w:rFonts w:ascii="Calibri" w:hAnsi="宋体"/>
          <w:color w:val="auto"/>
          <w:szCs w:val="21"/>
          <w:highlight w:val="none"/>
        </w:rPr>
        <w:t>开户银行：</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开户银行：</w:t>
      </w:r>
      <w:r>
        <w:rPr>
          <w:rFonts w:ascii="Calibri" w:hAnsi="宋体"/>
          <w:color w:val="auto"/>
          <w:szCs w:val="21"/>
          <w:highlight w:val="none"/>
          <w:u w:val="single"/>
        </w:rPr>
        <w:t></w:t>
      </w:r>
    </w:p>
    <w:p w14:paraId="3A340058">
      <w:pPr>
        <w:rPr>
          <w:rFonts w:ascii="Calibri" w:hAnsi="Calibri"/>
          <w:color w:val="auto"/>
          <w:szCs w:val="21"/>
          <w:highlight w:val="none"/>
          <w:u w:val="single"/>
        </w:rPr>
      </w:pPr>
      <w:r>
        <w:rPr>
          <w:rFonts w:ascii="Calibri" w:hAnsi="宋体"/>
          <w:color w:val="auto"/>
          <w:szCs w:val="21"/>
          <w:highlight w:val="none"/>
        </w:rPr>
        <w:t>账号：</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rPr>
        <w:t>账号：</w:t>
      </w:r>
      <w:r>
        <w:rPr>
          <w:rFonts w:ascii="Calibri" w:hAnsi="宋体"/>
          <w:color w:val="auto"/>
          <w:szCs w:val="21"/>
          <w:highlight w:val="none"/>
          <w:u w:val="single"/>
        </w:rPr>
        <w:t></w:t>
      </w:r>
    </w:p>
    <w:p w14:paraId="16495066">
      <w:pPr>
        <w:rPr>
          <w:rFonts w:ascii="宋体" w:hAnsi="宋体"/>
          <w:color w:val="auto"/>
          <w:szCs w:val="21"/>
          <w:highlight w:val="none"/>
          <w:u w:val="single"/>
        </w:rPr>
      </w:pPr>
    </w:p>
    <w:p w14:paraId="03B7FDCA">
      <w:pPr>
        <w:rPr>
          <w:rFonts w:ascii="Calibri" w:hAnsi="Calibri"/>
          <w:color w:val="auto"/>
          <w:sz w:val="20"/>
          <w:szCs w:val="22"/>
          <w:highlight w:val="none"/>
        </w:rPr>
      </w:pPr>
    </w:p>
    <w:p w14:paraId="0C3791E0">
      <w:pPr>
        <w:keepNext/>
        <w:keepLines/>
        <w:spacing w:before="60" w:after="60" w:line="413" w:lineRule="auto"/>
        <w:jc w:val="center"/>
        <w:outlineLvl w:val="1"/>
        <w:rPr>
          <w:rFonts w:ascii="Arial" w:hAnsi="Arial" w:eastAsia="黑体"/>
          <w:b/>
          <w:bCs/>
          <w:color w:val="auto"/>
          <w:sz w:val="32"/>
          <w:szCs w:val="32"/>
          <w:highlight w:val="none"/>
          <w:lang w:val="zh-CN"/>
        </w:rPr>
      </w:pPr>
      <w:bookmarkStart w:id="70" w:name="_Toc4661135"/>
      <w:bookmarkStart w:id="71" w:name="_Toc256000080"/>
    </w:p>
    <w:p w14:paraId="610E5C7A">
      <w:pPr>
        <w:pStyle w:val="35"/>
        <w:rPr>
          <w:rFonts w:ascii="Arial" w:hAnsi="Arial" w:eastAsia="黑体"/>
          <w:b/>
          <w:bCs/>
          <w:color w:val="auto"/>
          <w:sz w:val="32"/>
          <w:szCs w:val="32"/>
          <w:highlight w:val="none"/>
          <w:lang w:val="zh-CN"/>
        </w:rPr>
      </w:pPr>
    </w:p>
    <w:p w14:paraId="035676C2">
      <w:pPr>
        <w:pStyle w:val="35"/>
        <w:rPr>
          <w:rFonts w:ascii="Arial" w:hAnsi="Arial" w:eastAsia="黑体"/>
          <w:b/>
          <w:bCs/>
          <w:color w:val="auto"/>
          <w:sz w:val="32"/>
          <w:szCs w:val="32"/>
          <w:highlight w:val="none"/>
          <w:lang w:val="zh-CN"/>
        </w:rPr>
      </w:pPr>
    </w:p>
    <w:p w14:paraId="77694E8C">
      <w:pPr>
        <w:pStyle w:val="35"/>
        <w:rPr>
          <w:rFonts w:ascii="Arial" w:hAnsi="Arial" w:eastAsia="黑体"/>
          <w:b/>
          <w:bCs/>
          <w:color w:val="auto"/>
          <w:sz w:val="32"/>
          <w:szCs w:val="32"/>
          <w:highlight w:val="none"/>
          <w:lang w:val="zh-CN"/>
        </w:rPr>
      </w:pPr>
    </w:p>
    <w:p w14:paraId="21A0204A">
      <w:pPr>
        <w:pStyle w:val="35"/>
        <w:rPr>
          <w:rFonts w:ascii="Arial" w:hAnsi="Arial" w:eastAsia="黑体"/>
          <w:b/>
          <w:bCs/>
          <w:color w:val="auto"/>
          <w:sz w:val="32"/>
          <w:szCs w:val="32"/>
          <w:highlight w:val="none"/>
          <w:lang w:val="zh-CN"/>
        </w:rPr>
      </w:pPr>
    </w:p>
    <w:p w14:paraId="7C2313BB">
      <w:pPr>
        <w:pStyle w:val="35"/>
        <w:rPr>
          <w:rFonts w:ascii="Arial" w:hAnsi="Arial" w:eastAsia="黑体"/>
          <w:b/>
          <w:bCs/>
          <w:color w:val="auto"/>
          <w:sz w:val="32"/>
          <w:szCs w:val="32"/>
          <w:highlight w:val="none"/>
          <w:lang w:val="zh-CN"/>
        </w:rPr>
      </w:pPr>
    </w:p>
    <w:p w14:paraId="21ECEAA9">
      <w:pPr>
        <w:pStyle w:val="35"/>
        <w:rPr>
          <w:rFonts w:ascii="Arial" w:hAnsi="Arial" w:eastAsia="黑体"/>
          <w:b/>
          <w:bCs/>
          <w:color w:val="auto"/>
          <w:sz w:val="32"/>
          <w:szCs w:val="32"/>
          <w:highlight w:val="none"/>
          <w:lang w:val="zh-CN"/>
        </w:rPr>
      </w:pPr>
    </w:p>
    <w:p w14:paraId="5B542D93">
      <w:pPr>
        <w:pStyle w:val="35"/>
        <w:rPr>
          <w:rFonts w:ascii="Arial" w:hAnsi="Arial" w:eastAsia="黑体"/>
          <w:b/>
          <w:bCs/>
          <w:color w:val="auto"/>
          <w:sz w:val="32"/>
          <w:szCs w:val="32"/>
          <w:highlight w:val="none"/>
          <w:lang w:val="zh-CN"/>
        </w:rPr>
      </w:pPr>
    </w:p>
    <w:p w14:paraId="16455C02">
      <w:pPr>
        <w:pStyle w:val="35"/>
        <w:rPr>
          <w:rFonts w:ascii="Arial" w:hAnsi="Arial" w:eastAsia="黑体"/>
          <w:b/>
          <w:bCs/>
          <w:color w:val="auto"/>
          <w:sz w:val="32"/>
          <w:szCs w:val="32"/>
          <w:highlight w:val="none"/>
          <w:lang w:val="zh-CN"/>
        </w:rPr>
      </w:pPr>
    </w:p>
    <w:p w14:paraId="61B6E8EE">
      <w:pPr>
        <w:pStyle w:val="35"/>
        <w:rPr>
          <w:rFonts w:ascii="Arial" w:hAnsi="Arial" w:eastAsia="黑体"/>
          <w:b/>
          <w:bCs/>
          <w:color w:val="auto"/>
          <w:sz w:val="32"/>
          <w:szCs w:val="32"/>
          <w:highlight w:val="none"/>
          <w:lang w:val="zh-CN"/>
        </w:rPr>
      </w:pPr>
    </w:p>
    <w:p w14:paraId="046F476D">
      <w:pPr>
        <w:pStyle w:val="35"/>
        <w:rPr>
          <w:rFonts w:ascii="Arial" w:hAnsi="Arial" w:eastAsia="黑体"/>
          <w:b/>
          <w:bCs/>
          <w:color w:val="auto"/>
          <w:sz w:val="32"/>
          <w:szCs w:val="32"/>
          <w:highlight w:val="none"/>
          <w:lang w:val="zh-CN"/>
        </w:rPr>
      </w:pPr>
    </w:p>
    <w:p w14:paraId="7414EE4A">
      <w:pPr>
        <w:pStyle w:val="35"/>
        <w:rPr>
          <w:rFonts w:ascii="Arial" w:hAnsi="Arial" w:eastAsia="黑体"/>
          <w:b/>
          <w:bCs/>
          <w:color w:val="auto"/>
          <w:sz w:val="32"/>
          <w:szCs w:val="32"/>
          <w:highlight w:val="none"/>
          <w:lang w:val="zh-CN"/>
        </w:rPr>
      </w:pPr>
    </w:p>
    <w:p w14:paraId="3F91E1A8">
      <w:pPr>
        <w:pStyle w:val="35"/>
        <w:jc w:val="both"/>
        <w:rPr>
          <w:rFonts w:ascii="Arial" w:hAnsi="Arial" w:eastAsia="黑体"/>
          <w:b/>
          <w:bCs/>
          <w:color w:val="auto"/>
          <w:sz w:val="32"/>
          <w:szCs w:val="32"/>
          <w:highlight w:val="none"/>
          <w:lang w:val="zh-CN"/>
        </w:rPr>
      </w:pPr>
    </w:p>
    <w:p w14:paraId="401EED3A">
      <w:pPr>
        <w:keepNext/>
        <w:keepLines/>
        <w:spacing w:before="60" w:after="60" w:line="413" w:lineRule="auto"/>
        <w:jc w:val="center"/>
        <w:outlineLvl w:val="1"/>
        <w:rPr>
          <w:rFonts w:ascii="Arial" w:hAnsi="Arial" w:eastAsia="黑体"/>
          <w:b/>
          <w:bCs/>
          <w:color w:val="auto"/>
          <w:sz w:val="32"/>
          <w:szCs w:val="32"/>
          <w:highlight w:val="none"/>
          <w:lang w:val="zh-CN"/>
        </w:rPr>
      </w:pPr>
      <w:r>
        <w:rPr>
          <w:rFonts w:hint="eastAsia" w:ascii="Arial" w:hAnsi="Arial" w:eastAsia="黑体"/>
          <w:b/>
          <w:bCs/>
          <w:color w:val="auto"/>
          <w:sz w:val="32"/>
          <w:szCs w:val="32"/>
          <w:highlight w:val="none"/>
          <w:lang w:val="zh-CN"/>
        </w:rPr>
        <w:t>第二部分通用合同条款</w:t>
      </w:r>
      <w:bookmarkEnd w:id="70"/>
      <w:bookmarkEnd w:id="71"/>
    </w:p>
    <w:p w14:paraId="712CF6B7">
      <w:pPr>
        <w:spacing w:line="360" w:lineRule="auto"/>
        <w:ind w:firstLine="420" w:firstLineChars="200"/>
        <w:rPr>
          <w:rFonts w:ascii="Calibri" w:hAnsi="宋体"/>
          <w:color w:val="auto"/>
          <w:kern w:val="0"/>
          <w:szCs w:val="22"/>
          <w:highlight w:val="none"/>
        </w:rPr>
      </w:pPr>
    </w:p>
    <w:p w14:paraId="7D3AB16C">
      <w:pPr>
        <w:spacing w:line="360" w:lineRule="auto"/>
        <w:ind w:firstLine="422" w:firstLineChars="200"/>
        <w:rPr>
          <w:rFonts w:ascii="Calibri" w:hAnsi="宋体" w:cs="宋体"/>
          <w:b/>
          <w:bCs/>
          <w:color w:val="auto"/>
          <w:kern w:val="0"/>
          <w:szCs w:val="22"/>
          <w:highlight w:val="none"/>
        </w:rPr>
      </w:pPr>
      <w:r>
        <w:rPr>
          <w:rFonts w:hint="eastAsia" w:ascii="Calibri" w:hAnsi="宋体" w:cs="宋体"/>
          <w:b/>
          <w:bCs/>
          <w:color w:val="auto"/>
          <w:kern w:val="0"/>
          <w:szCs w:val="22"/>
          <w:highlight w:val="none"/>
        </w:rPr>
        <w:t>采用《建设工程施工合同（示范文本）》（</w:t>
      </w:r>
      <w:r>
        <w:rPr>
          <w:rFonts w:ascii="Calibri" w:hAnsi="宋体"/>
          <w:b/>
          <w:bCs/>
          <w:color w:val="auto"/>
          <w:kern w:val="0"/>
          <w:szCs w:val="22"/>
          <w:highlight w:val="none"/>
        </w:rPr>
        <w:t>GF</w:t>
      </w:r>
      <w:r>
        <w:rPr>
          <w:rFonts w:ascii="Calibri" w:hAnsi="宋体" w:cs="宋体"/>
          <w:b/>
          <w:bCs/>
          <w:color w:val="auto"/>
          <w:kern w:val="0"/>
          <w:szCs w:val="22"/>
          <w:highlight w:val="none"/>
        </w:rPr>
        <w:t>—</w:t>
      </w:r>
      <w:r>
        <w:rPr>
          <w:rFonts w:hint="eastAsia" w:ascii="Calibri" w:hAnsi="宋体"/>
          <w:b/>
          <w:bCs/>
          <w:color w:val="auto"/>
          <w:kern w:val="0"/>
          <w:szCs w:val="22"/>
          <w:highlight w:val="none"/>
        </w:rPr>
        <w:t>2017</w:t>
      </w:r>
      <w:r>
        <w:rPr>
          <w:rFonts w:ascii="Calibri" w:hAnsi="宋体" w:cs="宋体"/>
          <w:b/>
          <w:bCs/>
          <w:color w:val="auto"/>
          <w:kern w:val="0"/>
          <w:szCs w:val="22"/>
          <w:highlight w:val="none"/>
        </w:rPr>
        <w:t>—</w:t>
      </w:r>
      <w:r>
        <w:rPr>
          <w:rFonts w:ascii="Calibri" w:hAnsi="宋体"/>
          <w:b/>
          <w:bCs/>
          <w:color w:val="auto"/>
          <w:kern w:val="0"/>
          <w:szCs w:val="22"/>
          <w:highlight w:val="none"/>
        </w:rPr>
        <w:t>0201</w:t>
      </w:r>
      <w:r>
        <w:rPr>
          <w:rFonts w:hint="eastAsia" w:ascii="Calibri" w:hAnsi="宋体" w:cs="宋体"/>
          <w:b/>
          <w:bCs/>
          <w:color w:val="auto"/>
          <w:kern w:val="0"/>
          <w:szCs w:val="22"/>
          <w:highlight w:val="none"/>
        </w:rPr>
        <w:t>）。</w:t>
      </w:r>
    </w:p>
    <w:p w14:paraId="32DE0FC5">
      <w:pPr>
        <w:rPr>
          <w:rFonts w:ascii="Calibri" w:hAnsi="Calibri"/>
          <w:color w:val="auto"/>
          <w:szCs w:val="22"/>
          <w:highlight w:val="none"/>
        </w:rPr>
      </w:pPr>
    </w:p>
    <w:p w14:paraId="298E1F9C">
      <w:pPr>
        <w:spacing w:line="360" w:lineRule="auto"/>
        <w:jc w:val="center"/>
        <w:outlineLvl w:val="0"/>
        <w:rPr>
          <w:rFonts w:ascii="宋体" w:hAnsi="宋体" w:eastAsia="黑体"/>
          <w:b/>
          <w:bCs/>
          <w:color w:val="auto"/>
          <w:kern w:val="44"/>
          <w:sz w:val="30"/>
          <w:szCs w:val="30"/>
          <w:highlight w:val="none"/>
          <w:lang w:val="zh-CN"/>
        </w:rPr>
      </w:pPr>
      <w:bookmarkStart w:id="72" w:name="_Toc256000081"/>
      <w:bookmarkStart w:id="73" w:name="_Toc461179232"/>
      <w:bookmarkStart w:id="74" w:name="_Toc454211102"/>
      <w:bookmarkStart w:id="75" w:name="_Toc411345171"/>
      <w:bookmarkStart w:id="76" w:name="_Toc12955993"/>
      <w:bookmarkStart w:id="77" w:name="_Toc256000082"/>
      <w:bookmarkStart w:id="78" w:name="_Toc534962161"/>
      <w:bookmarkStart w:id="79" w:name="_Toc389065257"/>
      <w:bookmarkStart w:id="80" w:name="_Toc453940964"/>
      <w:bookmarkStart w:id="81" w:name="_Toc466537225"/>
    </w:p>
    <w:p w14:paraId="59FC47DC">
      <w:pPr>
        <w:spacing w:line="360" w:lineRule="auto"/>
        <w:jc w:val="center"/>
        <w:outlineLvl w:val="0"/>
        <w:rPr>
          <w:rFonts w:ascii="宋体" w:hAnsi="宋体" w:eastAsia="黑体"/>
          <w:b/>
          <w:bCs/>
          <w:color w:val="auto"/>
          <w:kern w:val="44"/>
          <w:sz w:val="30"/>
          <w:szCs w:val="30"/>
          <w:highlight w:val="none"/>
          <w:lang w:val="zh-CN"/>
        </w:rPr>
      </w:pPr>
    </w:p>
    <w:p w14:paraId="7486E559">
      <w:pPr>
        <w:spacing w:line="360" w:lineRule="auto"/>
        <w:jc w:val="center"/>
        <w:outlineLvl w:val="0"/>
        <w:rPr>
          <w:rFonts w:ascii="宋体" w:hAnsi="宋体" w:eastAsia="黑体"/>
          <w:b/>
          <w:bCs/>
          <w:color w:val="auto"/>
          <w:kern w:val="44"/>
          <w:sz w:val="30"/>
          <w:szCs w:val="30"/>
          <w:highlight w:val="none"/>
          <w:lang w:val="zh-CN"/>
        </w:rPr>
      </w:pPr>
    </w:p>
    <w:p w14:paraId="3EB825E5">
      <w:pPr>
        <w:spacing w:line="360" w:lineRule="auto"/>
        <w:jc w:val="center"/>
        <w:outlineLvl w:val="0"/>
        <w:rPr>
          <w:rFonts w:ascii="宋体" w:hAnsi="宋体" w:eastAsia="黑体"/>
          <w:b/>
          <w:bCs/>
          <w:color w:val="auto"/>
          <w:kern w:val="44"/>
          <w:sz w:val="30"/>
          <w:szCs w:val="30"/>
          <w:highlight w:val="none"/>
          <w:lang w:val="zh-CN"/>
        </w:rPr>
      </w:pPr>
    </w:p>
    <w:p w14:paraId="2EF0BF4F">
      <w:pPr>
        <w:spacing w:line="360" w:lineRule="auto"/>
        <w:jc w:val="center"/>
        <w:outlineLvl w:val="0"/>
        <w:rPr>
          <w:rFonts w:ascii="宋体" w:hAnsi="宋体" w:eastAsia="黑体"/>
          <w:b/>
          <w:bCs/>
          <w:color w:val="auto"/>
          <w:kern w:val="44"/>
          <w:sz w:val="30"/>
          <w:szCs w:val="30"/>
          <w:highlight w:val="none"/>
          <w:lang w:val="zh-CN"/>
        </w:rPr>
      </w:pPr>
    </w:p>
    <w:p w14:paraId="2E134F36">
      <w:pPr>
        <w:spacing w:line="360" w:lineRule="auto"/>
        <w:jc w:val="center"/>
        <w:outlineLvl w:val="0"/>
        <w:rPr>
          <w:rFonts w:ascii="宋体" w:hAnsi="宋体" w:eastAsia="黑体"/>
          <w:b/>
          <w:bCs/>
          <w:color w:val="auto"/>
          <w:kern w:val="44"/>
          <w:sz w:val="30"/>
          <w:szCs w:val="30"/>
          <w:highlight w:val="none"/>
          <w:lang w:val="zh-CN"/>
        </w:rPr>
      </w:pPr>
    </w:p>
    <w:p w14:paraId="60308367">
      <w:pPr>
        <w:spacing w:line="360" w:lineRule="auto"/>
        <w:jc w:val="center"/>
        <w:outlineLvl w:val="0"/>
        <w:rPr>
          <w:rFonts w:ascii="宋体" w:hAnsi="宋体" w:eastAsia="黑体"/>
          <w:b/>
          <w:bCs/>
          <w:color w:val="auto"/>
          <w:kern w:val="44"/>
          <w:sz w:val="30"/>
          <w:szCs w:val="30"/>
          <w:highlight w:val="none"/>
          <w:lang w:val="zh-CN"/>
        </w:rPr>
      </w:pPr>
    </w:p>
    <w:p w14:paraId="40A1598C">
      <w:pPr>
        <w:spacing w:line="360" w:lineRule="auto"/>
        <w:jc w:val="center"/>
        <w:outlineLvl w:val="0"/>
        <w:rPr>
          <w:rFonts w:ascii="宋体" w:hAnsi="宋体" w:eastAsia="黑体"/>
          <w:b/>
          <w:bCs/>
          <w:color w:val="auto"/>
          <w:kern w:val="44"/>
          <w:sz w:val="30"/>
          <w:szCs w:val="30"/>
          <w:highlight w:val="none"/>
          <w:lang w:val="zh-CN"/>
        </w:rPr>
      </w:pPr>
    </w:p>
    <w:p w14:paraId="6F59985C">
      <w:pPr>
        <w:spacing w:line="360" w:lineRule="auto"/>
        <w:jc w:val="center"/>
        <w:outlineLvl w:val="0"/>
        <w:rPr>
          <w:rFonts w:ascii="宋体" w:hAnsi="宋体" w:eastAsia="黑体"/>
          <w:b/>
          <w:bCs/>
          <w:color w:val="auto"/>
          <w:kern w:val="44"/>
          <w:sz w:val="30"/>
          <w:szCs w:val="30"/>
          <w:highlight w:val="none"/>
          <w:lang w:val="zh-CN"/>
        </w:rPr>
      </w:pPr>
    </w:p>
    <w:p w14:paraId="5EB8F6CD">
      <w:pPr>
        <w:spacing w:line="360" w:lineRule="auto"/>
        <w:jc w:val="center"/>
        <w:outlineLvl w:val="0"/>
        <w:rPr>
          <w:rFonts w:ascii="宋体" w:hAnsi="宋体" w:eastAsia="黑体"/>
          <w:b/>
          <w:bCs/>
          <w:color w:val="auto"/>
          <w:kern w:val="44"/>
          <w:sz w:val="30"/>
          <w:szCs w:val="30"/>
          <w:highlight w:val="none"/>
          <w:lang w:val="zh-CN"/>
        </w:rPr>
      </w:pPr>
    </w:p>
    <w:p w14:paraId="6BBE9F18">
      <w:pPr>
        <w:spacing w:line="360" w:lineRule="auto"/>
        <w:jc w:val="center"/>
        <w:outlineLvl w:val="0"/>
        <w:rPr>
          <w:rFonts w:ascii="宋体" w:hAnsi="宋体" w:eastAsia="黑体"/>
          <w:b/>
          <w:bCs/>
          <w:color w:val="auto"/>
          <w:kern w:val="44"/>
          <w:sz w:val="30"/>
          <w:szCs w:val="30"/>
          <w:highlight w:val="none"/>
          <w:lang w:val="zh-CN"/>
        </w:rPr>
      </w:pPr>
    </w:p>
    <w:p w14:paraId="054D76EE">
      <w:pPr>
        <w:spacing w:line="360" w:lineRule="auto"/>
        <w:jc w:val="center"/>
        <w:outlineLvl w:val="0"/>
        <w:rPr>
          <w:rFonts w:ascii="宋体" w:hAnsi="宋体" w:eastAsia="黑体"/>
          <w:b/>
          <w:bCs/>
          <w:color w:val="auto"/>
          <w:kern w:val="44"/>
          <w:sz w:val="30"/>
          <w:szCs w:val="30"/>
          <w:highlight w:val="none"/>
          <w:lang w:val="zh-CN"/>
        </w:rPr>
      </w:pPr>
    </w:p>
    <w:p w14:paraId="47141A3B">
      <w:pPr>
        <w:spacing w:line="360" w:lineRule="auto"/>
        <w:jc w:val="center"/>
        <w:outlineLvl w:val="0"/>
        <w:rPr>
          <w:rFonts w:ascii="宋体" w:hAnsi="宋体" w:eastAsia="黑体"/>
          <w:b/>
          <w:bCs/>
          <w:color w:val="auto"/>
          <w:kern w:val="44"/>
          <w:sz w:val="30"/>
          <w:szCs w:val="30"/>
          <w:highlight w:val="none"/>
          <w:lang w:val="zh-CN"/>
        </w:rPr>
      </w:pPr>
    </w:p>
    <w:p w14:paraId="7B33DCA5">
      <w:pPr>
        <w:spacing w:line="360" w:lineRule="auto"/>
        <w:jc w:val="center"/>
        <w:outlineLvl w:val="0"/>
        <w:rPr>
          <w:rFonts w:ascii="宋体" w:hAnsi="宋体" w:eastAsia="黑体"/>
          <w:b/>
          <w:bCs/>
          <w:color w:val="auto"/>
          <w:kern w:val="44"/>
          <w:sz w:val="30"/>
          <w:szCs w:val="30"/>
          <w:highlight w:val="none"/>
          <w:lang w:val="zh-CN"/>
        </w:rPr>
      </w:pPr>
    </w:p>
    <w:p w14:paraId="548C14BC">
      <w:pPr>
        <w:spacing w:line="360" w:lineRule="auto"/>
        <w:jc w:val="center"/>
        <w:outlineLvl w:val="0"/>
        <w:rPr>
          <w:rFonts w:ascii="宋体" w:hAnsi="宋体" w:eastAsia="黑体"/>
          <w:b/>
          <w:bCs/>
          <w:color w:val="auto"/>
          <w:kern w:val="44"/>
          <w:sz w:val="30"/>
          <w:szCs w:val="30"/>
          <w:highlight w:val="none"/>
          <w:lang w:val="zh-CN"/>
        </w:rPr>
      </w:pPr>
    </w:p>
    <w:p w14:paraId="41CFF803">
      <w:pPr>
        <w:spacing w:line="360" w:lineRule="auto"/>
        <w:jc w:val="center"/>
        <w:outlineLvl w:val="0"/>
        <w:rPr>
          <w:rFonts w:ascii="宋体" w:hAnsi="宋体" w:eastAsia="黑体"/>
          <w:b/>
          <w:bCs/>
          <w:color w:val="auto"/>
          <w:kern w:val="44"/>
          <w:sz w:val="30"/>
          <w:szCs w:val="30"/>
          <w:highlight w:val="none"/>
          <w:lang w:val="zh-CN"/>
        </w:rPr>
      </w:pPr>
    </w:p>
    <w:p w14:paraId="024E6CDE">
      <w:pPr>
        <w:spacing w:line="360" w:lineRule="auto"/>
        <w:jc w:val="center"/>
        <w:outlineLvl w:val="0"/>
        <w:rPr>
          <w:rFonts w:ascii="宋体" w:hAnsi="宋体" w:eastAsia="黑体"/>
          <w:b/>
          <w:bCs/>
          <w:color w:val="auto"/>
          <w:kern w:val="44"/>
          <w:sz w:val="30"/>
          <w:szCs w:val="30"/>
          <w:highlight w:val="none"/>
          <w:lang w:val="zh-CN"/>
        </w:rPr>
      </w:pPr>
    </w:p>
    <w:p w14:paraId="4AF55712">
      <w:pPr>
        <w:spacing w:line="360" w:lineRule="auto"/>
        <w:jc w:val="center"/>
        <w:outlineLvl w:val="0"/>
        <w:rPr>
          <w:rFonts w:ascii="宋体" w:hAnsi="宋体" w:eastAsia="黑体"/>
          <w:b/>
          <w:bCs/>
          <w:color w:val="auto"/>
          <w:kern w:val="44"/>
          <w:sz w:val="30"/>
          <w:szCs w:val="30"/>
          <w:highlight w:val="none"/>
          <w:lang w:val="zh-CN"/>
        </w:rPr>
      </w:pPr>
    </w:p>
    <w:p w14:paraId="6C614A79">
      <w:pPr>
        <w:spacing w:line="360" w:lineRule="auto"/>
        <w:jc w:val="center"/>
        <w:outlineLvl w:val="0"/>
        <w:rPr>
          <w:rFonts w:ascii="宋体" w:hAnsi="宋体" w:eastAsia="黑体"/>
          <w:b/>
          <w:bCs/>
          <w:color w:val="auto"/>
          <w:kern w:val="44"/>
          <w:sz w:val="30"/>
          <w:szCs w:val="30"/>
          <w:highlight w:val="none"/>
          <w:lang w:val="zh-CN"/>
        </w:rPr>
      </w:pPr>
    </w:p>
    <w:p w14:paraId="4EDF9FAC">
      <w:pPr>
        <w:spacing w:line="360" w:lineRule="auto"/>
        <w:jc w:val="center"/>
        <w:outlineLvl w:val="0"/>
        <w:rPr>
          <w:rFonts w:ascii="宋体" w:hAnsi="宋体" w:eastAsia="黑体"/>
          <w:b/>
          <w:bCs/>
          <w:color w:val="auto"/>
          <w:kern w:val="44"/>
          <w:sz w:val="30"/>
          <w:szCs w:val="30"/>
          <w:highlight w:val="none"/>
          <w:lang w:val="zh-CN"/>
        </w:rPr>
      </w:pPr>
    </w:p>
    <w:p w14:paraId="2A758D5C">
      <w:pPr>
        <w:spacing w:line="360" w:lineRule="auto"/>
        <w:jc w:val="center"/>
        <w:outlineLvl w:val="0"/>
        <w:rPr>
          <w:rFonts w:ascii="宋体" w:hAnsi="宋体" w:eastAsia="黑体"/>
          <w:b/>
          <w:bCs/>
          <w:color w:val="auto"/>
          <w:kern w:val="44"/>
          <w:sz w:val="30"/>
          <w:szCs w:val="30"/>
          <w:highlight w:val="none"/>
          <w:lang w:val="zh-CN"/>
        </w:rPr>
      </w:pPr>
    </w:p>
    <w:p w14:paraId="13E69142">
      <w:pPr>
        <w:spacing w:line="360" w:lineRule="auto"/>
        <w:jc w:val="center"/>
        <w:outlineLvl w:val="0"/>
        <w:rPr>
          <w:rFonts w:ascii="宋体" w:hAnsi="宋体" w:eastAsia="黑体"/>
          <w:b/>
          <w:bCs/>
          <w:color w:val="auto"/>
          <w:kern w:val="44"/>
          <w:sz w:val="30"/>
          <w:szCs w:val="30"/>
          <w:highlight w:val="none"/>
          <w:lang w:val="zh-CN"/>
        </w:rPr>
      </w:pPr>
      <w:r>
        <w:rPr>
          <w:rFonts w:ascii="宋体" w:hAnsi="宋体" w:eastAsia="黑体"/>
          <w:b/>
          <w:bCs/>
          <w:color w:val="auto"/>
          <w:kern w:val="44"/>
          <w:sz w:val="30"/>
          <w:szCs w:val="30"/>
          <w:highlight w:val="none"/>
          <w:lang w:val="zh-CN"/>
        </w:rPr>
        <w:t>第</w:t>
      </w:r>
      <w:r>
        <w:rPr>
          <w:rFonts w:hint="eastAsia" w:ascii="宋体" w:hAnsi="宋体" w:eastAsia="黑体"/>
          <w:b/>
          <w:bCs/>
          <w:color w:val="auto"/>
          <w:kern w:val="44"/>
          <w:sz w:val="30"/>
          <w:szCs w:val="30"/>
          <w:highlight w:val="none"/>
          <w:lang w:val="zh-CN"/>
        </w:rPr>
        <w:t>三</w:t>
      </w:r>
      <w:r>
        <w:rPr>
          <w:rFonts w:ascii="宋体" w:hAnsi="宋体" w:eastAsia="黑体"/>
          <w:b/>
          <w:bCs/>
          <w:color w:val="auto"/>
          <w:kern w:val="44"/>
          <w:sz w:val="30"/>
          <w:szCs w:val="30"/>
          <w:highlight w:val="none"/>
          <w:lang w:val="zh-CN"/>
        </w:rPr>
        <w:t>部分 专用合同条款</w:t>
      </w:r>
      <w:bookmarkEnd w:id="72"/>
      <w:bookmarkEnd w:id="73"/>
      <w:bookmarkEnd w:id="74"/>
      <w:bookmarkEnd w:id="75"/>
      <w:bookmarkEnd w:id="76"/>
      <w:bookmarkEnd w:id="77"/>
      <w:bookmarkEnd w:id="78"/>
      <w:bookmarkEnd w:id="79"/>
      <w:bookmarkEnd w:id="80"/>
      <w:bookmarkEnd w:id="81"/>
    </w:p>
    <w:p w14:paraId="3BC63C72">
      <w:pPr>
        <w:spacing w:line="360" w:lineRule="auto"/>
        <w:jc w:val="center"/>
        <w:rPr>
          <w:rFonts w:ascii="Calibri" w:hAnsi="宋体"/>
          <w:b/>
          <w:color w:val="auto"/>
          <w:kern w:val="0"/>
          <w:szCs w:val="21"/>
          <w:highlight w:val="none"/>
        </w:rPr>
      </w:pPr>
      <w:r>
        <w:rPr>
          <w:rFonts w:hint="eastAsia" w:ascii="Calibri" w:hAnsi="宋体"/>
          <w:b/>
          <w:color w:val="auto"/>
          <w:kern w:val="0"/>
          <w:szCs w:val="21"/>
          <w:highlight w:val="none"/>
        </w:rPr>
        <w:t>（注：专用合同条款每一条均应填写完整！）</w:t>
      </w:r>
    </w:p>
    <w:p w14:paraId="40C37F72">
      <w:pPr>
        <w:keepNext/>
        <w:keepLines/>
        <w:spacing w:before="260" w:after="260" w:line="416" w:lineRule="auto"/>
        <w:outlineLvl w:val="1"/>
        <w:rPr>
          <w:rFonts w:ascii="宋体" w:hAnsi="宋体"/>
          <w:b/>
          <w:bCs/>
          <w:color w:val="auto"/>
          <w:sz w:val="32"/>
          <w:szCs w:val="32"/>
          <w:highlight w:val="none"/>
        </w:rPr>
      </w:pPr>
      <w:bookmarkStart w:id="82" w:name="_Toc530144460"/>
      <w:bookmarkStart w:id="83" w:name="_Toc351203633"/>
      <w:bookmarkStart w:id="84" w:name="_Toc411345172"/>
      <w:bookmarkStart w:id="85" w:name="_Toc453940965"/>
      <w:bookmarkStart w:id="86" w:name="_Toc454211103"/>
      <w:bookmarkStart w:id="87" w:name="_Toc373478339"/>
      <w:bookmarkStart w:id="88" w:name="_Toc373227692"/>
      <w:bookmarkStart w:id="89" w:name="_Toc470247793"/>
      <w:bookmarkStart w:id="90" w:name="_Toc461179233"/>
      <w:bookmarkStart w:id="91" w:name="_Toc472931599"/>
      <w:bookmarkStart w:id="92" w:name="_Toc531186595"/>
      <w:bookmarkStart w:id="93" w:name="_Toc529547318"/>
      <w:bookmarkStart w:id="94" w:name="_Toc389065258"/>
      <w:bookmarkStart w:id="95" w:name="_Toc529526966"/>
      <w:r>
        <w:rPr>
          <w:rFonts w:ascii="宋体" w:hAnsi="宋体"/>
          <w:b/>
          <w:bCs/>
          <w:color w:val="auto"/>
          <w:sz w:val="32"/>
          <w:szCs w:val="32"/>
          <w:highlight w:val="none"/>
        </w:rPr>
        <w:t>1</w:t>
      </w:r>
      <w:bookmarkStart w:id="96" w:name="_Toc296503156"/>
      <w:bookmarkStart w:id="97" w:name="_Toc296347155"/>
      <w:bookmarkStart w:id="98" w:name="_Toc292559361"/>
      <w:bookmarkStart w:id="99" w:name="_Toc296944495"/>
      <w:bookmarkStart w:id="100" w:name="_Toc296346657"/>
      <w:bookmarkStart w:id="101" w:name="_Toc292559866"/>
      <w:bookmarkStart w:id="102" w:name="_Toc297120456"/>
      <w:bookmarkStart w:id="103" w:name="_Toc297048342"/>
      <w:bookmarkStart w:id="104" w:name="_Toc296890984"/>
      <w:bookmarkStart w:id="105" w:name="_Toc296891196"/>
      <w:r>
        <w:rPr>
          <w:rFonts w:ascii="宋体" w:hAnsi="宋体"/>
          <w:b/>
          <w:bCs/>
          <w:color w:val="auto"/>
          <w:sz w:val="32"/>
          <w:szCs w:val="32"/>
          <w:highlight w:val="none"/>
        </w:rPr>
        <w:t>. 一般约定</w:t>
      </w:r>
      <w:bookmarkEnd w:id="82"/>
      <w:bookmarkEnd w:id="83"/>
      <w:bookmarkEnd w:id="84"/>
      <w:bookmarkEnd w:id="85"/>
      <w:bookmarkEnd w:id="86"/>
      <w:bookmarkEnd w:id="87"/>
      <w:bookmarkEnd w:id="88"/>
      <w:bookmarkEnd w:id="89"/>
      <w:bookmarkEnd w:id="90"/>
      <w:bookmarkEnd w:id="91"/>
      <w:bookmarkEnd w:id="92"/>
      <w:bookmarkEnd w:id="93"/>
      <w:bookmarkEnd w:id="94"/>
      <w:bookmarkEnd w:id="95"/>
    </w:p>
    <w:bookmarkEnd w:id="96"/>
    <w:bookmarkEnd w:id="97"/>
    <w:bookmarkEnd w:id="98"/>
    <w:bookmarkEnd w:id="99"/>
    <w:bookmarkEnd w:id="100"/>
    <w:bookmarkEnd w:id="101"/>
    <w:bookmarkEnd w:id="102"/>
    <w:bookmarkEnd w:id="103"/>
    <w:bookmarkEnd w:id="104"/>
    <w:bookmarkEnd w:id="105"/>
    <w:p w14:paraId="4136EB17">
      <w:pPr>
        <w:keepNext/>
        <w:keepLines/>
        <w:spacing w:before="260" w:after="260" w:line="416" w:lineRule="auto"/>
        <w:outlineLvl w:val="2"/>
        <w:rPr>
          <w:rFonts w:ascii="宋体" w:hAnsi="宋体"/>
          <w:b/>
          <w:bCs/>
          <w:color w:val="auto"/>
          <w:sz w:val="32"/>
          <w:szCs w:val="32"/>
          <w:highlight w:val="none"/>
        </w:rPr>
      </w:pPr>
      <w:bookmarkStart w:id="106" w:name="_Toc389065259"/>
      <w:bookmarkStart w:id="107" w:name="_Toc472931600"/>
      <w:bookmarkStart w:id="108" w:name="_Toc530144461"/>
      <w:bookmarkStart w:id="109" w:name="_Toc529547319"/>
      <w:bookmarkStart w:id="110" w:name="_Toc529526967"/>
      <w:bookmarkStart w:id="111" w:name="_Toc461179234"/>
      <w:bookmarkStart w:id="112" w:name="_Toc453940966"/>
      <w:bookmarkStart w:id="113" w:name="_Toc373478340"/>
      <w:bookmarkStart w:id="114" w:name="_Toc411345173"/>
      <w:bookmarkStart w:id="115" w:name="_Toc454211104"/>
      <w:bookmarkStart w:id="116" w:name="_Toc470247794"/>
      <w:bookmarkStart w:id="117" w:name="_Toc531186596"/>
      <w:bookmarkStart w:id="118" w:name="_Toc373227693"/>
      <w:r>
        <w:rPr>
          <w:rFonts w:ascii="宋体" w:hAnsi="宋体"/>
          <w:b/>
          <w:bCs/>
          <w:color w:val="auto"/>
          <w:sz w:val="32"/>
          <w:szCs w:val="32"/>
          <w:highlight w:val="none"/>
        </w:rPr>
        <w:t>1.1 词语定义</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6807F79E">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1.1.1合同</w:t>
      </w:r>
    </w:p>
    <w:p w14:paraId="19241246">
      <w:pPr>
        <w:spacing w:line="360" w:lineRule="auto"/>
        <w:rPr>
          <w:rFonts w:ascii="宋体" w:hAnsi="宋体"/>
          <w:color w:val="auto"/>
          <w:kern w:val="0"/>
          <w:szCs w:val="21"/>
          <w:highlight w:val="none"/>
          <w:u w:val="single"/>
        </w:rPr>
      </w:pPr>
      <w:r>
        <w:rPr>
          <w:rFonts w:ascii="宋体" w:hAnsi="宋体"/>
          <w:color w:val="auto"/>
          <w:kern w:val="0"/>
          <w:szCs w:val="21"/>
          <w:highlight w:val="none"/>
        </w:rPr>
        <w:t>1.1.1.10其他合同文件包括：</w:t>
      </w:r>
      <w:r>
        <w:rPr>
          <w:rFonts w:hint="eastAsia" w:ascii="宋体" w:hAnsi="宋体"/>
          <w:color w:val="auto"/>
          <w:kern w:val="0"/>
          <w:szCs w:val="21"/>
          <w:highlight w:val="none"/>
          <w:u w:val="single"/>
        </w:rPr>
        <w:t>投标文件及其附件，招标文件（含补充通知和答疑），农民工工资保证金缴纳证明；履行合同过程中双方法定代表人书面确认的对合同内容有实质性影响的补充协议、签证、设计变更等资料。</w:t>
      </w:r>
    </w:p>
    <w:p w14:paraId="309F0FF8">
      <w:pPr>
        <w:spacing w:line="360" w:lineRule="auto"/>
        <w:ind w:firstLine="420" w:firstLineChars="200"/>
        <w:rPr>
          <w:rFonts w:ascii="宋体" w:hAnsi="宋体"/>
          <w:color w:val="auto"/>
          <w:szCs w:val="21"/>
          <w:highlight w:val="none"/>
        </w:rPr>
      </w:pPr>
      <w:r>
        <w:rPr>
          <w:rFonts w:ascii="宋体" w:hAnsi="宋体"/>
          <w:color w:val="auto"/>
          <w:szCs w:val="21"/>
          <w:highlight w:val="none"/>
        </w:rPr>
        <w:t>1.1.2 合同当事人及其他相关方</w:t>
      </w:r>
    </w:p>
    <w:p w14:paraId="01388402">
      <w:pPr>
        <w:spacing w:line="360" w:lineRule="auto"/>
        <w:ind w:firstLine="420" w:firstLineChars="200"/>
        <w:rPr>
          <w:rFonts w:ascii="宋体" w:hAnsi="宋体"/>
          <w:color w:val="auto"/>
          <w:szCs w:val="21"/>
          <w:highlight w:val="none"/>
        </w:rPr>
      </w:pPr>
      <w:r>
        <w:rPr>
          <w:rFonts w:ascii="宋体" w:hAnsi="宋体"/>
          <w:color w:val="auto"/>
          <w:szCs w:val="21"/>
          <w:highlight w:val="none"/>
        </w:rPr>
        <w:t>1.1.2.4监理人：</w:t>
      </w:r>
    </w:p>
    <w:p w14:paraId="10D738DF">
      <w:pPr>
        <w:spacing w:line="360" w:lineRule="auto"/>
        <w:ind w:firstLine="420" w:firstLineChars="200"/>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xml:space="preserve">             </w:t>
      </w:r>
      <w:r>
        <w:rPr>
          <w:rFonts w:ascii="宋体" w:hAnsi="宋体"/>
          <w:color w:val="auto"/>
          <w:szCs w:val="21"/>
          <w:highlight w:val="none"/>
        </w:rPr>
        <w:t>；</w:t>
      </w:r>
    </w:p>
    <w:p w14:paraId="5F6E64DB">
      <w:pPr>
        <w:spacing w:line="360" w:lineRule="auto"/>
        <w:ind w:firstLine="420" w:firstLineChars="200"/>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               </w:t>
      </w:r>
      <w:r>
        <w:rPr>
          <w:rFonts w:ascii="宋体" w:hAnsi="宋体"/>
          <w:color w:val="auto"/>
          <w:szCs w:val="21"/>
          <w:highlight w:val="none"/>
        </w:rPr>
        <w:t>；</w:t>
      </w:r>
    </w:p>
    <w:p w14:paraId="041BD461">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52A53635">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w:t>
      </w:r>
      <w:r>
        <w:rPr>
          <w:rFonts w:ascii="宋体" w:hAnsi="宋体"/>
          <w:color w:val="auto"/>
          <w:szCs w:val="21"/>
          <w:highlight w:val="none"/>
        </w:rPr>
        <w:t>；</w:t>
      </w:r>
    </w:p>
    <w:p w14:paraId="78CA0526">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007795C6">
      <w:pPr>
        <w:spacing w:line="360" w:lineRule="auto"/>
        <w:ind w:firstLine="420" w:firstLineChars="200"/>
        <w:rPr>
          <w:rFonts w:ascii="宋体" w:hAnsi="宋体"/>
          <w:color w:val="auto"/>
          <w:szCs w:val="21"/>
          <w:highlight w:val="none"/>
        </w:rPr>
      </w:pPr>
      <w:r>
        <w:rPr>
          <w:rFonts w:ascii="宋体" w:hAnsi="宋体"/>
          <w:color w:val="auto"/>
          <w:szCs w:val="21"/>
          <w:highlight w:val="none"/>
        </w:rPr>
        <w:t>1.1.2.5 设计人：</w:t>
      </w:r>
    </w:p>
    <w:p w14:paraId="75E1D501">
      <w:pPr>
        <w:spacing w:line="360" w:lineRule="auto"/>
        <w:ind w:firstLine="420" w:firstLineChars="200"/>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ascii="宋体" w:hAnsi="宋体"/>
          <w:color w:val="auto"/>
          <w:szCs w:val="21"/>
          <w:highlight w:val="none"/>
        </w:rPr>
        <w:t>；</w:t>
      </w:r>
    </w:p>
    <w:p w14:paraId="0DA51C94">
      <w:pPr>
        <w:spacing w:line="360" w:lineRule="auto"/>
        <w:ind w:firstLine="420" w:firstLineChars="200"/>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ascii="宋体" w:hAnsi="宋体"/>
          <w:color w:val="auto"/>
          <w:szCs w:val="21"/>
          <w:highlight w:val="none"/>
        </w:rPr>
        <w:t>；</w:t>
      </w:r>
    </w:p>
    <w:p w14:paraId="4250710D">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w:t>
      </w:r>
      <w:r>
        <w:rPr>
          <w:rFonts w:ascii="宋体" w:hAnsi="宋体"/>
          <w:color w:val="auto"/>
          <w:szCs w:val="21"/>
          <w:highlight w:val="none"/>
        </w:rPr>
        <w:t>；</w:t>
      </w:r>
    </w:p>
    <w:p w14:paraId="4FBF94A2">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                </w:t>
      </w:r>
      <w:r>
        <w:rPr>
          <w:rFonts w:ascii="宋体" w:hAnsi="宋体"/>
          <w:color w:val="auto"/>
          <w:szCs w:val="21"/>
          <w:highlight w:val="none"/>
        </w:rPr>
        <w:t>；</w:t>
      </w:r>
    </w:p>
    <w:p w14:paraId="2EBA15DD">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ascii="宋体" w:hAnsi="宋体"/>
          <w:color w:val="auto"/>
          <w:szCs w:val="21"/>
          <w:highlight w:val="none"/>
        </w:rPr>
        <w:t>。</w:t>
      </w:r>
    </w:p>
    <w:p w14:paraId="30C54B7F">
      <w:pPr>
        <w:spacing w:line="360" w:lineRule="auto"/>
        <w:ind w:firstLine="420" w:firstLineChars="200"/>
        <w:rPr>
          <w:rFonts w:ascii="宋体" w:hAnsi="宋体"/>
          <w:color w:val="auto"/>
          <w:szCs w:val="21"/>
          <w:highlight w:val="none"/>
        </w:rPr>
      </w:pPr>
      <w:r>
        <w:rPr>
          <w:rFonts w:ascii="宋体" w:hAnsi="宋体"/>
          <w:color w:val="auto"/>
          <w:szCs w:val="21"/>
          <w:highlight w:val="none"/>
        </w:rPr>
        <w:t>1.1.3 工程和设备</w:t>
      </w:r>
    </w:p>
    <w:p w14:paraId="1BBC033F">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工人宿舍、施工单位项目部、监理单位项目部、材料仓库及其他临时设施（详见施工平面图）。</w:t>
      </w:r>
    </w:p>
    <w:p w14:paraId="465795BD">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1.1.3.9 永久占地包括：</w:t>
      </w:r>
      <w:r>
        <w:rPr>
          <w:rFonts w:hint="eastAsia" w:ascii="宋体" w:hAnsi="宋体"/>
          <w:color w:val="auto"/>
          <w:szCs w:val="21"/>
          <w:highlight w:val="none"/>
          <w:u w:val="single"/>
        </w:rPr>
        <w:t>依据设计图纸确定</w:t>
      </w:r>
      <w:r>
        <w:rPr>
          <w:rFonts w:ascii="宋体" w:hAnsi="宋体"/>
          <w:color w:val="auto"/>
          <w:kern w:val="0"/>
          <w:szCs w:val="21"/>
          <w:highlight w:val="none"/>
        </w:rPr>
        <w:t>。</w:t>
      </w:r>
    </w:p>
    <w:p w14:paraId="49FC47ED">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1.1.3.10 临时占地包括：</w:t>
      </w:r>
      <w:r>
        <w:rPr>
          <w:rFonts w:hint="eastAsia" w:ascii="宋体" w:hAnsi="宋体"/>
          <w:color w:val="auto"/>
          <w:kern w:val="0"/>
          <w:szCs w:val="21"/>
          <w:highlight w:val="none"/>
          <w:u w:val="single"/>
        </w:rPr>
        <w:t>发包人临时征用的取土和弃土场地，</w:t>
      </w:r>
      <w:r>
        <w:rPr>
          <w:rFonts w:hint="eastAsia" w:ascii="宋体" w:hAnsi="宋体"/>
          <w:color w:val="auto"/>
          <w:szCs w:val="21"/>
          <w:highlight w:val="none"/>
          <w:u w:val="single"/>
        </w:rPr>
        <w:t>以及承包人自行承担且为本工程服务的工人宿舍、施工单位项目部、监理单位项目部、材料仓库，其他为本工程服务的临时设施。</w:t>
      </w:r>
    </w:p>
    <w:p w14:paraId="40399D3E">
      <w:pPr>
        <w:keepNext/>
        <w:keepLines/>
        <w:spacing w:before="260" w:after="260" w:line="416" w:lineRule="auto"/>
        <w:outlineLvl w:val="2"/>
        <w:rPr>
          <w:rFonts w:ascii="宋体" w:hAnsi="宋体"/>
          <w:b/>
          <w:bCs/>
          <w:color w:val="auto"/>
          <w:sz w:val="32"/>
          <w:szCs w:val="32"/>
          <w:highlight w:val="none"/>
        </w:rPr>
      </w:pPr>
      <w:bookmarkStart w:id="119" w:name="_Toc454211105"/>
      <w:bookmarkStart w:id="120" w:name="_Toc373227694"/>
      <w:bookmarkStart w:id="121" w:name="_Toc373478341"/>
      <w:bookmarkStart w:id="122" w:name="_Toc529526968"/>
      <w:bookmarkStart w:id="123" w:name="_Toc530144462"/>
      <w:bookmarkStart w:id="124" w:name="_Toc389065260"/>
      <w:bookmarkStart w:id="125" w:name="_Toc411345174"/>
      <w:bookmarkStart w:id="126" w:name="_Toc472931601"/>
      <w:bookmarkStart w:id="127" w:name="_Toc531186597"/>
      <w:bookmarkStart w:id="128" w:name="_Toc470247795"/>
      <w:bookmarkStart w:id="129" w:name="_Toc453940967"/>
      <w:bookmarkStart w:id="130" w:name="_Toc529547320"/>
      <w:bookmarkStart w:id="131" w:name="_Toc461179235"/>
      <w:r>
        <w:rPr>
          <w:rFonts w:ascii="宋体" w:hAnsi="宋体"/>
          <w:b/>
          <w:bCs/>
          <w:color w:val="auto"/>
          <w:sz w:val="32"/>
          <w:szCs w:val="32"/>
          <w:highlight w:val="none"/>
        </w:rPr>
        <w:t>1.3法律</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07F4C887">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适用于合同的其他规范性文件：</w:t>
      </w:r>
      <w:r>
        <w:rPr>
          <w:rFonts w:hint="eastAsia" w:ascii="宋体" w:hAnsi="宋体"/>
          <w:color w:val="auto"/>
          <w:szCs w:val="21"/>
          <w:highlight w:val="none"/>
          <w:u w:val="single"/>
        </w:rPr>
        <w:t>工程所在地的政府及相关主管部门制定的规范性文件。</w:t>
      </w:r>
    </w:p>
    <w:p w14:paraId="5B0EC0A7">
      <w:pPr>
        <w:keepNext/>
        <w:keepLines/>
        <w:spacing w:before="260" w:after="260" w:line="416" w:lineRule="auto"/>
        <w:outlineLvl w:val="2"/>
        <w:rPr>
          <w:rFonts w:ascii="宋体" w:hAnsi="宋体"/>
          <w:b/>
          <w:bCs/>
          <w:color w:val="auto"/>
          <w:sz w:val="32"/>
          <w:szCs w:val="32"/>
          <w:highlight w:val="none"/>
        </w:rPr>
      </w:pPr>
      <w:bookmarkStart w:id="132" w:name="_Toc529526969"/>
      <w:bookmarkStart w:id="133" w:name="_Toc472931602"/>
      <w:bookmarkStart w:id="134" w:name="_Toc461179236"/>
      <w:bookmarkStart w:id="135" w:name="_Toc453940968"/>
      <w:bookmarkStart w:id="136" w:name="_Toc470247796"/>
      <w:bookmarkStart w:id="137" w:name="_Toc529547321"/>
      <w:bookmarkStart w:id="138" w:name="_Toc530144463"/>
      <w:bookmarkStart w:id="139" w:name="_Toc454211106"/>
      <w:bookmarkStart w:id="140" w:name="_Toc373478342"/>
      <w:bookmarkStart w:id="141" w:name="_Toc373227695"/>
      <w:bookmarkStart w:id="142" w:name="_Toc411345175"/>
      <w:bookmarkStart w:id="143" w:name="_Toc531186598"/>
      <w:bookmarkStart w:id="144" w:name="_Toc389065261"/>
      <w:r>
        <w:rPr>
          <w:rFonts w:ascii="宋体" w:hAnsi="宋体"/>
          <w:b/>
          <w:bCs/>
          <w:color w:val="auto"/>
          <w:sz w:val="32"/>
          <w:szCs w:val="32"/>
          <w:highlight w:val="none"/>
        </w:rPr>
        <w:t>1.4 标准和规范</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33B41419">
      <w:pPr>
        <w:spacing w:line="360" w:lineRule="auto"/>
        <w:rPr>
          <w:rFonts w:ascii="宋体" w:hAnsi="宋体"/>
          <w:color w:val="auto"/>
          <w:szCs w:val="21"/>
          <w:highlight w:val="none"/>
        </w:rPr>
      </w:pPr>
      <w:r>
        <w:rPr>
          <w:rFonts w:ascii="宋体" w:hAnsi="宋体"/>
          <w:color w:val="auto"/>
          <w:szCs w:val="21"/>
          <w:highlight w:val="none"/>
        </w:rPr>
        <w:t>1.4.1适用于工程的标准规范包括：</w:t>
      </w:r>
      <w:r>
        <w:rPr>
          <w:rFonts w:ascii="宋体" w:hAnsi="宋体"/>
          <w:color w:val="auto"/>
          <w:szCs w:val="21"/>
          <w:highlight w:val="none"/>
          <w:u w:val="single"/>
        </w:rPr>
        <w:t></w:t>
      </w:r>
      <w:r>
        <w:rPr>
          <w:rFonts w:hint="eastAsia" w:ascii="宋体" w:hAnsi="宋体"/>
          <w:color w:val="auto"/>
          <w:szCs w:val="21"/>
          <w:highlight w:val="none"/>
          <w:u w:val="single"/>
        </w:rPr>
        <w:t>按通用合同条款</w:t>
      </w:r>
      <w:r>
        <w:rPr>
          <w:rFonts w:hint="eastAsia" w:ascii="宋体" w:hAnsi="宋体"/>
          <w:b/>
          <w:bCs/>
          <w:color w:val="auto"/>
          <w:szCs w:val="21"/>
          <w:highlight w:val="none"/>
          <w:u w:val="single"/>
        </w:rPr>
        <w:t>1.4</w:t>
      </w:r>
      <w:r>
        <w:rPr>
          <w:rFonts w:hint="eastAsia" w:ascii="宋体" w:hAnsi="宋体"/>
          <w:color w:val="auto"/>
          <w:szCs w:val="21"/>
          <w:highlight w:val="none"/>
          <w:u w:val="single"/>
        </w:rPr>
        <w:t>条执行</w:t>
      </w:r>
      <w:r>
        <w:rPr>
          <w:rFonts w:ascii="宋体" w:hAnsi="宋体"/>
          <w:color w:val="auto"/>
          <w:szCs w:val="21"/>
          <w:highlight w:val="none"/>
        </w:rPr>
        <w:t>。</w:t>
      </w:r>
    </w:p>
    <w:p w14:paraId="1A62D78E">
      <w:pPr>
        <w:spacing w:line="360" w:lineRule="auto"/>
        <w:rPr>
          <w:rFonts w:ascii="宋体" w:hAnsi="宋体"/>
          <w:color w:val="auto"/>
          <w:kern w:val="0"/>
          <w:szCs w:val="21"/>
          <w:highlight w:val="none"/>
        </w:rPr>
      </w:pPr>
      <w:r>
        <w:rPr>
          <w:rFonts w:ascii="宋体" w:hAnsi="宋体"/>
          <w:color w:val="auto"/>
          <w:kern w:val="0"/>
          <w:szCs w:val="21"/>
          <w:highlight w:val="none"/>
        </w:rPr>
        <w:t>1.4.2 发包人提供国外标准、规范的名称：</w:t>
      </w:r>
      <w:r>
        <w:rPr>
          <w:rFonts w:hint="eastAsia" w:ascii="宋体" w:hAnsi="宋体"/>
          <w:color w:val="auto"/>
          <w:szCs w:val="21"/>
          <w:highlight w:val="none"/>
          <w:u w:val="single"/>
        </w:rPr>
        <w:t>无</w:t>
      </w:r>
      <w:r>
        <w:rPr>
          <w:rFonts w:hint="eastAsia" w:ascii="宋体" w:hAnsi="宋体"/>
          <w:color w:val="auto"/>
          <w:szCs w:val="21"/>
          <w:highlight w:val="none"/>
        </w:rPr>
        <w:t>；</w:t>
      </w:r>
    </w:p>
    <w:p w14:paraId="25FFDC24">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4C238375">
      <w:pPr>
        <w:spacing w:line="360" w:lineRule="auto"/>
        <w:ind w:firstLine="420" w:firstLineChars="200"/>
        <w:rPr>
          <w:rFonts w:ascii="宋体" w:hAnsi="宋体"/>
          <w:color w:val="auto"/>
          <w:szCs w:val="21"/>
          <w:highlight w:val="none"/>
        </w:rPr>
      </w:pPr>
      <w:r>
        <w:rPr>
          <w:rFonts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48F1E55F">
      <w:pPr>
        <w:spacing w:line="360" w:lineRule="auto"/>
        <w:ind w:firstLine="420" w:firstLineChars="200"/>
        <w:rPr>
          <w:rFonts w:ascii="宋体" w:hAnsi="宋体"/>
          <w:color w:val="auto"/>
          <w:szCs w:val="21"/>
          <w:highlight w:val="none"/>
        </w:rPr>
      </w:pPr>
      <w:r>
        <w:rPr>
          <w:rFonts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无</w:t>
      </w:r>
      <w:r>
        <w:rPr>
          <w:rFonts w:ascii="宋体" w:hAnsi="宋体"/>
          <w:color w:val="auto"/>
          <w:szCs w:val="21"/>
          <w:highlight w:val="none"/>
        </w:rPr>
        <w:t>。</w:t>
      </w:r>
    </w:p>
    <w:p w14:paraId="5FB71C75">
      <w:pPr>
        <w:keepNext/>
        <w:keepLines/>
        <w:spacing w:before="260" w:after="260" w:line="416" w:lineRule="auto"/>
        <w:outlineLvl w:val="2"/>
        <w:rPr>
          <w:rFonts w:ascii="宋体" w:hAnsi="宋体"/>
          <w:b/>
          <w:bCs/>
          <w:color w:val="auto"/>
          <w:sz w:val="32"/>
          <w:szCs w:val="32"/>
          <w:highlight w:val="none"/>
        </w:rPr>
      </w:pPr>
      <w:bookmarkStart w:id="145" w:name="_Toc373478343"/>
      <w:bookmarkStart w:id="146" w:name="_Toc454211107"/>
      <w:bookmarkStart w:id="147" w:name="_Toc472931603"/>
      <w:bookmarkStart w:id="148" w:name="_Toc470247797"/>
      <w:bookmarkStart w:id="149" w:name="_Toc411345176"/>
      <w:bookmarkStart w:id="150" w:name="_Toc531186599"/>
      <w:bookmarkStart w:id="151" w:name="_Toc461179237"/>
      <w:bookmarkStart w:id="152" w:name="_Toc453940969"/>
      <w:bookmarkStart w:id="153" w:name="_Toc530144464"/>
      <w:bookmarkStart w:id="154" w:name="_Toc529526970"/>
      <w:bookmarkStart w:id="155" w:name="_Toc529547322"/>
      <w:bookmarkStart w:id="156" w:name="_Toc389065262"/>
      <w:bookmarkStart w:id="157" w:name="_Toc373227696"/>
      <w:r>
        <w:rPr>
          <w:rFonts w:ascii="宋体" w:hAnsi="宋体"/>
          <w:b/>
          <w:bCs/>
          <w:color w:val="auto"/>
          <w:sz w:val="32"/>
          <w:szCs w:val="32"/>
          <w:highlight w:val="none"/>
        </w:rPr>
        <w:t>1.5 合同文件的优先顺序</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0D6919D4">
      <w:pPr>
        <w:spacing w:line="360" w:lineRule="auto"/>
        <w:ind w:firstLine="420" w:firstLineChars="200"/>
        <w:rPr>
          <w:rFonts w:ascii="宋体" w:hAnsi="宋体"/>
          <w:color w:val="auto"/>
          <w:szCs w:val="21"/>
          <w:highlight w:val="none"/>
        </w:rPr>
      </w:pPr>
      <w:r>
        <w:rPr>
          <w:rFonts w:ascii="宋体" w:hAnsi="宋体"/>
          <w:color w:val="auto"/>
          <w:szCs w:val="21"/>
          <w:highlight w:val="none"/>
        </w:rPr>
        <w:t>合同文件组成及优先顺序为：</w:t>
      </w:r>
    </w:p>
    <w:p w14:paraId="49D25CD7">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合同协议书;</w:t>
      </w:r>
    </w:p>
    <w:p w14:paraId="0C5E9A62">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（2）中标通知书（如果有）；</w:t>
      </w:r>
    </w:p>
    <w:p w14:paraId="11D58739">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（3）投标函及其附录（如果有）；</w:t>
      </w:r>
    </w:p>
    <w:p w14:paraId="24D7F6A1">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（4）专用合同条款及其附件；</w:t>
      </w:r>
    </w:p>
    <w:p w14:paraId="663F3E99">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（5）通用合同条款；</w:t>
      </w:r>
    </w:p>
    <w:p w14:paraId="3142E6EE">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u w:val="single"/>
        </w:rPr>
        <w:t xml:space="preserve">技术标准和要求  </w:t>
      </w:r>
      <w:r>
        <w:rPr>
          <w:rFonts w:ascii="宋体" w:hAnsi="宋体"/>
          <w:color w:val="auto"/>
          <w:kern w:val="0"/>
          <w:szCs w:val="21"/>
          <w:highlight w:val="none"/>
        </w:rPr>
        <w:t>；</w:t>
      </w:r>
    </w:p>
    <w:p w14:paraId="2085132C">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u w:val="single"/>
        </w:rPr>
        <w:t xml:space="preserve">图纸  </w:t>
      </w:r>
      <w:r>
        <w:rPr>
          <w:rFonts w:ascii="宋体" w:hAnsi="宋体"/>
          <w:color w:val="auto"/>
          <w:kern w:val="0"/>
          <w:szCs w:val="21"/>
          <w:highlight w:val="none"/>
        </w:rPr>
        <w:t>；</w:t>
      </w:r>
    </w:p>
    <w:p w14:paraId="0EA86D0F">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kern w:val="0"/>
          <w:szCs w:val="21"/>
          <w:highlight w:val="none"/>
          <w:u w:val="single"/>
        </w:rPr>
        <w:t xml:space="preserve">已标价工程量清单或预算书  </w:t>
      </w:r>
      <w:r>
        <w:rPr>
          <w:rFonts w:ascii="宋体" w:hAnsi="宋体"/>
          <w:color w:val="auto"/>
          <w:kern w:val="0"/>
          <w:szCs w:val="21"/>
          <w:highlight w:val="none"/>
        </w:rPr>
        <w:t>；</w:t>
      </w:r>
    </w:p>
    <w:p w14:paraId="10F5DFAA">
      <w:pPr>
        <w:spacing w:line="360" w:lineRule="auto"/>
        <w:ind w:firstLine="420" w:firstLineChars="200"/>
        <w:rPr>
          <w:rFonts w:ascii="宋体" w:hAnsi="宋体"/>
          <w:color w:val="auto"/>
          <w:kern w:val="0"/>
          <w:szCs w:val="21"/>
          <w:highlight w:val="none"/>
        </w:rPr>
      </w:pPr>
      <w:r>
        <w:rPr>
          <w:rFonts w:ascii="Calibri" w:hAnsi="宋体"/>
          <w:color w:val="auto"/>
          <w:kern w:val="0"/>
          <w:szCs w:val="21"/>
          <w:highlight w:val="none"/>
        </w:rPr>
        <w:t>（</w:t>
      </w:r>
      <w:r>
        <w:rPr>
          <w:rFonts w:hint="eastAsia" w:ascii="Calibri" w:hAnsi="宋体"/>
          <w:color w:val="auto"/>
          <w:kern w:val="0"/>
          <w:szCs w:val="21"/>
          <w:highlight w:val="none"/>
        </w:rPr>
        <w:t>9</w:t>
      </w:r>
      <w:r>
        <w:rPr>
          <w:rFonts w:ascii="Calibri" w:hAnsi="宋体"/>
          <w:color w:val="auto"/>
          <w:kern w:val="0"/>
          <w:szCs w:val="21"/>
          <w:highlight w:val="none"/>
        </w:rPr>
        <w:t>）</w:t>
      </w:r>
      <w:r>
        <w:rPr>
          <w:rFonts w:hint="eastAsia" w:ascii="宋体" w:hAnsi="宋体"/>
          <w:color w:val="auto"/>
          <w:kern w:val="0"/>
          <w:szCs w:val="21"/>
          <w:highlight w:val="none"/>
          <w:u w:val="single"/>
        </w:rPr>
        <w:t xml:space="preserve"> 其他合同文件                   </w:t>
      </w:r>
      <w:r>
        <w:rPr>
          <w:rFonts w:ascii="宋体" w:hAnsi="宋体"/>
          <w:color w:val="auto"/>
          <w:kern w:val="0"/>
          <w:szCs w:val="21"/>
          <w:highlight w:val="none"/>
        </w:rPr>
        <w:t>。</w:t>
      </w:r>
    </w:p>
    <w:p w14:paraId="52529905">
      <w:pPr>
        <w:spacing w:line="360" w:lineRule="auto"/>
        <w:ind w:firstLine="420" w:firstLineChars="200"/>
        <w:rPr>
          <w:rFonts w:ascii="Calibri" w:hAnsi="宋体"/>
          <w:color w:val="auto"/>
          <w:kern w:val="0"/>
          <w:szCs w:val="21"/>
          <w:highlight w:val="none"/>
        </w:rPr>
      </w:pPr>
      <w:bookmarkStart w:id="158" w:name="_Toc411345177"/>
      <w:bookmarkStart w:id="159" w:name="_Toc373478344"/>
      <w:bookmarkStart w:id="160" w:name="_Toc373227697"/>
      <w:bookmarkStart w:id="161" w:name="_Toc389065263"/>
      <w:r>
        <w:rPr>
          <w:rFonts w:hint="eastAsia" w:ascii="Calibri" w:hAnsi="宋体"/>
          <w:color w:val="auto"/>
          <w:kern w:val="0"/>
          <w:szCs w:val="21"/>
          <w:highlight w:val="none"/>
        </w:rPr>
        <w:t>（10）《</w:t>
      </w:r>
      <w:r>
        <w:rPr>
          <w:rFonts w:ascii="Calibri" w:hAnsi="宋体"/>
          <w:color w:val="auto"/>
          <w:kern w:val="0"/>
          <w:szCs w:val="21"/>
          <w:highlight w:val="none"/>
        </w:rPr>
        <w:t>建设工程工程量清单计价规范（GB5050-2013）</w:t>
      </w:r>
      <w:r>
        <w:rPr>
          <w:rFonts w:hint="eastAsia" w:ascii="Calibri" w:hAnsi="宋体"/>
          <w:color w:val="auto"/>
          <w:kern w:val="0"/>
          <w:szCs w:val="21"/>
          <w:highlight w:val="none"/>
        </w:rPr>
        <w:t>》及其</w:t>
      </w:r>
      <w:r>
        <w:rPr>
          <w:rFonts w:ascii="Calibri" w:hAnsi="宋体"/>
          <w:color w:val="auto"/>
          <w:kern w:val="0"/>
          <w:szCs w:val="21"/>
          <w:highlight w:val="none"/>
        </w:rPr>
        <w:t>广西实施细则</w:t>
      </w:r>
      <w:r>
        <w:rPr>
          <w:rFonts w:hint="eastAsia" w:ascii="Calibri" w:hAnsi="宋体"/>
          <w:color w:val="auto"/>
          <w:kern w:val="0"/>
          <w:szCs w:val="21"/>
          <w:highlight w:val="none"/>
        </w:rPr>
        <w:t>及《关于建筑业实施营业税改征增值税后广西壮族自治区建设工程计价依据调整的通知》（桂建标〔2016〕17号）、《</w:t>
      </w:r>
      <w:r>
        <w:rPr>
          <w:rFonts w:ascii="Calibri" w:hAnsi="宋体"/>
          <w:color w:val="auto"/>
          <w:kern w:val="0"/>
          <w:szCs w:val="21"/>
          <w:highlight w:val="none"/>
        </w:rPr>
        <w:t>建设工程工程量清单计</w:t>
      </w:r>
      <w:r>
        <w:rPr>
          <w:rFonts w:hint="eastAsia" w:ascii="Calibri" w:hAnsi="宋体"/>
          <w:color w:val="auto"/>
          <w:kern w:val="0"/>
          <w:szCs w:val="21"/>
          <w:highlight w:val="none"/>
        </w:rPr>
        <w:t>算</w:t>
      </w:r>
      <w:r>
        <w:rPr>
          <w:rFonts w:ascii="Calibri" w:hAnsi="宋体"/>
          <w:color w:val="auto"/>
          <w:kern w:val="0"/>
          <w:szCs w:val="21"/>
          <w:highlight w:val="none"/>
        </w:rPr>
        <w:t>规范（GB5</w:t>
      </w:r>
      <w:r>
        <w:rPr>
          <w:rFonts w:hint="eastAsia" w:ascii="Calibri" w:hAnsi="宋体"/>
          <w:color w:val="auto"/>
          <w:kern w:val="0"/>
          <w:szCs w:val="21"/>
          <w:highlight w:val="none"/>
        </w:rPr>
        <w:t>854~50862</w:t>
      </w:r>
      <w:r>
        <w:rPr>
          <w:rFonts w:ascii="Calibri" w:hAnsi="宋体"/>
          <w:color w:val="auto"/>
          <w:kern w:val="0"/>
          <w:szCs w:val="21"/>
          <w:highlight w:val="none"/>
        </w:rPr>
        <w:t>-2013）</w:t>
      </w:r>
      <w:r>
        <w:rPr>
          <w:rFonts w:hint="eastAsia" w:ascii="Calibri" w:hAnsi="宋体"/>
          <w:color w:val="auto"/>
          <w:kern w:val="0"/>
          <w:szCs w:val="21"/>
          <w:highlight w:val="none"/>
        </w:rPr>
        <w:t>》及其</w:t>
      </w:r>
      <w:r>
        <w:rPr>
          <w:rFonts w:ascii="Calibri" w:hAnsi="宋体"/>
          <w:color w:val="auto"/>
          <w:kern w:val="0"/>
          <w:szCs w:val="21"/>
          <w:highlight w:val="none"/>
        </w:rPr>
        <w:t>广西实施细则</w:t>
      </w:r>
      <w:r>
        <w:rPr>
          <w:rFonts w:hint="eastAsia" w:ascii="Calibri" w:hAnsi="宋体"/>
          <w:color w:val="auto"/>
          <w:kern w:val="0"/>
          <w:szCs w:val="21"/>
          <w:highlight w:val="none"/>
        </w:rPr>
        <w:t>（修订本）</w:t>
      </w:r>
      <w:r>
        <w:rPr>
          <w:rFonts w:ascii="Calibri" w:hAnsi="宋体"/>
          <w:color w:val="auto"/>
          <w:kern w:val="0"/>
          <w:szCs w:val="21"/>
          <w:highlight w:val="none"/>
        </w:rPr>
        <w:t>。</w:t>
      </w:r>
    </w:p>
    <w:p w14:paraId="5A3CB1B3">
      <w:pPr>
        <w:spacing w:line="360" w:lineRule="auto"/>
        <w:ind w:firstLine="420" w:firstLineChars="200"/>
        <w:rPr>
          <w:rFonts w:ascii="Calibri" w:hAnsi="Calibri"/>
          <w:color w:val="auto"/>
          <w:szCs w:val="21"/>
          <w:highlight w:val="none"/>
        </w:rPr>
      </w:pPr>
      <w:r>
        <w:rPr>
          <w:rFonts w:ascii="Calibri" w:hAnsi="宋体"/>
          <w:color w:val="auto"/>
          <w:kern w:val="0"/>
          <w:szCs w:val="21"/>
          <w:highlight w:val="none"/>
        </w:rPr>
        <w:t>说明：</w:t>
      </w:r>
      <w:r>
        <w:rPr>
          <w:rFonts w:hint="eastAsia" w:ascii="Calibri" w:hAnsi="宋体"/>
          <w:color w:val="auto"/>
          <w:kern w:val="0"/>
          <w:szCs w:val="21"/>
          <w:highlight w:val="none"/>
        </w:rPr>
        <w:t>（6）、（7）</w:t>
      </w:r>
      <w:r>
        <w:rPr>
          <w:rFonts w:ascii="Calibri" w:hAnsi="宋体"/>
          <w:color w:val="auto"/>
          <w:kern w:val="0"/>
          <w:szCs w:val="21"/>
          <w:highlight w:val="none"/>
        </w:rPr>
        <w:t>、</w:t>
      </w:r>
      <w:r>
        <w:rPr>
          <w:rFonts w:hint="eastAsia" w:ascii="Calibri" w:hAnsi="宋体"/>
          <w:color w:val="auto"/>
          <w:kern w:val="0"/>
          <w:szCs w:val="21"/>
          <w:highlight w:val="none"/>
        </w:rPr>
        <w:t>（8）</w:t>
      </w:r>
      <w:r>
        <w:rPr>
          <w:rFonts w:ascii="Calibri" w:hAnsi="宋体"/>
          <w:color w:val="auto"/>
          <w:kern w:val="0"/>
          <w:szCs w:val="21"/>
          <w:highlight w:val="none"/>
        </w:rPr>
        <w:t>、</w:t>
      </w:r>
      <w:r>
        <w:rPr>
          <w:rFonts w:hint="eastAsia" w:ascii="Calibri" w:hAnsi="宋体"/>
          <w:color w:val="auto"/>
          <w:kern w:val="0"/>
          <w:szCs w:val="21"/>
          <w:highlight w:val="none"/>
        </w:rPr>
        <w:t>（9）</w:t>
      </w:r>
      <w:r>
        <w:rPr>
          <w:rFonts w:ascii="Calibri" w:hAnsi="宋体"/>
          <w:color w:val="auto"/>
          <w:kern w:val="0"/>
          <w:szCs w:val="21"/>
          <w:highlight w:val="none"/>
        </w:rPr>
        <w:t>填空内容分别限于技术标准和要求、图纸、已标价工程量清单</w:t>
      </w:r>
      <w:r>
        <w:rPr>
          <w:rFonts w:hint="eastAsia" w:ascii="Calibri" w:hAnsi="宋体"/>
          <w:color w:val="auto"/>
          <w:kern w:val="0"/>
          <w:szCs w:val="21"/>
          <w:highlight w:val="none"/>
        </w:rPr>
        <w:t>或预算书、</w:t>
      </w:r>
      <w:r>
        <w:rPr>
          <w:rFonts w:ascii="Calibri" w:hAnsi="宋体"/>
          <w:color w:val="auto"/>
          <w:kern w:val="0"/>
          <w:szCs w:val="21"/>
          <w:highlight w:val="none"/>
        </w:rPr>
        <w:t>其他合同文件</w:t>
      </w:r>
      <w:r>
        <w:rPr>
          <w:rFonts w:hint="eastAsia" w:ascii="Calibri" w:hAnsi="宋体"/>
          <w:color w:val="auto"/>
          <w:kern w:val="0"/>
          <w:szCs w:val="21"/>
          <w:highlight w:val="none"/>
        </w:rPr>
        <w:t>四</w:t>
      </w:r>
      <w:r>
        <w:rPr>
          <w:rFonts w:ascii="Calibri" w:hAnsi="宋体"/>
          <w:color w:val="auto"/>
          <w:kern w:val="0"/>
          <w:szCs w:val="21"/>
          <w:highlight w:val="none"/>
        </w:rPr>
        <w:t>者之一</w:t>
      </w:r>
      <w:r>
        <w:rPr>
          <w:rFonts w:hint="eastAsia" w:ascii="Calibri" w:hAnsi="宋体"/>
          <w:color w:val="auto"/>
          <w:kern w:val="0"/>
          <w:szCs w:val="21"/>
          <w:highlight w:val="none"/>
        </w:rPr>
        <w:t>，其优先顺序可根据采取的不同合同方式由双方约定</w:t>
      </w:r>
      <w:r>
        <w:rPr>
          <w:rFonts w:ascii="Calibri" w:hAnsi="宋体"/>
          <w:color w:val="auto"/>
          <w:kern w:val="0"/>
          <w:szCs w:val="21"/>
          <w:highlight w:val="none"/>
        </w:rPr>
        <w:t>。</w:t>
      </w:r>
    </w:p>
    <w:p w14:paraId="07A1158C">
      <w:pPr>
        <w:keepNext/>
        <w:keepLines/>
        <w:spacing w:before="260" w:after="260" w:line="416" w:lineRule="auto"/>
        <w:outlineLvl w:val="2"/>
        <w:rPr>
          <w:rFonts w:ascii="宋体" w:hAnsi="宋体"/>
          <w:b/>
          <w:bCs/>
          <w:color w:val="auto"/>
          <w:sz w:val="32"/>
          <w:szCs w:val="32"/>
          <w:highlight w:val="none"/>
        </w:rPr>
      </w:pPr>
      <w:bookmarkStart w:id="162" w:name="_Toc470247798"/>
      <w:bookmarkStart w:id="163" w:name="_Toc453940970"/>
      <w:bookmarkStart w:id="164" w:name="_Toc529526971"/>
      <w:bookmarkStart w:id="165" w:name="_Toc529547323"/>
      <w:bookmarkStart w:id="166" w:name="_Toc472931604"/>
      <w:bookmarkStart w:id="167" w:name="_Toc461179238"/>
      <w:bookmarkStart w:id="168" w:name="_Toc531186600"/>
      <w:bookmarkStart w:id="169" w:name="_Toc530144465"/>
      <w:bookmarkStart w:id="170" w:name="_Toc454211108"/>
      <w:r>
        <w:rPr>
          <w:rFonts w:ascii="宋体" w:hAnsi="宋体"/>
          <w:b/>
          <w:bCs/>
          <w:color w:val="auto"/>
          <w:sz w:val="32"/>
          <w:szCs w:val="32"/>
          <w:highlight w:val="none"/>
        </w:rPr>
        <w:t>1.6 图纸和承包人文件</w:t>
      </w:r>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宋体" w:hAnsi="宋体"/>
          <w:b/>
          <w:bCs/>
          <w:color w:val="auto"/>
          <w:sz w:val="32"/>
          <w:szCs w:val="32"/>
          <w:highlight w:val="none"/>
        </w:rPr>
        <w:tab/>
      </w:r>
    </w:p>
    <w:p w14:paraId="74DA6268">
      <w:pPr>
        <w:spacing w:line="360" w:lineRule="auto"/>
        <w:ind w:firstLine="420" w:firstLineChars="200"/>
        <w:rPr>
          <w:rFonts w:ascii="宋体" w:hAnsi="宋体"/>
          <w:color w:val="auto"/>
          <w:szCs w:val="21"/>
          <w:highlight w:val="none"/>
        </w:rPr>
      </w:pPr>
      <w:r>
        <w:rPr>
          <w:rFonts w:ascii="宋体" w:hAnsi="宋体"/>
          <w:color w:val="auto"/>
          <w:szCs w:val="21"/>
          <w:highlight w:val="none"/>
        </w:rPr>
        <w:t>1.6.1 图纸的提供</w:t>
      </w:r>
    </w:p>
    <w:p w14:paraId="251EEB05">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发包人向承包人提供图纸的期限：</w:t>
      </w:r>
      <w:r>
        <w:rPr>
          <w:rFonts w:ascii="宋体" w:hAnsi="宋体"/>
          <w:color w:val="auto"/>
          <w:szCs w:val="21"/>
          <w:highlight w:val="none"/>
          <w:u w:val="single"/>
        </w:rPr>
        <w:t></w:t>
      </w:r>
      <w:r>
        <w:rPr>
          <w:rFonts w:hint="eastAsia" w:ascii="宋体" w:hAnsi="宋体"/>
          <w:color w:val="auto"/>
          <w:szCs w:val="21"/>
          <w:highlight w:val="none"/>
          <w:u w:val="single"/>
        </w:rPr>
        <w:t>合同生效后7天内</w:t>
      </w:r>
      <w:r>
        <w:rPr>
          <w:rFonts w:ascii="宋体" w:hAnsi="宋体"/>
          <w:color w:val="auto"/>
          <w:szCs w:val="21"/>
          <w:highlight w:val="none"/>
        </w:rPr>
        <w:t>；</w:t>
      </w:r>
    </w:p>
    <w:p w14:paraId="7DE3043C">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发包人向承包人提供图纸的数量：</w:t>
      </w:r>
      <w:r>
        <w:rPr>
          <w:rFonts w:ascii="宋体" w:hAnsi="宋体"/>
          <w:color w:val="auto"/>
          <w:szCs w:val="21"/>
          <w:highlight w:val="none"/>
          <w:u w:val="single"/>
        </w:rPr>
        <w:t></w:t>
      </w:r>
      <w:r>
        <w:rPr>
          <w:rFonts w:hint="eastAsia" w:ascii="宋体" w:hAnsi="宋体"/>
          <w:b/>
          <w:bCs/>
          <w:color w:val="auto"/>
          <w:szCs w:val="21"/>
          <w:highlight w:val="none"/>
          <w:u w:val="single"/>
        </w:rPr>
        <w:t>一</w:t>
      </w:r>
      <w:r>
        <w:rPr>
          <w:rFonts w:ascii="宋体" w:hAnsi="宋体"/>
          <w:color w:val="auto"/>
          <w:szCs w:val="21"/>
          <w:highlight w:val="none"/>
          <w:u w:val="single"/>
        </w:rPr>
        <w:t>套，承包人需要增加图纸套数的，复制费用由承包人承担</w:t>
      </w:r>
      <w:r>
        <w:rPr>
          <w:rFonts w:ascii="宋体" w:hAnsi="宋体"/>
          <w:color w:val="auto"/>
          <w:szCs w:val="21"/>
          <w:highlight w:val="none"/>
        </w:rPr>
        <w:t>；</w:t>
      </w:r>
    </w:p>
    <w:p w14:paraId="4C321A65">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发包人向承包人提供图纸的内容：</w:t>
      </w:r>
      <w:r>
        <w:rPr>
          <w:rFonts w:hint="eastAsia" w:ascii="宋体" w:hAnsi="宋体"/>
          <w:color w:val="auto"/>
          <w:szCs w:val="21"/>
          <w:highlight w:val="none"/>
          <w:u w:val="single"/>
        </w:rPr>
        <w:t>施工设计图</w:t>
      </w:r>
      <w:r>
        <w:rPr>
          <w:rFonts w:ascii="宋体" w:hAnsi="宋体"/>
          <w:color w:val="auto"/>
          <w:szCs w:val="21"/>
          <w:highlight w:val="none"/>
        </w:rPr>
        <w:t>。</w:t>
      </w:r>
    </w:p>
    <w:p w14:paraId="60508C1E">
      <w:pPr>
        <w:spacing w:line="360" w:lineRule="auto"/>
        <w:ind w:firstLine="420" w:firstLineChars="200"/>
        <w:rPr>
          <w:rFonts w:ascii="宋体" w:hAnsi="宋体"/>
          <w:color w:val="auto"/>
          <w:szCs w:val="21"/>
          <w:highlight w:val="none"/>
        </w:rPr>
      </w:pPr>
      <w:r>
        <w:rPr>
          <w:rFonts w:ascii="宋体" w:hAnsi="宋体"/>
          <w:color w:val="auto"/>
          <w:szCs w:val="21"/>
          <w:highlight w:val="none"/>
        </w:rPr>
        <w:t>1.6.4 承包人文件</w:t>
      </w:r>
    </w:p>
    <w:p w14:paraId="3ED13CAC">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需要由承包人提供的文件，包括：</w:t>
      </w:r>
      <w:r>
        <w:rPr>
          <w:rFonts w:hint="eastAsia" w:ascii="宋体" w:hAnsi="宋体"/>
          <w:color w:val="auto"/>
          <w:szCs w:val="21"/>
          <w:highlight w:val="none"/>
          <w:u w:val="single"/>
        </w:rPr>
        <w:t>报建程序所需要的所有资料；开工前3天应提供完善的施工组织设计等资料；竣工资料（含竣工图，竣工图编制费已含在签约合同价中，提供时间：工程竣工后[30]天内。份数：满足相应要求。承包人应协助发包人办理城建档案馆手续。），与城建档案馆手续未办理完成，视为承包人的合同义务未履行完毕。</w:t>
      </w:r>
    </w:p>
    <w:p w14:paraId="4C68F23E">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承包人提供的文件的期限为：</w:t>
      </w:r>
      <w:r>
        <w:rPr>
          <w:rFonts w:ascii="宋体" w:hAnsi="宋体"/>
          <w:color w:val="auto"/>
          <w:szCs w:val="21"/>
          <w:highlight w:val="none"/>
          <w:u w:val="single"/>
        </w:rPr>
        <w:t></w:t>
      </w:r>
      <w:r>
        <w:rPr>
          <w:rFonts w:hint="eastAsia" w:ascii="宋体" w:hAnsi="宋体"/>
          <w:color w:val="auto"/>
          <w:szCs w:val="21"/>
          <w:highlight w:val="none"/>
          <w:u w:val="single"/>
        </w:rPr>
        <w:t>报建手续开始前7天内</w:t>
      </w:r>
      <w:r>
        <w:rPr>
          <w:rFonts w:ascii="宋体" w:hAnsi="宋体"/>
          <w:color w:val="auto"/>
          <w:szCs w:val="21"/>
          <w:highlight w:val="none"/>
          <w:u w:val="single"/>
        </w:rPr>
        <w:t></w:t>
      </w:r>
      <w:r>
        <w:rPr>
          <w:rFonts w:ascii="宋体" w:hAnsi="宋体"/>
          <w:color w:val="auto"/>
          <w:szCs w:val="21"/>
          <w:highlight w:val="none"/>
        </w:rPr>
        <w:t>；</w:t>
      </w:r>
    </w:p>
    <w:p w14:paraId="64EFF25A">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承包人提供的文件的数量为：</w:t>
      </w:r>
      <w:r>
        <w:rPr>
          <w:rFonts w:ascii="宋体" w:hAnsi="宋体"/>
          <w:color w:val="auto"/>
          <w:szCs w:val="21"/>
          <w:highlight w:val="none"/>
          <w:u w:val="single"/>
        </w:rPr>
        <w:t></w:t>
      </w:r>
      <w:r>
        <w:rPr>
          <w:rFonts w:hint="eastAsia" w:ascii="宋体" w:hAnsi="宋体"/>
          <w:color w:val="auto"/>
          <w:szCs w:val="21"/>
          <w:highlight w:val="none"/>
          <w:u w:val="single"/>
        </w:rPr>
        <w:t xml:space="preserve">按实提供 </w:t>
      </w:r>
      <w:r>
        <w:rPr>
          <w:rFonts w:ascii="宋体" w:hAnsi="宋体"/>
          <w:color w:val="auto"/>
          <w:szCs w:val="21"/>
          <w:highlight w:val="none"/>
        </w:rPr>
        <w:t>；</w:t>
      </w:r>
    </w:p>
    <w:p w14:paraId="775FEDA6">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承包人提供的文件的形式为：</w:t>
      </w:r>
      <w:r>
        <w:rPr>
          <w:rFonts w:ascii="宋体" w:hAnsi="宋体"/>
          <w:color w:val="auto"/>
          <w:szCs w:val="21"/>
          <w:highlight w:val="none"/>
          <w:u w:val="single"/>
        </w:rPr>
        <w:t></w:t>
      </w:r>
      <w:r>
        <w:rPr>
          <w:rFonts w:hint="eastAsia" w:ascii="宋体" w:hAnsi="宋体"/>
          <w:color w:val="auto"/>
          <w:szCs w:val="21"/>
          <w:highlight w:val="none"/>
          <w:u w:val="single"/>
        </w:rPr>
        <w:t>书面及电子文档</w:t>
      </w:r>
      <w:r>
        <w:rPr>
          <w:rFonts w:ascii="宋体" w:hAnsi="宋体"/>
          <w:color w:val="auto"/>
          <w:szCs w:val="21"/>
          <w:highlight w:val="none"/>
          <w:u w:val="single"/>
        </w:rPr>
        <w:t></w:t>
      </w:r>
      <w:r>
        <w:rPr>
          <w:rFonts w:ascii="宋体" w:hAnsi="宋体"/>
          <w:color w:val="auto"/>
          <w:szCs w:val="21"/>
          <w:highlight w:val="none"/>
        </w:rPr>
        <w:t>；</w:t>
      </w:r>
    </w:p>
    <w:p w14:paraId="378371CA">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发包人审批承包人文件的期限：</w:t>
      </w:r>
      <w:r>
        <w:rPr>
          <w:rFonts w:ascii="宋体" w:hAnsi="宋体"/>
          <w:color w:val="auto"/>
          <w:szCs w:val="21"/>
          <w:highlight w:val="none"/>
          <w:u w:val="single"/>
        </w:rPr>
        <w:t></w:t>
      </w:r>
      <w:r>
        <w:rPr>
          <w:rFonts w:hint="eastAsia" w:ascii="宋体" w:hAnsi="宋体"/>
          <w:bCs/>
          <w:color w:val="auto"/>
          <w:szCs w:val="21"/>
          <w:highlight w:val="none"/>
          <w:u w:val="single"/>
        </w:rPr>
        <w:t>7</w:t>
      </w:r>
      <w:r>
        <w:rPr>
          <w:rFonts w:hint="eastAsia" w:ascii="宋体" w:hAnsi="宋体"/>
          <w:color w:val="auto"/>
          <w:szCs w:val="21"/>
          <w:highlight w:val="none"/>
          <w:u w:val="single"/>
        </w:rPr>
        <w:t xml:space="preserve">天 </w:t>
      </w:r>
      <w:r>
        <w:rPr>
          <w:rFonts w:ascii="宋体" w:hAnsi="宋体"/>
          <w:color w:val="auto"/>
          <w:szCs w:val="21"/>
          <w:highlight w:val="none"/>
        </w:rPr>
        <w:t>。</w:t>
      </w:r>
    </w:p>
    <w:p w14:paraId="6A81E2B2">
      <w:pPr>
        <w:spacing w:line="360" w:lineRule="auto"/>
        <w:ind w:firstLine="420" w:firstLineChars="200"/>
        <w:rPr>
          <w:rFonts w:ascii="宋体" w:hAnsi="宋体"/>
          <w:color w:val="auto"/>
          <w:szCs w:val="21"/>
          <w:highlight w:val="none"/>
        </w:rPr>
      </w:pPr>
      <w:r>
        <w:rPr>
          <w:rFonts w:ascii="宋体" w:hAnsi="宋体"/>
          <w:color w:val="auto"/>
          <w:szCs w:val="21"/>
          <w:highlight w:val="none"/>
        </w:rPr>
        <w:t>1.6.5 现场图纸准备</w:t>
      </w:r>
    </w:p>
    <w:p w14:paraId="3AD09DE4">
      <w:pPr>
        <w:spacing w:line="360" w:lineRule="auto"/>
        <w:ind w:firstLine="420" w:firstLineChars="200"/>
        <w:rPr>
          <w:rFonts w:ascii="宋体" w:hAnsi="宋体"/>
          <w:color w:val="auto"/>
          <w:szCs w:val="21"/>
          <w:highlight w:val="none"/>
        </w:rPr>
      </w:pPr>
      <w:r>
        <w:rPr>
          <w:rFonts w:ascii="宋体" w:hAnsi="宋体"/>
          <w:color w:val="auto"/>
          <w:szCs w:val="21"/>
          <w:highlight w:val="none"/>
        </w:rPr>
        <w:t>关于现场图纸准备的约定：</w:t>
      </w:r>
      <w:r>
        <w:rPr>
          <w:rFonts w:hint="eastAsia" w:ascii="宋体" w:hAnsi="宋体"/>
          <w:color w:val="auto"/>
          <w:szCs w:val="21"/>
          <w:highlight w:val="none"/>
          <w:u w:val="single"/>
        </w:rPr>
        <w:t>承包人在施工现场保留一份完整的设计文件，供甲方及有关人员进行工程检查时使用</w:t>
      </w:r>
      <w:r>
        <w:rPr>
          <w:rFonts w:ascii="宋体" w:hAnsi="宋体"/>
          <w:color w:val="auto"/>
          <w:szCs w:val="21"/>
          <w:highlight w:val="none"/>
        </w:rPr>
        <w:t>。</w:t>
      </w:r>
    </w:p>
    <w:p w14:paraId="0FA6761E">
      <w:pPr>
        <w:keepNext/>
        <w:keepLines/>
        <w:spacing w:before="260" w:after="260" w:line="416" w:lineRule="auto"/>
        <w:outlineLvl w:val="2"/>
        <w:rPr>
          <w:rFonts w:ascii="宋体" w:hAnsi="宋体"/>
          <w:b/>
          <w:bCs/>
          <w:color w:val="auto"/>
          <w:sz w:val="32"/>
          <w:szCs w:val="32"/>
          <w:highlight w:val="none"/>
        </w:rPr>
      </w:pPr>
      <w:bookmarkStart w:id="171" w:name="_Toc373478345"/>
      <w:bookmarkStart w:id="172" w:name="_Toc529526972"/>
      <w:bookmarkStart w:id="173" w:name="_Toc389065264"/>
      <w:bookmarkStart w:id="174" w:name="_Toc453940971"/>
      <w:bookmarkStart w:id="175" w:name="_Toc411345178"/>
      <w:bookmarkStart w:id="176" w:name="_Toc461179239"/>
      <w:bookmarkStart w:id="177" w:name="_Toc530144466"/>
      <w:bookmarkStart w:id="178" w:name="_Toc472931605"/>
      <w:bookmarkStart w:id="179" w:name="_Toc531186601"/>
      <w:bookmarkStart w:id="180" w:name="_Toc470247799"/>
      <w:bookmarkStart w:id="181" w:name="_Toc373227698"/>
      <w:bookmarkStart w:id="182" w:name="_Toc529547324"/>
      <w:bookmarkStart w:id="183" w:name="_Toc454211109"/>
      <w:r>
        <w:rPr>
          <w:rFonts w:ascii="宋体" w:hAnsi="宋体"/>
          <w:b/>
          <w:bCs/>
          <w:color w:val="auto"/>
          <w:sz w:val="32"/>
          <w:szCs w:val="32"/>
          <w:highlight w:val="none"/>
        </w:rPr>
        <w:t>1.7 联络</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1413CB5F">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1.7.1发包人和承包人应当在</w:t>
      </w:r>
      <w:r>
        <w:rPr>
          <w:rFonts w:ascii="宋体" w:hAnsi="宋体"/>
          <w:color w:val="auto"/>
          <w:szCs w:val="21"/>
          <w:highlight w:val="none"/>
          <w:u w:val="single"/>
        </w:rPr>
        <w:t></w:t>
      </w:r>
      <w:r>
        <w:rPr>
          <w:rFonts w:hint="eastAsia" w:ascii="宋体" w:hAnsi="宋体"/>
          <w:b/>
          <w:bCs/>
          <w:color w:val="auto"/>
          <w:szCs w:val="21"/>
          <w:highlight w:val="none"/>
          <w:u w:val="single"/>
        </w:rPr>
        <w:t>5</w:t>
      </w:r>
      <w:r>
        <w:rPr>
          <w:rFonts w:ascii="宋体" w:hAnsi="宋体"/>
          <w:color w:val="auto"/>
          <w:kern w:val="0"/>
          <w:szCs w:val="21"/>
          <w:highlight w:val="none"/>
        </w:rPr>
        <w:t>天内将与合同有关的通知、批准、证明、证书、指示、指令、要求、请求、同意、意见、确定和决定等书面函件送达对方当事人。</w:t>
      </w:r>
    </w:p>
    <w:p w14:paraId="60E9BA6D">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1.7.2 发包人接收文件的地点：</w:t>
      </w:r>
      <w:r>
        <w:rPr>
          <w:rFonts w:ascii="宋体" w:hAnsi="宋体"/>
          <w:color w:val="auto"/>
          <w:szCs w:val="21"/>
          <w:highlight w:val="none"/>
          <w:u w:val="single"/>
        </w:rPr>
        <w:t></w:t>
      </w:r>
      <w:r>
        <w:rPr>
          <w:rFonts w:hint="eastAsia" w:ascii="宋体" w:hAnsi="宋体"/>
          <w:color w:val="auto"/>
          <w:szCs w:val="21"/>
          <w:highlight w:val="none"/>
          <w:u w:val="single"/>
        </w:rPr>
        <w:t>发包人办公室</w:t>
      </w:r>
      <w:r>
        <w:rPr>
          <w:rFonts w:ascii="宋体" w:hAnsi="宋体"/>
          <w:color w:val="auto"/>
          <w:szCs w:val="21"/>
          <w:highlight w:val="none"/>
          <w:u w:val="single"/>
        </w:rPr>
        <w:t></w:t>
      </w:r>
      <w:r>
        <w:rPr>
          <w:rFonts w:ascii="宋体" w:hAnsi="宋体"/>
          <w:color w:val="auto"/>
          <w:kern w:val="0"/>
          <w:szCs w:val="21"/>
          <w:highlight w:val="none"/>
        </w:rPr>
        <w:t>；</w:t>
      </w:r>
    </w:p>
    <w:p w14:paraId="4FB22F07">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w:t>
      </w:r>
      <w:r>
        <w:rPr>
          <w:rFonts w:hint="eastAsia" w:ascii="宋体" w:hAnsi="宋体"/>
          <w:color w:val="auto"/>
          <w:szCs w:val="21"/>
          <w:highlight w:val="none"/>
          <w:u w:val="single"/>
        </w:rPr>
        <w:t xml:space="preserve">发包人代表  </w:t>
      </w:r>
      <w:r>
        <w:rPr>
          <w:rFonts w:ascii="宋体" w:hAnsi="宋体"/>
          <w:color w:val="auto"/>
          <w:kern w:val="0"/>
          <w:szCs w:val="21"/>
          <w:highlight w:val="none"/>
        </w:rPr>
        <w:t>。</w:t>
      </w:r>
    </w:p>
    <w:p w14:paraId="17C0D5D8">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承包人接收文件的地点：</w:t>
      </w:r>
      <w:r>
        <w:rPr>
          <w:rFonts w:ascii="宋体" w:hAnsi="宋体"/>
          <w:color w:val="auto"/>
          <w:szCs w:val="21"/>
          <w:highlight w:val="none"/>
          <w:u w:val="single"/>
        </w:rPr>
        <w:t></w:t>
      </w:r>
      <w:r>
        <w:rPr>
          <w:rFonts w:hint="eastAsia" w:ascii="宋体" w:hAnsi="宋体" w:cs="宋体"/>
          <w:color w:val="auto"/>
          <w:szCs w:val="21"/>
          <w:highlight w:val="none"/>
          <w:u w:val="single"/>
        </w:rPr>
        <w:t>项目所在地承包人办公室</w:t>
      </w:r>
      <w:r>
        <w:rPr>
          <w:rFonts w:ascii="宋体" w:hAnsi="宋体"/>
          <w:color w:val="auto"/>
          <w:kern w:val="0"/>
          <w:szCs w:val="21"/>
          <w:highlight w:val="none"/>
        </w:rPr>
        <w:t>；</w:t>
      </w:r>
    </w:p>
    <w:p w14:paraId="1BB6CC4C">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承包人指定的接收人为：</w:t>
      </w:r>
      <w:r>
        <w:rPr>
          <w:rFonts w:ascii="宋体" w:hAnsi="宋体"/>
          <w:color w:val="auto"/>
          <w:szCs w:val="21"/>
          <w:highlight w:val="none"/>
          <w:u w:val="single"/>
        </w:rPr>
        <w:t></w:t>
      </w:r>
      <w:r>
        <w:rPr>
          <w:rFonts w:hint="eastAsia" w:ascii="宋体" w:hAnsi="宋体"/>
          <w:color w:val="auto"/>
          <w:szCs w:val="21"/>
          <w:highlight w:val="none"/>
          <w:u w:val="single"/>
        </w:rPr>
        <w:t>项目经理</w:t>
      </w:r>
      <w:r>
        <w:rPr>
          <w:rFonts w:ascii="宋体" w:hAnsi="宋体"/>
          <w:color w:val="auto"/>
          <w:kern w:val="0"/>
          <w:szCs w:val="21"/>
          <w:highlight w:val="none"/>
        </w:rPr>
        <w:t>。</w:t>
      </w:r>
    </w:p>
    <w:p w14:paraId="2A7A794D">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监理人接收文件的地点：</w:t>
      </w:r>
      <w:r>
        <w:rPr>
          <w:rFonts w:ascii="宋体" w:hAnsi="宋体"/>
          <w:color w:val="auto"/>
          <w:szCs w:val="21"/>
          <w:highlight w:val="none"/>
          <w:u w:val="single"/>
        </w:rPr>
        <w:t></w:t>
      </w:r>
      <w:r>
        <w:rPr>
          <w:rFonts w:hint="eastAsia" w:ascii="宋体" w:hAnsi="宋体" w:cs="宋体"/>
          <w:color w:val="auto"/>
          <w:szCs w:val="21"/>
          <w:highlight w:val="none"/>
          <w:u w:val="single"/>
        </w:rPr>
        <w:t>项目所在地监理人办公室</w:t>
      </w:r>
      <w:r>
        <w:rPr>
          <w:rFonts w:ascii="宋体" w:hAnsi="宋体"/>
          <w:color w:val="auto"/>
          <w:kern w:val="0"/>
          <w:szCs w:val="21"/>
          <w:highlight w:val="none"/>
        </w:rPr>
        <w:t>；</w:t>
      </w:r>
    </w:p>
    <w:p w14:paraId="658E13CD">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监理人指定的接收人为：</w:t>
      </w:r>
      <w:r>
        <w:rPr>
          <w:rFonts w:hint="eastAsia" w:ascii="宋体" w:hAnsi="宋体"/>
          <w:color w:val="auto"/>
          <w:szCs w:val="21"/>
          <w:highlight w:val="none"/>
          <w:u w:val="single"/>
        </w:rPr>
        <w:t>总监理工程师</w:t>
      </w:r>
      <w:r>
        <w:rPr>
          <w:rFonts w:ascii="宋体" w:hAnsi="宋体"/>
          <w:color w:val="auto"/>
          <w:kern w:val="0"/>
          <w:szCs w:val="21"/>
          <w:highlight w:val="none"/>
        </w:rPr>
        <w:t>。</w:t>
      </w:r>
    </w:p>
    <w:p w14:paraId="668896B5">
      <w:pPr>
        <w:keepNext/>
        <w:keepLines/>
        <w:spacing w:before="260" w:after="260" w:line="416" w:lineRule="auto"/>
        <w:outlineLvl w:val="2"/>
        <w:rPr>
          <w:rFonts w:ascii="宋体" w:hAnsi="宋体"/>
          <w:b/>
          <w:bCs/>
          <w:color w:val="auto"/>
          <w:sz w:val="32"/>
          <w:szCs w:val="32"/>
          <w:highlight w:val="none"/>
        </w:rPr>
      </w:pPr>
      <w:bookmarkStart w:id="184" w:name="_Toc373478346"/>
      <w:bookmarkStart w:id="185" w:name="_Toc453940972"/>
      <w:bookmarkStart w:id="186" w:name="_Toc472931606"/>
      <w:bookmarkStart w:id="187" w:name="_Toc531186602"/>
      <w:bookmarkStart w:id="188" w:name="_Toc373227699"/>
      <w:bookmarkStart w:id="189" w:name="_Toc470247800"/>
      <w:bookmarkStart w:id="190" w:name="_Toc461179240"/>
      <w:bookmarkStart w:id="191" w:name="_Toc411345179"/>
      <w:bookmarkStart w:id="192" w:name="_Toc529526973"/>
      <w:bookmarkStart w:id="193" w:name="_Toc454211110"/>
      <w:bookmarkStart w:id="194" w:name="_Toc529547325"/>
      <w:bookmarkStart w:id="195" w:name="_Toc389065265"/>
      <w:bookmarkStart w:id="196" w:name="_Toc530144467"/>
      <w:r>
        <w:rPr>
          <w:rFonts w:ascii="宋体" w:hAnsi="宋体"/>
          <w:b/>
          <w:bCs/>
          <w:color w:val="auto"/>
          <w:sz w:val="32"/>
          <w:szCs w:val="32"/>
          <w:highlight w:val="none"/>
        </w:rPr>
        <w:t>1.10 交通运输</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49CD45E9">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bookmarkStart w:id="197" w:name="_Toc312677986"/>
      <w:bookmarkStart w:id="198" w:name="_Toc318581155"/>
      <w:bookmarkStart w:id="199" w:name="_Toc300934943"/>
      <w:bookmarkStart w:id="200" w:name="_Toc303539100"/>
      <w:bookmarkStart w:id="201" w:name="_Toc304295521"/>
      <w:r>
        <w:rPr>
          <w:rFonts w:ascii="宋体" w:hAnsi="宋体"/>
          <w:color w:val="auto"/>
          <w:szCs w:val="21"/>
          <w:highlight w:val="none"/>
        </w:rPr>
        <w:t>.10.1 出入现场的权利</w:t>
      </w:r>
    </w:p>
    <w:p w14:paraId="1BE265D7">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关于出入现场的权利的约定：</w:t>
      </w:r>
      <w:r>
        <w:rPr>
          <w:rFonts w:hint="eastAsia" w:ascii="宋体" w:hAnsi="宋体"/>
          <w:color w:val="auto"/>
          <w:szCs w:val="21"/>
          <w:highlight w:val="none"/>
          <w:u w:val="single"/>
        </w:rPr>
        <w:t>由承包人按发包人要求负责取得出入施工现场所需的批准手续</w:t>
      </w:r>
    </w:p>
    <w:bookmarkEnd w:id="197"/>
    <w:bookmarkEnd w:id="198"/>
    <w:bookmarkEnd w:id="199"/>
    <w:bookmarkEnd w:id="200"/>
    <w:bookmarkEnd w:id="201"/>
    <w:p w14:paraId="0FD63C9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bookmarkStart w:id="202" w:name="_Toc312677987"/>
      <w:bookmarkStart w:id="203" w:name="_Toc300934944"/>
      <w:bookmarkStart w:id="204" w:name="_Toc318581156"/>
      <w:bookmarkStart w:id="205" w:name="_Toc303539101"/>
      <w:bookmarkStart w:id="206" w:name="_Toc304295522"/>
      <w:r>
        <w:rPr>
          <w:rFonts w:ascii="宋体" w:hAnsi="宋体"/>
          <w:color w:val="auto"/>
          <w:szCs w:val="21"/>
          <w:highlight w:val="none"/>
        </w:rPr>
        <w:t>.10.3 场内交通</w:t>
      </w:r>
    </w:p>
    <w:p w14:paraId="4D6535DD">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ascii="宋体" w:hAnsi="宋体"/>
          <w:color w:val="auto"/>
          <w:szCs w:val="21"/>
          <w:highlight w:val="none"/>
          <w:u w:val="single"/>
        </w:rPr>
        <w:t></w:t>
      </w:r>
      <w:r>
        <w:rPr>
          <w:rFonts w:hint="eastAsia" w:ascii="宋体" w:hAnsi="宋体"/>
          <w:bCs/>
          <w:color w:val="auto"/>
          <w:szCs w:val="21"/>
          <w:highlight w:val="none"/>
          <w:u w:val="single"/>
        </w:rPr>
        <w:t>施工现场红线为界</w:t>
      </w:r>
      <w:r>
        <w:rPr>
          <w:rFonts w:ascii="宋体" w:hAnsi="宋体"/>
          <w:color w:val="auto"/>
          <w:szCs w:val="21"/>
          <w:highlight w:val="none"/>
        </w:rPr>
        <w:t>。</w:t>
      </w:r>
    </w:p>
    <w:p w14:paraId="3C1ED43D">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由承包人自行解决 </w:t>
      </w:r>
      <w:r>
        <w:rPr>
          <w:rFonts w:ascii="宋体" w:hAnsi="宋体"/>
          <w:color w:val="auto"/>
          <w:szCs w:val="21"/>
          <w:highlight w:val="none"/>
        </w:rPr>
        <w:t>。</w:t>
      </w:r>
      <w:bookmarkEnd w:id="202"/>
      <w:bookmarkEnd w:id="203"/>
      <w:bookmarkEnd w:id="204"/>
      <w:bookmarkEnd w:id="205"/>
      <w:bookmarkEnd w:id="206"/>
      <w:bookmarkStart w:id="207" w:name="_Toc318581157"/>
    </w:p>
    <w:p w14:paraId="268861B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1.10.4超大件和超重件的运输</w:t>
      </w:r>
    </w:p>
    <w:p w14:paraId="247874FA">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ascii="宋体" w:hAnsi="宋体"/>
          <w:color w:val="auto"/>
          <w:szCs w:val="21"/>
          <w:highlight w:val="none"/>
        </w:rPr>
        <w:t>承担。</w:t>
      </w:r>
    </w:p>
    <w:bookmarkEnd w:id="207"/>
    <w:p w14:paraId="6021E727">
      <w:pPr>
        <w:keepNext/>
        <w:keepLines/>
        <w:spacing w:before="260" w:after="260" w:line="416" w:lineRule="auto"/>
        <w:outlineLvl w:val="2"/>
        <w:rPr>
          <w:rFonts w:ascii="宋体" w:hAnsi="宋体"/>
          <w:b/>
          <w:bCs/>
          <w:color w:val="auto"/>
          <w:sz w:val="32"/>
          <w:szCs w:val="32"/>
          <w:highlight w:val="none"/>
        </w:rPr>
      </w:pPr>
      <w:bookmarkStart w:id="208" w:name="_Toc531186603"/>
      <w:bookmarkStart w:id="209" w:name="_Toc472931607"/>
      <w:bookmarkStart w:id="210" w:name="_Toc461179241"/>
      <w:bookmarkStart w:id="211" w:name="_Toc529526974"/>
      <w:bookmarkStart w:id="212" w:name="_Toc470247801"/>
      <w:bookmarkStart w:id="213" w:name="_Toc454211111"/>
      <w:bookmarkStart w:id="214" w:name="_Toc530144468"/>
      <w:bookmarkStart w:id="215" w:name="_Toc529547326"/>
      <w:bookmarkStart w:id="216" w:name="_Toc453940973"/>
      <w:bookmarkStart w:id="217" w:name="_Toc373227700"/>
      <w:bookmarkStart w:id="218" w:name="_Toc389065266"/>
      <w:bookmarkStart w:id="219" w:name="_Toc411345180"/>
      <w:bookmarkStart w:id="220" w:name="_Toc373478347"/>
      <w:r>
        <w:rPr>
          <w:rFonts w:ascii="宋体" w:hAnsi="宋体"/>
          <w:b/>
          <w:bCs/>
          <w:color w:val="auto"/>
          <w:sz w:val="32"/>
          <w:szCs w:val="32"/>
          <w:highlight w:val="none"/>
        </w:rPr>
        <w:t>1.11 知识产权</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3AFEE705">
      <w:pPr>
        <w:spacing w:line="360" w:lineRule="auto"/>
        <w:ind w:firstLine="420" w:firstLineChars="200"/>
        <w:rPr>
          <w:rFonts w:ascii="宋体" w:hAnsi="宋体"/>
          <w:color w:val="auto"/>
          <w:szCs w:val="21"/>
          <w:highlight w:val="none"/>
        </w:rPr>
      </w:pPr>
      <w:r>
        <w:rPr>
          <w:rFonts w:ascii="宋体" w:hAnsi="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b/>
          <w:color w:val="auto"/>
          <w:szCs w:val="21"/>
          <w:highlight w:val="none"/>
          <w:u w:val="single"/>
        </w:rPr>
        <w:t>归属发包人所有，承包人不得向其他人转借、出售或泄露与本项目有关的上述文件资料情况。</w:t>
      </w:r>
    </w:p>
    <w:p w14:paraId="41D8F5DC">
      <w:pPr>
        <w:spacing w:line="360" w:lineRule="auto"/>
        <w:ind w:firstLine="420" w:firstLineChars="200"/>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b/>
          <w:color w:val="auto"/>
          <w:szCs w:val="21"/>
          <w:highlight w:val="none"/>
          <w:u w:val="single"/>
        </w:rPr>
        <w:t>仅使用于本项目的建设</w:t>
      </w:r>
      <w:r>
        <w:rPr>
          <w:rFonts w:ascii="宋体" w:hAnsi="宋体"/>
          <w:color w:val="auto"/>
          <w:szCs w:val="21"/>
          <w:highlight w:val="none"/>
        </w:rPr>
        <w:t>。</w:t>
      </w:r>
    </w:p>
    <w:p w14:paraId="6E9015EE">
      <w:pPr>
        <w:spacing w:line="360" w:lineRule="auto"/>
        <w:ind w:firstLine="420" w:firstLineChars="200"/>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hint="eastAsia" w:ascii="宋体" w:hAnsi="宋体"/>
          <w:b/>
          <w:color w:val="auto"/>
          <w:szCs w:val="21"/>
          <w:highlight w:val="none"/>
          <w:u w:val="single"/>
        </w:rPr>
        <w:t>发包人</w:t>
      </w:r>
      <w:r>
        <w:rPr>
          <w:rFonts w:ascii="宋体" w:hAnsi="宋体"/>
          <w:color w:val="auto"/>
          <w:szCs w:val="21"/>
          <w:highlight w:val="none"/>
        </w:rPr>
        <w:t>。</w:t>
      </w:r>
    </w:p>
    <w:p w14:paraId="0E2B0051">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ascii="宋体" w:hAnsi="宋体"/>
          <w:color w:val="auto"/>
          <w:szCs w:val="21"/>
          <w:highlight w:val="none"/>
          <w:u w:val="single"/>
        </w:rPr>
        <w:t></w:t>
      </w:r>
      <w:r>
        <w:rPr>
          <w:rFonts w:hint="eastAsia" w:ascii="宋体" w:hAnsi="宋体"/>
          <w:b/>
          <w:color w:val="auto"/>
          <w:szCs w:val="21"/>
          <w:highlight w:val="none"/>
          <w:u w:val="single"/>
        </w:rPr>
        <w:t>仅限本项目使用</w:t>
      </w:r>
      <w:r>
        <w:rPr>
          <w:rFonts w:ascii="宋体" w:hAnsi="宋体"/>
          <w:color w:val="auto"/>
          <w:szCs w:val="21"/>
          <w:highlight w:val="none"/>
          <w:u w:val="single"/>
        </w:rPr>
        <w:t></w:t>
      </w:r>
      <w:r>
        <w:rPr>
          <w:rFonts w:ascii="宋体" w:hAnsi="宋体"/>
          <w:color w:val="auto"/>
          <w:szCs w:val="21"/>
          <w:highlight w:val="none"/>
        </w:rPr>
        <w:t>。</w:t>
      </w:r>
    </w:p>
    <w:p w14:paraId="6E31AF81">
      <w:pPr>
        <w:spacing w:line="360" w:lineRule="auto"/>
        <w:ind w:firstLine="420" w:firstLineChars="200"/>
        <w:rPr>
          <w:rFonts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b/>
          <w:color w:val="auto"/>
          <w:szCs w:val="21"/>
          <w:highlight w:val="none"/>
          <w:u w:val="single"/>
        </w:rPr>
        <w:t>承包人自行承担</w:t>
      </w:r>
      <w:r>
        <w:rPr>
          <w:rFonts w:ascii="宋体" w:hAnsi="宋体"/>
          <w:color w:val="auto"/>
          <w:kern w:val="0"/>
          <w:szCs w:val="21"/>
          <w:highlight w:val="none"/>
        </w:rPr>
        <w:t>。</w:t>
      </w:r>
    </w:p>
    <w:p w14:paraId="1A299BE2">
      <w:pPr>
        <w:keepNext/>
        <w:keepLines/>
        <w:spacing w:before="260" w:after="260" w:line="416" w:lineRule="auto"/>
        <w:outlineLvl w:val="2"/>
        <w:rPr>
          <w:rFonts w:ascii="宋体" w:hAnsi="宋体"/>
          <w:b/>
          <w:bCs/>
          <w:color w:val="auto"/>
          <w:sz w:val="32"/>
          <w:szCs w:val="32"/>
          <w:highlight w:val="none"/>
        </w:rPr>
      </w:pPr>
      <w:bookmarkStart w:id="221" w:name="_Toc461179242"/>
      <w:bookmarkStart w:id="222" w:name="_Toc529547327"/>
      <w:bookmarkStart w:id="223" w:name="_Toc373478348"/>
      <w:bookmarkStart w:id="224" w:name="_Toc531186604"/>
      <w:bookmarkStart w:id="225" w:name="_Toc389065267"/>
      <w:bookmarkStart w:id="226" w:name="_Toc453940974"/>
      <w:bookmarkStart w:id="227" w:name="_Toc373227701"/>
      <w:bookmarkStart w:id="228" w:name="_Toc472931608"/>
      <w:bookmarkStart w:id="229" w:name="_Toc411345181"/>
      <w:bookmarkStart w:id="230" w:name="_Toc530144469"/>
      <w:bookmarkStart w:id="231" w:name="_Toc454211112"/>
      <w:bookmarkStart w:id="232" w:name="_Toc529526975"/>
      <w:bookmarkStart w:id="233" w:name="_Toc470247802"/>
      <w:r>
        <w:rPr>
          <w:rFonts w:ascii="宋体" w:hAnsi="宋体"/>
          <w:b/>
          <w:bCs/>
          <w:color w:val="auto"/>
          <w:sz w:val="32"/>
          <w:szCs w:val="32"/>
          <w:highlight w:val="none"/>
        </w:rPr>
        <w:t>1.13工程量清单错误的修正</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3616F7C0">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出现工程量清单工程量偏差，是否调整合同价格：</w:t>
      </w:r>
      <w:r>
        <w:rPr>
          <w:rFonts w:hint="eastAsia" w:hAnsi="宋体"/>
          <w:color w:val="auto"/>
          <w:szCs w:val="21"/>
          <w:highlight w:val="none"/>
          <w:u w:val="single"/>
          <w:lang w:val="en-US" w:eastAsia="zh-CN"/>
        </w:rPr>
        <w:t xml:space="preserve"> </w:t>
      </w:r>
      <w:r>
        <w:rPr>
          <w:rFonts w:hint="eastAsia" w:ascii="宋体" w:hAnsi="宋体"/>
          <w:color w:val="auto"/>
          <w:szCs w:val="21"/>
          <w:highlight w:val="none"/>
          <w:u w:val="single"/>
        </w:rPr>
        <w:t>合同履行期间，由于招标工程量清单缺项、漏项，新增分部分项工程清单项目的，按照以下规定确定单价，并调整</w:t>
      </w:r>
      <w:r>
        <w:rPr>
          <w:rFonts w:hint="eastAsia"/>
          <w:color w:val="auto"/>
          <w:szCs w:val="21"/>
          <w:highlight w:val="none"/>
          <w:u w:val="single"/>
        </w:rPr>
        <w:t>清单综合单价</w:t>
      </w:r>
      <w:r>
        <w:rPr>
          <w:rFonts w:hint="eastAsia" w:ascii="宋体" w:hAnsi="宋体"/>
          <w:color w:val="auto"/>
          <w:szCs w:val="21"/>
          <w:highlight w:val="none"/>
          <w:u w:val="single"/>
        </w:rPr>
        <w:t>：（</w:t>
      </w:r>
      <w:r>
        <w:rPr>
          <w:rFonts w:hAnsi="宋体"/>
          <w:color w:val="auto"/>
          <w:szCs w:val="21"/>
          <w:highlight w:val="none"/>
          <w:u w:val="single"/>
        </w:rPr>
        <w:t>1</w:t>
      </w:r>
      <w:r>
        <w:rPr>
          <w:rFonts w:hint="eastAsia" w:ascii="宋体" w:hAnsi="宋体"/>
          <w:color w:val="auto"/>
          <w:szCs w:val="21"/>
          <w:highlight w:val="none"/>
          <w:u w:val="single"/>
        </w:rPr>
        <w:t>）合同中已有相同子目的，按合同该子目价格进行计算；（</w:t>
      </w:r>
      <w:r>
        <w:rPr>
          <w:rFonts w:hAnsi="宋体"/>
          <w:color w:val="auto"/>
          <w:szCs w:val="21"/>
          <w:highlight w:val="none"/>
          <w:u w:val="single"/>
        </w:rPr>
        <w:t>2</w:t>
      </w:r>
      <w:r>
        <w:rPr>
          <w:rFonts w:hint="eastAsia" w:ascii="宋体" w:hAnsi="宋体"/>
          <w:color w:val="auto"/>
          <w:szCs w:val="21"/>
          <w:highlight w:val="none"/>
          <w:u w:val="single"/>
        </w:rPr>
        <w:t>）合同中只有类似子目的，参照该类似子目价格进行计算；（</w:t>
      </w:r>
      <w:r>
        <w:rPr>
          <w:rFonts w:hAnsi="宋体"/>
          <w:color w:val="auto"/>
          <w:szCs w:val="21"/>
          <w:highlight w:val="none"/>
          <w:u w:val="single"/>
        </w:rPr>
        <w:t>3</w:t>
      </w:r>
      <w:r>
        <w:rPr>
          <w:rFonts w:hint="eastAsia" w:ascii="宋体" w:hAnsi="宋体"/>
          <w:color w:val="auto"/>
          <w:szCs w:val="21"/>
          <w:highlight w:val="none"/>
          <w:u w:val="single"/>
        </w:rPr>
        <w:t>）合同中没有适用或类似子目的价格计算方法：有定额的套定额（含石方工程），并乘以下浮系数（中标价/工程招标控制价）计算，其中材料价格按施工期间的《防城港市建设工程造价信息》相应价格信息计算；《防城港市建设工程造价信息》没有相应价格信息的按市场价计算；无定额可套的，根据市场价格协商确定综合价格；新增项目的单价必须事前经招标人审定。除以上情况之外出现工程量清单错误的，不调整</w:t>
      </w:r>
      <w:r>
        <w:rPr>
          <w:rFonts w:hint="eastAsia"/>
          <w:color w:val="auto"/>
          <w:szCs w:val="21"/>
          <w:highlight w:val="none"/>
          <w:u w:val="single"/>
        </w:rPr>
        <w:t>清单综合单价</w:t>
      </w:r>
      <w:r>
        <w:rPr>
          <w:rFonts w:hint="eastAsia" w:hAnsi="宋体" w:cs="宋体"/>
          <w:color w:val="auto"/>
          <w:kern w:val="0"/>
          <w:highlight w:val="none"/>
        </w:rPr>
        <w:t>。</w:t>
      </w:r>
      <w:r>
        <w:rPr>
          <w:rFonts w:hint="eastAsia" w:hAnsi="宋体"/>
          <w:color w:val="auto"/>
          <w:szCs w:val="21"/>
          <w:highlight w:val="none"/>
          <w:u w:val="none"/>
          <w:lang w:val="en-US" w:eastAsia="zh-CN"/>
        </w:rPr>
        <w:t xml:space="preserve">    </w:t>
      </w:r>
    </w:p>
    <w:p w14:paraId="5EA0BE49">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none"/>
        </w:rPr>
        <w:t>允许调整合同价格的工程量偏差范围及其调整办法</w:t>
      </w:r>
      <w:r>
        <w:rPr>
          <w:rFonts w:hint="eastAsia" w:ascii="宋体" w:hAnsi="宋体"/>
          <w:color w:val="auto"/>
          <w:szCs w:val="21"/>
          <w:highlight w:val="none"/>
          <w:u w:val="single"/>
        </w:rPr>
        <w:t>：实际完成工程量超过±15%时允许调整，按</w:t>
      </w:r>
      <w:r>
        <w:rPr>
          <w:rFonts w:hint="eastAsia" w:hAnsi="宋体"/>
          <w:color w:val="auto"/>
          <w:szCs w:val="21"/>
          <w:highlight w:val="none"/>
          <w:u w:val="single"/>
          <w:lang w:eastAsia="zh-CN"/>
        </w:rPr>
        <w:t>《</w:t>
      </w:r>
      <w:r>
        <w:rPr>
          <w:rFonts w:hint="eastAsia" w:ascii="宋体" w:hAnsi="宋体"/>
          <w:color w:val="auto"/>
          <w:szCs w:val="21"/>
          <w:highlight w:val="none"/>
          <w:u w:val="single"/>
        </w:rPr>
        <w:t>GB 50500-2013</w:t>
      </w:r>
      <w:r>
        <w:rPr>
          <w:rFonts w:hint="eastAsia" w:ascii="微软雅黑" w:hAnsi="微软雅黑" w:eastAsia="微软雅黑" w:cs="微软雅黑"/>
          <w:color w:val="auto"/>
          <w:szCs w:val="21"/>
          <w:highlight w:val="none"/>
          <w:u w:val="single"/>
          <w:lang w:eastAsia="zh-CN"/>
        </w:rPr>
        <w:t>〈</w:t>
      </w:r>
      <w:r>
        <w:rPr>
          <w:rFonts w:hint="eastAsia" w:ascii="宋体" w:hAnsi="宋体"/>
          <w:color w:val="auto"/>
          <w:szCs w:val="21"/>
          <w:highlight w:val="none"/>
          <w:u w:val="single"/>
        </w:rPr>
        <w:t>建设工程工程量清单计价规范</w:t>
      </w:r>
      <w:r>
        <w:rPr>
          <w:rFonts w:hint="eastAsia" w:ascii="微软雅黑" w:hAnsi="微软雅黑" w:eastAsia="微软雅黑" w:cs="微软雅黑"/>
          <w:color w:val="auto"/>
          <w:szCs w:val="21"/>
          <w:highlight w:val="none"/>
          <w:u w:val="single"/>
          <w:lang w:eastAsia="zh-CN"/>
        </w:rPr>
        <w:t>〉</w:t>
      </w:r>
      <w:r>
        <w:rPr>
          <w:rFonts w:hint="eastAsia" w:ascii="宋体" w:hAnsi="宋体"/>
          <w:color w:val="auto"/>
          <w:szCs w:val="21"/>
          <w:highlight w:val="none"/>
          <w:u w:val="single"/>
        </w:rPr>
        <w:t>广西壮族自治区实施细则</w:t>
      </w:r>
      <w:r>
        <w:rPr>
          <w:rFonts w:hint="eastAsia" w:hAnsi="宋体"/>
          <w:color w:val="auto"/>
          <w:szCs w:val="21"/>
          <w:highlight w:val="none"/>
          <w:u w:val="single"/>
          <w:lang w:eastAsia="zh-CN"/>
        </w:rPr>
        <w:t>》</w:t>
      </w:r>
      <w:r>
        <w:rPr>
          <w:rFonts w:hint="eastAsia" w:ascii="宋体" w:hAnsi="宋体"/>
          <w:color w:val="auto"/>
          <w:szCs w:val="21"/>
          <w:highlight w:val="none"/>
          <w:u w:val="single"/>
        </w:rPr>
        <w:t>进行调整</w:t>
      </w:r>
      <w:r>
        <w:rPr>
          <w:rFonts w:ascii="宋体" w:hAnsi="宋体"/>
          <w:color w:val="auto"/>
          <w:szCs w:val="21"/>
          <w:highlight w:val="none"/>
          <w:u w:val="single"/>
        </w:rPr>
        <w:t>。</w:t>
      </w:r>
    </w:p>
    <w:p w14:paraId="0565E66E">
      <w:pPr>
        <w:keepNext/>
        <w:keepLines/>
        <w:spacing w:before="260" w:after="260" w:line="416" w:lineRule="auto"/>
        <w:outlineLvl w:val="2"/>
        <w:rPr>
          <w:rFonts w:ascii="宋体" w:hAnsi="宋体"/>
          <w:b/>
          <w:bCs/>
          <w:color w:val="auto"/>
          <w:sz w:val="32"/>
          <w:szCs w:val="32"/>
          <w:highlight w:val="none"/>
        </w:rPr>
      </w:pPr>
      <w:bookmarkStart w:id="234" w:name="_Toc470247803"/>
      <w:bookmarkStart w:id="235" w:name="_Toc472931609"/>
      <w:bookmarkStart w:id="236" w:name="_Toc529526976"/>
      <w:bookmarkStart w:id="237" w:name="_Toc461179243"/>
      <w:bookmarkStart w:id="238" w:name="_Toc454211113"/>
      <w:bookmarkStart w:id="239" w:name="_Toc529547328"/>
      <w:bookmarkStart w:id="240" w:name="_Toc530144470"/>
      <w:bookmarkStart w:id="241" w:name="_Toc531186605"/>
      <w:r>
        <w:rPr>
          <w:rFonts w:ascii="宋体" w:hAnsi="宋体"/>
          <w:b/>
          <w:bCs/>
          <w:color w:val="auto"/>
          <w:sz w:val="32"/>
          <w:szCs w:val="32"/>
          <w:highlight w:val="none"/>
        </w:rPr>
        <w:t>2</w:t>
      </w:r>
      <w:bookmarkStart w:id="242" w:name="_Toc296503157"/>
      <w:bookmarkStart w:id="243" w:name="_Toc296944496"/>
      <w:bookmarkStart w:id="244" w:name="_Toc292559867"/>
      <w:bookmarkStart w:id="245" w:name="_Toc296890985"/>
      <w:bookmarkStart w:id="246" w:name="_Toc296346658"/>
      <w:bookmarkStart w:id="247" w:name="_Toc297120457"/>
      <w:bookmarkStart w:id="248" w:name="_Toc296891197"/>
      <w:bookmarkStart w:id="249" w:name="_Toc297048343"/>
      <w:bookmarkStart w:id="250" w:name="_Toc292559362"/>
      <w:bookmarkStart w:id="251" w:name="_Toc296347156"/>
      <w:r>
        <w:rPr>
          <w:rFonts w:ascii="宋体" w:hAnsi="宋体"/>
          <w:b/>
          <w:bCs/>
          <w:color w:val="auto"/>
          <w:sz w:val="32"/>
          <w:szCs w:val="32"/>
          <w:highlight w:val="none"/>
        </w:rPr>
        <w:t>. 发包人</w:t>
      </w:r>
      <w:bookmarkEnd w:id="234"/>
      <w:bookmarkEnd w:id="235"/>
      <w:bookmarkEnd w:id="236"/>
      <w:bookmarkEnd w:id="237"/>
      <w:bookmarkEnd w:id="238"/>
      <w:bookmarkEnd w:id="239"/>
      <w:bookmarkEnd w:id="240"/>
      <w:bookmarkEnd w:id="241"/>
    </w:p>
    <w:bookmarkEnd w:id="242"/>
    <w:bookmarkEnd w:id="243"/>
    <w:bookmarkEnd w:id="244"/>
    <w:bookmarkEnd w:id="245"/>
    <w:bookmarkEnd w:id="246"/>
    <w:bookmarkEnd w:id="247"/>
    <w:bookmarkEnd w:id="248"/>
    <w:bookmarkEnd w:id="249"/>
    <w:bookmarkEnd w:id="250"/>
    <w:bookmarkEnd w:id="251"/>
    <w:p w14:paraId="4E12BFA5">
      <w:pPr>
        <w:keepNext/>
        <w:keepLines/>
        <w:spacing w:before="260" w:after="260" w:line="416" w:lineRule="auto"/>
        <w:outlineLvl w:val="2"/>
        <w:rPr>
          <w:rFonts w:ascii="宋体" w:hAnsi="宋体"/>
          <w:b/>
          <w:bCs/>
          <w:color w:val="auto"/>
          <w:sz w:val="32"/>
          <w:szCs w:val="32"/>
          <w:highlight w:val="none"/>
        </w:rPr>
      </w:pPr>
      <w:bookmarkStart w:id="252" w:name="_Toc470247804"/>
      <w:bookmarkStart w:id="253" w:name="_Toc373478350"/>
      <w:bookmarkStart w:id="254" w:name="_Toc432343891"/>
      <w:bookmarkStart w:id="255" w:name="_Toc373227703"/>
      <w:bookmarkStart w:id="256" w:name="_Toc529526977"/>
      <w:bookmarkStart w:id="257" w:name="_Toc411345184"/>
      <w:bookmarkStart w:id="258" w:name="_Toc454211115"/>
      <w:bookmarkStart w:id="259" w:name="_Toc530144471"/>
      <w:bookmarkStart w:id="260" w:name="_Toc461179245"/>
      <w:bookmarkStart w:id="261" w:name="_Toc472931610"/>
      <w:bookmarkStart w:id="262" w:name="_Toc529547329"/>
      <w:bookmarkStart w:id="263" w:name="_Toc389065269"/>
      <w:bookmarkStart w:id="264" w:name="_Toc531186606"/>
      <w:r>
        <w:rPr>
          <w:rFonts w:ascii="宋体" w:hAnsi="宋体"/>
          <w:b/>
          <w:bCs/>
          <w:color w:val="auto"/>
          <w:sz w:val="32"/>
          <w:szCs w:val="32"/>
          <w:highlight w:val="none"/>
        </w:rPr>
        <w:t>2.2 发包人代表</w:t>
      </w:r>
      <w:bookmarkEnd w:id="252"/>
      <w:bookmarkEnd w:id="253"/>
      <w:bookmarkEnd w:id="254"/>
      <w:bookmarkEnd w:id="255"/>
      <w:bookmarkEnd w:id="256"/>
      <w:bookmarkEnd w:id="257"/>
      <w:bookmarkEnd w:id="258"/>
      <w:bookmarkEnd w:id="259"/>
      <w:bookmarkEnd w:id="260"/>
      <w:bookmarkEnd w:id="261"/>
      <w:bookmarkEnd w:id="262"/>
      <w:bookmarkEnd w:id="263"/>
      <w:bookmarkEnd w:id="264"/>
    </w:p>
    <w:p w14:paraId="307A0021">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发包人代表：</w:t>
      </w:r>
    </w:p>
    <w:p w14:paraId="2CD83137">
      <w:pPr>
        <w:spacing w:line="360" w:lineRule="auto"/>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    </w:t>
      </w:r>
      <w:r>
        <w:rPr>
          <w:rFonts w:ascii="宋体" w:hAnsi="宋体"/>
          <w:color w:val="auto"/>
          <w:szCs w:val="21"/>
          <w:highlight w:val="none"/>
        </w:rPr>
        <w:t>；</w:t>
      </w:r>
    </w:p>
    <w:p w14:paraId="21BB8B81">
      <w:pPr>
        <w:spacing w:line="360" w:lineRule="auto"/>
        <w:ind w:firstLine="420" w:firstLineChars="200"/>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     </w:t>
      </w:r>
      <w:r>
        <w:rPr>
          <w:rFonts w:ascii="宋体" w:hAnsi="宋体"/>
          <w:color w:val="auto"/>
          <w:szCs w:val="21"/>
          <w:highlight w:val="none"/>
        </w:rPr>
        <w:t>；</w:t>
      </w:r>
    </w:p>
    <w:p w14:paraId="31308E11">
      <w:pPr>
        <w:spacing w:line="360" w:lineRule="auto"/>
        <w:ind w:firstLine="420" w:firstLineChars="200"/>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0425DECE">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 </w:t>
      </w:r>
      <w:r>
        <w:rPr>
          <w:rFonts w:ascii="宋体" w:hAnsi="宋体"/>
          <w:color w:val="auto"/>
          <w:szCs w:val="21"/>
          <w:highlight w:val="none"/>
        </w:rPr>
        <w:t>；</w:t>
      </w:r>
    </w:p>
    <w:p w14:paraId="21CA7012">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  </w:t>
      </w:r>
      <w:r>
        <w:rPr>
          <w:rFonts w:ascii="宋体" w:hAnsi="宋体"/>
          <w:color w:val="auto"/>
          <w:szCs w:val="21"/>
          <w:highlight w:val="none"/>
        </w:rPr>
        <w:t>；</w:t>
      </w:r>
    </w:p>
    <w:p w14:paraId="186A938F">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p>
    <w:p w14:paraId="55C83485">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发包人对发包人代表的授权范围如下：</w:t>
      </w:r>
      <w:r>
        <w:rPr>
          <w:rFonts w:ascii="宋体" w:hAnsi="宋体"/>
          <w:color w:val="auto"/>
          <w:szCs w:val="21"/>
          <w:highlight w:val="none"/>
          <w:u w:val="single"/>
        </w:rPr>
        <w:t></w:t>
      </w:r>
      <w:r>
        <w:rPr>
          <w:rFonts w:hint="eastAsia" w:ascii="Calibri" w:hAnsi="宋体"/>
          <w:color w:val="auto"/>
          <w:sz w:val="22"/>
          <w:szCs w:val="22"/>
          <w:highlight w:val="none"/>
          <w:u w:val="single"/>
        </w:rPr>
        <w:t>以发包人签署予发包人代表的授权委托书的授权范围为准</w:t>
      </w:r>
      <w:r>
        <w:rPr>
          <w:rFonts w:ascii="宋体" w:hAnsi="宋体"/>
          <w:color w:val="auto"/>
          <w:szCs w:val="21"/>
          <w:highlight w:val="none"/>
        </w:rPr>
        <w:t>。</w:t>
      </w:r>
    </w:p>
    <w:p w14:paraId="1E69A556">
      <w:pPr>
        <w:keepNext/>
        <w:keepLines/>
        <w:spacing w:before="260" w:after="260" w:line="416" w:lineRule="auto"/>
        <w:outlineLvl w:val="2"/>
        <w:rPr>
          <w:rFonts w:ascii="宋体" w:hAnsi="宋体"/>
          <w:b/>
          <w:bCs/>
          <w:color w:val="auto"/>
          <w:sz w:val="32"/>
          <w:szCs w:val="21"/>
          <w:highlight w:val="none"/>
        </w:rPr>
      </w:pPr>
      <w:bookmarkStart w:id="265" w:name="_Toc531186607"/>
      <w:bookmarkStart w:id="266" w:name="_Toc389065270"/>
      <w:bookmarkStart w:id="267" w:name="_Toc454211116"/>
      <w:bookmarkStart w:id="268" w:name="_Toc411345185"/>
      <w:bookmarkStart w:id="269" w:name="_Toc529526978"/>
      <w:bookmarkStart w:id="270" w:name="_Toc432343892"/>
      <w:bookmarkStart w:id="271" w:name="_Toc529547330"/>
      <w:bookmarkStart w:id="272" w:name="_Toc461179246"/>
      <w:bookmarkStart w:id="273" w:name="_Toc373227704"/>
      <w:bookmarkStart w:id="274" w:name="_Toc530144472"/>
      <w:bookmarkStart w:id="275" w:name="_Toc373478351"/>
      <w:bookmarkStart w:id="276" w:name="_Toc472931611"/>
      <w:bookmarkStart w:id="277" w:name="_Toc470247805"/>
      <w:r>
        <w:rPr>
          <w:rFonts w:ascii="宋体" w:hAnsi="宋体"/>
          <w:b/>
          <w:bCs/>
          <w:color w:val="auto"/>
          <w:sz w:val="32"/>
          <w:szCs w:val="21"/>
          <w:highlight w:val="none"/>
        </w:rPr>
        <w:t>2.4 施工现场、施工条件和基础资料的提供</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3EB64C3F">
      <w:pPr>
        <w:spacing w:line="360" w:lineRule="auto"/>
        <w:ind w:firstLine="420" w:firstLineChars="200"/>
        <w:rPr>
          <w:rFonts w:ascii="宋体" w:hAnsi="宋体"/>
          <w:color w:val="auto"/>
          <w:szCs w:val="21"/>
          <w:highlight w:val="none"/>
        </w:rPr>
      </w:pPr>
      <w:r>
        <w:rPr>
          <w:rFonts w:ascii="宋体" w:hAnsi="宋体"/>
          <w:color w:val="auto"/>
          <w:szCs w:val="21"/>
          <w:highlight w:val="none"/>
        </w:rPr>
        <w:t>2.4.1 提供施工现场</w:t>
      </w:r>
    </w:p>
    <w:p w14:paraId="1BC641A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关于发包人移交施工现场的期限要求：</w:t>
      </w:r>
      <w:r>
        <w:rPr>
          <w:rFonts w:ascii="宋体" w:hAnsi="宋体"/>
          <w:color w:val="auto"/>
          <w:szCs w:val="21"/>
          <w:highlight w:val="none"/>
          <w:u w:val="single"/>
        </w:rPr>
        <w:t></w:t>
      </w:r>
      <w:r>
        <w:rPr>
          <w:rFonts w:hint="eastAsia" w:ascii="宋体" w:hAnsi="宋体"/>
          <w:bCs/>
          <w:color w:val="auto"/>
          <w:szCs w:val="21"/>
          <w:highlight w:val="none"/>
          <w:u w:val="single"/>
        </w:rPr>
        <w:t>开工前7天内</w:t>
      </w:r>
      <w:r>
        <w:rPr>
          <w:rFonts w:ascii="宋体" w:hAnsi="宋体"/>
          <w:color w:val="auto"/>
          <w:szCs w:val="21"/>
          <w:highlight w:val="none"/>
          <w:u w:val="single"/>
        </w:rPr>
        <w:t></w:t>
      </w:r>
      <w:r>
        <w:rPr>
          <w:rFonts w:ascii="宋体" w:hAnsi="宋体"/>
          <w:color w:val="auto"/>
          <w:szCs w:val="21"/>
          <w:highlight w:val="none"/>
        </w:rPr>
        <w:t>。</w:t>
      </w:r>
    </w:p>
    <w:p w14:paraId="3906D888">
      <w:pPr>
        <w:spacing w:line="360" w:lineRule="auto"/>
        <w:ind w:firstLine="420" w:firstLineChars="200"/>
        <w:rPr>
          <w:rFonts w:ascii="宋体" w:hAnsi="宋体"/>
          <w:color w:val="auto"/>
          <w:szCs w:val="21"/>
          <w:highlight w:val="none"/>
        </w:rPr>
      </w:pPr>
      <w:r>
        <w:rPr>
          <w:rFonts w:ascii="宋体" w:hAnsi="宋体"/>
          <w:color w:val="auto"/>
          <w:szCs w:val="21"/>
          <w:highlight w:val="none"/>
        </w:rPr>
        <w:t>2.4.2 提供施工条件</w:t>
      </w:r>
    </w:p>
    <w:p w14:paraId="162B6084">
      <w:pPr>
        <w:pStyle w:val="228"/>
        <w:spacing w:line="360" w:lineRule="auto"/>
        <w:ind w:firstLine="420" w:firstLineChars="200"/>
        <w:rPr>
          <w:color w:val="auto"/>
          <w:highlight w:val="none"/>
          <w:u w:val="single"/>
        </w:rPr>
      </w:pPr>
      <w:r>
        <w:rPr>
          <w:rFonts w:ascii="宋体" w:hAnsi="宋体"/>
          <w:color w:val="auto"/>
          <w:szCs w:val="21"/>
          <w:highlight w:val="none"/>
        </w:rPr>
        <w:t>关于发包人应负责提供施工所需要的条件，包括：</w:t>
      </w:r>
      <w:r>
        <w:rPr>
          <w:rFonts w:hint="eastAsia" w:hAnsi="宋体" w:cs="宋体"/>
          <w:color w:val="auto"/>
          <w:highlight w:val="none"/>
        </w:rPr>
        <w:t>发包人负责将工程所需的临时水、电、路接至施工场地红线50米范围内，并办理临时水、电手续。在工程量清单《发包人提供主要材料和工程设备一览表》数量范围内的水费、电费由发包人承担，超出数量范围的，由承包人承担。承包人负责施工配电房（箱）的管理和维护，并承担管护费用。</w:t>
      </w:r>
    </w:p>
    <w:p w14:paraId="46DBCDE2">
      <w:pPr>
        <w:spacing w:line="360" w:lineRule="auto"/>
        <w:ind w:firstLine="420" w:firstLineChars="200"/>
        <w:rPr>
          <w:rFonts w:ascii="宋体" w:hAnsi="宋体"/>
          <w:bCs/>
          <w:color w:val="auto"/>
          <w:szCs w:val="21"/>
          <w:highlight w:val="none"/>
          <w:u w:val="single"/>
        </w:rPr>
      </w:pPr>
    </w:p>
    <w:p w14:paraId="7353D08E">
      <w:pPr>
        <w:keepNext/>
        <w:keepLines/>
        <w:spacing w:before="260" w:after="260" w:line="416" w:lineRule="auto"/>
        <w:outlineLvl w:val="2"/>
        <w:rPr>
          <w:rFonts w:ascii="宋体" w:hAnsi="宋体"/>
          <w:b/>
          <w:bCs/>
          <w:color w:val="auto"/>
          <w:sz w:val="32"/>
          <w:szCs w:val="32"/>
          <w:highlight w:val="none"/>
        </w:rPr>
      </w:pPr>
      <w:bookmarkStart w:id="278" w:name="_Toc373478352"/>
      <w:bookmarkStart w:id="279" w:name="_Toc529547331"/>
      <w:bookmarkStart w:id="280" w:name="_Toc529526979"/>
      <w:bookmarkStart w:id="281" w:name="_Toc531186608"/>
      <w:bookmarkStart w:id="282" w:name="_Toc432343893"/>
      <w:bookmarkStart w:id="283" w:name="_Toc530144473"/>
      <w:bookmarkStart w:id="284" w:name="_Toc411345186"/>
      <w:bookmarkStart w:id="285" w:name="_Toc470247806"/>
      <w:bookmarkStart w:id="286" w:name="_Toc389065271"/>
      <w:bookmarkStart w:id="287" w:name="_Toc472931612"/>
      <w:bookmarkStart w:id="288" w:name="_Toc454211117"/>
      <w:bookmarkStart w:id="289" w:name="_Toc461179247"/>
      <w:bookmarkStart w:id="290" w:name="_Toc373227705"/>
      <w:r>
        <w:rPr>
          <w:rFonts w:ascii="宋体" w:hAnsi="宋体"/>
          <w:b/>
          <w:bCs/>
          <w:color w:val="auto"/>
          <w:sz w:val="32"/>
          <w:szCs w:val="32"/>
          <w:highlight w:val="none"/>
        </w:rPr>
        <w:t>2.5 资金来源证明及支付担保</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42BFAEEC">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发包人提供资金来源证明的期限要求：</w:t>
      </w:r>
      <w:r>
        <w:rPr>
          <w:rFonts w:ascii="宋体" w:hAnsi="宋体"/>
          <w:color w:val="auto"/>
          <w:szCs w:val="21"/>
          <w:highlight w:val="none"/>
          <w:u w:val="single"/>
        </w:rPr>
        <w:t></w:t>
      </w:r>
      <w:r>
        <w:rPr>
          <w:rFonts w:hint="eastAsia" w:ascii="宋体" w:hAnsi="宋体"/>
          <w:color w:val="auto"/>
          <w:szCs w:val="21"/>
          <w:highlight w:val="none"/>
          <w:u w:val="single"/>
        </w:rPr>
        <w:t>无</w:t>
      </w:r>
      <w:r>
        <w:rPr>
          <w:rFonts w:ascii="宋体" w:hAnsi="宋体"/>
          <w:color w:val="auto"/>
          <w:szCs w:val="21"/>
          <w:highlight w:val="none"/>
          <w:u w:val="single"/>
        </w:rPr>
        <w:t></w:t>
      </w:r>
      <w:r>
        <w:rPr>
          <w:rFonts w:ascii="宋体" w:hAnsi="宋体"/>
          <w:color w:val="auto"/>
          <w:szCs w:val="21"/>
          <w:highlight w:val="none"/>
        </w:rPr>
        <w:t>。</w:t>
      </w:r>
    </w:p>
    <w:p w14:paraId="72F5779B">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 xml:space="preserve"> 无</w:t>
      </w:r>
      <w:r>
        <w:rPr>
          <w:rFonts w:ascii="宋体" w:hAnsi="宋体"/>
          <w:color w:val="auto"/>
          <w:szCs w:val="21"/>
          <w:highlight w:val="none"/>
        </w:rPr>
        <w:t>。</w:t>
      </w:r>
    </w:p>
    <w:p w14:paraId="17B9291E">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发包人提供支付担保的形式：</w:t>
      </w:r>
      <w:r>
        <w:rPr>
          <w:rFonts w:hint="eastAsia" w:ascii="宋体" w:hAnsi="宋体"/>
          <w:color w:val="auto"/>
          <w:szCs w:val="21"/>
          <w:highlight w:val="none"/>
          <w:u w:val="single"/>
        </w:rPr>
        <w:t>无</w:t>
      </w:r>
      <w:r>
        <w:rPr>
          <w:rFonts w:ascii="宋体" w:hAnsi="宋体"/>
          <w:color w:val="auto"/>
          <w:szCs w:val="21"/>
          <w:highlight w:val="none"/>
        </w:rPr>
        <w:t>。</w:t>
      </w:r>
    </w:p>
    <w:p w14:paraId="472E9C15">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发包人提供的支付担保格式见合同附件2。</w:t>
      </w:r>
    </w:p>
    <w:p w14:paraId="26D1F91C">
      <w:pPr>
        <w:keepNext/>
        <w:keepLines/>
        <w:spacing w:before="260" w:after="260" w:line="416" w:lineRule="auto"/>
        <w:outlineLvl w:val="2"/>
        <w:rPr>
          <w:rFonts w:ascii="宋体" w:hAnsi="宋体"/>
          <w:b/>
          <w:bCs/>
          <w:color w:val="auto"/>
          <w:sz w:val="32"/>
          <w:szCs w:val="32"/>
          <w:highlight w:val="none"/>
        </w:rPr>
      </w:pPr>
      <w:bookmarkStart w:id="291" w:name="_Toc461179248"/>
      <w:bookmarkStart w:id="292" w:name="_Toc530144474"/>
      <w:bookmarkStart w:id="293" w:name="_Toc472931613"/>
      <w:bookmarkStart w:id="294" w:name="_Toc389065272"/>
      <w:bookmarkStart w:id="295" w:name="_Toc470247807"/>
      <w:bookmarkStart w:id="296" w:name="_Toc529526980"/>
      <w:bookmarkStart w:id="297" w:name="_Toc411345187"/>
      <w:bookmarkStart w:id="298" w:name="_Toc529547332"/>
      <w:bookmarkStart w:id="299" w:name="_Toc454211118"/>
      <w:bookmarkStart w:id="300" w:name="_Toc373227706"/>
      <w:bookmarkStart w:id="301" w:name="_Toc531186609"/>
      <w:bookmarkStart w:id="302" w:name="_Toc351203635"/>
      <w:bookmarkStart w:id="303" w:name="_Toc373478353"/>
      <w:bookmarkStart w:id="304" w:name="_Toc432343894"/>
      <w:r>
        <w:rPr>
          <w:rFonts w:ascii="宋体" w:hAnsi="宋体"/>
          <w:b/>
          <w:bCs/>
          <w:color w:val="auto"/>
          <w:sz w:val="32"/>
          <w:szCs w:val="32"/>
          <w:highlight w:val="none"/>
        </w:rPr>
        <w:t>3</w:t>
      </w:r>
      <w:bookmarkStart w:id="305" w:name="_Toc296891198"/>
      <w:bookmarkStart w:id="306" w:name="_Toc296890986"/>
      <w:bookmarkStart w:id="307" w:name="_Toc296503158"/>
      <w:bookmarkStart w:id="308" w:name="_Toc297048344"/>
      <w:bookmarkStart w:id="309" w:name="_Toc296944497"/>
      <w:bookmarkStart w:id="310" w:name="_Toc296346659"/>
      <w:bookmarkStart w:id="311" w:name="_Toc296347157"/>
      <w:bookmarkStart w:id="312" w:name="_Toc292559868"/>
      <w:bookmarkStart w:id="313" w:name="_Toc297120458"/>
      <w:bookmarkStart w:id="314" w:name="_Toc292559363"/>
      <w:r>
        <w:rPr>
          <w:rFonts w:ascii="宋体" w:hAnsi="宋体"/>
          <w:b/>
          <w:bCs/>
          <w:color w:val="auto"/>
          <w:sz w:val="32"/>
          <w:szCs w:val="32"/>
          <w:highlight w:val="none"/>
        </w:rPr>
        <w:t>. 承包人</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bookmarkEnd w:id="305"/>
    <w:bookmarkEnd w:id="306"/>
    <w:bookmarkEnd w:id="307"/>
    <w:bookmarkEnd w:id="308"/>
    <w:bookmarkEnd w:id="309"/>
    <w:bookmarkEnd w:id="310"/>
    <w:bookmarkEnd w:id="311"/>
    <w:bookmarkEnd w:id="312"/>
    <w:bookmarkEnd w:id="313"/>
    <w:bookmarkEnd w:id="314"/>
    <w:p w14:paraId="7B03FAB9">
      <w:pPr>
        <w:keepNext/>
        <w:keepLines/>
        <w:spacing w:before="260" w:after="260" w:line="416" w:lineRule="auto"/>
        <w:outlineLvl w:val="2"/>
        <w:rPr>
          <w:rFonts w:ascii="宋体" w:hAnsi="宋体"/>
          <w:b/>
          <w:bCs/>
          <w:color w:val="auto"/>
          <w:sz w:val="32"/>
          <w:szCs w:val="32"/>
          <w:highlight w:val="none"/>
        </w:rPr>
      </w:pPr>
      <w:bookmarkStart w:id="315" w:name="_Toc531186610"/>
      <w:bookmarkStart w:id="316" w:name="_Toc432343895"/>
      <w:bookmarkStart w:id="317" w:name="_Toc530144475"/>
      <w:bookmarkStart w:id="318" w:name="_Toc454211119"/>
      <w:bookmarkStart w:id="319" w:name="_Toc411345188"/>
      <w:bookmarkStart w:id="320" w:name="_Toc472931614"/>
      <w:bookmarkStart w:id="321" w:name="_Toc529547333"/>
      <w:bookmarkStart w:id="322" w:name="_Toc373478354"/>
      <w:bookmarkStart w:id="323" w:name="_Toc461179249"/>
      <w:bookmarkStart w:id="324" w:name="_Toc470247808"/>
      <w:bookmarkStart w:id="325" w:name="_Toc529526981"/>
      <w:bookmarkStart w:id="326" w:name="_Toc389065273"/>
      <w:bookmarkStart w:id="327" w:name="_Toc373227707"/>
      <w:r>
        <w:rPr>
          <w:rFonts w:ascii="宋体" w:hAnsi="宋体"/>
          <w:b/>
          <w:bCs/>
          <w:color w:val="auto"/>
          <w:sz w:val="32"/>
          <w:szCs w:val="32"/>
          <w:highlight w:val="none"/>
        </w:rPr>
        <w:t>3.1 承包人的一般义务</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0115B491">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（9）承包人提交的竣工资料的内容：工程施工技术资料、工程质量资料、工程检验评定资料、竣工图，项目所在地建设主管部门规定的其他应交资料。</w:t>
      </w:r>
    </w:p>
    <w:p w14:paraId="793DC484">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承包人需要提交的竣工资料套数：</w:t>
      </w:r>
      <w:r>
        <w:rPr>
          <w:rFonts w:hint="eastAsia" w:ascii="宋体" w:hAnsi="宋体"/>
          <w:color w:val="auto"/>
          <w:kern w:val="0"/>
          <w:szCs w:val="21"/>
          <w:highlight w:val="none"/>
          <w:u w:val="single"/>
        </w:rPr>
        <w:t>四套。</w:t>
      </w:r>
    </w:p>
    <w:p w14:paraId="77C94C63">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承包人提交的竣工资料的费用承担：</w:t>
      </w:r>
      <w:r>
        <w:rPr>
          <w:rFonts w:hint="eastAsia" w:ascii="宋体" w:hAnsi="宋体"/>
          <w:color w:val="auto"/>
          <w:kern w:val="0"/>
          <w:szCs w:val="21"/>
          <w:highlight w:val="none"/>
          <w:u w:val="single"/>
        </w:rPr>
        <w:t>由承包人承担。</w:t>
      </w:r>
    </w:p>
    <w:p w14:paraId="6755A67D">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承包人提交的竣工资料移交时间：</w:t>
      </w:r>
      <w:r>
        <w:rPr>
          <w:rFonts w:hint="eastAsia" w:ascii="宋体" w:hAnsi="宋体"/>
          <w:color w:val="auto"/>
          <w:kern w:val="0"/>
          <w:szCs w:val="21"/>
          <w:highlight w:val="none"/>
          <w:u w:val="single"/>
        </w:rPr>
        <w:t>竣工验收合格之日起30天内。</w:t>
      </w:r>
    </w:p>
    <w:p w14:paraId="6E30DF9D">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承包人提交的竣工资料形式要求：</w:t>
      </w:r>
      <w:r>
        <w:rPr>
          <w:rFonts w:hint="eastAsia" w:ascii="宋体" w:hAnsi="宋体"/>
          <w:color w:val="auto"/>
          <w:kern w:val="0"/>
          <w:szCs w:val="21"/>
          <w:highlight w:val="none"/>
          <w:u w:val="single"/>
        </w:rPr>
        <w:t>书面及电子文档。</w:t>
      </w:r>
    </w:p>
    <w:p w14:paraId="1B8CE1B4">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（10）承包人应履行的其他义务：</w:t>
      </w:r>
      <w:r>
        <w:rPr>
          <w:rFonts w:hint="eastAsia" w:ascii="宋体" w:hAnsi="宋体"/>
          <w:color w:val="auto"/>
          <w:kern w:val="0"/>
          <w:szCs w:val="21"/>
          <w:highlight w:val="none"/>
          <w:u w:val="single"/>
        </w:rPr>
        <w:t>1）协调处理施工场地内及场地周围地下管线和邻近建筑物、构筑物（含文物保护建筑）、古树名木的保护工作；若发生上述情况所产生的费用，由承包人承担（包含于合同总价中）。2）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有需发包人配合完成的工作，承包人应提前足够时间通知发包人。5) 施工区内临时设施、水电管线安装和保养，施工现场内地下管线和临近建筑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承包人须在现场踏勘的基础上充分考虑场内临时道路的施工维护，并在合同总价中包含。7) 档案管理要求</w:t>
      </w:r>
    </w:p>
    <w:p w14:paraId="27A85AC2">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①承包人应设置负责施工档案管理的负责人；</w:t>
      </w:r>
    </w:p>
    <w:p w14:paraId="72D3944A">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②承包人应确保本单位施工档案的形成与施工进度同步，发包人在支付进度款时，如发现档案形成未与施工进度同步，可延迟支付相应进度款，直至同步为止；</w:t>
      </w:r>
    </w:p>
    <w:p w14:paraId="533EEEA8">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③承包人应在发包人组织的竣工验收后30日内，将本单位施工过程中形成的所有施工档案，经监理单位审核确认后，移交给发包人，否则发包人拒绝向其颁发工程接收证书。</w:t>
      </w:r>
    </w:p>
    <w:p w14:paraId="417D7DEA">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④承包人在发包人组织的工程竣工投产验收（初验）前，将经监理单位审核确认的施工档案移交给发包人，是发包人完全支付除质量保证金外剩余款项的必要条件之一，否则，发包人有权扣除一定比例款项。</w:t>
      </w:r>
    </w:p>
    <w:p w14:paraId="53FC3D53">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 xml:space="preserve">⑤移交给发包人的施工档案应符合以下要求： </w:t>
      </w:r>
    </w:p>
    <w:p w14:paraId="009BB84E">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移交范围：承包人在合同约定的工程施工过程中形成的所有档案，包括但不限于发包人《科技文件归档范围与整理细则》附件3所列相应的清单及所有资料的电子版；</w:t>
      </w:r>
    </w:p>
    <w:p w14:paraId="7DA63D18">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移交档案质量要求：移交的档案应是原件而非复印件，每份档案齐全、无漏页与破损等情况，签字与盖章手续完备，档案清晰，档案载体能长久保存。</w:t>
      </w:r>
    </w:p>
    <w:p w14:paraId="543333F8">
      <w:pPr>
        <w:keepNext/>
        <w:keepLines/>
        <w:spacing w:before="260" w:after="260" w:line="416" w:lineRule="auto"/>
        <w:outlineLvl w:val="2"/>
        <w:rPr>
          <w:rFonts w:ascii="宋体" w:hAnsi="宋体"/>
          <w:b/>
          <w:bCs/>
          <w:color w:val="auto"/>
          <w:sz w:val="32"/>
          <w:szCs w:val="32"/>
          <w:highlight w:val="none"/>
        </w:rPr>
      </w:pPr>
      <w:bookmarkStart w:id="328" w:name="_Toc472931615"/>
      <w:bookmarkStart w:id="329" w:name="_Toc461179250"/>
      <w:bookmarkStart w:id="330" w:name="_Toc529547334"/>
      <w:bookmarkStart w:id="331" w:name="_Toc530144476"/>
      <w:bookmarkStart w:id="332" w:name="_Toc470247809"/>
      <w:bookmarkStart w:id="333" w:name="_Toc373478355"/>
      <w:bookmarkStart w:id="334" w:name="_Toc454211120"/>
      <w:bookmarkStart w:id="335" w:name="_Toc411345189"/>
      <w:bookmarkStart w:id="336" w:name="_Toc432343896"/>
      <w:bookmarkStart w:id="337" w:name="_Toc529526982"/>
      <w:bookmarkStart w:id="338" w:name="_Toc389065274"/>
      <w:bookmarkStart w:id="339" w:name="_Toc373227708"/>
      <w:bookmarkStart w:id="340" w:name="_Toc531186611"/>
      <w:r>
        <w:rPr>
          <w:rFonts w:ascii="宋体" w:hAnsi="宋体"/>
          <w:b/>
          <w:bCs/>
          <w:color w:val="auto"/>
          <w:sz w:val="32"/>
          <w:szCs w:val="32"/>
          <w:highlight w:val="none"/>
        </w:rPr>
        <w:t>3.2 项目经理</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2B6CE81C">
      <w:pPr>
        <w:spacing w:line="360" w:lineRule="auto"/>
        <w:ind w:firstLine="420" w:firstLineChars="200"/>
        <w:rPr>
          <w:rFonts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14:paraId="12E19B49">
      <w:pPr>
        <w:spacing w:line="360" w:lineRule="auto"/>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 xml:space="preserve">待定 </w:t>
      </w:r>
      <w:r>
        <w:rPr>
          <w:rFonts w:ascii="宋体" w:hAnsi="宋体"/>
          <w:color w:val="auto"/>
          <w:szCs w:val="21"/>
          <w:highlight w:val="none"/>
          <w:u w:val="single"/>
        </w:rPr>
        <w:t xml:space="preserve">        </w:t>
      </w:r>
      <w:r>
        <w:rPr>
          <w:rFonts w:ascii="宋体" w:hAnsi="宋体"/>
          <w:color w:val="auto"/>
          <w:szCs w:val="21"/>
          <w:highlight w:val="none"/>
        </w:rPr>
        <w:t>；</w:t>
      </w:r>
    </w:p>
    <w:p w14:paraId="65BDA28F">
      <w:pPr>
        <w:spacing w:line="360" w:lineRule="auto"/>
        <w:ind w:firstLine="420" w:firstLineChars="200"/>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       </w:t>
      </w:r>
      <w:r>
        <w:rPr>
          <w:rFonts w:ascii="宋体" w:hAnsi="宋体"/>
          <w:color w:val="auto"/>
          <w:szCs w:val="21"/>
          <w:highlight w:val="none"/>
        </w:rPr>
        <w:t>；</w:t>
      </w:r>
    </w:p>
    <w:p w14:paraId="4D04FE07">
      <w:pPr>
        <w:spacing w:line="360" w:lineRule="auto"/>
        <w:ind w:firstLine="420" w:firstLineChars="200"/>
        <w:rPr>
          <w:rFonts w:ascii="宋体" w:hAnsi="宋体"/>
          <w:color w:val="auto"/>
          <w:szCs w:val="21"/>
          <w:highlight w:val="none"/>
        </w:rPr>
      </w:pPr>
      <w:r>
        <w:rPr>
          <w:rFonts w:ascii="宋体" w:hAnsi="宋体"/>
          <w:color w:val="auto"/>
          <w:szCs w:val="21"/>
          <w:highlight w:val="none"/>
        </w:rPr>
        <w:t>建造师执业资格等级：</w:t>
      </w:r>
      <w:r>
        <w:rPr>
          <w:rFonts w:ascii="宋体" w:hAnsi="宋体"/>
          <w:color w:val="auto"/>
          <w:szCs w:val="21"/>
          <w:highlight w:val="none"/>
          <w:u w:val="single"/>
        </w:rPr>
        <w:t>   </w:t>
      </w:r>
      <w:r>
        <w:rPr>
          <w:rFonts w:ascii="宋体" w:hAnsi="宋体"/>
          <w:color w:val="auto"/>
          <w:szCs w:val="21"/>
          <w:highlight w:val="none"/>
        </w:rPr>
        <w:t>；</w:t>
      </w:r>
    </w:p>
    <w:p w14:paraId="7F3FDF4B">
      <w:pPr>
        <w:spacing w:line="360" w:lineRule="auto"/>
        <w:ind w:firstLine="420" w:firstLineChars="200"/>
        <w:rPr>
          <w:rFonts w:ascii="宋体" w:hAnsi="宋体"/>
          <w:color w:val="auto"/>
          <w:szCs w:val="21"/>
          <w:highlight w:val="none"/>
        </w:rPr>
      </w:pPr>
      <w:r>
        <w:rPr>
          <w:rFonts w:ascii="宋体" w:hAnsi="宋体"/>
          <w:color w:val="auto"/>
          <w:szCs w:val="21"/>
          <w:highlight w:val="none"/>
        </w:rPr>
        <w:t>建造师注册证书号：</w:t>
      </w:r>
      <w:r>
        <w:rPr>
          <w:rFonts w:ascii="宋体" w:hAnsi="宋体"/>
          <w:color w:val="auto"/>
          <w:szCs w:val="21"/>
          <w:highlight w:val="none"/>
          <w:u w:val="single"/>
        </w:rPr>
        <w:t> </w:t>
      </w:r>
      <w:r>
        <w:rPr>
          <w:rFonts w:ascii="宋体" w:hAnsi="宋体"/>
          <w:color w:val="auto"/>
          <w:szCs w:val="21"/>
          <w:highlight w:val="none"/>
        </w:rPr>
        <w:t>；</w:t>
      </w:r>
    </w:p>
    <w:p w14:paraId="7697BFDA">
      <w:pPr>
        <w:spacing w:line="360" w:lineRule="auto"/>
        <w:ind w:firstLine="420" w:firstLineChars="200"/>
        <w:rPr>
          <w:rFonts w:ascii="宋体" w:hAnsi="宋体"/>
          <w:color w:val="auto"/>
          <w:szCs w:val="21"/>
          <w:highlight w:val="none"/>
        </w:rPr>
      </w:pPr>
      <w:r>
        <w:rPr>
          <w:rFonts w:ascii="宋体" w:hAnsi="宋体"/>
          <w:color w:val="auto"/>
          <w:szCs w:val="21"/>
          <w:highlight w:val="none"/>
        </w:rPr>
        <w:t>建造师执业印章号：</w:t>
      </w:r>
      <w:r>
        <w:rPr>
          <w:rFonts w:ascii="宋体" w:hAnsi="宋体"/>
          <w:color w:val="auto"/>
          <w:szCs w:val="21"/>
          <w:highlight w:val="none"/>
          <w:u w:val="single"/>
        </w:rPr>
        <w:t> </w:t>
      </w:r>
      <w:r>
        <w:rPr>
          <w:rFonts w:ascii="宋体" w:hAnsi="宋体"/>
          <w:color w:val="auto"/>
          <w:szCs w:val="21"/>
          <w:highlight w:val="none"/>
        </w:rPr>
        <w:t>；</w:t>
      </w:r>
    </w:p>
    <w:p w14:paraId="6E2CB09C">
      <w:pPr>
        <w:spacing w:line="360" w:lineRule="auto"/>
        <w:ind w:firstLine="420" w:firstLineChars="200"/>
        <w:rPr>
          <w:rFonts w:ascii="宋体" w:hAnsi="宋体"/>
          <w:color w:val="auto"/>
          <w:szCs w:val="21"/>
          <w:highlight w:val="none"/>
        </w:rPr>
      </w:pPr>
      <w:r>
        <w:rPr>
          <w:rFonts w:ascii="宋体" w:hAnsi="宋体"/>
          <w:color w:val="auto"/>
          <w:szCs w:val="21"/>
          <w:highlight w:val="none"/>
        </w:rPr>
        <w:t>安全生产考核合格证书号：</w:t>
      </w:r>
      <w:r>
        <w:rPr>
          <w:rFonts w:ascii="宋体" w:hAnsi="宋体"/>
          <w:color w:val="auto"/>
          <w:szCs w:val="21"/>
          <w:highlight w:val="none"/>
          <w:u w:val="single"/>
        </w:rPr>
        <w:t> </w:t>
      </w:r>
      <w:r>
        <w:rPr>
          <w:rFonts w:ascii="宋体" w:hAnsi="宋体"/>
          <w:color w:val="auto"/>
          <w:szCs w:val="21"/>
          <w:highlight w:val="none"/>
        </w:rPr>
        <w:t>；</w:t>
      </w:r>
    </w:p>
    <w:p w14:paraId="77BCB9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p>
    <w:p w14:paraId="76C7616F">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w:t>
      </w:r>
      <w:r>
        <w:rPr>
          <w:rFonts w:ascii="宋体" w:hAnsi="宋体"/>
          <w:color w:val="auto"/>
          <w:szCs w:val="21"/>
          <w:highlight w:val="none"/>
        </w:rPr>
        <w:t>；</w:t>
      </w:r>
    </w:p>
    <w:p w14:paraId="68A2785E">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2C74CFB7">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346CF762">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承包人对项目经理的授权范围如下：</w:t>
      </w:r>
      <w:r>
        <w:rPr>
          <w:rFonts w:hint="eastAsia" w:ascii="宋体" w:hAnsi="宋体"/>
          <w:color w:val="auto"/>
          <w:szCs w:val="21"/>
          <w:highlight w:val="none"/>
          <w:u w:val="single"/>
        </w:rPr>
        <w:t xml:space="preserve">    待定                </w:t>
      </w:r>
      <w:r>
        <w:rPr>
          <w:rFonts w:ascii="宋体" w:hAnsi="宋体"/>
          <w:color w:val="auto"/>
          <w:szCs w:val="21"/>
          <w:highlight w:val="none"/>
        </w:rPr>
        <w:t>。</w:t>
      </w:r>
    </w:p>
    <w:p w14:paraId="0F3EC531">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hint="eastAsia" w:ascii="宋体" w:hAnsi="宋体"/>
          <w:color w:val="auto"/>
          <w:szCs w:val="21"/>
          <w:highlight w:val="none"/>
          <w:u w:val="single"/>
        </w:rPr>
        <w:t>21天以上，如投标文件承诺时间超过21天的，按投标文件执行</w:t>
      </w:r>
      <w:r>
        <w:rPr>
          <w:rFonts w:ascii="宋体" w:hAnsi="宋体"/>
          <w:color w:val="auto"/>
          <w:szCs w:val="21"/>
          <w:highlight w:val="none"/>
        </w:rPr>
        <w:t>。</w:t>
      </w:r>
    </w:p>
    <w:p w14:paraId="33BA377E">
      <w:pPr>
        <w:spacing w:line="360" w:lineRule="auto"/>
        <w:ind w:firstLine="420" w:firstLineChars="200"/>
        <w:rPr>
          <w:rFonts w:ascii="宋体" w:hAnsi="宋体"/>
          <w:color w:val="auto"/>
          <w:szCs w:val="21"/>
          <w:highlight w:val="none"/>
          <w:u w:val="single"/>
        </w:rPr>
      </w:pPr>
      <w:r>
        <w:rPr>
          <w:rFonts w:ascii="宋体"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处以3万元罚款，责令限期提交劳动合同并补缴社会保险 </w:t>
      </w:r>
      <w:r>
        <w:rPr>
          <w:rFonts w:ascii="宋体" w:hAnsi="宋体"/>
          <w:color w:val="auto"/>
          <w:szCs w:val="21"/>
          <w:highlight w:val="none"/>
        </w:rPr>
        <w:t>。</w:t>
      </w:r>
    </w:p>
    <w:p w14:paraId="17DC4BD6">
      <w:pPr>
        <w:spacing w:line="360" w:lineRule="auto"/>
        <w:ind w:firstLine="420" w:firstLineChars="200"/>
        <w:rPr>
          <w:rFonts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hint="eastAsia" w:ascii="宋体" w:hAnsi="宋体"/>
          <w:color w:val="auto"/>
          <w:szCs w:val="21"/>
          <w:highlight w:val="none"/>
          <w:u w:val="single"/>
        </w:rPr>
        <w:t>项目经理每月在岗带班时间不得少于当月施工时间的80%。</w:t>
      </w:r>
      <w:r>
        <w:rPr>
          <w:rFonts w:ascii="宋体" w:hAnsi="宋体"/>
          <w:color w:val="auto"/>
          <w:szCs w:val="21"/>
          <w:highlight w:val="none"/>
          <w:u w:val="single"/>
        </w:rPr>
        <w:t>未经发包人同意或正当理由，项目经理</w:t>
      </w:r>
      <w:r>
        <w:rPr>
          <w:rFonts w:hint="eastAsia" w:ascii="宋体" w:hAnsi="宋体"/>
          <w:color w:val="auto"/>
          <w:szCs w:val="21"/>
          <w:highlight w:val="none"/>
          <w:u w:val="single"/>
        </w:rPr>
        <w:t>每月在岗带班时间少于当月施工时间80%的，少在岗带班一天</w:t>
      </w:r>
      <w:r>
        <w:rPr>
          <w:rFonts w:ascii="宋体" w:hAnsi="宋体"/>
          <w:color w:val="auto"/>
          <w:szCs w:val="21"/>
          <w:highlight w:val="none"/>
          <w:u w:val="single"/>
        </w:rPr>
        <w:t xml:space="preserve">，发包人有权处违约金 </w:t>
      </w:r>
      <w:r>
        <w:rPr>
          <w:rFonts w:hint="eastAsia" w:ascii="宋体" w:hAnsi="宋体"/>
          <w:b/>
          <w:bCs/>
          <w:color w:val="auto"/>
          <w:szCs w:val="21"/>
          <w:highlight w:val="none"/>
          <w:u w:val="single"/>
        </w:rPr>
        <w:t>5000.00</w:t>
      </w:r>
      <w:r>
        <w:rPr>
          <w:rFonts w:ascii="宋体" w:hAnsi="宋体"/>
          <w:color w:val="auto"/>
          <w:szCs w:val="21"/>
          <w:highlight w:val="none"/>
          <w:u w:val="single"/>
        </w:rPr>
        <w:t>元/</w:t>
      </w:r>
      <w:r>
        <w:rPr>
          <w:rFonts w:hint="eastAsia" w:ascii="宋体" w:hAnsi="宋体"/>
          <w:color w:val="auto"/>
          <w:szCs w:val="21"/>
          <w:highlight w:val="none"/>
          <w:u w:val="single"/>
        </w:rPr>
        <w:t>日（</w:t>
      </w:r>
      <w:r>
        <w:rPr>
          <w:rFonts w:ascii="宋体" w:hAnsi="宋体"/>
          <w:color w:val="auto"/>
          <w:szCs w:val="21"/>
          <w:highlight w:val="none"/>
          <w:u w:val="single"/>
        </w:rPr>
        <w:t>人民币</w:t>
      </w:r>
      <w:r>
        <w:rPr>
          <w:rFonts w:hint="eastAsia" w:ascii="宋体" w:hAnsi="宋体"/>
          <w:color w:val="auto"/>
          <w:szCs w:val="21"/>
          <w:highlight w:val="none"/>
          <w:u w:val="single"/>
        </w:rPr>
        <w:t xml:space="preserve">）  </w:t>
      </w:r>
      <w:r>
        <w:rPr>
          <w:rFonts w:ascii="宋体" w:hAnsi="宋体"/>
          <w:color w:val="auto"/>
          <w:szCs w:val="21"/>
          <w:highlight w:val="none"/>
        </w:rPr>
        <w:t>。</w:t>
      </w:r>
    </w:p>
    <w:p w14:paraId="3695F74D">
      <w:pPr>
        <w:spacing w:line="360" w:lineRule="auto"/>
        <w:ind w:firstLine="420" w:firstLineChars="200"/>
        <w:rPr>
          <w:rFonts w:ascii="宋体" w:hAnsi="宋体"/>
          <w:color w:val="auto"/>
          <w:szCs w:val="21"/>
          <w:highlight w:val="non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承包人项目经理必须与承包人投标时所承诺的人员一致，并在</w:t>
      </w:r>
      <w:r>
        <w:rPr>
          <w:rFonts w:hint="eastAsia" w:ascii="宋体" w:hAnsi="宋体"/>
          <w:color w:val="auto"/>
          <w:szCs w:val="21"/>
          <w:highlight w:val="none"/>
          <w:u w:val="single"/>
        </w:rPr>
        <w:t>本工程开工</w:t>
      </w:r>
      <w:r>
        <w:rPr>
          <w:rFonts w:ascii="宋体" w:hAnsi="宋体"/>
          <w:color w:val="auto"/>
          <w:szCs w:val="21"/>
          <w:highlight w:val="none"/>
          <w:u w:val="single"/>
        </w:rPr>
        <w:t>前到任。在监理人向承包人颁发</w:t>
      </w:r>
      <w:r>
        <w:rPr>
          <w:rFonts w:hint="eastAsia" w:ascii="宋体" w:hAnsi="宋体"/>
          <w:b/>
          <w:color w:val="auto"/>
          <w:szCs w:val="21"/>
          <w:highlight w:val="none"/>
          <w:u w:val="single"/>
        </w:rPr>
        <w:t>完</w:t>
      </w:r>
      <w:r>
        <w:rPr>
          <w:rFonts w:hint="eastAsia" w:ascii="宋体" w:hAnsi="宋体"/>
          <w:color w:val="auto"/>
          <w:szCs w:val="21"/>
          <w:highlight w:val="none"/>
          <w:u w:val="single"/>
        </w:rPr>
        <w:t>工证书</w:t>
      </w:r>
      <w:r>
        <w:rPr>
          <w:rFonts w:ascii="宋体" w:hAnsi="宋体"/>
          <w:color w:val="auto"/>
          <w:szCs w:val="21"/>
          <w:highlight w:val="none"/>
          <w:u w:val="single"/>
        </w:rPr>
        <w:t>前，项目经理不得同时兼任其他任何项目的项目经理</w:t>
      </w:r>
      <w:r>
        <w:rPr>
          <w:rFonts w:ascii="宋体" w:hAnsi="宋体"/>
          <w:color w:val="auto"/>
          <w:kern w:val="0"/>
          <w:szCs w:val="21"/>
          <w:highlight w:val="none"/>
          <w:u w:val="single"/>
        </w:rPr>
        <w:t>（符合桂建管</w:t>
      </w:r>
      <w:r>
        <w:rPr>
          <w:rFonts w:ascii="宋体" w:hAnsi="宋体"/>
          <w:color w:val="auto"/>
          <w:szCs w:val="21"/>
          <w:highlight w:val="none"/>
          <w:u w:val="single"/>
        </w:rPr>
        <w:t>﹝2013﹞</w:t>
      </w:r>
      <w:r>
        <w:rPr>
          <w:rFonts w:ascii="宋体" w:hAnsi="宋体"/>
          <w:color w:val="auto"/>
          <w:kern w:val="0"/>
          <w:szCs w:val="21"/>
          <w:highlight w:val="none"/>
          <w:u w:val="single"/>
        </w:rPr>
        <w:t>17号和</w:t>
      </w:r>
      <w:r>
        <w:rPr>
          <w:rFonts w:ascii="宋体" w:hAnsi="宋体"/>
          <w:color w:val="auto"/>
          <w:szCs w:val="21"/>
          <w:highlight w:val="none"/>
          <w:u w:val="single"/>
        </w:rPr>
        <w:t>桂建管﹝2014﹞25号</w:t>
      </w:r>
      <w:r>
        <w:rPr>
          <w:rFonts w:ascii="宋体" w:hAnsi="宋体"/>
          <w:color w:val="auto"/>
          <w:kern w:val="0"/>
          <w:szCs w:val="21"/>
          <w:highlight w:val="none"/>
          <w:u w:val="single"/>
        </w:rPr>
        <w:t>文除外）</w:t>
      </w:r>
      <w:r>
        <w:rPr>
          <w:rFonts w:ascii="宋体" w:hAnsi="宋体"/>
          <w:color w:val="auto"/>
          <w:szCs w:val="21"/>
          <w:highlight w:val="none"/>
          <w:u w:val="single"/>
        </w:rPr>
        <w:t>。未经发包人书面同意，承包人擅自更换项目经理的视为违约</w:t>
      </w:r>
      <w:r>
        <w:rPr>
          <w:rFonts w:hint="eastAsia" w:ascii="宋体" w:hAnsi="宋体"/>
          <w:color w:val="auto"/>
          <w:szCs w:val="21"/>
          <w:highlight w:val="none"/>
          <w:u w:val="single"/>
        </w:rPr>
        <w:t>，</w:t>
      </w:r>
      <w:r>
        <w:rPr>
          <w:rFonts w:ascii="宋体" w:hAnsi="宋体"/>
          <w:color w:val="auto"/>
          <w:szCs w:val="21"/>
          <w:highlight w:val="none"/>
          <w:u w:val="single"/>
        </w:rPr>
        <w:t>违约金处</w:t>
      </w:r>
      <w:r>
        <w:rPr>
          <w:rFonts w:hint="eastAsia" w:ascii="宋体" w:hAnsi="宋体"/>
          <w:b/>
          <w:bCs/>
          <w:color w:val="auto"/>
          <w:szCs w:val="21"/>
          <w:highlight w:val="none"/>
          <w:u w:val="single"/>
        </w:rPr>
        <w:t>20000.00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2EB4B83D">
      <w:pPr>
        <w:spacing w:line="360" w:lineRule="auto"/>
        <w:ind w:firstLine="420" w:firstLineChars="200"/>
        <w:rPr>
          <w:rFonts w:ascii="宋体" w:hAnsi="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 xml:space="preserve">因承包人项目经理不称职，发包人要求调换而未及时调换的，视为承包人违约，必须向发包人交纳处罚金 </w:t>
      </w:r>
      <w:r>
        <w:rPr>
          <w:rFonts w:hint="eastAsia" w:ascii="宋体" w:hAnsi="宋体"/>
          <w:b/>
          <w:bCs/>
          <w:color w:val="auto"/>
          <w:szCs w:val="21"/>
          <w:highlight w:val="none"/>
          <w:u w:val="single"/>
        </w:rPr>
        <w:t>20000.00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17911D23">
      <w:pPr>
        <w:keepNext/>
        <w:keepLines/>
        <w:spacing w:before="260" w:after="260" w:line="416" w:lineRule="auto"/>
        <w:ind w:firstLine="200"/>
        <w:outlineLvl w:val="2"/>
        <w:rPr>
          <w:rFonts w:ascii="宋体" w:hAnsi="宋体"/>
          <w:b/>
          <w:bCs/>
          <w:color w:val="auto"/>
          <w:sz w:val="32"/>
          <w:szCs w:val="32"/>
          <w:highlight w:val="none"/>
        </w:rPr>
      </w:pPr>
      <w:bookmarkStart w:id="341" w:name="_Toc470247810"/>
      <w:bookmarkStart w:id="342" w:name="_Toc389065275"/>
      <w:bookmarkStart w:id="343" w:name="_Toc373478356"/>
      <w:bookmarkStart w:id="344" w:name="_Toc529526983"/>
      <w:bookmarkStart w:id="345" w:name="_Toc411345190"/>
      <w:bookmarkStart w:id="346" w:name="_Toc454211121"/>
      <w:bookmarkStart w:id="347" w:name="_Toc529547335"/>
      <w:bookmarkStart w:id="348" w:name="_Toc432343897"/>
      <w:bookmarkStart w:id="349" w:name="_Toc531186612"/>
      <w:bookmarkStart w:id="350" w:name="_Toc461179251"/>
      <w:bookmarkStart w:id="351" w:name="_Toc373227709"/>
      <w:bookmarkStart w:id="352" w:name="_Toc472931616"/>
      <w:bookmarkStart w:id="353" w:name="_Toc530144477"/>
      <w:r>
        <w:rPr>
          <w:rFonts w:ascii="宋体" w:hAnsi="宋体"/>
          <w:b/>
          <w:bCs/>
          <w:color w:val="auto"/>
          <w:sz w:val="32"/>
          <w:szCs w:val="32"/>
          <w:highlight w:val="none"/>
        </w:rPr>
        <w:t>3.3 承包人人员</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7BF51F66">
      <w:pPr>
        <w:spacing w:line="360" w:lineRule="auto"/>
        <w:ind w:firstLine="420" w:firstLineChars="200"/>
        <w:rPr>
          <w:rFonts w:ascii="宋体" w:hAnsi="宋体"/>
          <w:color w:val="auto"/>
          <w:szCs w:val="21"/>
          <w:highlight w:val="none"/>
        </w:rPr>
      </w:pPr>
      <w:r>
        <w:rPr>
          <w:rFonts w:ascii="宋体" w:hAnsi="宋体"/>
          <w:color w:val="auto"/>
          <w:szCs w:val="21"/>
          <w:highlight w:val="none"/>
        </w:rPr>
        <w:t>3.3.1 承包人提交项目管理机构及施工现场管理人员安排报告</w:t>
      </w:r>
      <w:r>
        <w:rPr>
          <w:rFonts w:hint="eastAsia" w:ascii="宋体" w:hAnsi="宋体"/>
          <w:color w:val="auto"/>
          <w:szCs w:val="21"/>
          <w:highlight w:val="none"/>
        </w:rPr>
        <w:t>（格式见合同附件3）</w:t>
      </w:r>
      <w:r>
        <w:rPr>
          <w:rFonts w:ascii="宋体" w:hAnsi="宋体"/>
          <w:color w:val="auto"/>
          <w:szCs w:val="21"/>
          <w:highlight w:val="none"/>
        </w:rPr>
        <w:t>的期限：</w:t>
      </w:r>
      <w:r>
        <w:rPr>
          <w:rFonts w:hint="eastAsia" w:ascii="宋体" w:hAnsi="宋体"/>
          <w:bCs/>
          <w:color w:val="auto"/>
          <w:szCs w:val="21"/>
          <w:highlight w:val="none"/>
          <w:u w:val="single"/>
        </w:rPr>
        <w:t>工程开工前5天</w:t>
      </w:r>
      <w:r>
        <w:rPr>
          <w:rFonts w:ascii="宋体" w:hAnsi="宋体"/>
          <w:color w:val="auto"/>
          <w:szCs w:val="21"/>
          <w:highlight w:val="none"/>
        </w:rPr>
        <w:t>。</w:t>
      </w:r>
    </w:p>
    <w:p w14:paraId="788A9ED5">
      <w:pPr>
        <w:spacing w:line="360" w:lineRule="auto"/>
        <w:ind w:firstLine="420" w:firstLineChars="200"/>
        <w:rPr>
          <w:rFonts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b/>
          <w:bCs/>
          <w:color w:val="auto"/>
          <w:szCs w:val="21"/>
          <w:highlight w:val="none"/>
          <w:u w:val="single"/>
        </w:rPr>
        <w:t>20000.00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；专业工程师</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A285D74">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hint="eastAsia" w:ascii="宋体" w:hAnsi="宋体"/>
          <w:bCs/>
          <w:color w:val="auto"/>
          <w:szCs w:val="21"/>
          <w:highlight w:val="none"/>
          <w:u w:val="single"/>
        </w:rPr>
        <w:t xml:space="preserve">提前2天报发包人审批 </w:t>
      </w:r>
      <w:r>
        <w:rPr>
          <w:rFonts w:ascii="宋体" w:hAnsi="宋体"/>
          <w:color w:val="auto"/>
          <w:szCs w:val="21"/>
          <w:highlight w:val="none"/>
        </w:rPr>
        <w:t>。</w:t>
      </w:r>
    </w:p>
    <w:p w14:paraId="160CFEB1">
      <w:pPr>
        <w:spacing w:line="360" w:lineRule="auto"/>
        <w:ind w:firstLine="420" w:firstLineChars="200"/>
        <w:rPr>
          <w:rFonts w:ascii="宋体" w:hAnsi="宋体"/>
          <w:color w:val="auto"/>
          <w:szCs w:val="21"/>
          <w:highlight w:val="none"/>
        </w:rPr>
      </w:pPr>
      <w:r>
        <w:rPr>
          <w:rFonts w:ascii="宋体" w:hAnsi="宋体"/>
          <w:color w:val="auto"/>
          <w:szCs w:val="21"/>
          <w:highlight w:val="none"/>
        </w:rPr>
        <w:t>3.3.5承包人擅自更换主要施工管理人员的违约责任：</w:t>
      </w:r>
      <w:r>
        <w:rPr>
          <w:rFonts w:hint="eastAsia" w:ascii="宋体" w:hAnsi="宋体"/>
          <w:color w:val="auto"/>
          <w:szCs w:val="21"/>
          <w:highlight w:val="none"/>
          <w:u w:val="single"/>
        </w:rPr>
        <w:t>项目</w:t>
      </w:r>
      <w:r>
        <w:rPr>
          <w:rFonts w:ascii="宋体" w:hAnsi="宋体"/>
          <w:color w:val="auto"/>
          <w:szCs w:val="21"/>
          <w:highlight w:val="none"/>
          <w:u w:val="single"/>
        </w:rPr>
        <w:t>技术负责人、</w:t>
      </w:r>
      <w:r>
        <w:rPr>
          <w:rFonts w:hint="eastAsia" w:ascii="宋体" w:hAnsi="宋体"/>
          <w:color w:val="auto"/>
          <w:szCs w:val="21"/>
          <w:highlight w:val="none"/>
          <w:u w:val="single"/>
        </w:rPr>
        <w:t>专职安全员及其承诺的其它在场管理人员</w:t>
      </w:r>
      <w:r>
        <w:rPr>
          <w:rFonts w:ascii="宋体" w:hAnsi="宋体"/>
          <w:color w:val="auto"/>
          <w:szCs w:val="21"/>
          <w:highlight w:val="none"/>
          <w:u w:val="single"/>
        </w:rPr>
        <w:t>未经发包人书面同意不准擅自更换，擅自更换</w:t>
      </w:r>
      <w:r>
        <w:rPr>
          <w:rFonts w:hint="eastAsia" w:ascii="宋体" w:hAnsi="宋体"/>
          <w:color w:val="auto"/>
          <w:szCs w:val="21"/>
          <w:highlight w:val="none"/>
          <w:u w:val="single"/>
        </w:rPr>
        <w:t>项目</w:t>
      </w:r>
      <w:r>
        <w:rPr>
          <w:rFonts w:ascii="宋体" w:hAnsi="宋体"/>
          <w:color w:val="auto"/>
          <w:szCs w:val="21"/>
          <w:highlight w:val="none"/>
          <w:u w:val="single"/>
        </w:rPr>
        <w:t>技术负责人处</w:t>
      </w:r>
      <w:r>
        <w:rPr>
          <w:rFonts w:hint="eastAsia" w:ascii="宋体" w:hAnsi="宋体"/>
          <w:b/>
          <w:bCs/>
          <w:color w:val="auto"/>
          <w:szCs w:val="21"/>
          <w:highlight w:val="none"/>
          <w:u w:val="single"/>
        </w:rPr>
        <w:t>20000.00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违约金；擅自更换</w:t>
      </w:r>
      <w:r>
        <w:rPr>
          <w:rFonts w:hint="eastAsia" w:ascii="宋体" w:hAnsi="宋体"/>
          <w:color w:val="auto"/>
          <w:szCs w:val="21"/>
          <w:highlight w:val="none"/>
          <w:u w:val="single"/>
        </w:rPr>
        <w:t>专职安全员</w:t>
      </w:r>
      <w:r>
        <w:rPr>
          <w:rFonts w:ascii="宋体" w:hAnsi="宋体"/>
          <w:color w:val="auto"/>
          <w:szCs w:val="21"/>
          <w:highlight w:val="none"/>
          <w:u w:val="single"/>
        </w:rPr>
        <w:t>处</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hint="eastAsia" w:ascii="宋体" w:hAnsi="宋体"/>
          <w:color w:val="auto"/>
          <w:szCs w:val="21"/>
          <w:highlight w:val="none"/>
          <w:u w:val="single"/>
        </w:rPr>
        <w:t>；</w:t>
      </w:r>
      <w:r>
        <w:rPr>
          <w:rFonts w:ascii="宋体" w:hAnsi="宋体"/>
          <w:color w:val="auto"/>
          <w:szCs w:val="21"/>
          <w:highlight w:val="none"/>
          <w:u w:val="single"/>
        </w:rPr>
        <w:t>擅自更换</w:t>
      </w:r>
      <w:r>
        <w:rPr>
          <w:rFonts w:hint="eastAsia" w:ascii="宋体" w:hAnsi="宋体"/>
          <w:color w:val="auto"/>
          <w:szCs w:val="21"/>
          <w:highlight w:val="none"/>
          <w:u w:val="single"/>
        </w:rPr>
        <w:t>其它在场管理人员</w:t>
      </w:r>
      <w:r>
        <w:rPr>
          <w:rFonts w:ascii="宋体" w:hAnsi="宋体"/>
          <w:color w:val="auto"/>
          <w:szCs w:val="21"/>
          <w:highlight w:val="none"/>
          <w:u w:val="single"/>
        </w:rPr>
        <w:t>处</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ascii="宋体" w:hAnsi="宋体"/>
          <w:color w:val="auto"/>
          <w:szCs w:val="21"/>
          <w:highlight w:val="none"/>
        </w:rPr>
        <w:t>。</w:t>
      </w:r>
    </w:p>
    <w:p w14:paraId="45C04C8C">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承包人主要施工管理人员擅自离开施工现场的违约责任：</w:t>
      </w:r>
      <w:r>
        <w:rPr>
          <w:rFonts w:ascii="宋体" w:hAnsi="宋体"/>
          <w:color w:val="auto"/>
          <w:szCs w:val="21"/>
          <w:highlight w:val="none"/>
          <w:u w:val="single"/>
        </w:rPr>
        <w:t>未经发包人同意，</w:t>
      </w:r>
      <w:r>
        <w:rPr>
          <w:rFonts w:hint="eastAsia" w:ascii="宋体" w:hAnsi="宋体"/>
          <w:color w:val="auto"/>
          <w:szCs w:val="21"/>
          <w:highlight w:val="none"/>
          <w:u w:val="single"/>
        </w:rPr>
        <w:t>项目</w:t>
      </w:r>
      <w:r>
        <w:rPr>
          <w:rFonts w:ascii="宋体" w:hAnsi="宋体"/>
          <w:color w:val="auto"/>
          <w:szCs w:val="21"/>
          <w:highlight w:val="none"/>
          <w:u w:val="single"/>
        </w:rPr>
        <w:t>技术负责人擅自离岗的，视为承包人违约，发包人有权处违约金</w:t>
      </w:r>
      <w:r>
        <w:rPr>
          <w:rFonts w:hint="eastAsia" w:ascii="宋体" w:hAnsi="宋体"/>
          <w:b/>
          <w:bCs/>
          <w:color w:val="auto"/>
          <w:szCs w:val="21"/>
          <w:highlight w:val="none"/>
          <w:u w:val="single"/>
        </w:rPr>
        <w:t>5000.00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；未经发包人同意，</w:t>
      </w:r>
      <w:r>
        <w:rPr>
          <w:rFonts w:hint="eastAsia" w:ascii="宋体" w:hAnsi="宋体"/>
          <w:color w:val="auto"/>
          <w:szCs w:val="21"/>
          <w:highlight w:val="none"/>
          <w:u w:val="single"/>
        </w:rPr>
        <w:t>专职安全员</w:t>
      </w:r>
      <w:r>
        <w:rPr>
          <w:rFonts w:ascii="宋体" w:hAnsi="宋体"/>
          <w:color w:val="auto"/>
          <w:szCs w:val="21"/>
          <w:highlight w:val="none"/>
          <w:u w:val="single"/>
        </w:rPr>
        <w:t>擅自离岗的，视为承包人违约，发包人有权处违约金</w:t>
      </w:r>
      <w:r>
        <w:rPr>
          <w:rFonts w:hint="eastAsia" w:ascii="宋体" w:hAnsi="宋体"/>
          <w:b/>
          <w:bCs/>
          <w:color w:val="auto"/>
          <w:szCs w:val="21"/>
          <w:highlight w:val="none"/>
          <w:u w:val="single"/>
        </w:rPr>
        <w:t>3000.00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w:t>
      </w:r>
      <w:r>
        <w:rPr>
          <w:rFonts w:hint="eastAsia" w:ascii="宋体" w:hAnsi="宋体"/>
          <w:color w:val="auto"/>
          <w:szCs w:val="21"/>
          <w:highlight w:val="none"/>
          <w:u w:val="single"/>
        </w:rPr>
        <w:t>其它在场管理人员</w:t>
      </w:r>
      <w:r>
        <w:rPr>
          <w:rFonts w:ascii="宋体" w:hAnsi="宋体"/>
          <w:color w:val="auto"/>
          <w:szCs w:val="21"/>
          <w:highlight w:val="none"/>
          <w:u w:val="single"/>
        </w:rPr>
        <w:t>擅自离岗的，视为承包人违约，发包人有权处违约金</w:t>
      </w:r>
      <w:r>
        <w:rPr>
          <w:rFonts w:hint="eastAsia" w:ascii="宋体" w:hAnsi="宋体"/>
          <w:b/>
          <w:bCs/>
          <w:color w:val="auto"/>
          <w:szCs w:val="21"/>
          <w:highlight w:val="none"/>
          <w:u w:val="single"/>
        </w:rPr>
        <w:t>3000.00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1B3D96F">
      <w:pPr>
        <w:keepNext/>
        <w:keepLines/>
        <w:spacing w:before="260" w:after="260" w:line="416" w:lineRule="auto"/>
        <w:outlineLvl w:val="2"/>
        <w:rPr>
          <w:rFonts w:ascii="宋体" w:hAnsi="宋体"/>
          <w:b/>
          <w:bCs/>
          <w:color w:val="auto"/>
          <w:sz w:val="32"/>
          <w:szCs w:val="21"/>
          <w:highlight w:val="none"/>
        </w:rPr>
      </w:pPr>
      <w:bookmarkStart w:id="354" w:name="_Toc531186613"/>
      <w:bookmarkStart w:id="355" w:name="_Toc454211122"/>
      <w:bookmarkStart w:id="356" w:name="_Toc373227710"/>
      <w:bookmarkStart w:id="357" w:name="_Toc461179252"/>
      <w:bookmarkStart w:id="358" w:name="_Toc470247811"/>
      <w:bookmarkStart w:id="359" w:name="_Toc432343898"/>
      <w:bookmarkStart w:id="360" w:name="_Toc529526984"/>
      <w:bookmarkStart w:id="361" w:name="_Toc373478357"/>
      <w:bookmarkStart w:id="362" w:name="_Toc389065276"/>
      <w:bookmarkStart w:id="363" w:name="_Toc529547336"/>
      <w:bookmarkStart w:id="364" w:name="_Toc411345191"/>
      <w:bookmarkStart w:id="365" w:name="_Toc472931617"/>
      <w:bookmarkStart w:id="366" w:name="_Toc530144478"/>
      <w:r>
        <w:rPr>
          <w:rFonts w:ascii="宋体" w:hAnsi="宋体"/>
          <w:b/>
          <w:bCs/>
          <w:color w:val="auto"/>
          <w:sz w:val="32"/>
          <w:szCs w:val="21"/>
          <w:highlight w:val="none"/>
        </w:rPr>
        <w:t>3</w:t>
      </w:r>
      <w:bookmarkStart w:id="367" w:name="_Toc296944498"/>
      <w:bookmarkStart w:id="368" w:name="_Toc296891199"/>
      <w:bookmarkStart w:id="369" w:name="_Toc296503159"/>
      <w:bookmarkStart w:id="370" w:name="_Toc312677988"/>
      <w:bookmarkStart w:id="371" w:name="_Toc296890987"/>
      <w:bookmarkStart w:id="372" w:name="_Toc296346660"/>
      <w:bookmarkStart w:id="373" w:name="_Toc297048345"/>
      <w:bookmarkStart w:id="374" w:name="_Toc297120459"/>
      <w:bookmarkStart w:id="375" w:name="_Toc300934945"/>
      <w:bookmarkStart w:id="376" w:name="_Toc292559869"/>
      <w:bookmarkStart w:id="377" w:name="_Toc304295523"/>
      <w:bookmarkStart w:id="378" w:name="_Toc296347158"/>
      <w:bookmarkStart w:id="379" w:name="_Toc292559364"/>
      <w:bookmarkStart w:id="380" w:name="_Toc297216151"/>
      <w:bookmarkStart w:id="381" w:name="_Toc303539102"/>
      <w:bookmarkStart w:id="382" w:name="_Toc297123492"/>
      <w:r>
        <w:rPr>
          <w:rFonts w:ascii="宋体" w:hAnsi="宋体"/>
          <w:b/>
          <w:bCs/>
          <w:color w:val="auto"/>
          <w:sz w:val="32"/>
          <w:szCs w:val="21"/>
          <w:highlight w:val="none"/>
        </w:rPr>
        <w:t>.5 分包</w:t>
      </w:r>
      <w:bookmarkEnd w:id="354"/>
      <w:bookmarkEnd w:id="355"/>
      <w:bookmarkEnd w:id="356"/>
      <w:bookmarkEnd w:id="357"/>
      <w:bookmarkEnd w:id="358"/>
      <w:bookmarkEnd w:id="359"/>
      <w:bookmarkEnd w:id="360"/>
      <w:bookmarkEnd w:id="361"/>
      <w:bookmarkEnd w:id="362"/>
      <w:bookmarkEnd w:id="363"/>
      <w:bookmarkEnd w:id="364"/>
      <w:bookmarkEnd w:id="365"/>
      <w:bookmarkEnd w:id="366"/>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22E3F118">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bookmarkStart w:id="383" w:name="_Toc292559870"/>
      <w:bookmarkStart w:id="384" w:name="_Toc296944499"/>
      <w:bookmarkStart w:id="385" w:name="_Toc304295524"/>
      <w:bookmarkStart w:id="386" w:name="_Toc297216152"/>
      <w:bookmarkStart w:id="387" w:name="_Toc296890988"/>
      <w:bookmarkStart w:id="388" w:name="_Toc296891200"/>
      <w:bookmarkStart w:id="389" w:name="_Toc303539103"/>
      <w:bookmarkStart w:id="390" w:name="_Toc312677989"/>
      <w:bookmarkStart w:id="391" w:name="_Toc297120460"/>
      <w:bookmarkStart w:id="392" w:name="_Toc297123493"/>
      <w:bookmarkStart w:id="393" w:name="_Toc296503160"/>
      <w:bookmarkStart w:id="394" w:name="_Toc296347159"/>
      <w:bookmarkStart w:id="395" w:name="_Toc318581158"/>
      <w:bookmarkStart w:id="396" w:name="_Toc292559365"/>
      <w:bookmarkStart w:id="397" w:name="_Toc297048346"/>
      <w:bookmarkStart w:id="398" w:name="_Toc296346661"/>
      <w:bookmarkStart w:id="399" w:name="_Toc300934946"/>
      <w:r>
        <w:rPr>
          <w:rFonts w:ascii="宋体" w:hAnsi="宋体"/>
          <w:color w:val="auto"/>
          <w:szCs w:val="21"/>
          <w:highlight w:val="none"/>
        </w:rPr>
        <w:t>.5.1 分包的一般约定</w:t>
      </w:r>
    </w:p>
    <w:p w14:paraId="427CF7F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禁止分包的工程包括：</w:t>
      </w:r>
      <w:r>
        <w:rPr>
          <w:rFonts w:ascii="宋体" w:hAnsi="宋体"/>
          <w:color w:val="auto"/>
          <w:szCs w:val="21"/>
          <w:highlight w:val="none"/>
          <w:u w:val="single"/>
        </w:rPr>
        <w:t></w:t>
      </w:r>
      <w:r>
        <w:rPr>
          <w:rFonts w:hint="eastAsia" w:ascii="宋体" w:hAnsi="宋体"/>
          <w:color w:val="auto"/>
          <w:szCs w:val="21"/>
          <w:highlight w:val="none"/>
          <w:u w:val="single"/>
        </w:rPr>
        <w:t>本项目禁止分包</w:t>
      </w:r>
      <w:r>
        <w:rPr>
          <w:rFonts w:ascii="宋体" w:hAnsi="宋体"/>
          <w:color w:val="auto"/>
          <w:szCs w:val="21"/>
          <w:highlight w:val="none"/>
        </w:rPr>
        <w:t>。</w:t>
      </w:r>
    </w:p>
    <w:p w14:paraId="27DAF61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主体结构、关键性工作的范围：</w:t>
      </w:r>
      <w:r>
        <w:rPr>
          <w:rFonts w:hint="eastAsia" w:ascii="宋体" w:hAnsi="宋体"/>
          <w:color w:val="auto"/>
          <w:szCs w:val="21"/>
          <w:highlight w:val="none"/>
          <w:u w:val="single"/>
        </w:rPr>
        <w:t>无</w:t>
      </w:r>
      <w:r>
        <w:rPr>
          <w:rFonts w:ascii="宋体" w:hAnsi="宋体"/>
          <w:color w:val="auto"/>
          <w:szCs w:val="21"/>
          <w:highlight w:val="none"/>
        </w:rPr>
        <w:t>。</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05DA9D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bookmarkStart w:id="400" w:name="_Toc312677990"/>
      <w:bookmarkStart w:id="401" w:name="_Toc318581159"/>
      <w:r>
        <w:rPr>
          <w:rFonts w:ascii="宋体" w:hAnsi="宋体"/>
          <w:color w:val="auto"/>
          <w:szCs w:val="21"/>
          <w:highlight w:val="none"/>
        </w:rPr>
        <w:t>.5.2分包的确定</w:t>
      </w:r>
    </w:p>
    <w:p w14:paraId="7139DD9E">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允许分包的专业工程包括：</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rPr>
        <w:t>。</w:t>
      </w:r>
    </w:p>
    <w:p w14:paraId="662ED8A8">
      <w:pPr>
        <w:spacing w:line="360" w:lineRule="auto"/>
        <w:ind w:firstLine="420" w:firstLineChars="200"/>
        <w:rPr>
          <w:rFonts w:ascii="宋体" w:hAnsi="宋体"/>
          <w:color w:val="auto"/>
          <w:szCs w:val="21"/>
          <w:highlight w:val="none"/>
        </w:rPr>
      </w:pPr>
      <w:r>
        <w:rPr>
          <w:rFonts w:ascii="宋体" w:hAnsi="宋体"/>
          <w:color w:val="auto"/>
          <w:szCs w:val="21"/>
          <w:highlight w:val="none"/>
        </w:rPr>
        <w:t>其他关于分包的约定：</w:t>
      </w:r>
    </w:p>
    <w:p w14:paraId="03545B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highlight w:val="none"/>
        </w:rPr>
        <w:t>本项目分包人主要施工管理人员名单详见合同附件4。</w:t>
      </w:r>
    </w:p>
    <w:p w14:paraId="482454F8">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在相关分包合同签订并报送有关建设行政主管部门备案后7天内，承包人应当将一份副本提交给监理人，承包人应保障分包工作不得再次分包。</w:t>
      </w:r>
    </w:p>
    <w:p w14:paraId="0E3DC7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未经承包人和监理人审批同意的分包工程和分包人，承包人有权拒绝验收分包工程和支付相应款项，由此引起的发包人费用增加和(或)延误的工期由发包人承担。</w:t>
      </w:r>
    </w:p>
    <w:p w14:paraId="6F5533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承包人有以下情况之一者，发包人有权解除合同：</w:t>
      </w:r>
    </w:p>
    <w:p w14:paraId="13655F65">
      <w:pPr>
        <w:spacing w:line="360" w:lineRule="auto"/>
        <w:ind w:firstLine="441" w:firstLineChars="210"/>
        <w:rPr>
          <w:rFonts w:ascii="宋体" w:hAnsi="宋体"/>
          <w:color w:val="auto"/>
          <w:szCs w:val="21"/>
          <w:highlight w:val="none"/>
        </w:rPr>
      </w:pPr>
      <w:r>
        <w:rPr>
          <w:rFonts w:ascii="宋体" w:hAnsi="宋体"/>
          <w:color w:val="auto"/>
          <w:szCs w:val="21"/>
          <w:highlight w:val="none"/>
        </w:rPr>
        <w:t>①个人承包工程，包括本人单位及外单位人员承包，发包人不承认其个人拥有任何资质等级及营业许可资格。</w:t>
      </w:r>
    </w:p>
    <w:p w14:paraId="2BB19CF4">
      <w:pPr>
        <w:spacing w:line="360" w:lineRule="auto"/>
        <w:ind w:firstLine="441" w:firstLineChars="210"/>
        <w:rPr>
          <w:rFonts w:ascii="宋体" w:hAnsi="宋体"/>
          <w:color w:val="auto"/>
          <w:szCs w:val="21"/>
          <w:highlight w:val="none"/>
        </w:rPr>
      </w:pPr>
      <w:r>
        <w:rPr>
          <w:rFonts w:ascii="宋体" w:hAnsi="宋体"/>
          <w:color w:val="auto"/>
          <w:szCs w:val="21"/>
          <w:highlight w:val="none"/>
        </w:rPr>
        <w:t>②几个人联合承包工程，就地组织暗分包队伍，不具备完成本工程的技术、机械能力，被发包人判定为没有能力履行的承包人。</w:t>
      </w:r>
    </w:p>
    <w:p w14:paraId="443C7220">
      <w:pPr>
        <w:spacing w:line="360" w:lineRule="auto"/>
        <w:ind w:firstLine="441" w:firstLineChars="210"/>
        <w:rPr>
          <w:rFonts w:ascii="宋体" w:hAnsi="宋体"/>
          <w:color w:val="auto"/>
          <w:szCs w:val="21"/>
          <w:highlight w:val="none"/>
        </w:rPr>
      </w:pPr>
      <w:r>
        <w:rPr>
          <w:rFonts w:ascii="宋体" w:hAnsi="宋体"/>
          <w:color w:val="auto"/>
          <w:szCs w:val="21"/>
          <w:highlight w:val="none"/>
        </w:rPr>
        <w:t>③就地转包全部的工程，以谋取高额转让费、管理费的承包人。</w:t>
      </w:r>
    </w:p>
    <w:p w14:paraId="75B3AE8E">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④承包人有部分分包现象（其中包括冒充承包人下属单位的</w:t>
      </w:r>
      <w:r>
        <w:rPr>
          <w:rFonts w:hint="eastAsia" w:hAnsi="宋体"/>
          <w:color w:val="auto"/>
          <w:szCs w:val="21"/>
          <w:highlight w:val="none"/>
          <w:lang w:eastAsia="zh-CN"/>
        </w:rPr>
        <w:t>挂钩</w:t>
      </w:r>
      <w:r>
        <w:rPr>
          <w:rFonts w:ascii="宋体" w:hAnsi="宋体"/>
          <w:color w:val="auto"/>
          <w:szCs w:val="21"/>
          <w:highlight w:val="none"/>
        </w:rPr>
        <w:t>单位，凭口头协议参与施工的分包人及其他暗分包个体户），一经发现核实，发包人将采取驱逐该暗分包人措施。</w:t>
      </w:r>
    </w:p>
    <w:p w14:paraId="51BBB6D7">
      <w:pPr>
        <w:spacing w:line="360" w:lineRule="auto"/>
        <w:ind w:firstLine="420" w:firstLineChars="200"/>
        <w:rPr>
          <w:rFonts w:ascii="宋体" w:hAnsi="宋体"/>
          <w:color w:val="auto"/>
          <w:szCs w:val="21"/>
          <w:highlight w:val="none"/>
        </w:rPr>
      </w:pPr>
      <w:r>
        <w:rPr>
          <w:rFonts w:ascii="宋体" w:hAnsi="宋体"/>
          <w:color w:val="auto"/>
          <w:szCs w:val="21"/>
          <w:highlight w:val="none"/>
        </w:rPr>
        <w:t>3.5.4 分包合同价款</w:t>
      </w:r>
    </w:p>
    <w:bookmarkEnd w:id="400"/>
    <w:bookmarkEnd w:id="401"/>
    <w:p w14:paraId="18ABC9A8">
      <w:pPr>
        <w:spacing w:line="360" w:lineRule="auto"/>
        <w:ind w:firstLine="420" w:firstLineChars="200"/>
        <w:rPr>
          <w:rFonts w:ascii="宋体" w:hAnsi="宋体"/>
          <w:color w:val="auto"/>
          <w:szCs w:val="21"/>
          <w:highlight w:val="none"/>
        </w:rPr>
      </w:pPr>
      <w:bookmarkStart w:id="402" w:name="_Toc373227711"/>
      <w:bookmarkStart w:id="403" w:name="_Toc389065277"/>
      <w:bookmarkStart w:id="404" w:name="_Toc373478358"/>
      <w:r>
        <w:rPr>
          <w:rFonts w:ascii="宋体" w:hAnsi="宋体"/>
          <w:color w:val="auto"/>
          <w:szCs w:val="21"/>
          <w:highlight w:val="none"/>
        </w:rPr>
        <w:t>关于分包合同价款支付的约定：</w:t>
      </w:r>
      <w:r>
        <w:rPr>
          <w:rFonts w:ascii="宋体" w:hAnsi="宋体"/>
          <w:color w:val="auto"/>
          <w:szCs w:val="21"/>
          <w:highlight w:val="none"/>
          <w:u w:val="single"/>
        </w:rPr>
        <w:t>分包工程价款由承包人与分包人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结算。发包人未经承包人同意不得以任何形式向分包人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支付相关分包合同项下的任何工程款项。因发包人未经承包人同意直接向分包人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支付相关分包合同项下的任何工程款项而影响承包人工作的，所造成的承包人费用增加和</w:t>
      </w:r>
      <w:r>
        <w:rPr>
          <w:rFonts w:hint="eastAsia" w:ascii="宋体" w:hAnsi="宋体"/>
          <w:color w:val="auto"/>
          <w:szCs w:val="21"/>
          <w:highlight w:val="none"/>
          <w:u w:val="single"/>
        </w:rPr>
        <w:t>（</w:t>
      </w:r>
      <w:r>
        <w:rPr>
          <w:rFonts w:ascii="宋体" w:hAnsi="宋体"/>
          <w:color w:val="auto"/>
          <w:szCs w:val="21"/>
          <w:highlight w:val="none"/>
          <w:u w:val="single"/>
        </w:rPr>
        <w:t>或</w:t>
      </w:r>
      <w:r>
        <w:rPr>
          <w:rFonts w:hint="eastAsia" w:ascii="宋体" w:hAnsi="宋体"/>
          <w:color w:val="auto"/>
          <w:szCs w:val="21"/>
          <w:highlight w:val="none"/>
          <w:u w:val="single"/>
        </w:rPr>
        <w:t>）</w:t>
      </w:r>
      <w:r>
        <w:rPr>
          <w:rFonts w:ascii="宋体" w:hAnsi="宋体"/>
          <w:color w:val="auto"/>
          <w:szCs w:val="21"/>
          <w:highlight w:val="none"/>
          <w:u w:val="single"/>
        </w:rPr>
        <w:t>延误的工期由发包人承担。</w:t>
      </w:r>
    </w:p>
    <w:p w14:paraId="27235886">
      <w:pPr>
        <w:keepNext/>
        <w:keepLines/>
        <w:spacing w:before="260" w:after="260" w:line="416" w:lineRule="auto"/>
        <w:outlineLvl w:val="2"/>
        <w:rPr>
          <w:rFonts w:ascii="宋体" w:hAnsi="宋体"/>
          <w:b/>
          <w:bCs/>
          <w:color w:val="auto"/>
          <w:sz w:val="32"/>
          <w:szCs w:val="21"/>
          <w:highlight w:val="none"/>
        </w:rPr>
      </w:pPr>
      <w:bookmarkStart w:id="405" w:name="_Toc531186614"/>
      <w:bookmarkStart w:id="406" w:name="_Toc470247812"/>
      <w:bookmarkStart w:id="407" w:name="_Toc529526985"/>
      <w:bookmarkStart w:id="408" w:name="_Toc530144479"/>
      <w:bookmarkStart w:id="409" w:name="_Toc432343899"/>
      <w:bookmarkStart w:id="410" w:name="_Toc529547337"/>
      <w:bookmarkStart w:id="411" w:name="_Toc411345192"/>
      <w:bookmarkStart w:id="412" w:name="_Toc461179253"/>
      <w:bookmarkStart w:id="413" w:name="_Toc454211123"/>
      <w:bookmarkStart w:id="414" w:name="_Toc472931618"/>
      <w:r>
        <w:rPr>
          <w:rFonts w:ascii="宋体" w:hAnsi="宋体"/>
          <w:b/>
          <w:bCs/>
          <w:color w:val="auto"/>
          <w:sz w:val="32"/>
          <w:szCs w:val="21"/>
          <w:highlight w:val="none"/>
        </w:rPr>
        <w:t>3.6 工程照管与成品、半成品保护</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1D0F3EDB">
      <w:pPr>
        <w:spacing w:line="360" w:lineRule="auto"/>
        <w:ind w:firstLine="420" w:firstLineChars="200"/>
        <w:rPr>
          <w:rFonts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hint="eastAsia" w:ascii="宋体" w:hAnsi="宋体"/>
          <w:bCs/>
          <w:color w:val="auto"/>
          <w:szCs w:val="21"/>
          <w:highlight w:val="none"/>
          <w:u w:val="single"/>
        </w:rPr>
        <w:t>设备、人员进场至验收交付使用前由承包人负责保管，无其他特殊要求的，费用由承包人承担。</w:t>
      </w:r>
    </w:p>
    <w:p w14:paraId="5CC87ACC">
      <w:pPr>
        <w:keepNext/>
        <w:keepLines/>
        <w:spacing w:before="260" w:after="260" w:line="416" w:lineRule="auto"/>
        <w:outlineLvl w:val="2"/>
        <w:rPr>
          <w:rFonts w:ascii="宋体" w:hAnsi="宋体"/>
          <w:b/>
          <w:bCs/>
          <w:color w:val="auto"/>
          <w:sz w:val="32"/>
          <w:szCs w:val="32"/>
          <w:highlight w:val="none"/>
        </w:rPr>
      </w:pPr>
      <w:bookmarkStart w:id="415" w:name="_Toc411345194"/>
      <w:bookmarkStart w:id="416" w:name="_Toc461179255"/>
      <w:bookmarkStart w:id="417" w:name="_Toc454211125"/>
      <w:bookmarkStart w:id="418" w:name="_Toc472931620"/>
      <w:bookmarkStart w:id="419" w:name="_Toc531186616"/>
      <w:bookmarkStart w:id="420" w:name="_Toc351203636"/>
      <w:bookmarkStart w:id="421" w:name="_Toc530144481"/>
      <w:bookmarkStart w:id="422" w:name="_Toc432343901"/>
      <w:bookmarkStart w:id="423" w:name="_Toc373478360"/>
      <w:bookmarkStart w:id="424" w:name="_Toc389065279"/>
      <w:bookmarkStart w:id="425" w:name="_Toc529526987"/>
      <w:bookmarkStart w:id="426" w:name="_Toc373227713"/>
      <w:bookmarkStart w:id="427" w:name="_Toc470247814"/>
      <w:bookmarkStart w:id="428" w:name="_Toc529547339"/>
      <w:r>
        <w:rPr>
          <w:rFonts w:ascii="宋体" w:hAnsi="宋体"/>
          <w:b/>
          <w:bCs/>
          <w:color w:val="auto"/>
          <w:sz w:val="32"/>
          <w:szCs w:val="32"/>
          <w:highlight w:val="none"/>
        </w:rPr>
        <w:t>4</w:t>
      </w:r>
      <w:bookmarkStart w:id="429" w:name="_Toc296891202"/>
      <w:bookmarkStart w:id="430" w:name="_Toc297048348"/>
      <w:bookmarkStart w:id="431" w:name="_Toc296347161"/>
      <w:bookmarkStart w:id="432" w:name="_Toc296944501"/>
      <w:bookmarkStart w:id="433" w:name="_Toc267251413"/>
      <w:bookmarkStart w:id="434" w:name="_Toc292559366"/>
      <w:bookmarkStart w:id="435" w:name="_Toc296346663"/>
      <w:bookmarkStart w:id="436" w:name="_Toc296503162"/>
      <w:bookmarkStart w:id="437" w:name="_Toc292559871"/>
      <w:bookmarkStart w:id="438" w:name="_Toc296890990"/>
      <w:bookmarkStart w:id="439" w:name="_Toc297120462"/>
      <w:r>
        <w:rPr>
          <w:rFonts w:ascii="宋体" w:hAnsi="宋体"/>
          <w:b/>
          <w:bCs/>
          <w:color w:val="auto"/>
          <w:sz w:val="32"/>
          <w:szCs w:val="32"/>
          <w:highlight w:val="none"/>
        </w:rPr>
        <w:t>. 监</w:t>
      </w:r>
      <w:bookmarkEnd w:id="429"/>
      <w:bookmarkEnd w:id="430"/>
      <w:bookmarkEnd w:id="431"/>
      <w:bookmarkEnd w:id="432"/>
      <w:bookmarkEnd w:id="433"/>
      <w:bookmarkEnd w:id="434"/>
      <w:bookmarkEnd w:id="435"/>
      <w:bookmarkEnd w:id="436"/>
      <w:bookmarkEnd w:id="437"/>
      <w:bookmarkEnd w:id="438"/>
      <w:bookmarkEnd w:id="439"/>
      <w:r>
        <w:rPr>
          <w:rFonts w:ascii="宋体" w:hAnsi="宋体"/>
          <w:b/>
          <w:bCs/>
          <w:color w:val="auto"/>
          <w:sz w:val="32"/>
          <w:szCs w:val="32"/>
          <w:highlight w:val="none"/>
        </w:rPr>
        <w:t>理人</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17DAD78">
      <w:pPr>
        <w:keepNext/>
        <w:keepLines/>
        <w:spacing w:before="260" w:after="260" w:line="416" w:lineRule="auto"/>
        <w:outlineLvl w:val="2"/>
        <w:rPr>
          <w:rFonts w:ascii="宋体" w:hAnsi="宋体"/>
          <w:b/>
          <w:bCs/>
          <w:color w:val="auto"/>
          <w:sz w:val="32"/>
          <w:szCs w:val="32"/>
          <w:highlight w:val="none"/>
        </w:rPr>
      </w:pPr>
      <w:bookmarkStart w:id="440" w:name="_Toc432343902"/>
      <w:bookmarkStart w:id="441" w:name="_Toc373227714"/>
      <w:bookmarkStart w:id="442" w:name="_Toc373478361"/>
      <w:bookmarkStart w:id="443" w:name="_Toc389065280"/>
      <w:bookmarkStart w:id="444" w:name="_Toc461179256"/>
      <w:bookmarkStart w:id="445" w:name="_Toc472931621"/>
      <w:bookmarkStart w:id="446" w:name="_Toc531186617"/>
      <w:bookmarkStart w:id="447" w:name="_Toc470247815"/>
      <w:bookmarkStart w:id="448" w:name="_Toc529547340"/>
      <w:bookmarkStart w:id="449" w:name="_Toc530144482"/>
      <w:bookmarkStart w:id="450" w:name="_Toc529526988"/>
      <w:bookmarkStart w:id="451" w:name="_Toc411345195"/>
      <w:bookmarkStart w:id="452" w:name="_Toc454211126"/>
      <w:r>
        <w:rPr>
          <w:rFonts w:ascii="宋体" w:hAnsi="宋体"/>
          <w:b/>
          <w:bCs/>
          <w:color w:val="auto"/>
          <w:sz w:val="32"/>
          <w:szCs w:val="32"/>
          <w:highlight w:val="none"/>
        </w:rPr>
        <w:t>4.1监理人的一般规定</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2C3FF5F3">
      <w:pPr>
        <w:spacing w:line="300" w:lineRule="exact"/>
        <w:ind w:firstLine="420" w:firstLineChars="200"/>
        <w:jc w:val="left"/>
        <w:rPr>
          <w:rFonts w:ascii="Calibri" w:hAnsi="Calibri"/>
          <w:color w:val="auto"/>
          <w:szCs w:val="21"/>
          <w:highlight w:val="none"/>
        </w:rPr>
      </w:pPr>
      <w:r>
        <w:rPr>
          <w:rFonts w:ascii="宋体" w:hAnsi="宋体"/>
          <w:color w:val="auto"/>
          <w:szCs w:val="21"/>
          <w:highlight w:val="none"/>
        </w:rPr>
        <w:t>关于监理人的监理内容：</w:t>
      </w:r>
      <w:r>
        <w:rPr>
          <w:rFonts w:hint="eastAsia" w:ascii="Calibri" w:hAnsi="Calibri"/>
          <w:color w:val="auto"/>
          <w:szCs w:val="21"/>
          <w:highlight w:val="none"/>
          <w:u w:val="single"/>
        </w:rPr>
        <w:t>按本工程的监理合同中的有关条款</w:t>
      </w:r>
      <w:r>
        <w:rPr>
          <w:rFonts w:ascii="Calibri" w:hAnsi="宋体"/>
          <w:color w:val="auto"/>
          <w:szCs w:val="21"/>
          <w:highlight w:val="none"/>
        </w:rPr>
        <w:t>。</w:t>
      </w:r>
    </w:p>
    <w:p w14:paraId="05D0C0ED">
      <w:pPr>
        <w:spacing w:line="360" w:lineRule="auto"/>
        <w:ind w:firstLine="420" w:firstLineChars="200"/>
        <w:jc w:val="left"/>
        <w:rPr>
          <w:rFonts w:ascii="宋体" w:hAnsi="宋体"/>
          <w:color w:val="auto"/>
          <w:szCs w:val="21"/>
          <w:highlight w:val="none"/>
        </w:rPr>
      </w:pPr>
      <w:r>
        <w:rPr>
          <w:rFonts w:ascii="Calibri" w:hAnsi="宋体"/>
          <w:color w:val="auto"/>
          <w:szCs w:val="21"/>
          <w:highlight w:val="none"/>
        </w:rPr>
        <w:t>关于监理人的监理权限：</w:t>
      </w:r>
      <w:r>
        <w:rPr>
          <w:rFonts w:hint="eastAsia" w:ascii="Calibri" w:hAnsi="Calibri"/>
          <w:color w:val="auto"/>
          <w:szCs w:val="21"/>
          <w:highlight w:val="none"/>
          <w:u w:val="single"/>
        </w:rPr>
        <w:t>按本工程的监理合同中的有关条款</w:t>
      </w:r>
      <w:r>
        <w:rPr>
          <w:rFonts w:hint="eastAsia" w:ascii="宋体" w:hAnsi="宋体"/>
          <w:bCs/>
          <w:color w:val="auto"/>
          <w:szCs w:val="21"/>
          <w:highlight w:val="none"/>
          <w:u w:val="single"/>
        </w:rPr>
        <w:t>。</w:t>
      </w:r>
    </w:p>
    <w:p w14:paraId="1EA842F3">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关于监理人在施工现场的办公场所、生活场所的提供和费用承担的约定：</w:t>
      </w:r>
      <w:r>
        <w:rPr>
          <w:rFonts w:ascii="宋体" w:hAnsi="宋体"/>
          <w:color w:val="auto"/>
          <w:szCs w:val="21"/>
          <w:highlight w:val="none"/>
          <w:u w:val="single"/>
        </w:rPr>
        <w:t xml:space="preserve">            </w:t>
      </w:r>
    </w:p>
    <w:p w14:paraId="3D47D2A8">
      <w:pPr>
        <w:keepNext/>
        <w:keepLines/>
        <w:spacing w:before="260" w:after="260" w:line="416" w:lineRule="auto"/>
        <w:outlineLvl w:val="2"/>
        <w:rPr>
          <w:rFonts w:ascii="宋体" w:hAnsi="宋体"/>
          <w:b/>
          <w:bCs/>
          <w:color w:val="auto"/>
          <w:sz w:val="32"/>
          <w:szCs w:val="21"/>
          <w:highlight w:val="none"/>
        </w:rPr>
      </w:pPr>
      <w:bookmarkStart w:id="453" w:name="_Toc530144483"/>
      <w:bookmarkStart w:id="454" w:name="_Toc529526989"/>
      <w:bookmarkStart w:id="455" w:name="_Toc411345196"/>
      <w:bookmarkStart w:id="456" w:name="_Toc373478362"/>
      <w:bookmarkStart w:id="457" w:name="_Toc472931622"/>
      <w:bookmarkStart w:id="458" w:name="_Toc373227715"/>
      <w:bookmarkStart w:id="459" w:name="_Toc389065281"/>
      <w:bookmarkStart w:id="460" w:name="_Toc529547341"/>
      <w:bookmarkStart w:id="461" w:name="_Toc531186618"/>
      <w:bookmarkStart w:id="462" w:name="_Toc432343903"/>
      <w:bookmarkStart w:id="463" w:name="_Toc454211127"/>
      <w:bookmarkStart w:id="464" w:name="_Toc470247816"/>
      <w:bookmarkStart w:id="465" w:name="_Toc461179257"/>
      <w:r>
        <w:rPr>
          <w:rFonts w:ascii="宋体" w:hAnsi="宋体"/>
          <w:b/>
          <w:bCs/>
          <w:color w:val="auto"/>
          <w:sz w:val="32"/>
          <w:szCs w:val="21"/>
          <w:highlight w:val="none"/>
        </w:rPr>
        <w:t>4.2 监理人员</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6C633552">
      <w:pPr>
        <w:spacing w:line="360" w:lineRule="auto"/>
        <w:ind w:firstLine="420" w:firstLineChars="200"/>
        <w:rPr>
          <w:rFonts w:ascii="宋体" w:hAnsi="宋体"/>
          <w:color w:val="auto"/>
          <w:szCs w:val="21"/>
          <w:highlight w:val="none"/>
        </w:rPr>
      </w:pPr>
      <w:r>
        <w:rPr>
          <w:rFonts w:ascii="宋体" w:hAnsi="宋体"/>
          <w:color w:val="auto"/>
          <w:szCs w:val="21"/>
          <w:highlight w:val="none"/>
        </w:rPr>
        <w:t>总监理工程师：</w:t>
      </w:r>
    </w:p>
    <w:p w14:paraId="6C77BE4F">
      <w:pPr>
        <w:spacing w:line="360" w:lineRule="auto"/>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 </w:t>
      </w:r>
      <w:r>
        <w:rPr>
          <w:rFonts w:ascii="宋体" w:hAnsi="宋体"/>
          <w:color w:val="auto"/>
          <w:szCs w:val="21"/>
          <w:highlight w:val="none"/>
        </w:rPr>
        <w:t>；</w:t>
      </w:r>
    </w:p>
    <w:p w14:paraId="2D2B1C69">
      <w:pPr>
        <w:spacing w:line="360" w:lineRule="auto"/>
        <w:ind w:firstLine="420" w:firstLineChars="200"/>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139A45E4">
      <w:pPr>
        <w:spacing w:line="360" w:lineRule="auto"/>
        <w:ind w:firstLine="420" w:firstLineChars="200"/>
        <w:rPr>
          <w:rFonts w:ascii="宋体" w:hAnsi="宋体"/>
          <w:color w:val="auto"/>
          <w:szCs w:val="21"/>
          <w:highlight w:val="none"/>
        </w:rPr>
      </w:pPr>
      <w:r>
        <w:rPr>
          <w:rFonts w:ascii="宋体" w:hAnsi="宋体"/>
          <w:color w:val="auto"/>
          <w:szCs w:val="21"/>
          <w:highlight w:val="none"/>
        </w:rPr>
        <w:t>监理工程师执业资格证书号：</w:t>
      </w:r>
      <w:r>
        <w:rPr>
          <w:rFonts w:ascii="宋体" w:hAnsi="宋体"/>
          <w:color w:val="auto"/>
          <w:szCs w:val="21"/>
          <w:highlight w:val="none"/>
          <w:u w:val="single"/>
        </w:rPr>
        <w:t> </w:t>
      </w:r>
      <w:r>
        <w:rPr>
          <w:rFonts w:ascii="宋体" w:hAnsi="宋体"/>
          <w:color w:val="auto"/>
          <w:szCs w:val="21"/>
          <w:highlight w:val="none"/>
        </w:rPr>
        <w:t>；</w:t>
      </w:r>
    </w:p>
    <w:p w14:paraId="5B180F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p>
    <w:p w14:paraId="314F09F5">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589D879B">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769C84AE">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4B3F2451">
      <w:pPr>
        <w:spacing w:line="360" w:lineRule="auto"/>
        <w:ind w:firstLine="420" w:firstLineChars="200"/>
        <w:rPr>
          <w:rFonts w:ascii="宋体" w:hAnsi="宋体"/>
          <w:color w:val="auto"/>
          <w:szCs w:val="21"/>
          <w:highlight w:val="none"/>
        </w:rPr>
      </w:pPr>
      <w:r>
        <w:rPr>
          <w:rFonts w:ascii="宋体" w:hAnsi="宋体"/>
          <w:color w:val="auto"/>
          <w:szCs w:val="21"/>
          <w:highlight w:val="none"/>
        </w:rPr>
        <w:t>关于监理人的其他约定：</w:t>
      </w:r>
      <w:r>
        <w:rPr>
          <w:rFonts w:ascii="宋体" w:hAnsi="宋体"/>
          <w:color w:val="auto"/>
          <w:szCs w:val="21"/>
          <w:highlight w:val="none"/>
          <w:u w:val="single"/>
        </w:rPr>
        <w:t>   </w:t>
      </w:r>
      <w:r>
        <w:rPr>
          <w:rFonts w:ascii="宋体" w:hAnsi="宋体"/>
          <w:color w:val="auto"/>
          <w:szCs w:val="21"/>
          <w:highlight w:val="none"/>
        </w:rPr>
        <w:t>。</w:t>
      </w:r>
    </w:p>
    <w:p w14:paraId="3811910B">
      <w:pPr>
        <w:keepNext/>
        <w:keepLines/>
        <w:spacing w:before="260" w:after="260" w:line="416" w:lineRule="auto"/>
        <w:outlineLvl w:val="2"/>
        <w:rPr>
          <w:rFonts w:ascii="宋体" w:hAnsi="宋体"/>
          <w:b/>
          <w:bCs/>
          <w:color w:val="auto"/>
          <w:sz w:val="32"/>
          <w:szCs w:val="32"/>
          <w:highlight w:val="none"/>
        </w:rPr>
      </w:pPr>
      <w:bookmarkStart w:id="466" w:name="_Toc461179258"/>
      <w:bookmarkStart w:id="467" w:name="_Toc529526990"/>
      <w:bookmarkStart w:id="468" w:name="_Toc531186619"/>
      <w:bookmarkStart w:id="469" w:name="_Toc432343904"/>
      <w:bookmarkStart w:id="470" w:name="_Toc529547342"/>
      <w:bookmarkStart w:id="471" w:name="_Toc373227716"/>
      <w:bookmarkStart w:id="472" w:name="_Toc454211128"/>
      <w:bookmarkStart w:id="473" w:name="_Toc411345197"/>
      <w:bookmarkStart w:id="474" w:name="_Toc470247817"/>
      <w:bookmarkStart w:id="475" w:name="_Toc373478363"/>
      <w:bookmarkStart w:id="476" w:name="_Toc472931623"/>
      <w:bookmarkStart w:id="477" w:name="_Toc389065282"/>
      <w:bookmarkStart w:id="478" w:name="_Toc530144484"/>
      <w:r>
        <w:rPr>
          <w:rFonts w:ascii="宋体" w:hAnsi="宋体"/>
          <w:b/>
          <w:bCs/>
          <w:color w:val="auto"/>
          <w:sz w:val="32"/>
          <w:szCs w:val="32"/>
          <w:highlight w:val="none"/>
        </w:rPr>
        <w:t>4.4 商定或确定</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356FD90B">
      <w:pPr>
        <w:spacing w:line="360" w:lineRule="auto"/>
        <w:ind w:firstLine="420" w:firstLineChars="200"/>
        <w:rPr>
          <w:rFonts w:ascii="宋体" w:hAnsi="宋体"/>
          <w:color w:val="auto"/>
          <w:szCs w:val="21"/>
          <w:highlight w:val="none"/>
        </w:rPr>
      </w:pPr>
      <w:bookmarkStart w:id="479" w:name="_Toc267251418"/>
      <w:r>
        <w:rPr>
          <w:rFonts w:ascii="宋体" w:hAnsi="宋体"/>
          <w:color w:val="auto"/>
          <w:szCs w:val="21"/>
          <w:highlight w:val="none"/>
        </w:rPr>
        <w:t>在发包人和承包人不能通过协商达成一致意见时，发包人授权监理人对以下事项进行确定：</w:t>
      </w:r>
    </w:p>
    <w:p w14:paraId="43EF5D95">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szCs w:val="21"/>
          <w:highlight w:val="none"/>
          <w:u w:val="single"/>
        </w:rPr>
        <w:t>无</w:t>
      </w:r>
      <w:r>
        <w:rPr>
          <w:rFonts w:ascii="宋体" w:hAnsi="宋体"/>
          <w:color w:val="auto"/>
          <w:szCs w:val="21"/>
          <w:highlight w:val="none"/>
        </w:rPr>
        <w:t>；</w:t>
      </w:r>
    </w:p>
    <w:p w14:paraId="3747B18F">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szCs w:val="21"/>
          <w:highlight w:val="none"/>
          <w:u w:val="single"/>
        </w:rPr>
        <w:t>无</w:t>
      </w:r>
      <w:r>
        <w:rPr>
          <w:rFonts w:ascii="宋体" w:hAnsi="宋体"/>
          <w:color w:val="auto"/>
          <w:szCs w:val="21"/>
          <w:highlight w:val="none"/>
        </w:rPr>
        <w:t>；</w:t>
      </w:r>
    </w:p>
    <w:p w14:paraId="7E59C115">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u w:val="single"/>
        </w:rPr>
        <w:t>无</w:t>
      </w:r>
      <w:r>
        <w:rPr>
          <w:rFonts w:ascii="宋体" w:hAnsi="宋体"/>
          <w:color w:val="auto"/>
          <w:szCs w:val="21"/>
          <w:highlight w:val="none"/>
        </w:rPr>
        <w:t>。</w:t>
      </w:r>
    </w:p>
    <w:p w14:paraId="693541CE">
      <w:pPr>
        <w:keepNext/>
        <w:keepLines/>
        <w:spacing w:before="260" w:after="260" w:line="416" w:lineRule="auto"/>
        <w:outlineLvl w:val="1"/>
        <w:rPr>
          <w:rFonts w:ascii="宋体" w:hAnsi="宋体"/>
          <w:b/>
          <w:bCs/>
          <w:color w:val="auto"/>
          <w:sz w:val="32"/>
          <w:szCs w:val="32"/>
          <w:highlight w:val="none"/>
        </w:rPr>
      </w:pPr>
      <w:bookmarkStart w:id="480" w:name="_Toc411345198"/>
      <w:bookmarkStart w:id="481" w:name="_Toc531186620"/>
      <w:bookmarkStart w:id="482" w:name="_Toc351203637"/>
      <w:bookmarkStart w:id="483" w:name="_Toc472931624"/>
      <w:bookmarkStart w:id="484" w:name="_Toc373478364"/>
      <w:bookmarkStart w:id="485" w:name="_Toc389065283"/>
      <w:bookmarkStart w:id="486" w:name="_Toc461179259"/>
      <w:bookmarkStart w:id="487" w:name="_Toc432343905"/>
      <w:bookmarkStart w:id="488" w:name="_Toc454211129"/>
      <w:bookmarkStart w:id="489" w:name="_Toc373227717"/>
      <w:bookmarkStart w:id="490" w:name="_Toc529547343"/>
      <w:bookmarkStart w:id="491" w:name="_Toc529526991"/>
      <w:bookmarkStart w:id="492" w:name="_Toc530144485"/>
      <w:bookmarkStart w:id="493" w:name="_Toc470247818"/>
      <w:r>
        <w:rPr>
          <w:rFonts w:ascii="宋体" w:hAnsi="宋体"/>
          <w:b/>
          <w:bCs/>
          <w:color w:val="auto"/>
          <w:sz w:val="32"/>
          <w:szCs w:val="32"/>
          <w:highlight w:val="none"/>
        </w:rPr>
        <w:t>5</w:t>
      </w:r>
      <w:bookmarkEnd w:id="479"/>
      <w:bookmarkStart w:id="494" w:name="_Toc296347162"/>
      <w:bookmarkStart w:id="495" w:name="_Toc296944502"/>
      <w:bookmarkStart w:id="496" w:name="_Toc296891203"/>
      <w:bookmarkStart w:id="497" w:name="_Toc292559367"/>
      <w:bookmarkStart w:id="498" w:name="_Toc297048349"/>
      <w:bookmarkStart w:id="499" w:name="_Toc297120463"/>
      <w:bookmarkStart w:id="500" w:name="_Toc292559872"/>
      <w:bookmarkStart w:id="501" w:name="_Toc296503163"/>
      <w:bookmarkStart w:id="502" w:name="_Toc296890991"/>
      <w:bookmarkStart w:id="503" w:name="_Toc296346664"/>
      <w:r>
        <w:rPr>
          <w:rFonts w:ascii="宋体" w:hAnsi="宋体"/>
          <w:b/>
          <w:bCs/>
          <w:color w:val="auto"/>
          <w:sz w:val="32"/>
          <w:szCs w:val="32"/>
          <w:highlight w:val="none"/>
        </w:rPr>
        <w:t>. 工程质量</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130D441">
      <w:pPr>
        <w:keepNext/>
        <w:keepLines/>
        <w:spacing w:before="260" w:after="260" w:line="416" w:lineRule="auto"/>
        <w:outlineLvl w:val="2"/>
        <w:rPr>
          <w:rFonts w:ascii="宋体" w:hAnsi="宋体"/>
          <w:b/>
          <w:bCs/>
          <w:color w:val="auto"/>
          <w:sz w:val="32"/>
          <w:szCs w:val="32"/>
          <w:highlight w:val="none"/>
        </w:rPr>
      </w:pPr>
      <w:bookmarkStart w:id="504" w:name="_Toc470247819"/>
      <w:bookmarkStart w:id="505" w:name="_Toc432343906"/>
      <w:bookmarkStart w:id="506" w:name="_Toc529526992"/>
      <w:bookmarkStart w:id="507" w:name="_Toc411345199"/>
      <w:bookmarkStart w:id="508" w:name="_Toc472931625"/>
      <w:bookmarkStart w:id="509" w:name="_Toc389065284"/>
      <w:bookmarkStart w:id="510" w:name="_Toc531186621"/>
      <w:bookmarkStart w:id="511" w:name="_Toc454211130"/>
      <w:bookmarkStart w:id="512" w:name="_Toc529547344"/>
      <w:bookmarkStart w:id="513" w:name="_Toc373227718"/>
      <w:bookmarkStart w:id="514" w:name="_Toc373478365"/>
      <w:bookmarkStart w:id="515" w:name="_Toc530144486"/>
      <w:bookmarkStart w:id="516" w:name="_Toc461179260"/>
      <w:r>
        <w:rPr>
          <w:rFonts w:ascii="宋体" w:hAnsi="宋体"/>
          <w:b/>
          <w:bCs/>
          <w:color w:val="auto"/>
          <w:sz w:val="32"/>
          <w:szCs w:val="32"/>
          <w:highlight w:val="none"/>
        </w:rPr>
        <w:t>5.1 质量要求</w:t>
      </w:r>
      <w:bookmarkEnd w:id="504"/>
      <w:bookmarkEnd w:id="505"/>
      <w:bookmarkEnd w:id="506"/>
      <w:bookmarkEnd w:id="507"/>
      <w:bookmarkEnd w:id="508"/>
      <w:bookmarkEnd w:id="509"/>
      <w:bookmarkEnd w:id="510"/>
      <w:bookmarkEnd w:id="511"/>
      <w:bookmarkEnd w:id="512"/>
      <w:bookmarkEnd w:id="513"/>
      <w:bookmarkEnd w:id="514"/>
      <w:bookmarkEnd w:id="515"/>
      <w:bookmarkEnd w:id="516"/>
    </w:p>
    <w:p w14:paraId="2E894B4D">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5</w:t>
      </w:r>
      <w:bookmarkStart w:id="517" w:name="_Toc304295527"/>
      <w:bookmarkStart w:id="518" w:name="_Toc318581164"/>
      <w:bookmarkStart w:id="519" w:name="_Toc303539106"/>
      <w:bookmarkStart w:id="520" w:name="_Toc297123496"/>
      <w:bookmarkStart w:id="521" w:name="_Toc297216155"/>
      <w:bookmarkStart w:id="522" w:name="_Toc312677997"/>
      <w:bookmarkStart w:id="523" w:name="_Toc300934949"/>
      <w:r>
        <w:rPr>
          <w:rFonts w:ascii="宋体" w:hAnsi="宋体"/>
          <w:color w:val="auto"/>
          <w:szCs w:val="21"/>
          <w:highlight w:val="none"/>
        </w:rPr>
        <w:t>.1.1 特殊质量标准和要求：</w:t>
      </w:r>
      <w:r>
        <w:rPr>
          <w:rFonts w:hint="eastAsia" w:ascii="宋体" w:hAnsi="宋体"/>
          <w:color w:val="auto"/>
          <w:szCs w:val="21"/>
          <w:highlight w:val="none"/>
          <w:u w:val="single"/>
        </w:rPr>
        <w:t>合格</w:t>
      </w:r>
      <w:r>
        <w:rPr>
          <w:rFonts w:ascii="宋体" w:hAnsi="宋体"/>
          <w:color w:val="auto"/>
          <w:szCs w:val="21"/>
          <w:highlight w:val="none"/>
        </w:rPr>
        <w:t>。</w:t>
      </w:r>
    </w:p>
    <w:p w14:paraId="316404B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关于工程奖项的约定：</w:t>
      </w:r>
      <w:r>
        <w:rPr>
          <w:rFonts w:hint="eastAsia" w:ascii="宋体" w:hAnsi="宋体"/>
          <w:color w:val="auto"/>
          <w:szCs w:val="21"/>
          <w:highlight w:val="none"/>
          <w:u w:val="single"/>
        </w:rPr>
        <w:t>无</w:t>
      </w:r>
      <w:r>
        <w:rPr>
          <w:rFonts w:ascii="宋体" w:hAnsi="宋体"/>
          <w:color w:val="auto"/>
          <w:szCs w:val="21"/>
          <w:highlight w:val="none"/>
        </w:rPr>
        <w:t>。</w:t>
      </w:r>
    </w:p>
    <w:p w14:paraId="383B91CE">
      <w:pPr>
        <w:keepNext/>
        <w:keepLines/>
        <w:spacing w:before="260" w:after="260" w:line="416" w:lineRule="auto"/>
        <w:outlineLvl w:val="2"/>
        <w:rPr>
          <w:rFonts w:ascii="宋体" w:hAnsi="宋体"/>
          <w:b/>
          <w:bCs/>
          <w:color w:val="auto"/>
          <w:sz w:val="32"/>
          <w:szCs w:val="32"/>
          <w:highlight w:val="none"/>
        </w:rPr>
      </w:pPr>
      <w:r>
        <w:rPr>
          <w:rFonts w:ascii="宋体" w:hAnsi="宋体"/>
          <w:b/>
          <w:bCs/>
          <w:color w:val="auto"/>
          <w:sz w:val="32"/>
          <w:szCs w:val="32"/>
          <w:highlight w:val="none"/>
        </w:rPr>
        <w:t>5.3 隐蔽工程检查</w:t>
      </w:r>
    </w:p>
    <w:p w14:paraId="2955EA35">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5.3.2承包人提前通知监理人隐蔽工程检查的期限的约定：</w:t>
      </w:r>
      <w:r>
        <w:rPr>
          <w:rFonts w:ascii="宋体" w:hAnsi="宋体"/>
          <w:bCs/>
          <w:color w:val="auto"/>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6ED7B5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监理人不能按时进行检查时，应提前</w:t>
      </w:r>
      <w:r>
        <w:rPr>
          <w:rFonts w:hint="eastAsia" w:ascii="宋体" w:hAnsi="宋体"/>
          <w:b/>
          <w:bCs/>
          <w:color w:val="auto"/>
          <w:szCs w:val="21"/>
          <w:highlight w:val="none"/>
          <w:u w:val="single"/>
        </w:rPr>
        <w:t>6</w:t>
      </w:r>
      <w:r>
        <w:rPr>
          <w:rFonts w:ascii="宋体" w:hAnsi="宋体"/>
          <w:color w:val="auto"/>
          <w:szCs w:val="21"/>
          <w:highlight w:val="none"/>
        </w:rPr>
        <w:t>小时提交书面延期要求。</w:t>
      </w:r>
    </w:p>
    <w:p w14:paraId="4DEED55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关于延期最长不得超过：</w:t>
      </w:r>
      <w:r>
        <w:rPr>
          <w:rFonts w:hint="eastAsia" w:ascii="宋体" w:hAnsi="宋体"/>
          <w:b/>
          <w:bCs/>
          <w:color w:val="auto"/>
          <w:szCs w:val="21"/>
          <w:highlight w:val="none"/>
          <w:u w:val="single"/>
        </w:rPr>
        <w:t>12</w:t>
      </w:r>
      <w:r>
        <w:rPr>
          <w:rFonts w:ascii="宋体" w:hAnsi="宋体"/>
          <w:color w:val="auto"/>
          <w:szCs w:val="21"/>
          <w:highlight w:val="none"/>
        </w:rPr>
        <w:t>小时。</w:t>
      </w:r>
    </w:p>
    <w:p w14:paraId="7197D18C">
      <w:pPr>
        <w:keepNext/>
        <w:keepLines/>
        <w:spacing w:before="260" w:after="260" w:line="416" w:lineRule="auto"/>
        <w:outlineLvl w:val="2"/>
        <w:rPr>
          <w:rFonts w:ascii="宋体" w:hAnsi="宋体"/>
          <w:b/>
          <w:bCs/>
          <w:color w:val="auto"/>
          <w:sz w:val="32"/>
          <w:szCs w:val="32"/>
          <w:highlight w:val="none"/>
        </w:rPr>
      </w:pPr>
      <w:bookmarkStart w:id="524" w:name="_Toc470247820"/>
      <w:bookmarkStart w:id="525" w:name="_Toc454211131"/>
      <w:bookmarkStart w:id="526" w:name="_Toc373227719"/>
      <w:bookmarkStart w:id="527" w:name="_Toc461179261"/>
      <w:bookmarkStart w:id="528" w:name="_Toc472931626"/>
      <w:bookmarkStart w:id="529" w:name="_Toc351203638"/>
      <w:bookmarkStart w:id="530" w:name="_Toc529526993"/>
      <w:bookmarkStart w:id="531" w:name="_Toc373478366"/>
      <w:bookmarkStart w:id="532" w:name="_Toc531186622"/>
      <w:bookmarkStart w:id="533" w:name="_Toc529547345"/>
      <w:bookmarkStart w:id="534" w:name="_Toc530144487"/>
      <w:bookmarkStart w:id="535" w:name="_Toc411345200"/>
      <w:bookmarkStart w:id="536" w:name="_Toc389065285"/>
      <w:bookmarkStart w:id="537" w:name="_Toc432343907"/>
      <w:r>
        <w:rPr>
          <w:rFonts w:ascii="宋体" w:hAnsi="宋体"/>
          <w:b/>
          <w:bCs/>
          <w:color w:val="auto"/>
          <w:sz w:val="32"/>
          <w:szCs w:val="32"/>
          <w:highlight w:val="none"/>
        </w:rPr>
        <w:t>6. 安全文明施工与环境保护</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6D42E947">
      <w:pPr>
        <w:keepNext/>
        <w:keepLines/>
        <w:spacing w:before="260" w:after="260" w:line="416" w:lineRule="auto"/>
        <w:outlineLvl w:val="2"/>
        <w:rPr>
          <w:rFonts w:ascii="宋体" w:hAnsi="宋体"/>
          <w:b/>
          <w:bCs/>
          <w:color w:val="auto"/>
          <w:sz w:val="32"/>
          <w:szCs w:val="32"/>
          <w:highlight w:val="none"/>
        </w:rPr>
      </w:pPr>
      <w:bookmarkStart w:id="538" w:name="_Toc531186623"/>
      <w:bookmarkStart w:id="539" w:name="_Toc529547346"/>
      <w:bookmarkStart w:id="540" w:name="_Toc472931627"/>
      <w:bookmarkStart w:id="541" w:name="_Toc470247821"/>
      <w:bookmarkStart w:id="542" w:name="_Toc373227720"/>
      <w:bookmarkStart w:id="543" w:name="_Toc529526994"/>
      <w:bookmarkStart w:id="544" w:name="_Toc432343908"/>
      <w:bookmarkStart w:id="545" w:name="_Toc461179262"/>
      <w:bookmarkStart w:id="546" w:name="_Toc373478367"/>
      <w:bookmarkStart w:id="547" w:name="_Toc389065286"/>
      <w:bookmarkStart w:id="548" w:name="_Toc411345201"/>
      <w:bookmarkStart w:id="549" w:name="_Toc454211132"/>
      <w:bookmarkStart w:id="550" w:name="_Toc530144488"/>
      <w:r>
        <w:rPr>
          <w:rFonts w:ascii="宋体" w:hAnsi="宋体"/>
          <w:b/>
          <w:bCs/>
          <w:color w:val="auto"/>
          <w:sz w:val="32"/>
          <w:szCs w:val="32"/>
          <w:highlight w:val="none"/>
        </w:rPr>
        <w:t>6.1安全文明施工</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02D059C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6.1.1 项目安全生产的达标目标及相应事项的约定：</w:t>
      </w:r>
      <w:r>
        <w:rPr>
          <w:rFonts w:hint="eastAsia" w:ascii="宋体" w:hAnsi="宋体"/>
          <w:color w:val="auto"/>
          <w:szCs w:val="21"/>
          <w:highlight w:val="none"/>
          <w:u w:val="single"/>
        </w:rPr>
        <w:t>要求达到《建设施工安全检查标准》（JGJ59-2011）的标准和符合《广西壮族自治区建设工程安全防护、文明施工措施费及使用管理细则》（桂建质安【2015】16号文）的要求</w:t>
      </w:r>
      <w:r>
        <w:rPr>
          <w:rFonts w:ascii="宋体" w:hAnsi="宋体"/>
          <w:color w:val="auto"/>
          <w:szCs w:val="21"/>
          <w:highlight w:val="none"/>
        </w:rPr>
        <w:t>。</w:t>
      </w:r>
    </w:p>
    <w:p w14:paraId="320F7AD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hint="eastAsia" w:ascii="宋体" w:hAnsi="宋体"/>
          <w:color w:val="auto"/>
          <w:szCs w:val="21"/>
          <w:highlight w:val="none"/>
          <w:u w:val="single"/>
        </w:rPr>
        <w:t>无</w:t>
      </w:r>
      <w:r>
        <w:rPr>
          <w:rFonts w:ascii="宋体" w:hAnsi="宋体"/>
          <w:color w:val="auto"/>
          <w:szCs w:val="21"/>
          <w:highlight w:val="none"/>
        </w:rPr>
        <w:t>。</w:t>
      </w:r>
    </w:p>
    <w:p w14:paraId="27568DB4">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6.1.4 关于治安保卫的特别约定：</w:t>
      </w:r>
      <w:r>
        <w:rPr>
          <w:rFonts w:ascii="宋体"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421B56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关于编制施工场地治安管理计划的约定：</w:t>
      </w:r>
      <w:r>
        <w:rPr>
          <w:rFonts w:hint="eastAsia" w:ascii="宋体" w:hAnsi="宋体"/>
          <w:color w:val="auto"/>
          <w:szCs w:val="21"/>
          <w:highlight w:val="none"/>
          <w:u w:val="single"/>
        </w:rPr>
        <w:t>开工前</w:t>
      </w:r>
      <w:r>
        <w:rPr>
          <w:rFonts w:hint="eastAsia" w:ascii="宋体" w:hAnsi="宋体"/>
          <w:b/>
          <w:bCs/>
          <w:color w:val="auto"/>
          <w:szCs w:val="21"/>
          <w:highlight w:val="none"/>
          <w:u w:val="single"/>
        </w:rPr>
        <w:t>3</w:t>
      </w:r>
      <w:r>
        <w:rPr>
          <w:rFonts w:hint="eastAsia" w:ascii="宋体" w:hAnsi="宋体"/>
          <w:color w:val="auto"/>
          <w:szCs w:val="21"/>
          <w:highlight w:val="none"/>
          <w:u w:val="single"/>
        </w:rPr>
        <w:t>天提供</w:t>
      </w:r>
      <w:r>
        <w:rPr>
          <w:rFonts w:ascii="宋体" w:hAnsi="宋体"/>
          <w:color w:val="auto"/>
          <w:szCs w:val="21"/>
          <w:highlight w:val="none"/>
        </w:rPr>
        <w:t>。</w:t>
      </w:r>
    </w:p>
    <w:p w14:paraId="5C2116F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6.1.5 文明施工</w:t>
      </w:r>
    </w:p>
    <w:p w14:paraId="37CC586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合同当事人对文明施工的要求：</w:t>
      </w:r>
      <w:r>
        <w:rPr>
          <w:rFonts w:hint="eastAsia" w:ascii="Calibri" w:hAnsi="Calibri"/>
          <w:color w:val="auto"/>
          <w:szCs w:val="21"/>
          <w:highlight w:val="none"/>
          <w:u w:val="single"/>
        </w:rPr>
        <w:t>要求达到《建筑施工现场环境与卫生标准》（JGJ146-2004）的标准和符合《广西壮族自治区建筑工程安全文明施工措施费及使用管理细则》（桂建质安【2015】16号文）的要求</w:t>
      </w:r>
      <w:r>
        <w:rPr>
          <w:rFonts w:ascii="宋体" w:hAnsi="宋体"/>
          <w:color w:val="auto"/>
          <w:szCs w:val="21"/>
          <w:highlight w:val="none"/>
        </w:rPr>
        <w:t>。</w:t>
      </w:r>
    </w:p>
    <w:p w14:paraId="7E016E1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6.1.6 关于安全文明施工费支付比例和支付期限的约定：</w:t>
      </w:r>
    </w:p>
    <w:p w14:paraId="12B9D547">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本合同价款已包含安全文明施工费</w:t>
      </w:r>
      <w:r>
        <w:rPr>
          <w:rFonts w:ascii="宋体" w:hAnsi="宋体"/>
          <w:color w:val="auto"/>
          <w:kern w:val="0"/>
          <w:szCs w:val="21"/>
          <w:highlight w:val="none"/>
          <w:u w:val="single"/>
        </w:rPr>
        <w:t xml:space="preserve">        </w:t>
      </w:r>
      <w:r>
        <w:rPr>
          <w:rFonts w:hint="eastAsia" w:ascii="宋体" w:hAnsi="宋体"/>
          <w:color w:val="auto"/>
          <w:kern w:val="0"/>
          <w:szCs w:val="21"/>
          <w:highlight w:val="none"/>
        </w:rPr>
        <w:t>元。</w:t>
      </w:r>
    </w:p>
    <w:p w14:paraId="34E6C1B3">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使用要求：专款专用。具体按《广西壮族自治区</w:t>
      </w:r>
      <w:r>
        <w:rPr>
          <w:rFonts w:hint="eastAsia" w:ascii="宋体" w:hAnsi="宋体"/>
          <w:color w:val="auto"/>
          <w:szCs w:val="21"/>
          <w:highlight w:val="none"/>
        </w:rPr>
        <w:t>建设</w:t>
      </w:r>
      <w:r>
        <w:rPr>
          <w:rFonts w:ascii="宋体" w:hAnsi="宋体"/>
          <w:color w:val="auto"/>
          <w:kern w:val="0"/>
          <w:szCs w:val="21"/>
          <w:highlight w:val="none"/>
        </w:rPr>
        <w:t>工程安全防护、文明施工措施费及管理细则》</w:t>
      </w:r>
      <w:r>
        <w:rPr>
          <w:rFonts w:hint="eastAsia" w:ascii="宋体" w:hAnsi="宋体"/>
          <w:color w:val="auto"/>
          <w:kern w:val="0"/>
          <w:szCs w:val="21"/>
          <w:highlight w:val="none"/>
        </w:rPr>
        <w:t>（</w:t>
      </w:r>
      <w:r>
        <w:rPr>
          <w:rFonts w:ascii="宋体" w:hAnsi="宋体"/>
          <w:color w:val="auto"/>
          <w:kern w:val="0"/>
          <w:szCs w:val="21"/>
          <w:highlight w:val="none"/>
        </w:rPr>
        <w:t>桂建质</w:t>
      </w:r>
      <w:r>
        <w:rPr>
          <w:rFonts w:hint="eastAsia" w:ascii="宋体" w:hAnsi="宋体"/>
          <w:color w:val="auto"/>
          <w:szCs w:val="21"/>
          <w:highlight w:val="none"/>
        </w:rPr>
        <w:t>【2015】16号</w:t>
      </w:r>
      <w:r>
        <w:rPr>
          <w:rFonts w:hint="eastAsia" w:ascii="宋体" w:hAnsi="宋体"/>
          <w:color w:val="auto"/>
          <w:szCs w:val="21"/>
          <w:highlight w:val="none"/>
          <w:u w:val="single"/>
        </w:rPr>
        <w:t>文</w:t>
      </w:r>
      <w:r>
        <w:rPr>
          <w:rFonts w:ascii="宋体" w:hAnsi="宋体"/>
          <w:color w:val="auto"/>
          <w:kern w:val="0"/>
          <w:szCs w:val="21"/>
          <w:highlight w:val="none"/>
        </w:rPr>
        <w:t>和</w:t>
      </w:r>
      <w:r>
        <w:rPr>
          <w:rFonts w:hint="eastAsia" w:ascii="宋体" w:hAnsi="宋体"/>
          <w:color w:val="auto"/>
          <w:kern w:val="0"/>
          <w:szCs w:val="21"/>
          <w:highlight w:val="none"/>
          <w:u w:val="single"/>
        </w:rPr>
        <w:t xml:space="preserve">  防城港   </w:t>
      </w:r>
      <w:r>
        <w:rPr>
          <w:rFonts w:ascii="宋体" w:hAnsi="宋体"/>
          <w:color w:val="auto"/>
          <w:kern w:val="0"/>
          <w:szCs w:val="21"/>
          <w:highlight w:val="none"/>
        </w:rPr>
        <w:t>市相关规定执行</w:t>
      </w:r>
      <w:r>
        <w:rPr>
          <w:rFonts w:hint="eastAsia" w:ascii="宋体" w:hAnsi="宋体"/>
          <w:color w:val="auto"/>
          <w:kern w:val="0"/>
          <w:szCs w:val="21"/>
          <w:highlight w:val="none"/>
        </w:rPr>
        <w:t>。</w:t>
      </w:r>
    </w:p>
    <w:p w14:paraId="25FA997A">
      <w:pPr>
        <w:autoSpaceDE w:val="0"/>
        <w:autoSpaceDN w:val="0"/>
        <w:adjustRightInd w:val="0"/>
        <w:spacing w:line="360" w:lineRule="auto"/>
        <w:ind w:firstLine="420" w:firstLineChars="200"/>
        <w:jc w:val="left"/>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（3）支付约定：在本合同签订后7个工作日内，预付安全文明施工费总额的30%，其余部分与进度款同期支付。</w:t>
      </w:r>
    </w:p>
    <w:p w14:paraId="1697BE97">
      <w:pPr>
        <w:keepNext/>
        <w:keepLines/>
        <w:spacing w:before="260" w:after="260" w:line="416" w:lineRule="auto"/>
        <w:outlineLvl w:val="2"/>
        <w:rPr>
          <w:rFonts w:ascii="宋体" w:hAnsi="宋体"/>
          <w:b/>
          <w:bCs/>
          <w:color w:val="auto"/>
          <w:sz w:val="32"/>
          <w:szCs w:val="32"/>
          <w:highlight w:val="none"/>
        </w:rPr>
      </w:pPr>
      <w:bookmarkStart w:id="551" w:name="_Toc472931628"/>
      <w:bookmarkStart w:id="552" w:name="_Toc529526995"/>
      <w:bookmarkStart w:id="553" w:name="_Toc373478368"/>
      <w:bookmarkStart w:id="554" w:name="_Toc531186624"/>
      <w:bookmarkStart w:id="555" w:name="_Toc470247822"/>
      <w:bookmarkStart w:id="556" w:name="_Toc530144489"/>
      <w:bookmarkStart w:id="557" w:name="_Toc373227721"/>
      <w:bookmarkStart w:id="558" w:name="_Toc411345202"/>
      <w:bookmarkStart w:id="559" w:name="_Toc529547347"/>
      <w:bookmarkStart w:id="560" w:name="_Toc461179263"/>
      <w:bookmarkStart w:id="561" w:name="_Toc432343909"/>
      <w:bookmarkStart w:id="562" w:name="_Toc454211133"/>
      <w:bookmarkStart w:id="563" w:name="_Toc389065287"/>
      <w:r>
        <w:rPr>
          <w:rFonts w:ascii="宋体" w:hAnsi="宋体"/>
          <w:b/>
          <w:bCs/>
          <w:color w:val="auto"/>
          <w:sz w:val="32"/>
          <w:szCs w:val="32"/>
          <w:highlight w:val="none"/>
        </w:rPr>
        <w:t>6.3环境保护</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059903A5">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因施工需要，经发包人批准，由承包人办理有关施工场地交通、环卫和施工噪音管理等手续，费用由承包人负责。</w:t>
      </w:r>
    </w:p>
    <w:p w14:paraId="0335F76E">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bookmarkEnd w:id="517"/>
    <w:bookmarkEnd w:id="518"/>
    <w:bookmarkEnd w:id="519"/>
    <w:bookmarkEnd w:id="520"/>
    <w:bookmarkEnd w:id="521"/>
    <w:bookmarkEnd w:id="522"/>
    <w:bookmarkEnd w:id="523"/>
    <w:p w14:paraId="110F266F">
      <w:pPr>
        <w:keepNext/>
        <w:keepLines/>
        <w:spacing w:before="260" w:after="260" w:line="416" w:lineRule="auto"/>
        <w:outlineLvl w:val="2"/>
        <w:rPr>
          <w:rFonts w:ascii="宋体" w:hAnsi="宋体"/>
          <w:b/>
          <w:bCs/>
          <w:color w:val="auto"/>
          <w:sz w:val="32"/>
          <w:szCs w:val="32"/>
          <w:highlight w:val="none"/>
        </w:rPr>
      </w:pPr>
      <w:bookmarkStart w:id="564" w:name="_Toc389065288"/>
      <w:bookmarkStart w:id="565" w:name="_Toc529526996"/>
      <w:bookmarkStart w:id="566" w:name="_Toc373227722"/>
      <w:bookmarkStart w:id="567" w:name="_Toc432343910"/>
      <w:bookmarkStart w:id="568" w:name="_Toc351203639"/>
      <w:bookmarkStart w:id="569" w:name="_Toc529547348"/>
      <w:bookmarkStart w:id="570" w:name="_Toc454211134"/>
      <w:bookmarkStart w:id="571" w:name="_Toc531186625"/>
      <w:bookmarkStart w:id="572" w:name="_Toc411345203"/>
      <w:bookmarkStart w:id="573" w:name="_Toc461179264"/>
      <w:bookmarkStart w:id="574" w:name="_Toc530144490"/>
      <w:bookmarkStart w:id="575" w:name="_Toc470247823"/>
      <w:bookmarkStart w:id="576" w:name="_Toc373478369"/>
      <w:bookmarkStart w:id="577" w:name="_Toc472931629"/>
      <w:r>
        <w:rPr>
          <w:rFonts w:ascii="宋体" w:hAnsi="宋体"/>
          <w:b/>
          <w:bCs/>
          <w:color w:val="auto"/>
          <w:sz w:val="32"/>
          <w:szCs w:val="32"/>
          <w:highlight w:val="none"/>
        </w:rPr>
        <w:t>7. 工期和进度</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7CC99664">
      <w:pPr>
        <w:keepNext/>
        <w:keepLines/>
        <w:spacing w:before="260" w:after="260" w:line="416" w:lineRule="auto"/>
        <w:outlineLvl w:val="2"/>
        <w:rPr>
          <w:rFonts w:ascii="宋体" w:hAnsi="宋体"/>
          <w:b/>
          <w:bCs/>
          <w:color w:val="auto"/>
          <w:sz w:val="32"/>
          <w:szCs w:val="32"/>
          <w:highlight w:val="none"/>
        </w:rPr>
      </w:pPr>
      <w:bookmarkStart w:id="578" w:name="_Toc373227723"/>
      <w:bookmarkStart w:id="579" w:name="_Toc411345204"/>
      <w:bookmarkStart w:id="580" w:name="_Toc454211135"/>
      <w:bookmarkStart w:id="581" w:name="_Toc529547349"/>
      <w:bookmarkStart w:id="582" w:name="_Toc432343911"/>
      <w:bookmarkStart w:id="583" w:name="_Toc373478370"/>
      <w:bookmarkStart w:id="584" w:name="_Toc470247824"/>
      <w:bookmarkStart w:id="585" w:name="_Toc530144491"/>
      <w:bookmarkStart w:id="586" w:name="_Toc461179265"/>
      <w:bookmarkStart w:id="587" w:name="_Toc531186626"/>
      <w:bookmarkStart w:id="588" w:name="_Toc389065289"/>
      <w:bookmarkStart w:id="589" w:name="_Toc472931630"/>
      <w:bookmarkStart w:id="590" w:name="_Toc529526997"/>
      <w:r>
        <w:rPr>
          <w:rFonts w:ascii="宋体" w:hAnsi="宋体"/>
          <w:b/>
          <w:bCs/>
          <w:color w:val="auto"/>
          <w:sz w:val="32"/>
          <w:szCs w:val="32"/>
          <w:highlight w:val="none"/>
        </w:rPr>
        <w:t>7.1 施工组织设计</w:t>
      </w:r>
      <w:bookmarkEnd w:id="578"/>
      <w:bookmarkEnd w:id="579"/>
      <w:bookmarkEnd w:id="580"/>
      <w:bookmarkEnd w:id="581"/>
      <w:bookmarkEnd w:id="582"/>
      <w:bookmarkEnd w:id="583"/>
      <w:bookmarkEnd w:id="584"/>
      <w:bookmarkEnd w:id="585"/>
      <w:bookmarkEnd w:id="586"/>
      <w:bookmarkEnd w:id="587"/>
      <w:bookmarkEnd w:id="588"/>
      <w:bookmarkEnd w:id="589"/>
      <w:bookmarkEnd w:id="590"/>
    </w:p>
    <w:p w14:paraId="6A0D747C">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7.1.1 合</w:t>
      </w:r>
      <w:r>
        <w:rPr>
          <w:rFonts w:ascii="宋体" w:hAnsi="宋体"/>
          <w:color w:val="auto"/>
          <w:kern w:val="0"/>
          <w:szCs w:val="21"/>
          <w:highlight w:val="none"/>
        </w:rPr>
        <w:t>同当事人约定的施工组织设计应包括的其他内容：</w:t>
      </w:r>
      <w:r>
        <w:rPr>
          <w:rFonts w:hint="eastAsia" w:ascii="宋体" w:hAnsi="宋体"/>
          <w:color w:val="auto"/>
          <w:szCs w:val="22"/>
          <w:highlight w:val="none"/>
          <w:u w:val="single"/>
        </w:rPr>
        <w:t>按招标文件约定，招标文件无约定的按通用合同条款或双方另行约定</w:t>
      </w:r>
      <w:r>
        <w:rPr>
          <w:rFonts w:ascii="宋体" w:hAnsi="宋体"/>
          <w:color w:val="auto"/>
          <w:szCs w:val="21"/>
          <w:highlight w:val="none"/>
          <w:u w:val="single"/>
        </w:rPr>
        <w:t>。</w:t>
      </w:r>
      <w:r>
        <w:rPr>
          <w:rFonts w:hint="eastAsia" w:ascii="宋体" w:hAnsi="宋体"/>
          <w:color w:val="auto"/>
          <w:szCs w:val="21"/>
          <w:highlight w:val="none"/>
          <w:u w:val="single"/>
        </w:rPr>
        <w:t>如实际施工时发现承包人提供的施工组织设计方案存在缺陷，发包人可要求其对方案进行完善、修改，承包人必须无条件执行，直到发包人、监理人批准通过，报价人不能以施工组织设计方案调整为由要求调整合同单价子目单价或总价子目合价，也不能以此为由提出任何变更或索赔。发包人、监理人认为有必要，承包人除完善施工组织设计以外，还需编制临时工程或永久性工程的专项方案。但发包人及监理人的任何同意并不减轻或免除承包人的任何责任。</w:t>
      </w:r>
    </w:p>
    <w:p w14:paraId="6D5A7CE8">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14:paraId="2C4C91EF">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承包人提交详细施工组织设计的期限的约定：</w:t>
      </w:r>
      <w:r>
        <w:rPr>
          <w:rFonts w:hint="eastAsia" w:ascii="宋体" w:hAnsi="宋体"/>
          <w:color w:val="auto"/>
          <w:szCs w:val="21"/>
          <w:highlight w:val="none"/>
          <w:u w:val="single"/>
        </w:rPr>
        <w:t>按通用合同条款条执行</w:t>
      </w:r>
      <w:r>
        <w:rPr>
          <w:rFonts w:ascii="宋体" w:hAnsi="宋体"/>
          <w:color w:val="auto"/>
          <w:szCs w:val="21"/>
          <w:highlight w:val="none"/>
        </w:rPr>
        <w:t>。</w:t>
      </w:r>
    </w:p>
    <w:p w14:paraId="0E9D36E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按通用合同条款条执行</w:t>
      </w:r>
      <w:r>
        <w:rPr>
          <w:rFonts w:ascii="宋体" w:hAnsi="宋体"/>
          <w:color w:val="auto"/>
          <w:szCs w:val="21"/>
          <w:highlight w:val="none"/>
        </w:rPr>
        <w:t>。</w:t>
      </w:r>
    </w:p>
    <w:p w14:paraId="287B4B08">
      <w:pPr>
        <w:keepNext/>
        <w:keepLines/>
        <w:spacing w:before="260" w:after="260" w:line="416" w:lineRule="auto"/>
        <w:outlineLvl w:val="2"/>
        <w:rPr>
          <w:rFonts w:ascii="宋体" w:hAnsi="宋体"/>
          <w:b/>
          <w:bCs/>
          <w:color w:val="auto"/>
          <w:sz w:val="32"/>
          <w:szCs w:val="32"/>
          <w:highlight w:val="none"/>
        </w:rPr>
      </w:pPr>
      <w:bookmarkStart w:id="591" w:name="_Toc411345205"/>
      <w:bookmarkStart w:id="592" w:name="_Toc373227724"/>
      <w:bookmarkStart w:id="593" w:name="_Toc454211136"/>
      <w:bookmarkStart w:id="594" w:name="_Toc470247825"/>
      <w:bookmarkStart w:id="595" w:name="_Toc432343912"/>
      <w:bookmarkStart w:id="596" w:name="_Toc472931631"/>
      <w:bookmarkStart w:id="597" w:name="_Toc529547350"/>
      <w:bookmarkStart w:id="598" w:name="_Toc389065290"/>
      <w:bookmarkStart w:id="599" w:name="_Toc373478371"/>
      <w:bookmarkStart w:id="600" w:name="_Toc529526998"/>
      <w:bookmarkStart w:id="601" w:name="_Toc530144492"/>
      <w:bookmarkStart w:id="602" w:name="_Toc531186627"/>
      <w:bookmarkStart w:id="603" w:name="_Toc461179266"/>
      <w:r>
        <w:rPr>
          <w:rFonts w:ascii="宋体" w:hAnsi="宋体"/>
          <w:b/>
          <w:bCs/>
          <w:color w:val="auto"/>
          <w:sz w:val="32"/>
          <w:szCs w:val="32"/>
          <w:highlight w:val="none"/>
        </w:rPr>
        <w:t>7</w:t>
      </w:r>
      <w:bookmarkStart w:id="604" w:name="_Toc303539123"/>
      <w:bookmarkStart w:id="605" w:name="_Toc304295541"/>
      <w:bookmarkStart w:id="606" w:name="_Toc300934966"/>
      <w:bookmarkStart w:id="607" w:name="_Toc297216173"/>
      <w:bookmarkStart w:id="608" w:name="_Toc297123514"/>
      <w:bookmarkStart w:id="609" w:name="_Toc312677479"/>
      <w:bookmarkStart w:id="610" w:name="_Toc312678005"/>
      <w:r>
        <w:rPr>
          <w:rFonts w:ascii="宋体" w:hAnsi="宋体"/>
          <w:b/>
          <w:bCs/>
          <w:color w:val="auto"/>
          <w:sz w:val="32"/>
          <w:szCs w:val="32"/>
          <w:highlight w:val="none"/>
        </w:rPr>
        <w:t>.2 施工进度计划</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135219A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7.2.2 施工进度计划的修订</w:t>
      </w:r>
    </w:p>
    <w:p w14:paraId="0EEB480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按通用合同条款条执行</w:t>
      </w:r>
      <w:r>
        <w:rPr>
          <w:rFonts w:ascii="宋体" w:hAnsi="宋体"/>
          <w:color w:val="auto"/>
          <w:szCs w:val="21"/>
          <w:highlight w:val="none"/>
        </w:rPr>
        <w:t>。</w:t>
      </w:r>
    </w:p>
    <w:p w14:paraId="617B4A58">
      <w:pPr>
        <w:keepNext/>
        <w:keepLines/>
        <w:spacing w:before="260" w:after="260" w:line="416" w:lineRule="auto"/>
        <w:outlineLvl w:val="2"/>
        <w:rPr>
          <w:rFonts w:ascii="宋体" w:hAnsi="宋体"/>
          <w:b/>
          <w:bCs/>
          <w:color w:val="auto"/>
          <w:sz w:val="32"/>
          <w:szCs w:val="32"/>
          <w:highlight w:val="none"/>
        </w:rPr>
      </w:pPr>
      <w:bookmarkStart w:id="611" w:name="_Toc472931632"/>
      <w:bookmarkStart w:id="612" w:name="_Toc373478372"/>
      <w:bookmarkStart w:id="613" w:name="_Toc389065291"/>
      <w:bookmarkStart w:id="614" w:name="_Toc529547351"/>
      <w:bookmarkStart w:id="615" w:name="_Toc530144493"/>
      <w:bookmarkStart w:id="616" w:name="_Toc470247826"/>
      <w:bookmarkStart w:id="617" w:name="_Toc454211137"/>
      <w:bookmarkStart w:id="618" w:name="_Toc529526999"/>
      <w:bookmarkStart w:id="619" w:name="_Toc531186628"/>
      <w:bookmarkStart w:id="620" w:name="_Toc373227725"/>
      <w:bookmarkStart w:id="621" w:name="_Toc461179267"/>
      <w:bookmarkStart w:id="622" w:name="_Toc411345206"/>
      <w:bookmarkStart w:id="623" w:name="_Toc432343913"/>
      <w:r>
        <w:rPr>
          <w:rFonts w:ascii="宋体" w:hAnsi="宋体"/>
          <w:b/>
          <w:bCs/>
          <w:color w:val="auto"/>
          <w:sz w:val="32"/>
          <w:szCs w:val="32"/>
          <w:highlight w:val="none"/>
        </w:rPr>
        <w:t>7.3 开工</w:t>
      </w:r>
      <w:bookmarkEnd w:id="611"/>
      <w:bookmarkEnd w:id="612"/>
      <w:bookmarkEnd w:id="613"/>
      <w:bookmarkEnd w:id="614"/>
      <w:bookmarkEnd w:id="615"/>
      <w:bookmarkEnd w:id="616"/>
      <w:bookmarkEnd w:id="617"/>
      <w:bookmarkEnd w:id="618"/>
      <w:bookmarkEnd w:id="619"/>
      <w:bookmarkEnd w:id="620"/>
      <w:bookmarkEnd w:id="621"/>
      <w:bookmarkEnd w:id="622"/>
      <w:bookmarkEnd w:id="623"/>
    </w:p>
    <w:p w14:paraId="09B477B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7.3.1 开工准备</w:t>
      </w:r>
    </w:p>
    <w:p w14:paraId="583FDE97">
      <w:pPr>
        <w:spacing w:line="360" w:lineRule="auto"/>
        <w:ind w:firstLine="426"/>
        <w:jc w:val="left"/>
        <w:rPr>
          <w:rFonts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ascii="宋体" w:hAnsi="宋体"/>
          <w:bCs/>
          <w:color w:val="auto"/>
          <w:szCs w:val="21"/>
          <w:highlight w:val="none"/>
          <w:u w:val="single"/>
        </w:rPr>
        <w:t>开工</w:t>
      </w:r>
      <w:r>
        <w:rPr>
          <w:rFonts w:hint="eastAsia" w:ascii="宋体" w:hAnsi="宋体"/>
          <w:bCs/>
          <w:color w:val="auto"/>
          <w:szCs w:val="21"/>
          <w:highlight w:val="none"/>
          <w:u w:val="single"/>
        </w:rPr>
        <w:t>前7天</w:t>
      </w:r>
      <w:r>
        <w:rPr>
          <w:rFonts w:ascii="宋体" w:hAnsi="宋体"/>
          <w:color w:val="auto"/>
          <w:szCs w:val="21"/>
          <w:highlight w:val="none"/>
        </w:rPr>
        <w:t>。</w:t>
      </w:r>
    </w:p>
    <w:p w14:paraId="5913293F">
      <w:pPr>
        <w:spacing w:line="360" w:lineRule="auto"/>
        <w:ind w:firstLine="426"/>
        <w:jc w:val="left"/>
        <w:rPr>
          <w:rFonts w:ascii="宋体" w:hAnsi="宋体"/>
          <w:color w:val="auto"/>
          <w:szCs w:val="21"/>
          <w:highlight w:val="none"/>
          <w:u w:val="single"/>
        </w:rPr>
      </w:pPr>
      <w:r>
        <w:rPr>
          <w:rFonts w:ascii="宋体" w:hAnsi="宋体"/>
          <w:color w:val="auto"/>
          <w:szCs w:val="21"/>
          <w:highlight w:val="none"/>
        </w:rPr>
        <w:t>关于发包人应完成的其他开工准备工作及期限：</w:t>
      </w:r>
      <w:r>
        <w:rPr>
          <w:rFonts w:ascii="宋体" w:hAnsi="宋体"/>
          <w:bCs/>
          <w:color w:val="auto"/>
          <w:szCs w:val="21"/>
          <w:highlight w:val="none"/>
          <w:u w:val="single"/>
        </w:rPr>
        <w:t>开工</w:t>
      </w:r>
      <w:r>
        <w:rPr>
          <w:rFonts w:hint="eastAsia" w:ascii="宋体" w:hAnsi="宋体"/>
          <w:bCs/>
          <w:color w:val="auto"/>
          <w:szCs w:val="21"/>
          <w:highlight w:val="none"/>
          <w:u w:val="single"/>
        </w:rPr>
        <w:t>前7天</w:t>
      </w:r>
      <w:r>
        <w:rPr>
          <w:rFonts w:ascii="宋体" w:hAnsi="宋体"/>
          <w:color w:val="auto"/>
          <w:szCs w:val="21"/>
          <w:highlight w:val="none"/>
        </w:rPr>
        <w:t>。</w:t>
      </w:r>
    </w:p>
    <w:p w14:paraId="5AA37840">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关于承包人应完成的其他开工准备工作及期限：</w:t>
      </w:r>
      <w:r>
        <w:rPr>
          <w:rFonts w:hint="eastAsia" w:ascii="宋体" w:hAnsi="宋体"/>
          <w:color w:val="auto"/>
          <w:szCs w:val="21"/>
          <w:highlight w:val="none"/>
          <w:u w:val="single"/>
        </w:rPr>
        <w:t>开工前3天</w:t>
      </w:r>
      <w:r>
        <w:rPr>
          <w:rFonts w:ascii="宋体" w:hAnsi="宋体"/>
          <w:color w:val="auto"/>
          <w:szCs w:val="21"/>
          <w:highlight w:val="none"/>
        </w:rPr>
        <w:t>。</w:t>
      </w:r>
    </w:p>
    <w:p w14:paraId="122D73A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7.3.2开工通知</w:t>
      </w:r>
    </w:p>
    <w:p w14:paraId="491F047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因发包人原因造成监理人未能在计划开工日期之日起</w:t>
      </w:r>
      <w:r>
        <w:rPr>
          <w:rFonts w:hint="eastAsia" w:ascii="宋体" w:hAnsi="宋体"/>
          <w:b/>
          <w:bCs/>
          <w:color w:val="auto"/>
          <w:szCs w:val="21"/>
          <w:highlight w:val="none"/>
          <w:u w:val="single"/>
        </w:rPr>
        <w:t>60</w:t>
      </w:r>
      <w:r>
        <w:rPr>
          <w:rFonts w:ascii="宋体" w:hAnsi="宋体"/>
          <w:color w:val="auto"/>
          <w:szCs w:val="21"/>
          <w:highlight w:val="none"/>
        </w:rPr>
        <w:t>天内发出开工通知的，承包人有权提出价格调整要求，或者解除合同。</w:t>
      </w:r>
    </w:p>
    <w:bookmarkEnd w:id="604"/>
    <w:bookmarkEnd w:id="605"/>
    <w:bookmarkEnd w:id="606"/>
    <w:bookmarkEnd w:id="607"/>
    <w:bookmarkEnd w:id="608"/>
    <w:bookmarkEnd w:id="609"/>
    <w:bookmarkEnd w:id="610"/>
    <w:p w14:paraId="75A078A4">
      <w:pPr>
        <w:keepNext/>
        <w:keepLines/>
        <w:spacing w:before="260" w:after="260" w:line="416" w:lineRule="auto"/>
        <w:outlineLvl w:val="2"/>
        <w:rPr>
          <w:rFonts w:ascii="宋体" w:hAnsi="宋体"/>
          <w:b/>
          <w:bCs/>
          <w:color w:val="auto"/>
          <w:sz w:val="32"/>
          <w:szCs w:val="21"/>
          <w:highlight w:val="none"/>
        </w:rPr>
      </w:pPr>
      <w:bookmarkStart w:id="624" w:name="_Toc530144494"/>
      <w:bookmarkStart w:id="625" w:name="_Toc454211138"/>
      <w:bookmarkStart w:id="626" w:name="_Toc461179268"/>
      <w:bookmarkStart w:id="627" w:name="_Toc531186629"/>
      <w:bookmarkStart w:id="628" w:name="_Toc373478373"/>
      <w:bookmarkStart w:id="629" w:name="_Toc470247827"/>
      <w:bookmarkStart w:id="630" w:name="_Toc529547352"/>
      <w:bookmarkStart w:id="631" w:name="_Toc389065292"/>
      <w:bookmarkStart w:id="632" w:name="_Toc411345207"/>
      <w:bookmarkStart w:id="633" w:name="_Toc373227726"/>
      <w:bookmarkStart w:id="634" w:name="_Toc432343914"/>
      <w:bookmarkStart w:id="635" w:name="_Toc529527000"/>
      <w:bookmarkStart w:id="636" w:name="_Toc472931633"/>
      <w:r>
        <w:rPr>
          <w:rFonts w:ascii="宋体" w:hAnsi="宋体"/>
          <w:b/>
          <w:bCs/>
          <w:color w:val="auto"/>
          <w:sz w:val="32"/>
          <w:szCs w:val="21"/>
          <w:highlight w:val="none"/>
        </w:rPr>
        <w:t>7.4 测量放线</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3B93B532">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7.4.1发包人通过监理人向承包人提供测量基准点、基准线和水准点及其书面资料的期限：</w:t>
      </w:r>
      <w:r>
        <w:rPr>
          <w:rFonts w:hint="eastAsia" w:ascii="宋体" w:hAnsi="宋体"/>
          <w:bCs/>
          <w:color w:val="auto"/>
          <w:szCs w:val="21"/>
          <w:highlight w:val="none"/>
          <w:u w:val="single"/>
        </w:rPr>
        <w:t>按通用合同条款执行</w:t>
      </w:r>
      <w:r>
        <w:rPr>
          <w:rFonts w:ascii="宋体" w:hAnsi="宋体"/>
          <w:color w:val="auto"/>
          <w:szCs w:val="21"/>
          <w:highlight w:val="none"/>
        </w:rPr>
        <w:t>。</w:t>
      </w:r>
    </w:p>
    <w:p w14:paraId="47150560">
      <w:pPr>
        <w:keepNext/>
        <w:keepLines/>
        <w:spacing w:before="260" w:after="260" w:line="416" w:lineRule="auto"/>
        <w:outlineLvl w:val="2"/>
        <w:rPr>
          <w:rFonts w:ascii="宋体" w:hAnsi="宋体"/>
          <w:b/>
          <w:bCs/>
          <w:color w:val="auto"/>
          <w:sz w:val="32"/>
          <w:szCs w:val="21"/>
          <w:highlight w:val="none"/>
        </w:rPr>
      </w:pPr>
      <w:bookmarkStart w:id="637" w:name="_Toc531186630"/>
      <w:bookmarkStart w:id="638" w:name="_Toc373478374"/>
      <w:bookmarkStart w:id="639" w:name="_Toc454211139"/>
      <w:bookmarkStart w:id="640" w:name="_Toc432343915"/>
      <w:bookmarkStart w:id="641" w:name="_Toc529527001"/>
      <w:bookmarkStart w:id="642" w:name="_Toc529547353"/>
      <w:bookmarkStart w:id="643" w:name="_Toc472931634"/>
      <w:bookmarkStart w:id="644" w:name="_Toc373227727"/>
      <w:bookmarkStart w:id="645" w:name="_Toc389065293"/>
      <w:bookmarkStart w:id="646" w:name="_Toc411345208"/>
      <w:bookmarkStart w:id="647" w:name="_Toc530144495"/>
      <w:bookmarkStart w:id="648" w:name="_Toc470247828"/>
      <w:bookmarkStart w:id="649" w:name="_Toc461179269"/>
      <w:r>
        <w:rPr>
          <w:rFonts w:ascii="宋体" w:hAnsi="宋体"/>
          <w:b/>
          <w:bCs/>
          <w:color w:val="auto"/>
          <w:sz w:val="32"/>
          <w:szCs w:val="21"/>
          <w:highlight w:val="none"/>
        </w:rPr>
        <w:t>7</w:t>
      </w:r>
      <w:bookmarkStart w:id="650" w:name="_Toc312678010"/>
      <w:bookmarkStart w:id="651" w:name="_Toc300934968"/>
      <w:bookmarkStart w:id="652" w:name="_Toc297123516"/>
      <w:bookmarkStart w:id="653" w:name="_Toc297216175"/>
      <w:bookmarkStart w:id="654" w:name="_Toc303539125"/>
      <w:bookmarkStart w:id="655" w:name="_Toc304295546"/>
      <w:bookmarkStart w:id="656" w:name="_Toc312677484"/>
      <w:r>
        <w:rPr>
          <w:rFonts w:ascii="宋体" w:hAnsi="宋体"/>
          <w:b/>
          <w:bCs/>
          <w:color w:val="auto"/>
          <w:sz w:val="32"/>
          <w:szCs w:val="21"/>
          <w:highlight w:val="none"/>
        </w:rPr>
        <w:t>.5 工期延误</w:t>
      </w:r>
      <w:bookmarkEnd w:id="637"/>
      <w:bookmarkEnd w:id="638"/>
      <w:bookmarkEnd w:id="639"/>
      <w:bookmarkEnd w:id="640"/>
      <w:bookmarkEnd w:id="641"/>
      <w:bookmarkEnd w:id="642"/>
      <w:bookmarkEnd w:id="643"/>
      <w:bookmarkEnd w:id="644"/>
      <w:bookmarkEnd w:id="645"/>
      <w:bookmarkEnd w:id="646"/>
      <w:bookmarkEnd w:id="647"/>
      <w:bookmarkEnd w:id="648"/>
      <w:bookmarkEnd w:id="649"/>
    </w:p>
    <w:bookmarkEnd w:id="650"/>
    <w:bookmarkEnd w:id="651"/>
    <w:bookmarkEnd w:id="652"/>
    <w:bookmarkEnd w:id="653"/>
    <w:bookmarkEnd w:id="654"/>
    <w:bookmarkEnd w:id="655"/>
    <w:bookmarkEnd w:id="656"/>
    <w:p w14:paraId="0F096287">
      <w:pPr>
        <w:keepNext/>
        <w:keepLines/>
        <w:spacing w:before="260" w:after="260" w:line="416" w:lineRule="auto"/>
        <w:outlineLvl w:val="2"/>
        <w:rPr>
          <w:b/>
          <w:bCs/>
          <w:color w:val="auto"/>
          <w:sz w:val="32"/>
          <w:szCs w:val="32"/>
          <w:highlight w:val="none"/>
        </w:rPr>
      </w:pPr>
      <w:bookmarkStart w:id="657" w:name="_Toc529547354"/>
      <w:bookmarkStart w:id="658" w:name="_Toc472931635"/>
      <w:bookmarkStart w:id="659" w:name="_Toc465114887"/>
      <w:bookmarkStart w:id="660" w:name="_Toc470247829"/>
      <w:bookmarkStart w:id="661" w:name="_Toc530144496"/>
      <w:bookmarkStart w:id="662" w:name="_Toc529527002"/>
      <w:bookmarkStart w:id="663" w:name="_Toc531186631"/>
      <w:r>
        <w:rPr>
          <w:b/>
          <w:bCs/>
          <w:color w:val="auto"/>
          <w:sz w:val="32"/>
          <w:szCs w:val="32"/>
          <w:highlight w:val="none"/>
        </w:rPr>
        <w:t xml:space="preserve">7.5 </w:t>
      </w:r>
      <w:r>
        <w:rPr>
          <w:rFonts w:hAnsi="宋体"/>
          <w:b/>
          <w:bCs/>
          <w:color w:val="auto"/>
          <w:sz w:val="32"/>
          <w:szCs w:val="32"/>
          <w:highlight w:val="none"/>
        </w:rPr>
        <w:t>工期延误</w:t>
      </w:r>
      <w:bookmarkEnd w:id="657"/>
      <w:bookmarkEnd w:id="658"/>
      <w:bookmarkEnd w:id="659"/>
      <w:bookmarkEnd w:id="660"/>
      <w:bookmarkEnd w:id="661"/>
      <w:bookmarkEnd w:id="662"/>
      <w:bookmarkEnd w:id="663"/>
    </w:p>
    <w:p w14:paraId="224782FC">
      <w:pPr>
        <w:spacing w:line="360" w:lineRule="auto"/>
        <w:ind w:firstLine="420" w:firstLineChars="200"/>
        <w:jc w:val="left"/>
        <w:rPr>
          <w:rFonts w:ascii="Calibri" w:hAnsi="Calibri"/>
          <w:color w:val="auto"/>
          <w:szCs w:val="21"/>
          <w:highlight w:val="none"/>
        </w:rPr>
      </w:pPr>
      <w:r>
        <w:rPr>
          <w:rFonts w:ascii="Calibri" w:hAnsi="Calibri"/>
          <w:color w:val="auto"/>
          <w:szCs w:val="21"/>
          <w:highlight w:val="none"/>
        </w:rPr>
        <w:t xml:space="preserve">7.5.1 </w:t>
      </w:r>
      <w:r>
        <w:rPr>
          <w:rFonts w:ascii="Calibri" w:hAnsi="宋体"/>
          <w:color w:val="auto"/>
          <w:szCs w:val="21"/>
          <w:highlight w:val="none"/>
        </w:rPr>
        <w:t>因发包人原因导致工期延误</w:t>
      </w:r>
    </w:p>
    <w:p w14:paraId="53EB8468">
      <w:pPr>
        <w:spacing w:line="360" w:lineRule="auto"/>
        <w:ind w:firstLine="420" w:firstLineChars="200"/>
        <w:jc w:val="left"/>
        <w:rPr>
          <w:rFonts w:ascii="Calibri" w:hAnsi="Calibri"/>
          <w:color w:val="auto"/>
          <w:szCs w:val="21"/>
          <w:highlight w:val="none"/>
          <w:u w:val="single"/>
        </w:rPr>
      </w:pPr>
      <w:r>
        <w:rPr>
          <w:rFonts w:ascii="Calibri" w:hAnsi="宋体"/>
          <w:color w:val="auto"/>
          <w:szCs w:val="21"/>
          <w:highlight w:val="none"/>
        </w:rPr>
        <w:t>因发包人原因导致工期延误的其他情形：</w:t>
      </w:r>
      <w:r>
        <w:rPr>
          <w:rFonts w:hint="eastAsia" w:ascii="宋体" w:hAnsi="宋体"/>
          <w:color w:val="auto"/>
          <w:szCs w:val="21"/>
          <w:highlight w:val="none"/>
          <w:u w:val="single"/>
        </w:rPr>
        <w:t>①重大图纸变更影响</w:t>
      </w:r>
      <w:r>
        <w:rPr>
          <w:rFonts w:hint="eastAsia" w:hAnsi="宋体"/>
          <w:color w:val="auto"/>
          <w:szCs w:val="21"/>
          <w:highlight w:val="none"/>
          <w:u w:val="single"/>
          <w:lang w:eastAsia="zh-CN"/>
        </w:rPr>
        <w:t>关键</w:t>
      </w:r>
      <w:r>
        <w:rPr>
          <w:rFonts w:hint="eastAsia" w:ascii="宋体" w:hAnsi="宋体"/>
          <w:color w:val="auto"/>
          <w:szCs w:val="21"/>
          <w:highlight w:val="none"/>
          <w:u w:val="single"/>
        </w:rPr>
        <w:t>线路工序施工；②施工期间如因</w:t>
      </w:r>
      <w:r>
        <w:rPr>
          <w:rFonts w:hint="eastAsia" w:hAnsi="宋体"/>
          <w:color w:val="auto"/>
          <w:szCs w:val="21"/>
          <w:highlight w:val="none"/>
          <w:u w:val="single"/>
          <w:lang w:eastAsia="zh-CN"/>
        </w:rPr>
        <w:t>发包人单方原因导致</w:t>
      </w:r>
      <w:r>
        <w:rPr>
          <w:rFonts w:hint="eastAsia" w:ascii="宋体" w:hAnsi="宋体"/>
          <w:color w:val="auto"/>
          <w:szCs w:val="21"/>
          <w:highlight w:val="none"/>
          <w:u w:val="single"/>
        </w:rPr>
        <w:t>停电、停水连续</w:t>
      </w:r>
      <w:r>
        <w:rPr>
          <w:rFonts w:ascii="宋体" w:hAnsi="宋体"/>
          <w:color w:val="auto"/>
          <w:szCs w:val="21"/>
          <w:highlight w:val="none"/>
          <w:u w:val="single"/>
        </w:rPr>
        <w:t>8</w:t>
      </w:r>
      <w:r>
        <w:rPr>
          <w:rFonts w:hint="eastAsia" w:ascii="宋体" w:hAnsi="宋体"/>
          <w:color w:val="auto"/>
          <w:szCs w:val="21"/>
          <w:highlight w:val="none"/>
          <w:u w:val="single"/>
        </w:rPr>
        <w:t>小时以上或一周内间歇性停水、停电累计</w:t>
      </w:r>
      <w:r>
        <w:rPr>
          <w:rFonts w:ascii="宋体" w:hAnsi="宋体"/>
          <w:color w:val="auto"/>
          <w:szCs w:val="21"/>
          <w:highlight w:val="none"/>
          <w:u w:val="single"/>
        </w:rPr>
        <w:t>8</w:t>
      </w:r>
      <w:r>
        <w:rPr>
          <w:rFonts w:hint="eastAsia" w:ascii="宋体" w:hAnsi="宋体"/>
          <w:color w:val="auto"/>
          <w:szCs w:val="21"/>
          <w:highlight w:val="none"/>
          <w:u w:val="single"/>
        </w:rPr>
        <w:t>小时（含</w:t>
      </w:r>
      <w:r>
        <w:rPr>
          <w:rFonts w:ascii="宋体" w:hAnsi="宋体"/>
          <w:color w:val="auto"/>
          <w:szCs w:val="21"/>
          <w:highlight w:val="none"/>
          <w:u w:val="single"/>
        </w:rPr>
        <w:t>8</w:t>
      </w:r>
      <w:r>
        <w:rPr>
          <w:rFonts w:hint="eastAsia" w:ascii="宋体" w:hAnsi="宋体"/>
          <w:color w:val="auto"/>
          <w:szCs w:val="21"/>
          <w:highlight w:val="none"/>
          <w:u w:val="single"/>
        </w:rPr>
        <w:t>小时）</w:t>
      </w:r>
      <w:r>
        <w:rPr>
          <w:rFonts w:hint="eastAsia" w:hAnsi="宋体"/>
          <w:color w:val="auto"/>
          <w:szCs w:val="21"/>
          <w:highlight w:val="none"/>
          <w:u w:val="single"/>
          <w:lang w:eastAsia="zh-CN"/>
        </w:rPr>
        <w:t>，且直接</w:t>
      </w:r>
      <w:r>
        <w:rPr>
          <w:rFonts w:hint="eastAsia" w:ascii="宋体" w:hAnsi="宋体"/>
          <w:color w:val="auto"/>
          <w:szCs w:val="21"/>
          <w:highlight w:val="none"/>
          <w:u w:val="single"/>
        </w:rPr>
        <w:t>影响</w:t>
      </w:r>
      <w:r>
        <w:rPr>
          <w:rFonts w:hint="eastAsia" w:hAnsi="宋体"/>
          <w:color w:val="auto"/>
          <w:szCs w:val="21"/>
          <w:highlight w:val="none"/>
          <w:u w:val="single"/>
          <w:lang w:eastAsia="zh-CN"/>
        </w:rPr>
        <w:t>工程关键线路工序</w:t>
      </w:r>
      <w:r>
        <w:rPr>
          <w:rFonts w:hint="eastAsia" w:ascii="宋体" w:hAnsi="宋体"/>
          <w:color w:val="auto"/>
          <w:szCs w:val="21"/>
          <w:highlight w:val="none"/>
          <w:u w:val="single"/>
        </w:rPr>
        <w:t>正常施工的。③政府指令性停工。④在施工过程中遇到地下障碍物、溶洞、岩石、文物或地下管线的</w:t>
      </w:r>
      <w:r>
        <w:rPr>
          <w:rFonts w:hint="eastAsia" w:hAnsi="宋体"/>
          <w:color w:val="auto"/>
          <w:szCs w:val="21"/>
          <w:highlight w:val="none"/>
          <w:u w:val="single"/>
          <w:lang w:eastAsia="zh-CN"/>
        </w:rPr>
        <w:t>，且直接影响工程关键线路工序施工</w:t>
      </w:r>
      <w:r>
        <w:rPr>
          <w:rFonts w:hint="eastAsia" w:ascii="宋体" w:hAnsi="宋体"/>
          <w:color w:val="auto"/>
          <w:szCs w:val="21"/>
          <w:highlight w:val="none"/>
          <w:u w:val="single"/>
        </w:rPr>
        <w:t>。⑤因发包人未能及时确认变更价格或甲供材料提供延误的。⑥非承包人的责任造成的工期延误其他情形。</w:t>
      </w:r>
    </w:p>
    <w:p w14:paraId="6C5D149A">
      <w:pPr>
        <w:spacing w:line="360" w:lineRule="auto"/>
        <w:ind w:firstLine="420" w:firstLineChars="200"/>
        <w:jc w:val="left"/>
        <w:rPr>
          <w:rFonts w:ascii="Calibri" w:hAnsi="Calibri"/>
          <w:color w:val="auto"/>
          <w:szCs w:val="21"/>
          <w:highlight w:val="none"/>
        </w:rPr>
      </w:pPr>
      <w:r>
        <w:rPr>
          <w:rFonts w:ascii="Calibri" w:hAnsi="Calibri"/>
          <w:color w:val="auto"/>
          <w:szCs w:val="21"/>
          <w:highlight w:val="none"/>
        </w:rPr>
        <w:t>7</w:t>
      </w:r>
      <w:bookmarkStart w:id="664" w:name="_Toc318581169"/>
      <w:bookmarkStart w:id="665" w:name="_Toc312677486"/>
      <w:bookmarkStart w:id="666" w:name="_Toc312678012"/>
      <w:bookmarkStart w:id="667" w:name="_Toc304295548"/>
      <w:bookmarkStart w:id="668" w:name="_Toc303539127"/>
      <w:bookmarkStart w:id="669" w:name="_Toc300934970"/>
      <w:bookmarkStart w:id="670" w:name="_Toc297216177"/>
      <w:bookmarkStart w:id="671" w:name="_Toc297123518"/>
      <w:r>
        <w:rPr>
          <w:rFonts w:ascii="Calibri" w:hAnsi="Calibri"/>
          <w:color w:val="auto"/>
          <w:szCs w:val="21"/>
          <w:highlight w:val="none"/>
        </w:rPr>
        <w:t xml:space="preserve">.5.2 </w:t>
      </w:r>
      <w:r>
        <w:rPr>
          <w:rFonts w:ascii="Calibri" w:hAnsi="宋体"/>
          <w:color w:val="auto"/>
          <w:szCs w:val="21"/>
          <w:highlight w:val="none"/>
        </w:rPr>
        <w:t>因承包人原因导致工期延误</w:t>
      </w:r>
    </w:p>
    <w:bookmarkEnd w:id="664"/>
    <w:bookmarkEnd w:id="665"/>
    <w:bookmarkEnd w:id="666"/>
    <w:p w14:paraId="300807ED">
      <w:pPr>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双方约定经监理工程师确认，工期相应顺延的情况：</w:t>
      </w:r>
      <w:r>
        <w:rPr>
          <w:rFonts w:hint="eastAsia" w:ascii="Calibri" w:hAnsi="Calibri"/>
          <w:color w:val="auto"/>
          <w:szCs w:val="21"/>
          <w:highlight w:val="none"/>
          <w:u w:val="single"/>
        </w:rPr>
        <w:t>∕</w:t>
      </w:r>
      <w:r>
        <w:rPr>
          <w:rFonts w:ascii="Calibri" w:hAnsi="宋体"/>
          <w:color w:val="auto"/>
          <w:szCs w:val="21"/>
          <w:highlight w:val="none"/>
        </w:rPr>
        <w:t>。</w:t>
      </w:r>
    </w:p>
    <w:p w14:paraId="12EA30D2">
      <w:pPr>
        <w:spacing w:line="360" w:lineRule="auto"/>
        <w:ind w:firstLine="420" w:firstLineChars="200"/>
        <w:jc w:val="left"/>
        <w:rPr>
          <w:rFonts w:ascii="Calibri" w:hAnsi="Calibri"/>
          <w:color w:val="auto"/>
          <w:szCs w:val="21"/>
          <w:highlight w:val="none"/>
          <w:u w:val="single"/>
        </w:rPr>
      </w:pPr>
      <w:r>
        <w:rPr>
          <w:rFonts w:ascii="Calibri" w:hAnsi="宋体"/>
          <w:color w:val="auto"/>
          <w:szCs w:val="21"/>
          <w:highlight w:val="none"/>
        </w:rPr>
        <w:t>因</w:t>
      </w:r>
      <w:bookmarkStart w:id="672" w:name="_Toc312678013"/>
      <w:bookmarkStart w:id="673" w:name="_Toc318581170"/>
      <w:bookmarkStart w:id="674" w:name="_Toc312677487"/>
      <w:r>
        <w:rPr>
          <w:rFonts w:ascii="Calibri" w:hAnsi="宋体"/>
          <w:color w:val="auto"/>
          <w:szCs w:val="21"/>
          <w:highlight w:val="none"/>
        </w:rPr>
        <w:t>承包人原因造成工期延误，逾期竣工违约金的计算方法为：</w:t>
      </w:r>
      <w:r>
        <w:rPr>
          <w:rFonts w:ascii="Calibri" w:hAnsi="宋体"/>
          <w:color w:val="auto"/>
          <w:szCs w:val="21"/>
          <w:highlight w:val="none"/>
          <w:u w:val="single"/>
        </w:rPr>
        <w:t>非上述原因，承包人不能按合同约定的时间竣工，承包人应承担违约责任。应向发包人支付误期赔偿费（赔偿费</w:t>
      </w:r>
      <w:r>
        <w:rPr>
          <w:rFonts w:hint="eastAsia" w:ascii="宋体" w:hAnsi="宋体"/>
          <w:color w:val="auto"/>
          <w:szCs w:val="21"/>
          <w:highlight w:val="none"/>
          <w:u w:val="single"/>
        </w:rPr>
        <w:t>按逾期竣工的单栋工程罚款，每延误一天,按该栋工程结算造价</w:t>
      </w:r>
      <w:r>
        <w:rPr>
          <w:rFonts w:ascii="宋体" w:hAnsi="宋体"/>
          <w:color w:val="auto"/>
          <w:szCs w:val="21"/>
          <w:highlight w:val="none"/>
          <w:u w:val="single"/>
        </w:rPr>
        <w:t>扣除建安劳保费、发包人材料</w:t>
      </w:r>
      <w:r>
        <w:rPr>
          <w:rFonts w:hint="eastAsia" w:ascii="宋体" w:hAnsi="宋体"/>
          <w:color w:val="auto"/>
          <w:szCs w:val="21"/>
          <w:highlight w:val="none"/>
          <w:u w:val="single"/>
        </w:rPr>
        <w:t>设备</w:t>
      </w:r>
      <w:r>
        <w:rPr>
          <w:rFonts w:ascii="宋体" w:hAnsi="宋体"/>
          <w:color w:val="auto"/>
          <w:szCs w:val="21"/>
          <w:highlight w:val="none"/>
          <w:u w:val="single"/>
        </w:rPr>
        <w:t>价款、暂估专业工程、暂列金额后</w:t>
      </w:r>
      <w:r>
        <w:rPr>
          <w:rFonts w:hint="eastAsia" w:ascii="宋体" w:hAnsi="宋体"/>
          <w:color w:val="auto"/>
          <w:szCs w:val="21"/>
          <w:highlight w:val="none"/>
          <w:u w:val="single"/>
        </w:rPr>
        <w:t>的万分之四处罚,罚款直接从结算款中扣除。</w:t>
      </w:r>
      <w:r>
        <w:rPr>
          <w:rFonts w:ascii="Calibri" w:hAnsi="宋体"/>
          <w:color w:val="auto"/>
          <w:szCs w:val="21"/>
          <w:highlight w:val="none"/>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bookmarkEnd w:id="667"/>
    <w:bookmarkEnd w:id="668"/>
    <w:bookmarkEnd w:id="669"/>
    <w:bookmarkEnd w:id="670"/>
    <w:bookmarkEnd w:id="671"/>
    <w:bookmarkEnd w:id="672"/>
    <w:bookmarkEnd w:id="673"/>
    <w:bookmarkEnd w:id="674"/>
    <w:p w14:paraId="52C9511F">
      <w:pPr>
        <w:spacing w:line="360" w:lineRule="auto"/>
        <w:ind w:firstLine="420" w:firstLineChars="200"/>
        <w:jc w:val="left"/>
        <w:rPr>
          <w:rFonts w:hint="eastAsia" w:ascii="Calibri" w:hAnsi="宋体" w:eastAsia="宋体"/>
          <w:color w:val="auto"/>
          <w:szCs w:val="21"/>
          <w:highlight w:val="none"/>
          <w:lang w:eastAsia="zh-CN"/>
        </w:rPr>
      </w:pPr>
      <w:r>
        <w:rPr>
          <w:rFonts w:ascii="Calibri" w:hAnsi="宋体"/>
          <w:color w:val="auto"/>
          <w:szCs w:val="21"/>
          <w:highlight w:val="none"/>
        </w:rPr>
        <w:t>因承包人原因造成工期延误，逾期竣工违约金的上限：</w:t>
      </w:r>
      <w:r>
        <w:rPr>
          <w:rFonts w:hint="eastAsia" w:hAnsi="宋体"/>
          <w:color w:val="auto"/>
          <w:szCs w:val="21"/>
          <w:highlight w:val="none"/>
          <w:u w:val="single"/>
          <w:lang w:val="en-US" w:eastAsia="zh-CN"/>
        </w:rPr>
        <w:t>无</w:t>
      </w:r>
    </w:p>
    <w:p w14:paraId="3D406003">
      <w:pPr>
        <w:keepNext/>
        <w:keepLines/>
        <w:spacing w:before="260" w:after="260" w:line="416" w:lineRule="auto"/>
        <w:outlineLvl w:val="2"/>
        <w:rPr>
          <w:rFonts w:ascii="宋体" w:hAnsi="宋体"/>
          <w:b/>
          <w:bCs/>
          <w:color w:val="auto"/>
          <w:sz w:val="32"/>
          <w:szCs w:val="21"/>
          <w:highlight w:val="none"/>
        </w:rPr>
      </w:pPr>
      <w:bookmarkStart w:id="675" w:name="_Toc389065294"/>
      <w:bookmarkStart w:id="676" w:name="_Toc461179270"/>
      <w:bookmarkStart w:id="677" w:name="_Toc529527003"/>
      <w:bookmarkStart w:id="678" w:name="_Toc454211140"/>
      <w:bookmarkStart w:id="679" w:name="_Toc530144497"/>
      <w:bookmarkStart w:id="680" w:name="_Toc432343916"/>
      <w:bookmarkStart w:id="681" w:name="_Toc529547355"/>
      <w:bookmarkStart w:id="682" w:name="_Toc373227728"/>
      <w:bookmarkStart w:id="683" w:name="_Toc531186632"/>
      <w:bookmarkStart w:id="684" w:name="_Toc411345209"/>
      <w:bookmarkStart w:id="685" w:name="_Toc472931636"/>
      <w:bookmarkStart w:id="686" w:name="_Toc373478375"/>
      <w:bookmarkStart w:id="687" w:name="_Toc470247830"/>
      <w:r>
        <w:rPr>
          <w:rFonts w:ascii="宋体" w:hAnsi="宋体"/>
          <w:b/>
          <w:bCs/>
          <w:color w:val="auto"/>
          <w:sz w:val="32"/>
          <w:szCs w:val="21"/>
          <w:highlight w:val="none"/>
        </w:rPr>
        <w:t>7</w:t>
      </w:r>
      <w:bookmarkStart w:id="688" w:name="_Toc297216178"/>
      <w:bookmarkStart w:id="689" w:name="_Toc304295549"/>
      <w:bookmarkStart w:id="690" w:name="_Toc300934971"/>
      <w:bookmarkStart w:id="691" w:name="_Toc297123519"/>
      <w:bookmarkStart w:id="692" w:name="_Toc303539128"/>
      <w:bookmarkStart w:id="693" w:name="_Toc312678015"/>
      <w:r>
        <w:rPr>
          <w:rFonts w:ascii="宋体" w:hAnsi="宋体"/>
          <w:b/>
          <w:bCs/>
          <w:color w:val="auto"/>
          <w:sz w:val="32"/>
          <w:szCs w:val="21"/>
          <w:highlight w:val="none"/>
        </w:rPr>
        <w:t>.6 不</w:t>
      </w:r>
      <w:bookmarkEnd w:id="688"/>
      <w:bookmarkEnd w:id="689"/>
      <w:bookmarkEnd w:id="690"/>
      <w:bookmarkEnd w:id="691"/>
      <w:bookmarkEnd w:id="692"/>
      <w:bookmarkEnd w:id="693"/>
      <w:r>
        <w:rPr>
          <w:rFonts w:ascii="宋体" w:hAnsi="宋体"/>
          <w:b/>
          <w:bCs/>
          <w:color w:val="auto"/>
          <w:sz w:val="32"/>
          <w:szCs w:val="21"/>
          <w:highlight w:val="none"/>
        </w:rPr>
        <w:t>利物质条件</w:t>
      </w:r>
      <w:bookmarkEnd w:id="675"/>
      <w:bookmarkEnd w:id="676"/>
      <w:bookmarkEnd w:id="677"/>
      <w:bookmarkEnd w:id="678"/>
      <w:bookmarkEnd w:id="679"/>
      <w:bookmarkEnd w:id="680"/>
      <w:bookmarkEnd w:id="681"/>
      <w:bookmarkEnd w:id="682"/>
      <w:bookmarkEnd w:id="683"/>
      <w:bookmarkEnd w:id="684"/>
      <w:bookmarkEnd w:id="685"/>
      <w:bookmarkEnd w:id="686"/>
      <w:bookmarkEnd w:id="687"/>
    </w:p>
    <w:p w14:paraId="03A62C6C">
      <w:pPr>
        <w:spacing w:line="360" w:lineRule="auto"/>
        <w:ind w:firstLine="420" w:firstLineChars="200"/>
        <w:jc w:val="left"/>
        <w:rPr>
          <w:rFonts w:ascii="宋体" w:hAnsi="宋体"/>
          <w:color w:val="auto"/>
          <w:szCs w:val="21"/>
          <w:highlight w:val="none"/>
          <w:u w:val="single"/>
        </w:rPr>
      </w:pPr>
      <w:bookmarkStart w:id="694" w:name="_Toc318581172"/>
      <w:bookmarkStart w:id="695" w:name="_Toc304295550"/>
      <w:bookmarkStart w:id="696" w:name="_Toc297216179"/>
      <w:bookmarkStart w:id="697" w:name="_Toc297123520"/>
      <w:bookmarkStart w:id="698" w:name="_Toc303539129"/>
      <w:bookmarkStart w:id="699" w:name="_Toc312678016"/>
      <w:bookmarkStart w:id="700" w:name="_Toc300934972"/>
      <w:r>
        <w:rPr>
          <w:rFonts w:ascii="宋体" w:hAnsi="宋体"/>
          <w:color w:val="auto"/>
          <w:szCs w:val="21"/>
          <w:highlight w:val="none"/>
        </w:rPr>
        <w:t>不利物质条件的其他情形和有关约定：</w:t>
      </w:r>
      <w:r>
        <w:rPr>
          <w:rFonts w:hint="eastAsia" w:ascii="宋体" w:hAnsi="宋体"/>
          <w:color w:val="auto"/>
          <w:szCs w:val="21"/>
          <w:highlight w:val="none"/>
          <w:u w:val="single"/>
        </w:rPr>
        <w:t>无</w:t>
      </w:r>
      <w:r>
        <w:rPr>
          <w:rFonts w:ascii="宋体" w:hAnsi="宋体"/>
          <w:color w:val="auto"/>
          <w:szCs w:val="21"/>
          <w:highlight w:val="none"/>
        </w:rPr>
        <w:t>。</w:t>
      </w:r>
    </w:p>
    <w:bookmarkEnd w:id="694"/>
    <w:bookmarkEnd w:id="695"/>
    <w:bookmarkEnd w:id="696"/>
    <w:bookmarkEnd w:id="697"/>
    <w:bookmarkEnd w:id="698"/>
    <w:bookmarkEnd w:id="699"/>
    <w:bookmarkEnd w:id="700"/>
    <w:p w14:paraId="52D276AD">
      <w:pPr>
        <w:keepNext/>
        <w:keepLines/>
        <w:spacing w:before="260" w:after="260" w:line="416" w:lineRule="auto"/>
        <w:outlineLvl w:val="2"/>
        <w:rPr>
          <w:rFonts w:ascii="宋体" w:hAnsi="宋体"/>
          <w:b/>
          <w:bCs/>
          <w:color w:val="auto"/>
          <w:sz w:val="32"/>
          <w:szCs w:val="32"/>
          <w:highlight w:val="none"/>
        </w:rPr>
      </w:pPr>
      <w:bookmarkStart w:id="701" w:name="_Toc389065295"/>
      <w:bookmarkStart w:id="702" w:name="_Toc461179271"/>
      <w:bookmarkStart w:id="703" w:name="_Toc531186633"/>
      <w:bookmarkStart w:id="704" w:name="_Toc454211141"/>
      <w:bookmarkStart w:id="705" w:name="_Toc470247831"/>
      <w:bookmarkStart w:id="706" w:name="_Toc411345210"/>
      <w:bookmarkStart w:id="707" w:name="_Toc373227729"/>
      <w:bookmarkStart w:id="708" w:name="_Toc529527004"/>
      <w:bookmarkStart w:id="709" w:name="_Toc530144498"/>
      <w:bookmarkStart w:id="710" w:name="_Toc432343917"/>
      <w:bookmarkStart w:id="711" w:name="_Toc529547356"/>
      <w:bookmarkStart w:id="712" w:name="_Toc373478376"/>
      <w:bookmarkStart w:id="713" w:name="_Toc472931637"/>
      <w:r>
        <w:rPr>
          <w:rFonts w:ascii="宋体" w:hAnsi="宋体"/>
          <w:b/>
          <w:bCs/>
          <w:color w:val="auto"/>
          <w:sz w:val="32"/>
          <w:szCs w:val="32"/>
          <w:highlight w:val="none"/>
        </w:rPr>
        <w:t>7</w:t>
      </w:r>
      <w:bookmarkStart w:id="714" w:name="_Toc297123521"/>
      <w:bookmarkStart w:id="715" w:name="_Toc300934973"/>
      <w:bookmarkStart w:id="716" w:name="_Toc304295551"/>
      <w:bookmarkStart w:id="717" w:name="_Toc297216180"/>
      <w:bookmarkStart w:id="718" w:name="_Toc312678017"/>
      <w:bookmarkStart w:id="719" w:name="_Toc303539130"/>
      <w:r>
        <w:rPr>
          <w:rFonts w:ascii="宋体" w:hAnsi="宋体"/>
          <w:b/>
          <w:bCs/>
          <w:color w:val="auto"/>
          <w:sz w:val="32"/>
          <w:szCs w:val="32"/>
          <w:highlight w:val="none"/>
        </w:rPr>
        <w:t>.7异常恶劣的气候条件</w:t>
      </w:r>
      <w:bookmarkEnd w:id="701"/>
      <w:bookmarkEnd w:id="702"/>
      <w:bookmarkEnd w:id="703"/>
      <w:bookmarkEnd w:id="704"/>
      <w:bookmarkEnd w:id="705"/>
      <w:bookmarkEnd w:id="706"/>
      <w:bookmarkEnd w:id="707"/>
      <w:bookmarkEnd w:id="708"/>
      <w:bookmarkEnd w:id="709"/>
      <w:bookmarkEnd w:id="710"/>
      <w:bookmarkEnd w:id="711"/>
      <w:bookmarkEnd w:id="712"/>
      <w:bookmarkEnd w:id="713"/>
    </w:p>
    <w:bookmarkEnd w:id="714"/>
    <w:bookmarkEnd w:id="715"/>
    <w:bookmarkEnd w:id="716"/>
    <w:bookmarkEnd w:id="717"/>
    <w:bookmarkEnd w:id="718"/>
    <w:bookmarkEnd w:id="719"/>
    <w:p w14:paraId="4DB9E8D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发包人和承包人同意以下情形视为异常恶劣的气候条件：</w:t>
      </w:r>
    </w:p>
    <w:p w14:paraId="6EE8B8C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指本工程所在地30年以上一遇的罕见气候现象</w:t>
      </w:r>
      <w:r>
        <w:rPr>
          <w:rFonts w:ascii="宋体" w:hAnsi="宋体"/>
          <w:color w:val="auto"/>
          <w:szCs w:val="21"/>
          <w:highlight w:val="none"/>
        </w:rPr>
        <w:t>；</w:t>
      </w:r>
    </w:p>
    <w:p w14:paraId="0AF82F9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u w:val="single"/>
        </w:rPr>
        <w:t>/</w:t>
      </w:r>
      <w:r>
        <w:rPr>
          <w:rFonts w:ascii="宋体" w:hAnsi="宋体"/>
          <w:color w:val="auto"/>
          <w:szCs w:val="21"/>
          <w:highlight w:val="none"/>
        </w:rPr>
        <w:t>；</w:t>
      </w:r>
    </w:p>
    <w:p w14:paraId="771CBD2C">
      <w:pPr>
        <w:keepNext/>
        <w:keepLines/>
        <w:spacing w:before="260" w:after="260" w:line="416" w:lineRule="auto"/>
        <w:outlineLvl w:val="2"/>
        <w:rPr>
          <w:rFonts w:ascii="宋体" w:hAnsi="宋体"/>
          <w:b/>
          <w:bCs/>
          <w:color w:val="auto"/>
          <w:sz w:val="32"/>
          <w:szCs w:val="32"/>
          <w:highlight w:val="none"/>
        </w:rPr>
      </w:pPr>
      <w:bookmarkStart w:id="720" w:name="_Toc530144499"/>
      <w:bookmarkStart w:id="721" w:name="_Toc529547357"/>
      <w:bookmarkStart w:id="722" w:name="_Toc432343919"/>
      <w:bookmarkStart w:id="723" w:name="_Toc529527005"/>
      <w:bookmarkStart w:id="724" w:name="_Toc373227730"/>
      <w:bookmarkStart w:id="725" w:name="_Toc472931638"/>
      <w:bookmarkStart w:id="726" w:name="_Toc461179273"/>
      <w:bookmarkStart w:id="727" w:name="_Toc454211143"/>
      <w:bookmarkStart w:id="728" w:name="_Toc531186634"/>
      <w:bookmarkStart w:id="729" w:name="_Toc470247832"/>
      <w:bookmarkStart w:id="730" w:name="_Toc373478377"/>
      <w:bookmarkStart w:id="731" w:name="_Toc411345212"/>
      <w:bookmarkStart w:id="732" w:name="_Toc389065296"/>
      <w:r>
        <w:rPr>
          <w:rFonts w:ascii="宋体" w:hAnsi="宋体"/>
          <w:b/>
          <w:bCs/>
          <w:color w:val="auto"/>
          <w:sz w:val="32"/>
          <w:szCs w:val="32"/>
          <w:highlight w:val="none"/>
        </w:rPr>
        <w:t>7.9 提前竣工</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00F416B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hint="eastAsia" w:ascii="宋体" w:hAnsi="宋体"/>
          <w:color w:val="auto"/>
          <w:szCs w:val="21"/>
          <w:highlight w:val="none"/>
          <w:u w:val="single"/>
        </w:rPr>
        <w:t>无</w:t>
      </w:r>
      <w:r>
        <w:rPr>
          <w:rFonts w:ascii="宋体" w:hAnsi="宋体"/>
          <w:color w:val="auto"/>
          <w:szCs w:val="21"/>
          <w:highlight w:val="none"/>
        </w:rPr>
        <w:t>。</w:t>
      </w:r>
    </w:p>
    <w:p w14:paraId="6D1CE5EF">
      <w:pPr>
        <w:keepNext/>
        <w:keepLines/>
        <w:spacing w:before="260" w:after="260" w:line="416" w:lineRule="auto"/>
        <w:outlineLvl w:val="2"/>
        <w:rPr>
          <w:rFonts w:ascii="宋体" w:hAnsi="宋体"/>
          <w:b/>
          <w:bCs/>
          <w:color w:val="auto"/>
          <w:sz w:val="32"/>
          <w:szCs w:val="32"/>
          <w:highlight w:val="none"/>
        </w:rPr>
      </w:pPr>
      <w:bookmarkStart w:id="733" w:name="_Toc373478378"/>
      <w:bookmarkStart w:id="734" w:name="_Toc470247833"/>
      <w:bookmarkStart w:id="735" w:name="_Toc373227731"/>
      <w:bookmarkStart w:id="736" w:name="_Toc461179274"/>
      <w:bookmarkStart w:id="737" w:name="_Toc454211144"/>
      <w:bookmarkStart w:id="738" w:name="_Toc351203640"/>
      <w:bookmarkStart w:id="739" w:name="_Toc530144500"/>
      <w:bookmarkStart w:id="740" w:name="_Toc472931639"/>
      <w:bookmarkStart w:id="741" w:name="_Toc531186635"/>
      <w:bookmarkStart w:id="742" w:name="_Toc529547358"/>
      <w:bookmarkStart w:id="743" w:name="_Toc529527006"/>
      <w:bookmarkStart w:id="744" w:name="_Toc411345213"/>
      <w:bookmarkStart w:id="745" w:name="_Toc432343920"/>
      <w:bookmarkStart w:id="746" w:name="_Toc389065297"/>
      <w:r>
        <w:rPr>
          <w:rFonts w:ascii="宋体" w:hAnsi="宋体"/>
          <w:b/>
          <w:bCs/>
          <w:color w:val="auto"/>
          <w:sz w:val="32"/>
          <w:szCs w:val="32"/>
          <w:highlight w:val="none"/>
        </w:rPr>
        <w:t>8. 材料与设备</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bookmarkEnd w:id="494"/>
    <w:bookmarkEnd w:id="495"/>
    <w:bookmarkEnd w:id="496"/>
    <w:bookmarkEnd w:id="497"/>
    <w:bookmarkEnd w:id="498"/>
    <w:bookmarkEnd w:id="499"/>
    <w:bookmarkEnd w:id="500"/>
    <w:bookmarkEnd w:id="501"/>
    <w:bookmarkEnd w:id="502"/>
    <w:bookmarkEnd w:id="503"/>
    <w:p w14:paraId="37E5CDE2">
      <w:pPr>
        <w:keepNext/>
        <w:keepLines/>
        <w:spacing w:before="260" w:after="260" w:line="416" w:lineRule="auto"/>
        <w:outlineLvl w:val="2"/>
        <w:rPr>
          <w:b/>
          <w:bCs/>
          <w:color w:val="auto"/>
          <w:sz w:val="32"/>
          <w:szCs w:val="32"/>
          <w:highlight w:val="none"/>
        </w:rPr>
      </w:pPr>
      <w:bookmarkStart w:id="747" w:name="_Toc389065298"/>
      <w:bookmarkStart w:id="748" w:name="_Toc373227732"/>
      <w:bookmarkStart w:id="749" w:name="_Toc470247834"/>
      <w:bookmarkStart w:id="750" w:name="_Toc530144501"/>
      <w:bookmarkStart w:id="751" w:name="_Toc472931640"/>
      <w:bookmarkStart w:id="752" w:name="_Toc465114891"/>
      <w:bookmarkStart w:id="753" w:name="_Toc529527007"/>
      <w:bookmarkStart w:id="754" w:name="_Toc373478379"/>
      <w:bookmarkStart w:id="755" w:name="_Toc529547359"/>
      <w:bookmarkStart w:id="756" w:name="_Toc531186636"/>
      <w:bookmarkStart w:id="757" w:name="_Toc373478380"/>
      <w:bookmarkStart w:id="758" w:name="_Toc373227733"/>
      <w:bookmarkStart w:id="759" w:name="_Toc411345215"/>
      <w:bookmarkStart w:id="760" w:name="_Toc389065299"/>
      <w:bookmarkStart w:id="761" w:name="_Toc454211146"/>
      <w:bookmarkStart w:id="762" w:name="_Toc461179276"/>
      <w:bookmarkStart w:id="763" w:name="_Toc432343922"/>
      <w:r>
        <w:rPr>
          <w:b/>
          <w:bCs/>
          <w:color w:val="auto"/>
          <w:sz w:val="32"/>
          <w:szCs w:val="32"/>
          <w:highlight w:val="none"/>
        </w:rPr>
        <w:t>8.2承包人采购材料与工程设备</w:t>
      </w:r>
      <w:bookmarkEnd w:id="747"/>
      <w:bookmarkEnd w:id="748"/>
      <w:bookmarkEnd w:id="749"/>
      <w:bookmarkEnd w:id="750"/>
      <w:bookmarkEnd w:id="751"/>
      <w:bookmarkEnd w:id="752"/>
      <w:bookmarkEnd w:id="753"/>
      <w:bookmarkEnd w:id="754"/>
      <w:bookmarkEnd w:id="755"/>
      <w:bookmarkEnd w:id="756"/>
    </w:p>
    <w:p w14:paraId="60A3332E">
      <w:pPr>
        <w:autoSpaceDE w:val="0"/>
        <w:autoSpaceDN w:val="0"/>
        <w:adjustRightInd w:val="0"/>
        <w:spacing w:line="360" w:lineRule="auto"/>
        <w:ind w:firstLine="420" w:firstLineChars="200"/>
        <w:jc w:val="left"/>
        <w:rPr>
          <w:rFonts w:ascii="Calibri" w:hAnsi="Calibri"/>
          <w:color w:val="auto"/>
          <w:kern w:val="0"/>
          <w:szCs w:val="22"/>
          <w:highlight w:val="none"/>
        </w:rPr>
      </w:pPr>
      <w:r>
        <w:rPr>
          <w:rFonts w:ascii="Calibri" w:hAnsi="Calibri"/>
          <w:color w:val="auto"/>
          <w:kern w:val="0"/>
          <w:szCs w:val="22"/>
          <w:highlight w:val="none"/>
        </w:rPr>
        <w:t>除</w:t>
      </w:r>
      <w:r>
        <w:rPr>
          <w:rFonts w:hint="eastAsia" w:ascii="Calibri" w:hAnsi="Calibri"/>
          <w:color w:val="auto"/>
          <w:kern w:val="0"/>
          <w:szCs w:val="22"/>
          <w:highlight w:val="none"/>
        </w:rPr>
        <w:t>已标价工程量清单</w:t>
      </w:r>
      <w:r>
        <w:rPr>
          <w:rFonts w:ascii="Calibri" w:hAnsi="Calibri"/>
          <w:color w:val="auto"/>
          <w:kern w:val="0"/>
          <w:szCs w:val="22"/>
          <w:highlight w:val="none"/>
        </w:rPr>
        <w:t>《发包人</w:t>
      </w:r>
      <w:r>
        <w:rPr>
          <w:rFonts w:hint="eastAsia" w:ascii="Calibri" w:hAnsi="Calibri"/>
          <w:color w:val="auto"/>
          <w:kern w:val="0"/>
          <w:szCs w:val="22"/>
          <w:highlight w:val="none"/>
        </w:rPr>
        <w:t>提供主要</w:t>
      </w:r>
      <w:r>
        <w:rPr>
          <w:rFonts w:ascii="Calibri" w:hAnsi="Calibri"/>
          <w:color w:val="auto"/>
          <w:kern w:val="0"/>
          <w:szCs w:val="22"/>
          <w:highlight w:val="none"/>
        </w:rPr>
        <w:t>材料</w:t>
      </w:r>
      <w:r>
        <w:rPr>
          <w:rFonts w:hint="eastAsia" w:ascii="Calibri" w:hAnsi="Calibri"/>
          <w:color w:val="auto"/>
          <w:kern w:val="0"/>
          <w:szCs w:val="22"/>
          <w:highlight w:val="none"/>
        </w:rPr>
        <w:t>和工程</w:t>
      </w:r>
      <w:r>
        <w:rPr>
          <w:rFonts w:ascii="Calibri" w:hAnsi="Calibri"/>
          <w:color w:val="auto"/>
          <w:kern w:val="0"/>
          <w:szCs w:val="22"/>
          <w:highlight w:val="none"/>
        </w:rPr>
        <w:t>设备一览表》</w:t>
      </w:r>
      <w:r>
        <w:rPr>
          <w:rFonts w:hint="eastAsia" w:ascii="Calibri" w:hAnsi="Calibri"/>
          <w:color w:val="auto"/>
          <w:kern w:val="0"/>
          <w:szCs w:val="22"/>
          <w:highlight w:val="none"/>
        </w:rPr>
        <w:t>（表-21）</w:t>
      </w:r>
      <w:r>
        <w:rPr>
          <w:rFonts w:ascii="Calibri" w:hAnsi="Calibri"/>
          <w:color w:val="auto"/>
          <w:kern w:val="0"/>
          <w:szCs w:val="22"/>
          <w:highlight w:val="none"/>
        </w:rPr>
        <w:t>中明确的材料、工程设备外，由承包人负责材料和工程设备的采购、运输和保管。</w:t>
      </w:r>
      <w:r>
        <w:rPr>
          <w:rFonts w:hint="eastAsia" w:ascii="Calibri" w:hAnsi="Calibri"/>
          <w:color w:val="auto"/>
          <w:kern w:val="0"/>
          <w:szCs w:val="22"/>
          <w:highlight w:val="none"/>
        </w:rPr>
        <w:t>《</w:t>
      </w:r>
      <w:r>
        <w:rPr>
          <w:rFonts w:ascii="Calibri" w:hAnsi="Calibri"/>
          <w:color w:val="auto"/>
          <w:szCs w:val="22"/>
          <w:highlight w:val="none"/>
        </w:rPr>
        <w:t>承包人提供主要材料和工程设备一览表</w:t>
      </w:r>
      <w:r>
        <w:rPr>
          <w:rFonts w:hint="eastAsia" w:ascii="Calibri" w:hAnsi="Calibri"/>
          <w:color w:val="auto"/>
          <w:szCs w:val="22"/>
          <w:highlight w:val="none"/>
        </w:rPr>
        <w:t>》</w:t>
      </w:r>
      <w:r>
        <w:rPr>
          <w:rFonts w:hint="eastAsia" w:ascii="Calibri" w:hAnsi="Calibri"/>
          <w:color w:val="auto"/>
          <w:kern w:val="0"/>
          <w:szCs w:val="22"/>
          <w:highlight w:val="none"/>
        </w:rPr>
        <w:t>（表-22）见已标价工程量清单。</w:t>
      </w:r>
    </w:p>
    <w:p w14:paraId="2BC29D15">
      <w:pPr>
        <w:autoSpaceDE w:val="0"/>
        <w:autoSpaceDN w:val="0"/>
        <w:adjustRightInd w:val="0"/>
        <w:spacing w:line="360" w:lineRule="auto"/>
        <w:ind w:firstLine="420" w:firstLineChars="200"/>
        <w:jc w:val="left"/>
        <w:rPr>
          <w:rFonts w:ascii="Calibri" w:hAnsi="Calibri"/>
          <w:color w:val="auto"/>
          <w:szCs w:val="21"/>
          <w:highlight w:val="none"/>
        </w:rPr>
      </w:pPr>
      <w:r>
        <w:rPr>
          <w:rFonts w:hint="eastAsia" w:ascii="Calibri" w:hAnsi="Calibri"/>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361C0841">
      <w:pPr>
        <w:keepNext/>
        <w:keepLines/>
        <w:spacing w:before="260" w:after="260" w:line="416" w:lineRule="auto"/>
        <w:outlineLvl w:val="2"/>
        <w:rPr>
          <w:rFonts w:ascii="宋体" w:hAnsi="宋体"/>
          <w:b/>
          <w:bCs/>
          <w:color w:val="auto"/>
          <w:sz w:val="32"/>
          <w:szCs w:val="32"/>
          <w:highlight w:val="none"/>
        </w:rPr>
      </w:pPr>
      <w:bookmarkStart w:id="764" w:name="_Toc530144502"/>
      <w:bookmarkStart w:id="765" w:name="_Toc470247835"/>
      <w:bookmarkStart w:id="766" w:name="_Toc529547360"/>
      <w:bookmarkStart w:id="767" w:name="_Toc531186637"/>
      <w:bookmarkStart w:id="768" w:name="_Toc529527008"/>
      <w:bookmarkStart w:id="769" w:name="_Toc472931641"/>
      <w:r>
        <w:rPr>
          <w:rFonts w:ascii="宋体" w:hAnsi="宋体"/>
          <w:b/>
          <w:bCs/>
          <w:color w:val="auto"/>
          <w:sz w:val="32"/>
          <w:szCs w:val="32"/>
          <w:highlight w:val="none"/>
        </w:rPr>
        <w:t>8</w:t>
      </w:r>
      <w:bookmarkStart w:id="770" w:name="_Toc296347166"/>
      <w:bookmarkStart w:id="771" w:name="_Toc312677493"/>
      <w:bookmarkStart w:id="772" w:name="_Toc296503167"/>
      <w:bookmarkStart w:id="773" w:name="_Toc297048353"/>
      <w:bookmarkStart w:id="774" w:name="_Toc303539136"/>
      <w:bookmarkStart w:id="775" w:name="_Toc292559372"/>
      <w:bookmarkStart w:id="776" w:name="_Toc304295556"/>
      <w:bookmarkStart w:id="777" w:name="_Toc300934979"/>
      <w:bookmarkStart w:id="778" w:name="_Toc297120467"/>
      <w:bookmarkStart w:id="779" w:name="_Toc296944506"/>
      <w:bookmarkStart w:id="780" w:name="_Toc292559877"/>
      <w:bookmarkStart w:id="781" w:name="_Toc296346668"/>
      <w:bookmarkStart w:id="782" w:name="_Toc296891207"/>
      <w:bookmarkStart w:id="783" w:name="_Toc296890995"/>
      <w:bookmarkStart w:id="784" w:name="_Toc280868654"/>
      <w:bookmarkStart w:id="785" w:name="_Toc297123527"/>
      <w:bookmarkStart w:id="786" w:name="_Toc297216186"/>
      <w:bookmarkStart w:id="787" w:name="_Toc312678019"/>
      <w:bookmarkStart w:id="788" w:name="_Toc267251424"/>
      <w:bookmarkStart w:id="789" w:name="_Toc280868656"/>
      <w:bookmarkStart w:id="790" w:name="_Toc280868655"/>
      <w:r>
        <w:rPr>
          <w:rFonts w:ascii="宋体" w:hAnsi="宋体"/>
          <w:b/>
          <w:bCs/>
          <w:color w:val="auto"/>
          <w:sz w:val="32"/>
          <w:szCs w:val="32"/>
          <w:highlight w:val="none"/>
        </w:rPr>
        <w:t>.4材料与工程设备的保管与使用</w:t>
      </w:r>
      <w:bookmarkEnd w:id="757"/>
      <w:bookmarkEnd w:id="758"/>
      <w:bookmarkEnd w:id="759"/>
      <w:bookmarkEnd w:id="760"/>
      <w:bookmarkEnd w:id="761"/>
      <w:bookmarkEnd w:id="762"/>
      <w:bookmarkEnd w:id="763"/>
      <w:bookmarkEnd w:id="764"/>
      <w:bookmarkEnd w:id="765"/>
      <w:bookmarkEnd w:id="766"/>
      <w:bookmarkEnd w:id="767"/>
      <w:bookmarkEnd w:id="768"/>
      <w:bookmarkEnd w:id="769"/>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9DA9343">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8</w:t>
      </w:r>
      <w:bookmarkStart w:id="791" w:name="_Toc292559878"/>
      <w:bookmarkStart w:id="792" w:name="_Toc292559373"/>
      <w:bookmarkStart w:id="793" w:name="_Toc296347167"/>
      <w:bookmarkStart w:id="794" w:name="_Toc318581173"/>
      <w:bookmarkStart w:id="795" w:name="_Toc297120468"/>
      <w:bookmarkStart w:id="796" w:name="_Toc300934980"/>
      <w:bookmarkStart w:id="797" w:name="_Toc296346669"/>
      <w:bookmarkStart w:id="798" w:name="_Toc297123528"/>
      <w:bookmarkStart w:id="799" w:name="_Toc297048354"/>
      <w:bookmarkStart w:id="800" w:name="_Toc296503168"/>
      <w:bookmarkStart w:id="801" w:name="_Toc297216187"/>
      <w:bookmarkStart w:id="802" w:name="_Toc312678020"/>
      <w:bookmarkStart w:id="803" w:name="_Toc296891208"/>
      <w:bookmarkStart w:id="804" w:name="_Toc312677494"/>
      <w:bookmarkStart w:id="805" w:name="_Toc304295557"/>
      <w:bookmarkStart w:id="806" w:name="_Toc303539137"/>
      <w:bookmarkStart w:id="807" w:name="_Toc296890996"/>
      <w:bookmarkStart w:id="808" w:name="_Toc296944507"/>
      <w:r>
        <w:rPr>
          <w:rFonts w:ascii="宋体" w:hAnsi="宋体"/>
          <w:color w:val="auto"/>
          <w:szCs w:val="21"/>
          <w:highlight w:val="none"/>
        </w:rPr>
        <w:t>.4.1发包人供应的材料设备的保管费用的承担：</w:t>
      </w:r>
      <w:r>
        <w:rPr>
          <w:rFonts w:hint="eastAsia" w:ascii="宋体" w:hAnsi="宋体"/>
          <w:b/>
          <w:color w:val="auto"/>
          <w:szCs w:val="21"/>
          <w:highlight w:val="none"/>
          <w:u w:val="single"/>
        </w:rPr>
        <w:t>由承包人承担</w:t>
      </w:r>
      <w:r>
        <w:rPr>
          <w:rFonts w:ascii="宋体" w:hAnsi="宋体"/>
          <w:color w:val="auto"/>
          <w:szCs w:val="21"/>
          <w:highlight w:val="none"/>
        </w:rPr>
        <w:t>。</w:t>
      </w:r>
    </w:p>
    <w:bookmarkEnd w:id="791"/>
    <w:bookmarkEnd w:id="792"/>
    <w:p w14:paraId="21B75FFA">
      <w:pPr>
        <w:keepNext/>
        <w:keepLines/>
        <w:spacing w:before="260" w:after="260" w:line="416" w:lineRule="auto"/>
        <w:outlineLvl w:val="2"/>
        <w:rPr>
          <w:rFonts w:ascii="宋体" w:hAnsi="宋体"/>
          <w:b/>
          <w:bCs/>
          <w:color w:val="auto"/>
          <w:sz w:val="32"/>
          <w:szCs w:val="32"/>
          <w:highlight w:val="none"/>
        </w:rPr>
      </w:pPr>
      <w:bookmarkStart w:id="809" w:name="_Toc411345216"/>
      <w:bookmarkStart w:id="810" w:name="_Toc373227734"/>
      <w:bookmarkStart w:id="811" w:name="_Toc472931642"/>
      <w:bookmarkStart w:id="812" w:name="_Toc373478381"/>
      <w:bookmarkStart w:id="813" w:name="_Toc432343923"/>
      <w:bookmarkStart w:id="814" w:name="_Toc461179277"/>
      <w:bookmarkStart w:id="815" w:name="_Toc531186638"/>
      <w:bookmarkStart w:id="816" w:name="_Toc470247836"/>
      <w:bookmarkStart w:id="817" w:name="_Toc529527009"/>
      <w:bookmarkStart w:id="818" w:name="_Toc529547361"/>
      <w:bookmarkStart w:id="819" w:name="_Toc530144503"/>
      <w:bookmarkStart w:id="820" w:name="_Toc454211147"/>
      <w:bookmarkStart w:id="821" w:name="_Toc389065300"/>
      <w:r>
        <w:rPr>
          <w:rFonts w:ascii="宋体" w:hAnsi="宋体"/>
          <w:b/>
          <w:bCs/>
          <w:color w:val="auto"/>
          <w:sz w:val="32"/>
          <w:szCs w:val="32"/>
          <w:highlight w:val="none"/>
        </w:rPr>
        <w:t>8.6 样品</w:t>
      </w:r>
      <w:bookmarkEnd w:id="809"/>
      <w:bookmarkEnd w:id="810"/>
      <w:bookmarkEnd w:id="811"/>
      <w:bookmarkEnd w:id="812"/>
      <w:bookmarkEnd w:id="813"/>
      <w:bookmarkEnd w:id="814"/>
      <w:bookmarkEnd w:id="815"/>
      <w:bookmarkEnd w:id="816"/>
      <w:bookmarkEnd w:id="817"/>
      <w:bookmarkEnd w:id="818"/>
      <w:bookmarkEnd w:id="819"/>
      <w:bookmarkEnd w:id="820"/>
      <w:bookmarkEnd w:id="821"/>
    </w:p>
    <w:p w14:paraId="36BAEFA8">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8.6.1样品的报送与封存</w:t>
      </w:r>
    </w:p>
    <w:p w14:paraId="687FAA7C">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b/>
          <w:color w:val="auto"/>
          <w:szCs w:val="21"/>
          <w:highlight w:val="none"/>
          <w:u w:val="single"/>
        </w:rPr>
        <w:t>主要材料涉及品种、款式、颜色等方面内容的，承包人应提交准备合格的材料样品送发包人选定。</w:t>
      </w:r>
    </w:p>
    <w:p w14:paraId="0B10F020">
      <w:pPr>
        <w:keepNext/>
        <w:keepLines/>
        <w:spacing w:before="260" w:after="260" w:line="416" w:lineRule="auto"/>
        <w:outlineLvl w:val="2"/>
        <w:rPr>
          <w:rFonts w:ascii="宋体" w:hAnsi="宋体"/>
          <w:b/>
          <w:bCs/>
          <w:color w:val="auto"/>
          <w:sz w:val="32"/>
          <w:szCs w:val="32"/>
          <w:highlight w:val="none"/>
        </w:rPr>
      </w:pPr>
      <w:bookmarkStart w:id="822" w:name="_Toc472931643"/>
      <w:bookmarkStart w:id="823" w:name="_Toc411345217"/>
      <w:bookmarkStart w:id="824" w:name="_Toc454211148"/>
      <w:bookmarkStart w:id="825" w:name="_Toc461179278"/>
      <w:bookmarkStart w:id="826" w:name="_Toc389065301"/>
      <w:bookmarkStart w:id="827" w:name="_Toc529547362"/>
      <w:bookmarkStart w:id="828" w:name="_Toc529527010"/>
      <w:bookmarkStart w:id="829" w:name="_Toc373478382"/>
      <w:bookmarkStart w:id="830" w:name="_Toc470247837"/>
      <w:bookmarkStart w:id="831" w:name="_Toc531186639"/>
      <w:bookmarkStart w:id="832" w:name="_Toc373227735"/>
      <w:bookmarkStart w:id="833" w:name="_Toc432343924"/>
      <w:bookmarkStart w:id="834" w:name="_Toc530144504"/>
      <w:r>
        <w:rPr>
          <w:rFonts w:ascii="宋体" w:hAnsi="宋体"/>
          <w:b/>
          <w:bCs/>
          <w:color w:val="auto"/>
          <w:sz w:val="32"/>
          <w:szCs w:val="32"/>
          <w:highlight w:val="none"/>
        </w:rPr>
        <w:t>8.8 施工设备和临时设施</w:t>
      </w:r>
      <w:bookmarkEnd w:id="822"/>
      <w:bookmarkEnd w:id="823"/>
      <w:bookmarkEnd w:id="824"/>
      <w:bookmarkEnd w:id="825"/>
      <w:bookmarkEnd w:id="826"/>
      <w:bookmarkEnd w:id="827"/>
      <w:bookmarkEnd w:id="828"/>
      <w:bookmarkEnd w:id="829"/>
      <w:bookmarkEnd w:id="830"/>
      <w:bookmarkEnd w:id="831"/>
      <w:bookmarkEnd w:id="832"/>
      <w:bookmarkEnd w:id="833"/>
      <w:bookmarkEnd w:id="834"/>
    </w:p>
    <w:p w14:paraId="4F013DC0">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8.8.1 承包人提供的施工设备和临时设施</w:t>
      </w:r>
    </w:p>
    <w:p w14:paraId="5F9724FB">
      <w:pPr>
        <w:autoSpaceDE w:val="0"/>
        <w:autoSpaceDN w:val="0"/>
        <w:adjustRightInd w:val="0"/>
        <w:spacing w:line="360" w:lineRule="auto"/>
        <w:ind w:firstLine="420" w:firstLineChars="200"/>
        <w:jc w:val="left"/>
        <w:rPr>
          <w:rFonts w:ascii="宋体" w:hAnsi="宋体"/>
          <w:b/>
          <w:color w:val="auto"/>
          <w:szCs w:val="21"/>
          <w:highlight w:val="none"/>
        </w:rPr>
      </w:pPr>
      <w:r>
        <w:rPr>
          <w:rFonts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b/>
          <w:color w:val="auto"/>
          <w:szCs w:val="21"/>
          <w:highlight w:val="none"/>
        </w:rPr>
        <w:t>承包人用于本工程的主要机械设备清单见合同附件6。</w:t>
      </w:r>
    </w:p>
    <w:p w14:paraId="1114EB9A">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关于修建临时设施费用承担的约定：</w:t>
      </w:r>
    </w:p>
    <w:p w14:paraId="6839C706">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r>
        <w:rPr>
          <w:rFonts w:hint="eastAsia" w:ascii="宋体" w:hAnsi="宋体"/>
          <w:color w:val="auto"/>
          <w:szCs w:val="21"/>
          <w:highlight w:val="none"/>
          <w:u w:val="single"/>
        </w:rPr>
        <w:t>，</w:t>
      </w:r>
      <w:r>
        <w:rPr>
          <w:rFonts w:hint="eastAsia" w:ascii="宋体" w:hAnsi="宋体"/>
          <w:color w:val="auto"/>
          <w:kern w:val="0"/>
          <w:szCs w:val="21"/>
          <w:highlight w:val="none"/>
          <w:u w:val="single"/>
        </w:rPr>
        <w:t>费用总价包干，由于承包人预估费用低于实际费用，不足部分由承包人补齐。承包人不得以预估费用低于实际费用或实际情况发生变化为由向发包人提出费用补偿。</w:t>
      </w:r>
    </w:p>
    <w:p w14:paraId="7F546B26">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②承包人负责合同实施期间其合同段内临时交通道路（含场内外连接公共交通道路）和交通设施的修建、维修、养护和交通管理工作，并承担一切费用。以上费用在投标报价中综合考虑</w:t>
      </w:r>
      <w:r>
        <w:rPr>
          <w:rFonts w:hint="eastAsia" w:ascii="宋体" w:hAnsi="宋体"/>
          <w:color w:val="auto"/>
          <w:szCs w:val="21"/>
          <w:highlight w:val="none"/>
          <w:u w:val="single"/>
        </w:rPr>
        <w:t>，</w:t>
      </w:r>
      <w:r>
        <w:rPr>
          <w:rFonts w:hint="eastAsia" w:ascii="宋体" w:hAnsi="宋体"/>
          <w:color w:val="auto"/>
          <w:kern w:val="0"/>
          <w:szCs w:val="21"/>
          <w:highlight w:val="none"/>
          <w:u w:val="single"/>
        </w:rPr>
        <w:t>费用总价包干，不足部分由承包人补齐。承包人不得以预估费用低于实际费用或实际情况发生变化为由向发包人提出费用补偿。</w:t>
      </w:r>
    </w:p>
    <w:p w14:paraId="4E0B7D74">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C7475FD">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8.8.2 发包人提供的施工设备和临时设施</w:t>
      </w:r>
    </w:p>
    <w:p w14:paraId="0D829888">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发包人提供的施工设备和临时设施：</w:t>
      </w:r>
      <w:r>
        <w:rPr>
          <w:rFonts w:hint="eastAsia" w:ascii="宋体" w:hAnsi="宋体"/>
          <w:color w:val="auto"/>
          <w:szCs w:val="21"/>
          <w:highlight w:val="none"/>
          <w:u w:val="single"/>
        </w:rPr>
        <w:t>无</w:t>
      </w:r>
      <w:r>
        <w:rPr>
          <w:rFonts w:ascii="宋体" w:hAnsi="宋体"/>
          <w:color w:val="auto"/>
          <w:szCs w:val="21"/>
          <w:highlight w:val="none"/>
        </w:rPr>
        <w:t>。</w:t>
      </w:r>
    </w:p>
    <w:p w14:paraId="5872B8DA">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无</w:t>
      </w:r>
      <w:r>
        <w:rPr>
          <w:rFonts w:ascii="宋体" w:hAnsi="宋体"/>
          <w:color w:val="auto"/>
          <w:szCs w:val="21"/>
          <w:highlight w:val="none"/>
        </w:rPr>
        <w:t>。</w:t>
      </w:r>
    </w:p>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14:paraId="3023A9E7">
      <w:pPr>
        <w:keepNext/>
        <w:keepLines/>
        <w:spacing w:before="260" w:after="260" w:line="416" w:lineRule="auto"/>
        <w:outlineLvl w:val="2"/>
        <w:rPr>
          <w:rFonts w:ascii="宋体" w:hAnsi="宋体"/>
          <w:b/>
          <w:bCs/>
          <w:color w:val="auto"/>
          <w:sz w:val="32"/>
          <w:szCs w:val="32"/>
          <w:highlight w:val="none"/>
        </w:rPr>
      </w:pPr>
      <w:bookmarkStart w:id="835" w:name="_Toc389065302"/>
      <w:bookmarkStart w:id="836" w:name="_Toc531186640"/>
      <w:bookmarkStart w:id="837" w:name="_Toc530144505"/>
      <w:bookmarkStart w:id="838" w:name="_Toc472931644"/>
      <w:bookmarkStart w:id="839" w:name="_Toc529547363"/>
      <w:bookmarkStart w:id="840" w:name="_Toc454211149"/>
      <w:bookmarkStart w:id="841" w:name="_Toc351203641"/>
      <w:bookmarkStart w:id="842" w:name="_Toc411345218"/>
      <w:bookmarkStart w:id="843" w:name="_Toc373478383"/>
      <w:bookmarkStart w:id="844" w:name="_Toc432343925"/>
      <w:bookmarkStart w:id="845" w:name="_Toc461179279"/>
      <w:bookmarkStart w:id="846" w:name="_Toc529527011"/>
      <w:bookmarkStart w:id="847" w:name="_Toc373227736"/>
      <w:bookmarkStart w:id="848" w:name="_Toc470247838"/>
      <w:r>
        <w:rPr>
          <w:rFonts w:ascii="宋体" w:hAnsi="宋体"/>
          <w:b/>
          <w:bCs/>
          <w:color w:val="auto"/>
          <w:sz w:val="32"/>
          <w:szCs w:val="32"/>
          <w:highlight w:val="none"/>
        </w:rPr>
        <w:t>9</w:t>
      </w:r>
      <w:bookmarkEnd w:id="788"/>
      <w:bookmarkEnd w:id="789"/>
      <w:bookmarkEnd w:id="790"/>
      <w:bookmarkStart w:id="849" w:name="_Toc304295559"/>
      <w:bookmarkStart w:id="850" w:name="_Toc312677495"/>
      <w:bookmarkStart w:id="851" w:name="_Toc300934982"/>
      <w:bookmarkStart w:id="852" w:name="_Toc297123533"/>
      <w:bookmarkStart w:id="853" w:name="_Toc297216192"/>
      <w:bookmarkStart w:id="854" w:name="_Toc303539139"/>
      <w:bookmarkStart w:id="855" w:name="_Toc312678021"/>
      <w:bookmarkStart w:id="856" w:name="_Toc296891001"/>
      <w:bookmarkStart w:id="857" w:name="_Toc292559378"/>
      <w:bookmarkStart w:id="858" w:name="_Toc296944512"/>
      <w:bookmarkStart w:id="859" w:name="_Toc296346674"/>
      <w:bookmarkStart w:id="860" w:name="_Toc297048359"/>
      <w:bookmarkStart w:id="861" w:name="_Toc267251428"/>
      <w:bookmarkStart w:id="862" w:name="_Toc296503173"/>
      <w:bookmarkStart w:id="863" w:name="_Toc292559883"/>
      <w:bookmarkStart w:id="864" w:name="_Toc296347172"/>
      <w:bookmarkStart w:id="865" w:name="_Toc296891213"/>
      <w:bookmarkStart w:id="866" w:name="_Toc297120473"/>
      <w:bookmarkStart w:id="867" w:name="_Toc267251427"/>
      <w:r>
        <w:rPr>
          <w:rFonts w:ascii="宋体" w:hAnsi="宋体"/>
          <w:b/>
          <w:bCs/>
          <w:color w:val="auto"/>
          <w:sz w:val="32"/>
          <w:szCs w:val="32"/>
          <w:highlight w:val="none"/>
        </w:rPr>
        <w:t>. 试验与检验</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bookmarkEnd w:id="849"/>
    <w:bookmarkEnd w:id="850"/>
    <w:bookmarkEnd w:id="851"/>
    <w:bookmarkEnd w:id="852"/>
    <w:bookmarkEnd w:id="853"/>
    <w:bookmarkEnd w:id="854"/>
    <w:bookmarkEnd w:id="855"/>
    <w:p w14:paraId="05667D29">
      <w:pPr>
        <w:keepNext/>
        <w:keepLines/>
        <w:spacing w:before="260" w:after="260" w:line="416" w:lineRule="auto"/>
        <w:outlineLvl w:val="2"/>
        <w:rPr>
          <w:rFonts w:ascii="宋体" w:hAnsi="宋体"/>
          <w:b/>
          <w:bCs/>
          <w:color w:val="auto"/>
          <w:sz w:val="32"/>
          <w:szCs w:val="32"/>
          <w:highlight w:val="none"/>
        </w:rPr>
      </w:pPr>
      <w:bookmarkStart w:id="868" w:name="_Toc373227737"/>
      <w:bookmarkStart w:id="869" w:name="_Toc470247839"/>
      <w:bookmarkStart w:id="870" w:name="_Toc373478384"/>
      <w:bookmarkStart w:id="871" w:name="_Toc530144506"/>
      <w:bookmarkStart w:id="872" w:name="_Toc529527012"/>
      <w:bookmarkStart w:id="873" w:name="_Toc411345219"/>
      <w:bookmarkStart w:id="874" w:name="_Toc531186641"/>
      <w:bookmarkStart w:id="875" w:name="_Toc454211150"/>
      <w:bookmarkStart w:id="876" w:name="_Toc472931645"/>
      <w:bookmarkStart w:id="877" w:name="_Toc432343926"/>
      <w:bookmarkStart w:id="878" w:name="_Toc461179280"/>
      <w:bookmarkStart w:id="879" w:name="_Toc529547364"/>
      <w:bookmarkStart w:id="880" w:name="_Toc389065303"/>
      <w:r>
        <w:rPr>
          <w:rFonts w:ascii="宋体" w:hAnsi="宋体"/>
          <w:b/>
          <w:bCs/>
          <w:color w:val="auto"/>
          <w:sz w:val="32"/>
          <w:szCs w:val="32"/>
          <w:highlight w:val="none"/>
        </w:rPr>
        <w:t>9</w:t>
      </w:r>
      <w:bookmarkStart w:id="881" w:name="_Toc312678022"/>
      <w:bookmarkStart w:id="882" w:name="_Toc300934983"/>
      <w:bookmarkStart w:id="883" w:name="_Toc304295560"/>
      <w:bookmarkStart w:id="884" w:name="_Toc312677496"/>
      <w:bookmarkStart w:id="885" w:name="_Toc297216193"/>
      <w:bookmarkStart w:id="886" w:name="_Toc297123534"/>
      <w:bookmarkStart w:id="887" w:name="_Toc303539140"/>
      <w:r>
        <w:rPr>
          <w:rFonts w:ascii="宋体" w:hAnsi="宋体"/>
          <w:b/>
          <w:bCs/>
          <w:color w:val="auto"/>
          <w:sz w:val="32"/>
          <w:szCs w:val="32"/>
          <w:highlight w:val="none"/>
        </w:rPr>
        <w:t>.1试验设备与试验人员</w:t>
      </w:r>
      <w:bookmarkEnd w:id="868"/>
      <w:bookmarkEnd w:id="869"/>
      <w:bookmarkEnd w:id="870"/>
      <w:bookmarkEnd w:id="871"/>
      <w:bookmarkEnd w:id="872"/>
      <w:bookmarkEnd w:id="873"/>
      <w:bookmarkEnd w:id="874"/>
      <w:bookmarkEnd w:id="875"/>
      <w:bookmarkEnd w:id="876"/>
      <w:bookmarkEnd w:id="877"/>
      <w:bookmarkEnd w:id="878"/>
      <w:bookmarkEnd w:id="879"/>
      <w:bookmarkEnd w:id="880"/>
    </w:p>
    <w:bookmarkEnd w:id="881"/>
    <w:bookmarkEnd w:id="882"/>
    <w:bookmarkEnd w:id="883"/>
    <w:bookmarkEnd w:id="884"/>
    <w:bookmarkEnd w:id="885"/>
    <w:bookmarkEnd w:id="886"/>
    <w:bookmarkEnd w:id="887"/>
    <w:p w14:paraId="450A3E1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9</w:t>
      </w:r>
      <w:bookmarkStart w:id="888" w:name="_Toc297123535"/>
      <w:bookmarkStart w:id="889" w:name="_Toc312677497"/>
      <w:bookmarkStart w:id="890" w:name="_Toc312678023"/>
      <w:bookmarkStart w:id="891" w:name="_Toc297216194"/>
      <w:bookmarkStart w:id="892" w:name="_Toc304295561"/>
      <w:bookmarkStart w:id="893" w:name="_Toc303539141"/>
      <w:bookmarkStart w:id="894" w:name="_Toc300934984"/>
      <w:bookmarkStart w:id="895" w:name="_Toc318581174"/>
      <w:r>
        <w:rPr>
          <w:rFonts w:ascii="宋体" w:hAnsi="宋体"/>
          <w:color w:val="auto"/>
          <w:szCs w:val="21"/>
          <w:highlight w:val="none"/>
        </w:rPr>
        <w:t>.1.2 试验设备</w:t>
      </w:r>
    </w:p>
    <w:p w14:paraId="27CE4181">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施工现场需要配置的试验场所：</w:t>
      </w:r>
      <w:bookmarkEnd w:id="888"/>
      <w:bookmarkEnd w:id="889"/>
      <w:bookmarkEnd w:id="890"/>
      <w:bookmarkEnd w:id="891"/>
      <w:bookmarkEnd w:id="892"/>
      <w:bookmarkEnd w:id="893"/>
      <w:bookmarkEnd w:id="894"/>
      <w:bookmarkStart w:id="896" w:name="_Toc297123536"/>
      <w:bookmarkStart w:id="897" w:name="_Toc304295562"/>
      <w:bookmarkStart w:id="898" w:name="_Toc303539142"/>
      <w:bookmarkStart w:id="899" w:name="_Toc297216195"/>
      <w:bookmarkStart w:id="900" w:name="_Toc312678024"/>
      <w:bookmarkStart w:id="901" w:name="_Toc300934985"/>
      <w:bookmarkStart w:id="902" w:name="_Toc312677498"/>
      <w:r>
        <w:rPr>
          <w:rFonts w:hint="eastAsia" w:ascii="宋体" w:hAnsi="宋体"/>
          <w:color w:val="auto"/>
          <w:szCs w:val="21"/>
          <w:highlight w:val="none"/>
          <w:u w:val="single"/>
        </w:rPr>
        <w:t>按有关规定执行</w:t>
      </w:r>
      <w:r>
        <w:rPr>
          <w:rFonts w:ascii="宋体" w:hAnsi="宋体"/>
          <w:color w:val="auto"/>
          <w:szCs w:val="21"/>
          <w:highlight w:val="none"/>
        </w:rPr>
        <w:t>。</w:t>
      </w:r>
    </w:p>
    <w:p w14:paraId="3AE93264">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施工现场需要配备的试验设备：</w:t>
      </w:r>
      <w:r>
        <w:rPr>
          <w:rFonts w:hint="eastAsia" w:ascii="宋体" w:hAnsi="宋体"/>
          <w:color w:val="auto"/>
          <w:szCs w:val="21"/>
          <w:highlight w:val="none"/>
          <w:u w:val="single"/>
        </w:rPr>
        <w:t>按有关规定执行</w:t>
      </w:r>
      <w:r>
        <w:rPr>
          <w:rFonts w:ascii="宋体" w:hAnsi="宋体"/>
          <w:color w:val="auto"/>
          <w:szCs w:val="21"/>
          <w:highlight w:val="none"/>
        </w:rPr>
        <w:t>。</w:t>
      </w:r>
    </w:p>
    <w:p w14:paraId="3AED4565">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施工现场需要具备的其他试验条件：</w:t>
      </w:r>
      <w:r>
        <w:rPr>
          <w:rFonts w:hint="eastAsia" w:ascii="宋体" w:hAnsi="宋体"/>
          <w:color w:val="auto"/>
          <w:szCs w:val="21"/>
          <w:highlight w:val="none"/>
          <w:u w:val="single"/>
        </w:rPr>
        <w:t xml:space="preserve"> 无</w:t>
      </w:r>
      <w:r>
        <w:rPr>
          <w:rFonts w:ascii="宋体" w:hAnsi="宋体"/>
          <w:color w:val="auto"/>
          <w:szCs w:val="21"/>
          <w:highlight w:val="none"/>
        </w:rPr>
        <w:t>。</w:t>
      </w:r>
    </w:p>
    <w:p w14:paraId="31F22758">
      <w:pPr>
        <w:keepNext/>
        <w:keepLines/>
        <w:spacing w:before="260" w:after="260" w:line="416" w:lineRule="auto"/>
        <w:outlineLvl w:val="2"/>
        <w:rPr>
          <w:rFonts w:ascii="宋体" w:hAnsi="宋体"/>
          <w:b/>
          <w:bCs/>
          <w:color w:val="auto"/>
          <w:sz w:val="32"/>
          <w:szCs w:val="32"/>
          <w:highlight w:val="none"/>
        </w:rPr>
      </w:pPr>
      <w:bookmarkStart w:id="903" w:name="_Toc373478385"/>
      <w:bookmarkStart w:id="904" w:name="_Toc461179281"/>
      <w:bookmarkStart w:id="905" w:name="_Toc529547365"/>
      <w:bookmarkStart w:id="906" w:name="_Toc530144507"/>
      <w:bookmarkStart w:id="907" w:name="_Toc531186642"/>
      <w:bookmarkStart w:id="908" w:name="_Toc529527013"/>
      <w:bookmarkStart w:id="909" w:name="_Toc454211151"/>
      <w:bookmarkStart w:id="910" w:name="_Toc373227738"/>
      <w:bookmarkStart w:id="911" w:name="_Toc389065304"/>
      <w:bookmarkStart w:id="912" w:name="_Toc432343927"/>
      <w:bookmarkStart w:id="913" w:name="_Toc472931646"/>
      <w:bookmarkStart w:id="914" w:name="_Toc470247840"/>
      <w:bookmarkStart w:id="915" w:name="_Toc411345220"/>
      <w:r>
        <w:rPr>
          <w:rFonts w:ascii="宋体" w:hAnsi="宋体"/>
          <w:b/>
          <w:bCs/>
          <w:color w:val="auto"/>
          <w:sz w:val="32"/>
          <w:szCs w:val="32"/>
          <w:highlight w:val="none"/>
        </w:rPr>
        <w:t>9.4 现场工艺试验</w:t>
      </w:r>
      <w:bookmarkEnd w:id="903"/>
      <w:bookmarkEnd w:id="904"/>
      <w:bookmarkEnd w:id="905"/>
      <w:bookmarkEnd w:id="906"/>
      <w:bookmarkEnd w:id="907"/>
      <w:bookmarkEnd w:id="908"/>
      <w:bookmarkEnd w:id="909"/>
      <w:bookmarkEnd w:id="910"/>
      <w:bookmarkEnd w:id="911"/>
      <w:bookmarkEnd w:id="912"/>
      <w:bookmarkEnd w:id="913"/>
      <w:bookmarkEnd w:id="914"/>
      <w:bookmarkEnd w:id="915"/>
    </w:p>
    <w:p w14:paraId="265CF23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现场工艺试验的有关约定：</w:t>
      </w:r>
      <w:r>
        <w:rPr>
          <w:rFonts w:hint="eastAsia" w:ascii="宋体" w:hAnsi="宋体"/>
          <w:color w:val="auto"/>
          <w:szCs w:val="21"/>
          <w:highlight w:val="none"/>
          <w:u w:val="single"/>
        </w:rPr>
        <w:t>按有关规定执行</w:t>
      </w:r>
      <w:r>
        <w:rPr>
          <w:rFonts w:ascii="宋体" w:hAnsi="宋体"/>
          <w:color w:val="auto"/>
          <w:szCs w:val="21"/>
          <w:highlight w:val="none"/>
        </w:rPr>
        <w:t>。</w:t>
      </w:r>
    </w:p>
    <w:p w14:paraId="197DA66C">
      <w:pPr>
        <w:keepNext/>
        <w:keepLines/>
        <w:spacing w:before="260" w:after="260" w:line="416" w:lineRule="auto"/>
        <w:outlineLvl w:val="2"/>
        <w:rPr>
          <w:rFonts w:ascii="宋体" w:hAnsi="宋体"/>
          <w:b/>
          <w:bCs/>
          <w:color w:val="auto"/>
          <w:sz w:val="32"/>
          <w:szCs w:val="32"/>
          <w:highlight w:val="none"/>
        </w:rPr>
      </w:pPr>
      <w:bookmarkStart w:id="916" w:name="_Toc454211152"/>
      <w:bookmarkStart w:id="917" w:name="_Toc432343928"/>
      <w:bookmarkStart w:id="918" w:name="_Toc529527014"/>
      <w:bookmarkStart w:id="919" w:name="_Toc470247841"/>
      <w:bookmarkStart w:id="920" w:name="_Toc472931647"/>
      <w:bookmarkStart w:id="921" w:name="_Toc531186643"/>
      <w:bookmarkStart w:id="922" w:name="_Toc411345221"/>
      <w:bookmarkStart w:id="923" w:name="_Toc529547366"/>
      <w:bookmarkStart w:id="924" w:name="_Toc461179282"/>
      <w:bookmarkStart w:id="925" w:name="_Toc530144508"/>
      <w:r>
        <w:rPr>
          <w:rFonts w:ascii="宋体" w:hAnsi="宋体"/>
          <w:b/>
          <w:bCs/>
          <w:color w:val="auto"/>
          <w:sz w:val="32"/>
          <w:szCs w:val="32"/>
          <w:highlight w:val="none"/>
        </w:rPr>
        <w:t>9.5 检验费用</w:t>
      </w:r>
      <w:bookmarkEnd w:id="916"/>
      <w:bookmarkEnd w:id="917"/>
      <w:bookmarkEnd w:id="918"/>
      <w:bookmarkEnd w:id="919"/>
      <w:bookmarkEnd w:id="920"/>
      <w:bookmarkEnd w:id="921"/>
      <w:bookmarkEnd w:id="922"/>
      <w:bookmarkEnd w:id="923"/>
      <w:bookmarkEnd w:id="924"/>
      <w:bookmarkEnd w:id="925"/>
    </w:p>
    <w:p w14:paraId="53CAD5F8">
      <w:pPr>
        <w:spacing w:line="360" w:lineRule="auto"/>
        <w:ind w:firstLine="411" w:firstLineChars="196"/>
        <w:rPr>
          <w:rFonts w:ascii="宋体" w:hAnsi="宋体"/>
          <w:color w:val="auto"/>
          <w:szCs w:val="21"/>
          <w:highlight w:val="none"/>
        </w:rPr>
      </w:pPr>
      <w:r>
        <w:rPr>
          <w:rFonts w:ascii="宋体" w:hAnsi="宋体"/>
          <w:color w:val="auto"/>
          <w:szCs w:val="21"/>
          <w:highlight w:val="none"/>
        </w:rPr>
        <w:t>根据《建设工程质量检测管理办法》（建设部令第141号）以及</w:t>
      </w:r>
      <w:r>
        <w:rPr>
          <w:rFonts w:ascii="宋体" w:hAnsi="宋体"/>
          <w:bCs/>
          <w:color w:val="auto"/>
          <w:szCs w:val="21"/>
          <w:highlight w:val="none"/>
        </w:rPr>
        <w:t>《广西壮族自治区建设工程质量检测管理规定》</w:t>
      </w:r>
      <w:r>
        <w:rPr>
          <w:rFonts w:hint="eastAsia" w:ascii="宋体" w:hAnsi="宋体"/>
          <w:bCs/>
          <w:color w:val="auto"/>
          <w:szCs w:val="21"/>
          <w:highlight w:val="none"/>
        </w:rPr>
        <w:t>（</w:t>
      </w:r>
      <w:r>
        <w:rPr>
          <w:rFonts w:ascii="宋体" w:hAnsi="宋体"/>
          <w:bCs/>
          <w:color w:val="auto"/>
          <w:szCs w:val="21"/>
          <w:highlight w:val="none"/>
        </w:rPr>
        <w:t>桂建管</w:t>
      </w:r>
      <w:r>
        <w:rPr>
          <w:rFonts w:hint="eastAsia" w:ascii="宋体" w:hAnsi="宋体"/>
          <w:bCs/>
          <w:color w:val="auto"/>
          <w:szCs w:val="21"/>
          <w:highlight w:val="none"/>
        </w:rPr>
        <w:t>〔</w:t>
      </w:r>
      <w:r>
        <w:rPr>
          <w:rFonts w:ascii="宋体" w:hAnsi="宋体"/>
          <w:bCs/>
          <w:color w:val="auto"/>
          <w:szCs w:val="21"/>
          <w:highlight w:val="none"/>
        </w:rPr>
        <w:t>2013</w:t>
      </w:r>
      <w:r>
        <w:rPr>
          <w:rFonts w:hint="eastAsia" w:ascii="宋体" w:hAnsi="宋体"/>
          <w:bCs/>
          <w:color w:val="auto"/>
          <w:szCs w:val="21"/>
          <w:highlight w:val="none"/>
        </w:rPr>
        <w:t>〕</w:t>
      </w:r>
      <w:r>
        <w:rPr>
          <w:rFonts w:ascii="宋体" w:hAnsi="宋体"/>
          <w:bCs/>
          <w:color w:val="auto"/>
          <w:szCs w:val="21"/>
          <w:highlight w:val="none"/>
        </w:rPr>
        <w:t>11号</w:t>
      </w:r>
      <w:r>
        <w:rPr>
          <w:rFonts w:hint="eastAsia" w:ascii="宋体" w:hAnsi="宋体"/>
          <w:bCs/>
          <w:color w:val="auto"/>
          <w:szCs w:val="21"/>
          <w:highlight w:val="none"/>
        </w:rPr>
        <w:t>）</w:t>
      </w:r>
      <w:r>
        <w:rPr>
          <w:rFonts w:ascii="宋体" w:hAnsi="宋体"/>
          <w:color w:val="auto"/>
          <w:szCs w:val="21"/>
          <w:highlight w:val="none"/>
        </w:rPr>
        <w:t>规定，工程质量检测业务由招标人委托有相应资质的检测机构检测。费用从招标人的项目建设经费中支出并直接支付给检测机构，不计入合同价款内。</w:t>
      </w:r>
    </w:p>
    <w:bookmarkEnd w:id="895"/>
    <w:bookmarkEnd w:id="896"/>
    <w:bookmarkEnd w:id="897"/>
    <w:bookmarkEnd w:id="898"/>
    <w:bookmarkEnd w:id="899"/>
    <w:bookmarkEnd w:id="900"/>
    <w:bookmarkEnd w:id="901"/>
    <w:bookmarkEnd w:id="902"/>
    <w:p w14:paraId="3D839785">
      <w:pPr>
        <w:keepNext/>
        <w:keepLines/>
        <w:spacing w:before="260" w:after="260" w:line="416" w:lineRule="auto"/>
        <w:outlineLvl w:val="2"/>
        <w:rPr>
          <w:rFonts w:ascii="宋体" w:hAnsi="宋体"/>
          <w:b/>
          <w:bCs/>
          <w:color w:val="auto"/>
          <w:sz w:val="32"/>
          <w:szCs w:val="32"/>
          <w:highlight w:val="none"/>
        </w:rPr>
      </w:pPr>
      <w:bookmarkStart w:id="926" w:name="_Toc529527015"/>
      <w:bookmarkStart w:id="927" w:name="_Toc531186644"/>
      <w:bookmarkStart w:id="928" w:name="_Toc530144509"/>
      <w:bookmarkStart w:id="929" w:name="_Toc470247842"/>
      <w:bookmarkStart w:id="930" w:name="_Toc461179283"/>
      <w:bookmarkStart w:id="931" w:name="_Toc389065305"/>
      <w:bookmarkStart w:id="932" w:name="_Toc432343929"/>
      <w:bookmarkStart w:id="933" w:name="_Toc411345222"/>
      <w:bookmarkStart w:id="934" w:name="_Toc373478386"/>
      <w:bookmarkStart w:id="935" w:name="_Toc472931648"/>
      <w:bookmarkStart w:id="936" w:name="_Toc529547367"/>
      <w:bookmarkStart w:id="937" w:name="_Toc351203642"/>
      <w:bookmarkStart w:id="938" w:name="_Toc373227739"/>
      <w:bookmarkStart w:id="939" w:name="_Toc454211153"/>
      <w:r>
        <w:rPr>
          <w:rFonts w:ascii="宋体" w:hAnsi="宋体"/>
          <w:b/>
          <w:bCs/>
          <w:color w:val="auto"/>
          <w:sz w:val="32"/>
          <w:szCs w:val="32"/>
          <w:highlight w:val="none"/>
        </w:rPr>
        <w:t>1</w:t>
      </w:r>
      <w:bookmarkEnd w:id="856"/>
      <w:bookmarkEnd w:id="857"/>
      <w:bookmarkEnd w:id="858"/>
      <w:bookmarkEnd w:id="859"/>
      <w:bookmarkEnd w:id="860"/>
      <w:bookmarkEnd w:id="861"/>
      <w:bookmarkEnd w:id="862"/>
      <w:bookmarkEnd w:id="863"/>
      <w:bookmarkEnd w:id="864"/>
      <w:bookmarkEnd w:id="865"/>
      <w:bookmarkEnd w:id="866"/>
      <w:bookmarkEnd w:id="867"/>
      <w:bookmarkStart w:id="940" w:name="_Toc297120493"/>
      <w:bookmarkStart w:id="941" w:name="_Toc297123540"/>
      <w:bookmarkStart w:id="942" w:name="_Toc292559398"/>
      <w:bookmarkStart w:id="943" w:name="_Toc304295566"/>
      <w:bookmarkStart w:id="944" w:name="_Toc296944532"/>
      <w:bookmarkStart w:id="945" w:name="_Toc296891233"/>
      <w:bookmarkStart w:id="946" w:name="_Toc296347192"/>
      <w:bookmarkStart w:id="947" w:name="_Toc300934989"/>
      <w:bookmarkStart w:id="948" w:name="_Toc297048379"/>
      <w:bookmarkStart w:id="949" w:name="_Toc296503193"/>
      <w:bookmarkStart w:id="950" w:name="_Toc296346694"/>
      <w:bookmarkStart w:id="951" w:name="_Toc303539146"/>
      <w:bookmarkStart w:id="952" w:name="_Toc297216199"/>
      <w:bookmarkStart w:id="953" w:name="_Toc296891021"/>
      <w:bookmarkStart w:id="954" w:name="_Toc292559903"/>
      <w:bookmarkStart w:id="955" w:name="_Toc312678025"/>
      <w:bookmarkStart w:id="956" w:name="_Toc312677499"/>
      <w:bookmarkStart w:id="957" w:name="_Toc267251441"/>
      <w:bookmarkStart w:id="958" w:name="_Toc267251437"/>
      <w:bookmarkStart w:id="959" w:name="_Toc267251435"/>
      <w:bookmarkStart w:id="960" w:name="_Toc267251433"/>
      <w:bookmarkStart w:id="961" w:name="_Toc267251439"/>
      <w:bookmarkStart w:id="962" w:name="_Toc267251440"/>
      <w:bookmarkStart w:id="963" w:name="_Toc267251442"/>
      <w:r>
        <w:rPr>
          <w:rFonts w:ascii="宋体" w:hAnsi="宋体"/>
          <w:b/>
          <w:bCs/>
          <w:color w:val="auto"/>
          <w:sz w:val="32"/>
          <w:szCs w:val="32"/>
          <w:highlight w:val="none"/>
        </w:rPr>
        <w:t>0. 变更</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bookmarkEnd w:id="955"/>
    <w:bookmarkEnd w:id="956"/>
    <w:p w14:paraId="750E79D1">
      <w:pPr>
        <w:keepNext/>
        <w:keepLines/>
        <w:spacing w:before="260" w:after="260" w:line="416" w:lineRule="auto"/>
        <w:outlineLvl w:val="2"/>
        <w:rPr>
          <w:rFonts w:ascii="宋体" w:hAnsi="宋体"/>
          <w:b/>
          <w:bCs/>
          <w:color w:val="auto"/>
          <w:sz w:val="32"/>
          <w:szCs w:val="32"/>
          <w:highlight w:val="none"/>
        </w:rPr>
      </w:pPr>
      <w:bookmarkStart w:id="964" w:name="_Toc389065306"/>
      <w:bookmarkStart w:id="965" w:name="_Toc529547368"/>
      <w:bookmarkStart w:id="966" w:name="_Toc470247843"/>
      <w:bookmarkStart w:id="967" w:name="_Toc529527016"/>
      <w:bookmarkStart w:id="968" w:name="_Toc411345223"/>
      <w:bookmarkStart w:id="969" w:name="_Toc531186645"/>
      <w:bookmarkStart w:id="970" w:name="_Toc454211154"/>
      <w:bookmarkStart w:id="971" w:name="_Toc373478387"/>
      <w:bookmarkStart w:id="972" w:name="_Toc432343930"/>
      <w:bookmarkStart w:id="973" w:name="_Toc530144510"/>
      <w:bookmarkStart w:id="974" w:name="_Toc373227740"/>
      <w:bookmarkStart w:id="975" w:name="_Toc461179284"/>
      <w:bookmarkStart w:id="976" w:name="_Toc472931649"/>
      <w:r>
        <w:rPr>
          <w:rFonts w:ascii="宋体" w:hAnsi="宋体"/>
          <w:b/>
          <w:bCs/>
          <w:color w:val="auto"/>
          <w:sz w:val="32"/>
          <w:szCs w:val="32"/>
          <w:highlight w:val="none"/>
        </w:rPr>
        <w:t>1</w:t>
      </w:r>
      <w:bookmarkStart w:id="977" w:name="_Toc297048380"/>
      <w:bookmarkStart w:id="978" w:name="_Toc296891022"/>
      <w:bookmarkStart w:id="979" w:name="_Toc312678026"/>
      <w:bookmarkStart w:id="980" w:name="_Toc296891234"/>
      <w:bookmarkStart w:id="981" w:name="_Toc296346695"/>
      <w:bookmarkStart w:id="982" w:name="_Toc297120494"/>
      <w:bookmarkStart w:id="983" w:name="_Toc292559399"/>
      <w:bookmarkStart w:id="984" w:name="_Toc296347193"/>
      <w:bookmarkStart w:id="985" w:name="_Toc297216200"/>
      <w:bookmarkStart w:id="986" w:name="_Toc297123541"/>
      <w:bookmarkStart w:id="987" w:name="_Toc304295567"/>
      <w:bookmarkStart w:id="988" w:name="_Toc292559904"/>
      <w:bookmarkStart w:id="989" w:name="_Toc303539147"/>
      <w:bookmarkStart w:id="990" w:name="_Toc300934990"/>
      <w:bookmarkStart w:id="991" w:name="_Toc312677500"/>
      <w:bookmarkStart w:id="992" w:name="_Toc296503194"/>
      <w:bookmarkStart w:id="993" w:name="_Toc296944533"/>
      <w:r>
        <w:rPr>
          <w:rFonts w:ascii="宋体" w:hAnsi="宋体"/>
          <w:b/>
          <w:bCs/>
          <w:color w:val="auto"/>
          <w:sz w:val="32"/>
          <w:szCs w:val="32"/>
          <w:highlight w:val="none"/>
        </w:rPr>
        <w:t>0.1变更的范围</w:t>
      </w:r>
      <w:bookmarkEnd w:id="964"/>
      <w:bookmarkEnd w:id="965"/>
      <w:bookmarkEnd w:id="966"/>
      <w:bookmarkEnd w:id="967"/>
      <w:bookmarkEnd w:id="968"/>
      <w:bookmarkEnd w:id="969"/>
      <w:bookmarkEnd w:id="970"/>
      <w:bookmarkEnd w:id="971"/>
      <w:bookmarkEnd w:id="972"/>
      <w:bookmarkEnd w:id="973"/>
      <w:bookmarkEnd w:id="974"/>
      <w:bookmarkEnd w:id="975"/>
      <w:bookmarkEnd w:id="976"/>
    </w:p>
    <w:p w14:paraId="5188505E">
      <w:pPr>
        <w:spacing w:line="360" w:lineRule="auto"/>
        <w:ind w:firstLine="426"/>
        <w:jc w:val="left"/>
        <w:rPr>
          <w:rFonts w:ascii="宋体" w:hAnsi="宋体"/>
          <w:color w:val="auto"/>
          <w:szCs w:val="21"/>
          <w:highlight w:val="none"/>
        </w:rPr>
      </w:pPr>
      <w:r>
        <w:rPr>
          <w:rFonts w:ascii="宋体" w:hAnsi="宋体"/>
          <w:color w:val="auto"/>
          <w:szCs w:val="21"/>
          <w:highlight w:val="none"/>
        </w:rPr>
        <w:t>关于变更的范围的约定：</w:t>
      </w:r>
      <w:r>
        <w:rPr>
          <w:rFonts w:hint="eastAsia" w:ascii="宋体" w:hAnsi="宋体"/>
          <w:color w:val="auto"/>
          <w:szCs w:val="21"/>
          <w:highlight w:val="none"/>
          <w:u w:val="single"/>
        </w:rPr>
        <w:t>按通用合同条款</w:t>
      </w:r>
      <w:r>
        <w:rPr>
          <w:rFonts w:hint="eastAsia" w:ascii="宋体" w:hAnsi="宋体"/>
          <w:b/>
          <w:bCs/>
          <w:color w:val="auto"/>
          <w:szCs w:val="21"/>
          <w:highlight w:val="none"/>
          <w:u w:val="single"/>
        </w:rPr>
        <w:t>10.1</w:t>
      </w:r>
      <w:r>
        <w:rPr>
          <w:rFonts w:hint="eastAsia" w:ascii="宋体" w:hAnsi="宋体"/>
          <w:color w:val="auto"/>
          <w:szCs w:val="21"/>
          <w:highlight w:val="none"/>
          <w:u w:val="single"/>
        </w:rPr>
        <w:t>条执行</w:t>
      </w:r>
      <w:r>
        <w:rPr>
          <w:rFonts w:ascii="宋体" w:hAnsi="宋体"/>
          <w:color w:val="auto"/>
          <w:szCs w:val="21"/>
          <w:highlight w:val="none"/>
        </w:rPr>
        <w:t>。</w:t>
      </w:r>
    </w:p>
    <w:p w14:paraId="2F577CDA">
      <w:pPr>
        <w:keepNext/>
        <w:keepLines/>
        <w:spacing w:before="260" w:after="260" w:line="416" w:lineRule="auto"/>
        <w:outlineLvl w:val="2"/>
        <w:rPr>
          <w:rFonts w:ascii="宋体" w:hAnsi="宋体"/>
          <w:b/>
          <w:bCs/>
          <w:color w:val="auto"/>
          <w:sz w:val="32"/>
          <w:szCs w:val="32"/>
          <w:highlight w:val="none"/>
        </w:rPr>
      </w:pPr>
      <w:bookmarkStart w:id="994" w:name="_Toc373227741"/>
      <w:bookmarkStart w:id="995" w:name="_Toc470247844"/>
      <w:bookmarkStart w:id="996" w:name="_Toc389065307"/>
      <w:bookmarkStart w:id="997" w:name="_Toc529527017"/>
      <w:bookmarkStart w:id="998" w:name="_Toc373478388"/>
      <w:bookmarkStart w:id="999" w:name="_Toc411345225"/>
      <w:bookmarkStart w:id="1000" w:name="_Toc454211156"/>
      <w:bookmarkStart w:id="1001" w:name="_Toc529547369"/>
      <w:bookmarkStart w:id="1002" w:name="_Toc432343932"/>
      <w:bookmarkStart w:id="1003" w:name="_Toc531186646"/>
      <w:bookmarkStart w:id="1004" w:name="_Toc530144511"/>
      <w:bookmarkStart w:id="1005" w:name="_Toc472931650"/>
      <w:bookmarkStart w:id="1006" w:name="_Toc461179286"/>
      <w:r>
        <w:rPr>
          <w:rFonts w:ascii="宋体" w:hAnsi="宋体"/>
          <w:b/>
          <w:bCs/>
          <w:color w:val="auto"/>
          <w:sz w:val="32"/>
          <w:szCs w:val="32"/>
          <w:highlight w:val="none"/>
        </w:rPr>
        <w:t>10.3 变更程序</w:t>
      </w:r>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338E7E29">
      <w:pPr>
        <w:spacing w:line="360" w:lineRule="auto"/>
        <w:ind w:firstLine="441" w:firstLineChars="210"/>
        <w:rPr>
          <w:rFonts w:ascii="宋体" w:hAnsi="宋体"/>
          <w:bCs/>
          <w:color w:val="auto"/>
          <w:szCs w:val="21"/>
          <w:highlight w:val="none"/>
        </w:rPr>
      </w:pPr>
      <w:r>
        <w:rPr>
          <w:rFonts w:ascii="宋体" w:hAnsi="宋体"/>
          <w:bCs/>
          <w:color w:val="auto"/>
          <w:szCs w:val="21"/>
          <w:highlight w:val="none"/>
        </w:rPr>
        <w:t>10.3.1国有投资项目：</w:t>
      </w:r>
    </w:p>
    <w:p w14:paraId="30BD5352">
      <w:pPr>
        <w:spacing w:line="360" w:lineRule="auto"/>
        <w:ind w:firstLine="441" w:firstLineChars="210"/>
        <w:rPr>
          <w:rFonts w:ascii="宋体" w:hAnsi="宋体"/>
          <w:bCs/>
          <w:color w:val="auto"/>
          <w:szCs w:val="21"/>
          <w:highlight w:val="none"/>
        </w:rPr>
      </w:pPr>
      <w:r>
        <w:rPr>
          <w:rFonts w:ascii="宋体" w:hAnsi="宋体"/>
          <w:bCs/>
          <w:color w:val="auto"/>
          <w:szCs w:val="21"/>
          <w:highlight w:val="none"/>
        </w:rPr>
        <w:t>⑴设计变更和工程签证，按各市政府或相关部门的规定办理。属不可抗力（自然灾害、突发事件等）造成变更的，按特事特办原则予以办理。</w:t>
      </w:r>
    </w:p>
    <w:p w14:paraId="636F55AD">
      <w:pPr>
        <w:spacing w:line="360" w:lineRule="auto"/>
        <w:ind w:firstLine="441" w:firstLineChars="210"/>
        <w:rPr>
          <w:rFonts w:ascii="宋体" w:hAnsi="宋体"/>
          <w:bCs/>
          <w:color w:val="auto"/>
          <w:szCs w:val="21"/>
          <w:highlight w:val="none"/>
        </w:rPr>
      </w:pPr>
      <w:r>
        <w:rPr>
          <w:rFonts w:ascii="宋体" w:hAnsi="宋体"/>
          <w:bCs/>
          <w:color w:val="auto"/>
          <w:szCs w:val="21"/>
          <w:highlight w:val="none"/>
        </w:rPr>
        <w:t>⑵建设单位在实施项目过程中，若发生单价变动，由建设单位、监理单位、施工单位及其他相关单位共同商定并签字确认。</w:t>
      </w:r>
    </w:p>
    <w:p w14:paraId="4608CC27">
      <w:pPr>
        <w:spacing w:line="360" w:lineRule="auto"/>
        <w:ind w:firstLine="441" w:firstLineChars="210"/>
        <w:rPr>
          <w:rFonts w:hint="eastAsia" w:ascii="宋体" w:hAnsi="宋体"/>
          <w:bCs/>
          <w:color w:val="auto"/>
          <w:szCs w:val="21"/>
          <w:highlight w:val="none"/>
        </w:rPr>
      </w:pPr>
      <w:r>
        <w:rPr>
          <w:rFonts w:ascii="宋体" w:hAnsi="宋体"/>
          <w:bCs/>
          <w:color w:val="auto"/>
          <w:szCs w:val="21"/>
          <w:highlight w:val="none"/>
        </w:rPr>
        <w:t>⑶ 当合同规定的合同价款调整情况发生后，</w:t>
      </w:r>
      <w:r>
        <w:rPr>
          <w:rFonts w:hint="eastAsia" w:ascii="宋体" w:hAnsi="宋体"/>
          <w:bCs/>
          <w:color w:val="auto"/>
          <w:szCs w:val="21"/>
          <w:highlight w:val="none"/>
        </w:rPr>
        <w:t>承包人未在事件发生后14天内通知发包人，或者未在发出通知后14天内提出调整报告，视为承包人放弃对应价款调整权利，发包人不再就该事项进行任何价款调整。</w:t>
      </w:r>
    </w:p>
    <w:p w14:paraId="6263C5A1">
      <w:pPr>
        <w:spacing w:line="360" w:lineRule="auto"/>
        <w:ind w:firstLine="441" w:firstLineChars="21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所有设计变更，双方均应办理变更前签证，需要变更的工程（或新增工程），由设计单位、监理单位对变更理由和变更内容提出审核意见后报发包人，由发包人审批后方可实施。变更造价累计超出工程施工合同价中建安工程费用总和的10%或工程变更总造价大于100万人民币的，由设计单位、监理单位及发包人提出审核意见，经发包人集体研究，主要负责人签字后，报相关审批部门批准后须报市人民政府备案方可实施。项目变更后总投资超过概算批复的，必须报投资审批部门同意调整概算方可实施。</w:t>
      </w:r>
    </w:p>
    <w:p w14:paraId="0D8A0284">
      <w:pPr>
        <w:spacing w:line="360" w:lineRule="auto"/>
        <w:ind w:firstLine="441" w:firstLineChars="210"/>
        <w:rPr>
          <w:rFonts w:ascii="宋体" w:hAnsi="宋体" w:eastAsia="宋体" w:cs="Times New Roman"/>
          <w:bCs/>
          <w:color w:val="auto"/>
          <w:szCs w:val="21"/>
          <w:highlight w:val="none"/>
        </w:rPr>
      </w:pPr>
      <w:r>
        <w:rPr>
          <w:rFonts w:ascii="宋体" w:hAnsi="宋体" w:eastAsia="宋体" w:cs="Times New Roman"/>
          <w:bCs/>
          <w:color w:val="auto"/>
          <w:szCs w:val="21"/>
          <w:highlight w:val="none"/>
        </w:rPr>
        <w:t xml:space="preserve">10.3.2非国有投资项目： </w:t>
      </w:r>
      <w:r>
        <w:rPr>
          <w:rFonts w:hint="eastAsia" w:ascii="宋体" w:hAnsi="宋体" w:eastAsia="宋体" w:cs="Times New Roman"/>
          <w:bCs/>
          <w:color w:val="auto"/>
          <w:szCs w:val="21"/>
          <w:highlight w:val="none"/>
        </w:rPr>
        <w:t>/</w:t>
      </w:r>
      <w:r>
        <w:rPr>
          <w:rFonts w:ascii="宋体" w:hAnsi="宋体" w:eastAsia="宋体" w:cs="Times New Roman"/>
          <w:bCs/>
          <w:color w:val="auto"/>
          <w:szCs w:val="21"/>
          <w:highlight w:val="none"/>
        </w:rPr>
        <w:t>。</w:t>
      </w:r>
    </w:p>
    <w:p w14:paraId="4B8EC6CD">
      <w:pPr>
        <w:keepNext/>
        <w:keepLines/>
        <w:spacing w:before="260" w:after="260" w:line="416" w:lineRule="auto"/>
        <w:outlineLvl w:val="2"/>
        <w:rPr>
          <w:rFonts w:ascii="宋体" w:hAnsi="宋体"/>
          <w:b/>
          <w:bCs/>
          <w:color w:val="auto"/>
          <w:sz w:val="32"/>
          <w:szCs w:val="32"/>
          <w:highlight w:val="none"/>
        </w:rPr>
      </w:pPr>
      <w:bookmarkStart w:id="1007" w:name="_Toc531186647"/>
      <w:bookmarkStart w:id="1008" w:name="_Toc529547370"/>
      <w:bookmarkStart w:id="1009" w:name="_Toc529527018"/>
      <w:bookmarkStart w:id="1010" w:name="_Toc411345226"/>
      <w:bookmarkStart w:id="1011" w:name="_Toc389065308"/>
      <w:bookmarkStart w:id="1012" w:name="_Toc461179287"/>
      <w:bookmarkStart w:id="1013" w:name="_Toc472931651"/>
      <w:bookmarkStart w:id="1014" w:name="_Toc454211157"/>
      <w:bookmarkStart w:id="1015" w:name="_Toc530144512"/>
      <w:bookmarkStart w:id="1016" w:name="_Toc373227742"/>
      <w:bookmarkStart w:id="1017" w:name="_Toc432343933"/>
      <w:bookmarkStart w:id="1018" w:name="_Toc373478389"/>
      <w:bookmarkStart w:id="1019" w:name="_Toc470247845"/>
      <w:r>
        <w:rPr>
          <w:rFonts w:ascii="宋体" w:hAnsi="宋体"/>
          <w:b/>
          <w:bCs/>
          <w:color w:val="auto"/>
          <w:sz w:val="32"/>
          <w:szCs w:val="32"/>
          <w:highlight w:val="none"/>
        </w:rPr>
        <w:t>10.4 变更估价</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71AAC80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10.4.1 变更估价原则</w:t>
      </w:r>
    </w:p>
    <w:p w14:paraId="3D1CB772">
      <w:pPr>
        <w:spacing w:line="360" w:lineRule="auto"/>
        <w:ind w:firstLine="420" w:firstLineChars="200"/>
        <w:jc w:val="left"/>
        <w:rPr>
          <w:rFonts w:ascii="Calibri" w:hAnsi="Calibri"/>
          <w:color w:val="auto"/>
          <w:szCs w:val="21"/>
          <w:highlight w:val="none"/>
        </w:rPr>
      </w:pPr>
      <w:bookmarkStart w:id="1020" w:name="_Toc411345227"/>
      <w:bookmarkStart w:id="1021" w:name="_Toc373478390"/>
      <w:bookmarkStart w:id="1022" w:name="_Toc373227743"/>
      <w:bookmarkStart w:id="1023" w:name="_Toc454211158"/>
      <w:bookmarkStart w:id="1024" w:name="_Toc432343934"/>
      <w:bookmarkStart w:id="1025" w:name="_Toc389065309"/>
      <w:bookmarkStart w:id="1026" w:name="_Toc461179288"/>
      <w:r>
        <w:rPr>
          <w:rFonts w:ascii="Calibri" w:hAnsi="Calibri"/>
          <w:color w:val="auto"/>
          <w:szCs w:val="21"/>
          <w:highlight w:val="none"/>
        </w:rPr>
        <w:t xml:space="preserve">10.4.1 </w:t>
      </w:r>
      <w:r>
        <w:rPr>
          <w:rFonts w:ascii="Calibri" w:hAnsi="宋体"/>
          <w:color w:val="auto"/>
          <w:szCs w:val="21"/>
          <w:highlight w:val="none"/>
        </w:rPr>
        <w:t>变更估价原则</w:t>
      </w:r>
    </w:p>
    <w:p w14:paraId="1D6FAB20">
      <w:pPr>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关于变更估价的约定</w:t>
      </w:r>
      <w:r>
        <w:rPr>
          <w:rFonts w:ascii="Calibri" w:hAnsi="Calibri"/>
          <w:color w:val="auto"/>
          <w:szCs w:val="21"/>
          <w:highlight w:val="none"/>
        </w:rPr>
        <w:t xml:space="preserve">: </w:t>
      </w:r>
      <w:bookmarkStart w:id="1027" w:name="_Toc251051742"/>
      <w:r>
        <w:rPr>
          <w:rFonts w:hint="eastAsia" w:ascii="Calibri" w:hAnsi="宋体"/>
          <w:bCs/>
          <w:color w:val="auto"/>
          <w:szCs w:val="21"/>
          <w:highlight w:val="none"/>
          <w:u w:val="single"/>
        </w:rPr>
        <w:t>工程</w:t>
      </w:r>
      <w:r>
        <w:rPr>
          <w:rFonts w:ascii="Calibri" w:hAnsi="宋体"/>
          <w:bCs/>
          <w:color w:val="auto"/>
          <w:szCs w:val="21"/>
          <w:highlight w:val="none"/>
          <w:u w:val="single"/>
        </w:rPr>
        <w:t>变更合同价款按下列方法进行：（</w:t>
      </w:r>
      <w:r>
        <w:rPr>
          <w:rFonts w:ascii="Calibri" w:hAnsi="Calibri"/>
          <w:bCs/>
          <w:color w:val="auto"/>
          <w:szCs w:val="21"/>
          <w:highlight w:val="none"/>
          <w:u w:val="single"/>
        </w:rPr>
        <w:t>1</w:t>
      </w:r>
      <w:r>
        <w:rPr>
          <w:rFonts w:ascii="Calibri" w:hAnsi="宋体"/>
          <w:bCs/>
          <w:color w:val="auto"/>
          <w:szCs w:val="21"/>
          <w:highlight w:val="none"/>
          <w:u w:val="single"/>
        </w:rPr>
        <w:t>）合同中已有相同清单项目的，按合同该清单项目价格进行计算；（</w:t>
      </w:r>
      <w:r>
        <w:rPr>
          <w:rFonts w:ascii="Calibri" w:hAnsi="Calibri"/>
          <w:bCs/>
          <w:color w:val="auto"/>
          <w:szCs w:val="21"/>
          <w:highlight w:val="none"/>
          <w:u w:val="single"/>
        </w:rPr>
        <w:t>2</w:t>
      </w:r>
      <w:r>
        <w:rPr>
          <w:rFonts w:ascii="Calibri" w:hAnsi="宋体"/>
          <w:bCs/>
          <w:color w:val="auto"/>
          <w:szCs w:val="21"/>
          <w:highlight w:val="none"/>
          <w:u w:val="single"/>
        </w:rPr>
        <w:t>）合同中只有类似清单项目的，参照该类似清单项目价格进行计算；（</w:t>
      </w:r>
      <w:r>
        <w:rPr>
          <w:rFonts w:ascii="Calibri" w:hAnsi="Calibri"/>
          <w:bCs/>
          <w:color w:val="auto"/>
          <w:szCs w:val="21"/>
          <w:highlight w:val="none"/>
          <w:u w:val="single"/>
        </w:rPr>
        <w:t>3</w:t>
      </w:r>
      <w:r>
        <w:rPr>
          <w:rFonts w:ascii="Calibri" w:hAnsi="宋体"/>
          <w:bCs/>
          <w:color w:val="auto"/>
          <w:szCs w:val="21"/>
          <w:highlight w:val="none"/>
          <w:u w:val="single"/>
        </w:rPr>
        <w:t>）合同中没有适用或类似清单项目的价格计算方法：有定额的套定额，并</w:t>
      </w:r>
      <w:r>
        <w:rPr>
          <w:rFonts w:hint="eastAsia" w:ascii="Calibri" w:hAnsi="宋体"/>
          <w:bCs/>
          <w:color w:val="auto"/>
          <w:szCs w:val="21"/>
          <w:highlight w:val="none"/>
          <w:u w:val="single"/>
        </w:rPr>
        <w:t>（</w:t>
      </w:r>
      <w:r>
        <w:rPr>
          <w:rFonts w:hint="eastAsia" w:ascii="Calibri" w:hAnsi="Calibri"/>
          <w:b/>
          <w:color w:val="auto"/>
          <w:szCs w:val="22"/>
          <w:highlight w:val="none"/>
          <w:lang w:eastAsia="zh-CN"/>
        </w:rPr>
        <w:t>☑</w:t>
      </w:r>
      <w:r>
        <w:rPr>
          <w:rFonts w:ascii="Calibri" w:hAnsi="宋体"/>
          <w:bCs/>
          <w:color w:val="auto"/>
          <w:szCs w:val="21"/>
          <w:highlight w:val="none"/>
          <w:u w:val="single"/>
        </w:rPr>
        <w:t>乘以下浮系数</w:t>
      </w:r>
      <w:r>
        <w:rPr>
          <w:rFonts w:hint="eastAsia" w:ascii="Calibri" w:hAnsi="宋体"/>
          <w:bCs/>
          <w:color w:val="auto"/>
          <w:szCs w:val="21"/>
          <w:highlight w:val="none"/>
          <w:u w:val="single"/>
          <w:lang w:eastAsia="zh-CN"/>
        </w:rPr>
        <w:t>（</w:t>
      </w:r>
      <w:r>
        <w:rPr>
          <w:rFonts w:hint="eastAsia" w:ascii="宋体" w:hAnsi="宋体" w:cs="宋体"/>
          <w:color w:val="auto"/>
          <w:highlight w:val="none"/>
          <w:u w:val="single"/>
          <w:lang w:eastAsia="zh-CN"/>
        </w:rPr>
        <w:t>中标价/工程招标控制价</w:t>
      </w:r>
      <w:r>
        <w:rPr>
          <w:rFonts w:hint="eastAsia" w:ascii="Calibri" w:hAnsi="宋体"/>
          <w:bCs/>
          <w:color w:val="auto"/>
          <w:szCs w:val="21"/>
          <w:highlight w:val="none"/>
          <w:u w:val="single"/>
          <w:lang w:eastAsia="zh-CN"/>
        </w:rPr>
        <w:t>）</w:t>
      </w:r>
      <w:r>
        <w:rPr>
          <w:rFonts w:hint="eastAsia" w:ascii="Calibri" w:hAnsi="宋体"/>
          <w:bCs/>
          <w:color w:val="auto"/>
          <w:szCs w:val="21"/>
          <w:highlight w:val="none"/>
          <w:u w:val="single"/>
        </w:rPr>
        <w:t>）</w:t>
      </w:r>
      <w:r>
        <w:rPr>
          <w:rFonts w:ascii="Calibri" w:hAnsi="宋体"/>
          <w:bCs/>
          <w:color w:val="auto"/>
          <w:szCs w:val="21"/>
          <w:highlight w:val="none"/>
          <w:u w:val="single"/>
        </w:rPr>
        <w:t>计算，其中材料价格按施工期间的《</w:t>
      </w:r>
      <w:r>
        <w:rPr>
          <w:rFonts w:hint="eastAsia" w:ascii="Calibri" w:hAnsi="Calibri"/>
          <w:bCs/>
          <w:color w:val="auto"/>
          <w:szCs w:val="21"/>
          <w:highlight w:val="none"/>
          <w:u w:val="single"/>
        </w:rPr>
        <w:t>防城港</w:t>
      </w:r>
      <w:r>
        <w:rPr>
          <w:rFonts w:ascii="Calibri" w:hAnsi="宋体"/>
          <w:bCs/>
          <w:color w:val="auto"/>
          <w:szCs w:val="21"/>
          <w:highlight w:val="none"/>
          <w:u w:val="single"/>
        </w:rPr>
        <w:t>市建设工程造价信息》相应价格信息进行计算；《</w:t>
      </w:r>
      <w:r>
        <w:rPr>
          <w:rFonts w:hint="eastAsia" w:ascii="Calibri" w:hAnsi="Calibri"/>
          <w:bCs/>
          <w:color w:val="auto"/>
          <w:szCs w:val="21"/>
          <w:highlight w:val="none"/>
          <w:u w:val="single"/>
        </w:rPr>
        <w:t>防城港</w:t>
      </w:r>
      <w:r>
        <w:rPr>
          <w:rFonts w:ascii="Calibri" w:hAnsi="宋体"/>
          <w:bCs/>
          <w:color w:val="auto"/>
          <w:szCs w:val="21"/>
          <w:highlight w:val="none"/>
          <w:u w:val="single"/>
        </w:rPr>
        <w:t>市建设工程造价信息》没有相应价格信息的按市场价计算；无定额可套的，根据市场价格协商确定综合价格；对于国有资产投资的项目，新增项目的单价</w:t>
      </w:r>
      <w:r>
        <w:rPr>
          <w:rFonts w:hint="eastAsia" w:ascii="Calibri" w:hAnsi="宋体"/>
          <w:bCs/>
          <w:color w:val="auto"/>
          <w:szCs w:val="21"/>
          <w:highlight w:val="none"/>
          <w:u w:val="single"/>
          <w:lang w:val="en-US" w:eastAsia="zh-CN"/>
        </w:rPr>
        <w:t>以财政或第三方机构审核为准</w:t>
      </w:r>
      <w:bookmarkEnd w:id="1027"/>
      <w:r>
        <w:rPr>
          <w:rFonts w:ascii="Calibri" w:hAnsi="宋体"/>
          <w:color w:val="auto"/>
          <w:szCs w:val="21"/>
          <w:highlight w:val="none"/>
        </w:rPr>
        <w:t>。</w:t>
      </w:r>
    </w:p>
    <w:p w14:paraId="5E25D025">
      <w:pPr>
        <w:spacing w:line="360" w:lineRule="auto"/>
        <w:ind w:firstLine="420" w:firstLineChars="200"/>
        <w:jc w:val="left"/>
        <w:rPr>
          <w:rFonts w:ascii="Calibri" w:hAnsi="Calibri"/>
          <w:color w:val="auto"/>
          <w:szCs w:val="21"/>
          <w:highlight w:val="none"/>
          <w:u w:val="single"/>
        </w:rPr>
      </w:pPr>
      <w:r>
        <w:rPr>
          <w:rFonts w:hint="eastAsia" w:ascii="Calibri" w:hAnsi="Calibri"/>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398A3A6A">
      <w:pPr>
        <w:spacing w:line="360" w:lineRule="auto"/>
        <w:ind w:firstLine="420" w:firstLineChars="200"/>
        <w:jc w:val="left"/>
        <w:rPr>
          <w:rFonts w:ascii="Calibri" w:hAnsi="宋体"/>
          <w:color w:val="auto"/>
          <w:szCs w:val="21"/>
          <w:highlight w:val="none"/>
        </w:rPr>
      </w:pPr>
    </w:p>
    <w:p w14:paraId="0FB335A8">
      <w:pPr>
        <w:keepNext/>
        <w:keepLines/>
        <w:spacing w:before="260" w:after="260" w:line="416" w:lineRule="auto"/>
        <w:outlineLvl w:val="2"/>
        <w:rPr>
          <w:rFonts w:ascii="宋体" w:hAnsi="宋体"/>
          <w:b/>
          <w:bCs/>
          <w:color w:val="auto"/>
          <w:sz w:val="32"/>
          <w:szCs w:val="32"/>
          <w:highlight w:val="none"/>
        </w:rPr>
      </w:pPr>
      <w:bookmarkStart w:id="1028" w:name="_Toc529527019"/>
      <w:bookmarkStart w:id="1029" w:name="_Toc529547371"/>
      <w:bookmarkStart w:id="1030" w:name="_Toc470247846"/>
      <w:bookmarkStart w:id="1031" w:name="_Toc530144513"/>
      <w:bookmarkStart w:id="1032" w:name="_Toc531186648"/>
      <w:bookmarkStart w:id="1033" w:name="_Toc472931652"/>
      <w:r>
        <w:rPr>
          <w:rFonts w:ascii="宋体" w:hAnsi="宋体"/>
          <w:b/>
          <w:bCs/>
          <w:color w:val="auto"/>
          <w:sz w:val="32"/>
          <w:szCs w:val="32"/>
          <w:highlight w:val="none"/>
        </w:rPr>
        <w:t>1</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Start w:id="1034" w:name="_Toc292559907"/>
      <w:bookmarkStart w:id="1035" w:name="_Toc297123544"/>
      <w:bookmarkStart w:id="1036" w:name="_Toc297048383"/>
      <w:bookmarkStart w:id="1037" w:name="_Toc296347196"/>
      <w:bookmarkStart w:id="1038" w:name="_Toc296891025"/>
      <w:bookmarkStart w:id="1039" w:name="_Toc296503197"/>
      <w:bookmarkStart w:id="1040" w:name="_Toc297216203"/>
      <w:bookmarkStart w:id="1041" w:name="_Toc296891237"/>
      <w:bookmarkStart w:id="1042" w:name="_Toc296944536"/>
      <w:bookmarkStart w:id="1043" w:name="_Toc300934993"/>
      <w:bookmarkStart w:id="1044" w:name="_Toc292559402"/>
      <w:bookmarkStart w:id="1045" w:name="_Toc303539150"/>
      <w:bookmarkStart w:id="1046" w:name="_Toc297120497"/>
      <w:bookmarkStart w:id="1047" w:name="_Toc296346698"/>
      <w:bookmarkStart w:id="1048" w:name="_Toc312677503"/>
      <w:bookmarkStart w:id="1049" w:name="_Toc304295570"/>
      <w:bookmarkStart w:id="1050" w:name="_Toc312678029"/>
      <w:r>
        <w:rPr>
          <w:rFonts w:ascii="宋体" w:hAnsi="宋体"/>
          <w:b/>
          <w:bCs/>
          <w:color w:val="auto"/>
          <w:sz w:val="32"/>
          <w:szCs w:val="32"/>
          <w:highlight w:val="none"/>
        </w:rPr>
        <w:t>0.5承</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Start w:id="1051" w:name="_Toc297123545"/>
      <w:bookmarkStart w:id="1052" w:name="_Toc297120503"/>
      <w:bookmarkStart w:id="1053" w:name="_Toc292559913"/>
      <w:bookmarkStart w:id="1054" w:name="_Toc297216204"/>
      <w:bookmarkStart w:id="1055" w:name="_Toc303539151"/>
      <w:bookmarkStart w:id="1056" w:name="_Toc296891243"/>
      <w:bookmarkStart w:id="1057" w:name="_Toc296891031"/>
      <w:bookmarkStart w:id="1058" w:name="_Toc300934994"/>
      <w:bookmarkStart w:id="1059" w:name="_Toc296944542"/>
      <w:bookmarkStart w:id="1060" w:name="_Toc296347202"/>
      <w:bookmarkStart w:id="1061" w:name="_Toc297048389"/>
      <w:bookmarkStart w:id="1062" w:name="_Toc292559408"/>
      <w:bookmarkStart w:id="1063" w:name="_Toc296346704"/>
      <w:bookmarkStart w:id="1064" w:name="_Toc296503203"/>
      <w:r>
        <w:rPr>
          <w:rFonts w:ascii="宋体" w:hAnsi="宋体"/>
          <w:b/>
          <w:bCs/>
          <w:color w:val="auto"/>
          <w:sz w:val="32"/>
          <w:szCs w:val="32"/>
          <w:highlight w:val="none"/>
        </w:rPr>
        <w:t>包人的合理化建议</w:t>
      </w:r>
      <w:bookmarkEnd w:id="1020"/>
      <w:bookmarkEnd w:id="1021"/>
      <w:bookmarkEnd w:id="1022"/>
      <w:bookmarkEnd w:id="1023"/>
      <w:bookmarkEnd w:id="1024"/>
      <w:bookmarkEnd w:id="1025"/>
      <w:bookmarkEnd w:id="1026"/>
      <w:bookmarkEnd w:id="1028"/>
      <w:bookmarkEnd w:id="1029"/>
      <w:bookmarkEnd w:id="1030"/>
      <w:bookmarkEnd w:id="1031"/>
      <w:bookmarkEnd w:id="1032"/>
      <w:bookmarkEnd w:id="1033"/>
    </w:p>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14:paraId="417BC74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监理人审查承包人合理化建议的期限：</w:t>
      </w:r>
      <w:r>
        <w:rPr>
          <w:rFonts w:hint="eastAsia" w:ascii="宋体" w:hAnsi="宋体"/>
          <w:b/>
          <w:bCs/>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rPr>
        <w:t>。</w:t>
      </w:r>
    </w:p>
    <w:p w14:paraId="35C2B77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发包人审批承包人合理化建议的期限：</w:t>
      </w:r>
      <w:r>
        <w:rPr>
          <w:rFonts w:hint="eastAsia" w:ascii="宋体" w:hAnsi="宋体"/>
          <w:b/>
          <w:bCs/>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rPr>
        <w:t>。</w:t>
      </w:r>
    </w:p>
    <w:p w14:paraId="3E4DA2F4">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承</w:t>
      </w:r>
      <w:bookmarkStart w:id="1065" w:name="_Toc292559914"/>
      <w:bookmarkStart w:id="1066" w:name="_Toc297123546"/>
      <w:bookmarkStart w:id="1067" w:name="_Toc312678030"/>
      <w:bookmarkStart w:id="1068" w:name="_Toc318581175"/>
      <w:bookmarkStart w:id="1069" w:name="_Toc312677504"/>
      <w:bookmarkStart w:id="1070" w:name="_Toc297216205"/>
      <w:bookmarkStart w:id="1071" w:name="_Toc296891244"/>
      <w:bookmarkStart w:id="1072" w:name="_Toc296347203"/>
      <w:bookmarkStart w:id="1073" w:name="_Toc296891032"/>
      <w:bookmarkStart w:id="1074" w:name="_Toc296503204"/>
      <w:bookmarkStart w:id="1075" w:name="_Toc296346705"/>
      <w:bookmarkStart w:id="1076" w:name="_Toc292559409"/>
      <w:bookmarkStart w:id="1077" w:name="_Toc297120504"/>
      <w:bookmarkStart w:id="1078" w:name="_Toc300934995"/>
      <w:bookmarkStart w:id="1079" w:name="_Toc296944543"/>
      <w:bookmarkStart w:id="1080" w:name="_Toc304295571"/>
      <w:bookmarkStart w:id="1081" w:name="_Toc303539152"/>
      <w:bookmarkStart w:id="1082" w:name="_Toc297048390"/>
      <w:r>
        <w:rPr>
          <w:rFonts w:ascii="宋体" w:hAnsi="宋体"/>
          <w:color w:val="auto"/>
          <w:szCs w:val="21"/>
          <w:highlight w:val="none"/>
        </w:rPr>
        <w:t>包人提出的合理化建议降低了合同价格或者提高了工程经济效益的奖励的方法和金额为：</w:t>
      </w:r>
      <w:r>
        <w:rPr>
          <w:rFonts w:hint="eastAsia" w:ascii="宋体" w:hAnsi="宋体"/>
          <w:color w:val="auto"/>
          <w:szCs w:val="21"/>
          <w:highlight w:val="none"/>
          <w:u w:val="single"/>
        </w:rPr>
        <w:t>无</w:t>
      </w:r>
      <w:r>
        <w:rPr>
          <w:rFonts w:ascii="宋体" w:hAnsi="宋体"/>
          <w:color w:val="auto"/>
          <w:szCs w:val="21"/>
          <w:highlight w:val="none"/>
        </w:rPr>
        <w:t>。</w:t>
      </w:r>
    </w:p>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14:paraId="1CCDB26D">
      <w:pPr>
        <w:keepNext/>
        <w:keepLines/>
        <w:spacing w:before="260" w:after="260" w:line="416" w:lineRule="auto"/>
        <w:outlineLvl w:val="2"/>
        <w:rPr>
          <w:rFonts w:ascii="宋体" w:hAnsi="宋体"/>
          <w:b/>
          <w:bCs/>
          <w:color w:val="auto"/>
          <w:sz w:val="32"/>
          <w:szCs w:val="32"/>
          <w:highlight w:val="none"/>
        </w:rPr>
      </w:pPr>
      <w:bookmarkStart w:id="1083" w:name="_Toc472931653"/>
      <w:bookmarkStart w:id="1084" w:name="_Toc454211159"/>
      <w:bookmarkStart w:id="1085" w:name="_Toc432343935"/>
      <w:bookmarkStart w:id="1086" w:name="_Toc530144514"/>
      <w:bookmarkStart w:id="1087" w:name="_Toc461179289"/>
      <w:bookmarkStart w:id="1088" w:name="_Toc470247847"/>
      <w:bookmarkStart w:id="1089" w:name="_Toc529547372"/>
      <w:bookmarkStart w:id="1090" w:name="_Toc373227744"/>
      <w:bookmarkStart w:id="1091" w:name="_Toc389065310"/>
      <w:bookmarkStart w:id="1092" w:name="_Toc373478391"/>
      <w:bookmarkStart w:id="1093" w:name="_Toc531186649"/>
      <w:bookmarkStart w:id="1094" w:name="_Toc411345228"/>
      <w:bookmarkStart w:id="1095" w:name="_Toc529527020"/>
      <w:r>
        <w:rPr>
          <w:rFonts w:ascii="宋体" w:hAnsi="宋体"/>
          <w:b/>
          <w:bCs/>
          <w:color w:val="auto"/>
          <w:sz w:val="32"/>
          <w:szCs w:val="32"/>
          <w:highlight w:val="none"/>
        </w:rPr>
        <w:t>1</w:t>
      </w:r>
      <w:bookmarkStart w:id="1096" w:name="_Toc292559404"/>
      <w:bookmarkStart w:id="1097" w:name="_Toc296891239"/>
      <w:bookmarkStart w:id="1098" w:name="_Toc300934997"/>
      <w:bookmarkStart w:id="1099" w:name="_Toc297123548"/>
      <w:bookmarkStart w:id="1100" w:name="_Toc303539154"/>
      <w:bookmarkStart w:id="1101" w:name="_Toc304295574"/>
      <w:bookmarkStart w:id="1102" w:name="_Toc297048385"/>
      <w:bookmarkStart w:id="1103" w:name="_Toc296891027"/>
      <w:bookmarkStart w:id="1104" w:name="_Toc296346700"/>
      <w:bookmarkStart w:id="1105" w:name="_Toc296503199"/>
      <w:bookmarkStart w:id="1106" w:name="_Toc297216207"/>
      <w:bookmarkStart w:id="1107" w:name="_Toc312678033"/>
      <w:bookmarkStart w:id="1108" w:name="_Toc292559909"/>
      <w:bookmarkStart w:id="1109" w:name="_Toc296944538"/>
      <w:bookmarkStart w:id="1110" w:name="_Toc297120499"/>
      <w:bookmarkStart w:id="1111" w:name="_Toc296347198"/>
      <w:bookmarkStart w:id="1112" w:name="_Toc312677507"/>
      <w:r>
        <w:rPr>
          <w:rFonts w:ascii="宋体" w:hAnsi="宋体"/>
          <w:b/>
          <w:bCs/>
          <w:color w:val="auto"/>
          <w:sz w:val="32"/>
          <w:szCs w:val="32"/>
          <w:highlight w:val="none"/>
        </w:rPr>
        <w:t>0.7 暂估价</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14:paraId="3D5548EA">
      <w:pPr>
        <w:spacing w:line="360" w:lineRule="auto"/>
        <w:ind w:firstLine="420" w:firstLineChars="200"/>
        <w:jc w:val="left"/>
        <w:rPr>
          <w:rFonts w:ascii="宋体" w:hAnsi="宋体"/>
          <w:color w:val="auto"/>
          <w:szCs w:val="21"/>
          <w:highlight w:val="none"/>
        </w:rPr>
      </w:pPr>
      <w:r>
        <w:rPr>
          <w:rFonts w:ascii="宋体" w:hAnsi="宋体"/>
          <w:color w:val="auto"/>
          <w:kern w:val="0"/>
          <w:szCs w:val="21"/>
          <w:highlight w:val="none"/>
        </w:rPr>
        <w:t>暂</w:t>
      </w:r>
      <w:bookmarkStart w:id="1113" w:name="_Toc312678034"/>
      <w:bookmarkStart w:id="1114" w:name="_Toc312677508"/>
      <w:bookmarkStart w:id="1115" w:name="_Toc318581176"/>
      <w:r>
        <w:rPr>
          <w:rFonts w:ascii="宋体" w:hAnsi="宋体"/>
          <w:color w:val="auto"/>
          <w:kern w:val="0"/>
          <w:szCs w:val="21"/>
          <w:highlight w:val="none"/>
        </w:rPr>
        <w:t>估价材料和工程设备的明细详见</w:t>
      </w:r>
      <w:r>
        <w:rPr>
          <w:rFonts w:hint="eastAsia" w:ascii="宋体" w:hAnsi="宋体"/>
          <w:color w:val="auto"/>
          <w:kern w:val="0"/>
          <w:szCs w:val="21"/>
          <w:highlight w:val="none"/>
        </w:rPr>
        <w:t>已标价工程量清单《</w:t>
      </w:r>
      <w:r>
        <w:rPr>
          <w:rFonts w:ascii="宋体" w:hAnsi="宋体"/>
          <w:color w:val="auto"/>
          <w:szCs w:val="21"/>
          <w:highlight w:val="none"/>
        </w:rPr>
        <w:t>材料（工程设备）暂估价格及调整表</w:t>
      </w:r>
      <w:r>
        <w:rPr>
          <w:rFonts w:hint="eastAsia" w:ascii="宋体" w:hAnsi="宋体"/>
          <w:color w:val="auto"/>
          <w:szCs w:val="21"/>
          <w:highlight w:val="none"/>
        </w:rPr>
        <w:t>》</w:t>
      </w:r>
      <w:r>
        <w:rPr>
          <w:rFonts w:hint="eastAsia" w:ascii="宋体" w:hAnsi="宋体"/>
          <w:color w:val="auto"/>
          <w:kern w:val="0"/>
          <w:szCs w:val="21"/>
          <w:highlight w:val="none"/>
        </w:rPr>
        <w:t>（表12-2）和《</w:t>
      </w:r>
      <w:r>
        <w:rPr>
          <w:rFonts w:ascii="宋体" w:hAnsi="宋体"/>
          <w:color w:val="auto"/>
          <w:szCs w:val="21"/>
          <w:highlight w:val="none"/>
        </w:rPr>
        <w:t>专业工程暂估价表</w:t>
      </w:r>
      <w:r>
        <w:rPr>
          <w:rFonts w:hint="eastAsia" w:ascii="宋体" w:hAnsi="宋体"/>
          <w:color w:val="auto"/>
          <w:szCs w:val="21"/>
          <w:highlight w:val="none"/>
        </w:rPr>
        <w:t>》（</w:t>
      </w:r>
      <w:r>
        <w:rPr>
          <w:rFonts w:hint="eastAsia" w:ascii="宋体" w:hAnsi="宋体"/>
          <w:color w:val="auto"/>
          <w:kern w:val="0"/>
          <w:szCs w:val="21"/>
          <w:highlight w:val="none"/>
        </w:rPr>
        <w:t>表12-3）</w:t>
      </w:r>
      <w:r>
        <w:rPr>
          <w:rFonts w:ascii="宋体" w:hAnsi="宋体"/>
          <w:color w:val="auto"/>
          <w:kern w:val="0"/>
          <w:szCs w:val="21"/>
          <w:highlight w:val="none"/>
        </w:rPr>
        <w:t>。</w:t>
      </w:r>
    </w:p>
    <w:bookmarkEnd w:id="1113"/>
    <w:bookmarkEnd w:id="1114"/>
    <w:bookmarkEnd w:id="1115"/>
    <w:p w14:paraId="4E6FDE4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bookmarkStart w:id="1116" w:name="_Toc312677509"/>
      <w:bookmarkStart w:id="1117" w:name="_Toc318581177"/>
      <w:bookmarkStart w:id="1118" w:name="_Toc312678035"/>
      <w:r>
        <w:rPr>
          <w:rFonts w:ascii="宋体" w:hAnsi="宋体"/>
          <w:color w:val="auto"/>
          <w:szCs w:val="21"/>
          <w:highlight w:val="none"/>
        </w:rPr>
        <w:t>0.7.1 依法必须招标的暂估价项目</w:t>
      </w:r>
    </w:p>
    <w:bookmarkEnd w:id="1116"/>
    <w:bookmarkEnd w:id="1117"/>
    <w:bookmarkEnd w:id="1118"/>
    <w:p w14:paraId="78F15DD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对于依法必须招标的暂估价项目的确认和批准采取第</w:t>
      </w:r>
      <w:r>
        <w:rPr>
          <w:rFonts w:hint="eastAsia" w:ascii="宋体" w:hAnsi="宋体"/>
          <w:b/>
          <w:bCs/>
          <w:color w:val="auto"/>
          <w:szCs w:val="21"/>
          <w:highlight w:val="none"/>
          <w:u w:val="single"/>
        </w:rPr>
        <w:t>1</w:t>
      </w:r>
      <w:r>
        <w:rPr>
          <w:rFonts w:ascii="宋体" w:hAnsi="宋体"/>
          <w:color w:val="auto"/>
          <w:szCs w:val="21"/>
          <w:highlight w:val="none"/>
        </w:rPr>
        <w:t>种方式确定。</w:t>
      </w:r>
    </w:p>
    <w:p w14:paraId="7C47CD8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10.7.2 不属于依法必须招标的暂估价项目</w:t>
      </w:r>
    </w:p>
    <w:p w14:paraId="2BEBE2E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hint="eastAsia" w:ascii="宋体" w:hAnsi="宋体"/>
          <w:b/>
          <w:bCs/>
          <w:color w:val="auto"/>
          <w:szCs w:val="21"/>
          <w:highlight w:val="none"/>
          <w:u w:val="single"/>
        </w:rPr>
        <w:t>2</w:t>
      </w:r>
      <w:r>
        <w:rPr>
          <w:rFonts w:ascii="宋体" w:hAnsi="宋体"/>
          <w:color w:val="auto"/>
          <w:szCs w:val="21"/>
          <w:highlight w:val="none"/>
        </w:rPr>
        <w:t xml:space="preserve"> 种方式确定。</w:t>
      </w:r>
    </w:p>
    <w:p w14:paraId="09F06E4A">
      <w:pPr>
        <w:spacing w:line="360" w:lineRule="auto"/>
        <w:ind w:firstLine="420" w:firstLineChars="200"/>
        <w:jc w:val="left"/>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14:paraId="0F25C40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承包人直接实施的暂估价项目的约定：</w:t>
      </w:r>
      <w:r>
        <w:rPr>
          <w:rFonts w:hint="eastAsia" w:ascii="宋体" w:hAnsi="宋体"/>
          <w:color w:val="auto"/>
          <w:szCs w:val="21"/>
          <w:highlight w:val="none"/>
          <w:u w:val="single"/>
        </w:rPr>
        <w:t>无</w:t>
      </w:r>
      <w:r>
        <w:rPr>
          <w:rFonts w:ascii="宋体" w:hAnsi="宋体"/>
          <w:color w:val="auto"/>
          <w:szCs w:val="21"/>
          <w:highlight w:val="none"/>
        </w:rPr>
        <w:t>。</w:t>
      </w:r>
    </w:p>
    <w:p w14:paraId="74BD9C37">
      <w:pPr>
        <w:keepNext/>
        <w:keepLines/>
        <w:spacing w:before="260" w:after="260" w:line="416" w:lineRule="auto"/>
        <w:outlineLvl w:val="2"/>
        <w:rPr>
          <w:rFonts w:ascii="宋体" w:hAnsi="宋体"/>
          <w:b/>
          <w:bCs/>
          <w:color w:val="auto"/>
          <w:sz w:val="32"/>
          <w:szCs w:val="32"/>
          <w:highlight w:val="none"/>
        </w:rPr>
      </w:pPr>
      <w:bookmarkStart w:id="1119" w:name="_Toc389065311"/>
      <w:bookmarkStart w:id="1120" w:name="_Toc411345229"/>
      <w:bookmarkStart w:id="1121" w:name="_Toc373227745"/>
      <w:bookmarkStart w:id="1122" w:name="_Toc529547373"/>
      <w:bookmarkStart w:id="1123" w:name="_Toc531186650"/>
      <w:bookmarkStart w:id="1124" w:name="_Toc529527021"/>
      <w:bookmarkStart w:id="1125" w:name="_Toc432343936"/>
      <w:bookmarkStart w:id="1126" w:name="_Toc530144515"/>
      <w:bookmarkStart w:id="1127" w:name="_Toc461179290"/>
      <w:bookmarkStart w:id="1128" w:name="_Toc454211160"/>
      <w:bookmarkStart w:id="1129" w:name="_Toc472931654"/>
      <w:bookmarkStart w:id="1130" w:name="_Toc470247848"/>
      <w:bookmarkStart w:id="1131" w:name="_Toc373478392"/>
      <w:r>
        <w:rPr>
          <w:rFonts w:ascii="宋体" w:hAnsi="宋体"/>
          <w:b/>
          <w:bCs/>
          <w:color w:val="auto"/>
          <w:sz w:val="32"/>
          <w:szCs w:val="32"/>
          <w:highlight w:val="none"/>
        </w:rPr>
        <w:t>10.8 暂列金额</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372F54BE">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合同当事人关于暂列金额使用的约定：</w:t>
      </w:r>
      <w:r>
        <w:rPr>
          <w:rFonts w:hint="eastAsia" w:ascii="宋体" w:hAnsi="宋体"/>
          <w:bCs/>
          <w:color w:val="auto"/>
          <w:szCs w:val="28"/>
          <w:highlight w:val="none"/>
          <w:u w:val="single"/>
        </w:rPr>
        <w:t>暂列金额是发包人为可能发生的工程变更，或用于提供不可预见的货物、材料和工程设备等因素发生的工程价款调增，以及经确认的索赔、现场签证，或用于提供相关服务或意外事件等而预留的金额，并非支付给承包人的实际费用。暂列金额只能按照发包人的指示使用。结算时，暂列金额应按实际发生的情况进行结算，剩余部分仍归发包人所有，不支付给承包人。</w:t>
      </w:r>
    </w:p>
    <w:p w14:paraId="5585A363">
      <w:pPr>
        <w:keepNext/>
        <w:keepLines/>
        <w:spacing w:before="260" w:after="260" w:line="416" w:lineRule="auto"/>
        <w:outlineLvl w:val="2"/>
        <w:rPr>
          <w:rFonts w:ascii="宋体" w:hAnsi="宋体"/>
          <w:b/>
          <w:bCs/>
          <w:color w:val="auto"/>
          <w:sz w:val="32"/>
          <w:szCs w:val="32"/>
          <w:highlight w:val="none"/>
        </w:rPr>
      </w:pPr>
      <w:bookmarkStart w:id="1132" w:name="_Toc373227746"/>
      <w:bookmarkStart w:id="1133" w:name="_Toc432343937"/>
      <w:bookmarkStart w:id="1134" w:name="_Toc411345230"/>
      <w:bookmarkStart w:id="1135" w:name="_Toc461179291"/>
      <w:bookmarkStart w:id="1136" w:name="_Toc472931655"/>
      <w:bookmarkStart w:id="1137" w:name="_Toc373478393"/>
      <w:bookmarkStart w:id="1138" w:name="_Toc454211161"/>
      <w:bookmarkStart w:id="1139" w:name="_Toc531186651"/>
      <w:bookmarkStart w:id="1140" w:name="_Toc351203643"/>
      <w:bookmarkStart w:id="1141" w:name="_Toc389065312"/>
      <w:bookmarkStart w:id="1142" w:name="_Toc529527022"/>
      <w:bookmarkStart w:id="1143" w:name="_Toc470247849"/>
      <w:bookmarkStart w:id="1144" w:name="_Toc529547374"/>
      <w:bookmarkStart w:id="1145" w:name="_Toc530144516"/>
      <w:r>
        <w:rPr>
          <w:rFonts w:ascii="宋体" w:hAnsi="宋体"/>
          <w:b/>
          <w:bCs/>
          <w:color w:val="auto"/>
          <w:sz w:val="32"/>
          <w:szCs w:val="32"/>
          <w:highlight w:val="none"/>
        </w:rPr>
        <w:t>11. 价格调整</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7BB7B0FB">
      <w:pPr>
        <w:keepNext/>
        <w:keepLines/>
        <w:spacing w:before="260" w:after="260" w:line="416" w:lineRule="auto"/>
        <w:outlineLvl w:val="2"/>
        <w:rPr>
          <w:rFonts w:ascii="宋体" w:hAnsi="宋体"/>
          <w:b/>
          <w:bCs/>
          <w:color w:val="auto"/>
          <w:sz w:val="32"/>
          <w:szCs w:val="32"/>
          <w:highlight w:val="none"/>
        </w:rPr>
      </w:pPr>
      <w:bookmarkStart w:id="1146" w:name="_Toc373227747"/>
      <w:bookmarkStart w:id="1147" w:name="_Toc432343938"/>
      <w:bookmarkStart w:id="1148" w:name="_Toc530144517"/>
      <w:bookmarkStart w:id="1149" w:name="_Toc373478394"/>
      <w:bookmarkStart w:id="1150" w:name="_Toc389065313"/>
      <w:bookmarkStart w:id="1151" w:name="_Toc461179292"/>
      <w:bookmarkStart w:id="1152" w:name="_Toc472931656"/>
      <w:bookmarkStart w:id="1153" w:name="_Toc454211162"/>
      <w:bookmarkStart w:id="1154" w:name="_Toc529547375"/>
      <w:bookmarkStart w:id="1155" w:name="_Toc411345231"/>
      <w:bookmarkStart w:id="1156" w:name="_Toc470247850"/>
      <w:bookmarkStart w:id="1157" w:name="_Toc531186652"/>
      <w:bookmarkStart w:id="1158" w:name="_Toc529527023"/>
      <w:bookmarkStart w:id="1159" w:name="_Toc297216209"/>
      <w:bookmarkStart w:id="1160" w:name="_Toc296944540"/>
      <w:bookmarkStart w:id="1161" w:name="_Toc297123550"/>
      <w:bookmarkStart w:id="1162" w:name="_Toc300935000"/>
      <w:bookmarkStart w:id="1163" w:name="_Toc296891029"/>
      <w:bookmarkStart w:id="1164" w:name="_Toc292559911"/>
      <w:bookmarkStart w:id="1165" w:name="_Toc297048387"/>
      <w:bookmarkStart w:id="1166" w:name="_Toc296891241"/>
      <w:bookmarkStart w:id="1167" w:name="_Toc296347200"/>
      <w:bookmarkStart w:id="1168" w:name="_Toc297120501"/>
      <w:bookmarkStart w:id="1169" w:name="_Toc296346702"/>
      <w:bookmarkStart w:id="1170" w:name="_Toc304295577"/>
      <w:bookmarkStart w:id="1171" w:name="_Toc296503201"/>
      <w:bookmarkStart w:id="1172" w:name="_Toc303539157"/>
      <w:bookmarkStart w:id="1173" w:name="_Toc312678039"/>
      <w:bookmarkStart w:id="1174" w:name="_Toc292559406"/>
      <w:r>
        <w:rPr>
          <w:rFonts w:ascii="宋体" w:hAnsi="宋体"/>
          <w:b/>
          <w:bCs/>
          <w:color w:val="auto"/>
          <w:sz w:val="32"/>
          <w:szCs w:val="32"/>
          <w:highlight w:val="none"/>
        </w:rPr>
        <w:t>11.1 市场价格波动引起的调整</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AF85145">
      <w:pPr>
        <w:spacing w:line="360" w:lineRule="auto"/>
        <w:ind w:firstLine="396" w:firstLineChars="200"/>
        <w:rPr>
          <w:rFonts w:ascii="宋体" w:hAnsi="宋体"/>
          <w:color w:val="auto"/>
          <w:szCs w:val="22"/>
          <w:highlight w:val="none"/>
        </w:rPr>
      </w:pPr>
      <w:r>
        <w:rPr>
          <w:rFonts w:hint="eastAsia" w:ascii="宋体" w:hAnsi="宋体" w:cs="宋体"/>
          <w:color w:val="auto"/>
          <w:spacing w:val="-6"/>
          <w:kern w:val="0"/>
          <w:szCs w:val="22"/>
          <w:highlight w:val="none"/>
        </w:rPr>
        <w:t>采用可调价格形式的工程项目价格调整的条件是：主要材料价格上涨或下调超过</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时（价格以当期防城港市建设工程造价信息为准），可对超出</w:t>
      </w:r>
      <w:r>
        <w:rPr>
          <w:rFonts w:ascii="宋体" w:hAnsi="宋体"/>
          <w:color w:val="auto"/>
          <w:spacing w:val="-6"/>
          <w:kern w:val="0"/>
          <w:szCs w:val="22"/>
          <w:highlight w:val="none"/>
        </w:rPr>
        <w:t>5%</w:t>
      </w:r>
      <w:r>
        <w:rPr>
          <w:rFonts w:hint="eastAsia" w:ascii="宋体" w:hAnsi="宋体" w:cs="宋体"/>
          <w:color w:val="auto"/>
          <w:spacing w:val="-6"/>
          <w:kern w:val="0"/>
          <w:szCs w:val="22"/>
          <w:highlight w:val="none"/>
        </w:rPr>
        <w:t>的部分进行协商调价，</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（含</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）以内部分不做调整。</w:t>
      </w:r>
    </w:p>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14:paraId="3A42FE40">
      <w:pPr>
        <w:spacing w:line="360" w:lineRule="auto"/>
        <w:ind w:firstLine="420" w:firstLineChars="200"/>
        <w:rPr>
          <w:rFonts w:ascii="宋体" w:hAnsi="宋体"/>
          <w:color w:val="auto"/>
          <w:szCs w:val="21"/>
          <w:highlight w:val="none"/>
          <w:u w:val="single"/>
        </w:rPr>
      </w:pPr>
      <w:r>
        <w:rPr>
          <w:rFonts w:ascii="宋体" w:hAnsi="宋体"/>
          <w:color w:val="auto"/>
          <w:kern w:val="0"/>
          <w:szCs w:val="21"/>
          <w:highlight w:val="none"/>
        </w:rPr>
        <w:t>市场价格波动是否调整合同价格的约定：</w:t>
      </w:r>
      <w:r>
        <w:rPr>
          <w:rFonts w:hint="eastAsia" w:ascii="宋体" w:hAnsi="宋体"/>
          <w:color w:val="auto"/>
          <w:szCs w:val="21"/>
          <w:highlight w:val="none"/>
          <w:u w:val="single"/>
        </w:rPr>
        <w:t>可调</w:t>
      </w:r>
      <w:r>
        <w:rPr>
          <w:rFonts w:ascii="宋体" w:hAnsi="宋体"/>
          <w:color w:val="auto"/>
          <w:szCs w:val="21"/>
          <w:highlight w:val="none"/>
          <w:u w:val="single"/>
        </w:rPr>
        <w:t>。</w:t>
      </w:r>
    </w:p>
    <w:p w14:paraId="670467BD">
      <w:pPr>
        <w:spacing w:line="360" w:lineRule="auto"/>
        <w:ind w:firstLine="420" w:firstLineChars="200"/>
        <w:rPr>
          <w:rFonts w:ascii="宋体" w:hAnsi="宋体"/>
          <w:color w:val="auto"/>
          <w:szCs w:val="21"/>
          <w:highlight w:val="none"/>
        </w:rPr>
      </w:pPr>
      <w:r>
        <w:rPr>
          <w:rFonts w:ascii="宋体" w:hAnsi="宋体"/>
          <w:color w:val="auto"/>
          <w:szCs w:val="21"/>
          <w:highlight w:val="none"/>
        </w:rPr>
        <w:t>因市场价格波动调整合同价格，采用以下第</w:t>
      </w:r>
      <w:r>
        <w:rPr>
          <w:rFonts w:hint="eastAsia" w:ascii="宋体" w:hAnsi="宋体"/>
          <w:b/>
          <w:bCs/>
          <w:color w:val="auto"/>
          <w:szCs w:val="21"/>
          <w:highlight w:val="none"/>
          <w:u w:val="single"/>
        </w:rPr>
        <w:t>3</w:t>
      </w:r>
      <w:r>
        <w:rPr>
          <w:rFonts w:ascii="宋体" w:hAnsi="宋体"/>
          <w:color w:val="auto"/>
          <w:szCs w:val="21"/>
          <w:highlight w:val="none"/>
        </w:rPr>
        <w:t>种方式对合同价格进行调整：</w:t>
      </w:r>
    </w:p>
    <w:p w14:paraId="6DB33403">
      <w:pPr>
        <w:spacing w:line="360" w:lineRule="auto"/>
        <w:ind w:firstLine="420" w:firstLineChars="200"/>
        <w:rPr>
          <w:rFonts w:ascii="宋体" w:hAnsi="宋体"/>
          <w:color w:val="auto"/>
          <w:szCs w:val="21"/>
          <w:highlight w:val="none"/>
        </w:rPr>
      </w:pPr>
      <w:r>
        <w:rPr>
          <w:rFonts w:ascii="宋体" w:hAnsi="宋体"/>
          <w:color w:val="auto"/>
          <w:szCs w:val="21"/>
          <w:highlight w:val="none"/>
        </w:rPr>
        <w:t>第1种方式：采用价格指数进行价格调整。</w:t>
      </w:r>
    </w:p>
    <w:p w14:paraId="7928597D">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 xml:space="preserve">关于各可调因子、定值和变值权重，以及基本价格指数及其来源的约定：；  </w:t>
      </w:r>
    </w:p>
    <w:p w14:paraId="3836535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第2种方式：采用造价信息进行价格调整。</w:t>
      </w:r>
    </w:p>
    <w:p w14:paraId="2AE1294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（1）允许调整的主要材料（设备）、基期价格、风险系数、投标报价：详见《承包人提供主要材料和设备一览表》。</w:t>
      </w:r>
    </w:p>
    <w:p w14:paraId="55E7D73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（2）主要材料确认价：</w:t>
      </w:r>
    </w:p>
    <w:p w14:paraId="539C0C2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按施工期间《</w:t>
      </w:r>
      <w:r>
        <w:rPr>
          <w:rFonts w:hint="eastAsia" w:ascii="宋体" w:hAnsi="宋体"/>
          <w:color w:val="auto"/>
          <w:szCs w:val="21"/>
          <w:highlight w:val="none"/>
          <w:u w:val="single"/>
        </w:rPr>
        <w:t>防城港</w:t>
      </w:r>
      <w:r>
        <w:rPr>
          <w:rFonts w:ascii="宋体" w:hAnsi="宋体"/>
          <w:color w:val="auto"/>
          <w:szCs w:val="21"/>
          <w:highlight w:val="none"/>
        </w:rPr>
        <w:t>市建设工程造价信息》加权平均计算，信息价没有的按通用条款规定确定。</w:t>
      </w:r>
    </w:p>
    <w:p w14:paraId="78DFB88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（3）价差计算方法：</w:t>
      </w:r>
    </w:p>
    <w:p w14:paraId="46E5DAA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38B59E7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163F8DD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32BA1165">
      <w:pPr>
        <w:spacing w:line="360" w:lineRule="auto"/>
        <w:ind w:firstLine="420" w:firstLineChars="200"/>
        <w:rPr>
          <w:rFonts w:ascii="宋体" w:hAnsi="宋体"/>
          <w:color w:val="auto"/>
          <w:szCs w:val="22"/>
          <w:highlight w:val="none"/>
          <w:u w:val="single"/>
        </w:rPr>
      </w:pPr>
      <w:r>
        <w:rPr>
          <w:rFonts w:ascii="宋体" w:hAnsi="宋体"/>
          <w:color w:val="auto"/>
          <w:szCs w:val="21"/>
          <w:highlight w:val="none"/>
        </w:rPr>
        <w:t>第</w:t>
      </w:r>
      <w:r>
        <w:rPr>
          <w:rFonts w:hint="eastAsia" w:ascii="宋体" w:hAnsi="宋体"/>
          <w:color w:val="auto"/>
          <w:szCs w:val="21"/>
          <w:highlight w:val="none"/>
        </w:rPr>
        <w:t>3</w:t>
      </w:r>
      <w:r>
        <w:rPr>
          <w:rFonts w:ascii="宋体" w:hAnsi="宋体"/>
          <w:color w:val="auto"/>
          <w:szCs w:val="21"/>
          <w:highlight w:val="none"/>
        </w:rPr>
        <w:t>种方</w:t>
      </w:r>
      <w:r>
        <w:rPr>
          <w:rFonts w:hint="eastAsia" w:ascii="宋体" w:hAnsi="宋体"/>
          <w:color w:val="auto"/>
          <w:szCs w:val="21"/>
          <w:highlight w:val="none"/>
        </w:rPr>
        <w:t>式</w:t>
      </w:r>
      <w:r>
        <w:rPr>
          <w:rFonts w:ascii="宋体" w:hAnsi="宋体"/>
          <w:color w:val="auto"/>
          <w:szCs w:val="21"/>
          <w:highlight w:val="none"/>
        </w:rPr>
        <w:t>：</w:t>
      </w:r>
      <w:r>
        <w:rPr>
          <w:rFonts w:hint="eastAsia" w:ascii="宋体" w:hAnsi="宋体"/>
          <w:color w:val="auto"/>
          <w:szCs w:val="22"/>
          <w:highlight w:val="none"/>
          <w:u w:val="single"/>
        </w:rPr>
        <w:t> 在合同工期范围内，乙方须承担主要材料±5%以内（含±5%）的材料价格风险， 超出±5%的部分按实际施工时间当期的《防城港市建设工程造价信息》调价，当期信息价没有的，双方协商，市场询价</w:t>
      </w:r>
      <w:r>
        <w:rPr>
          <w:rFonts w:hint="eastAsia" w:hAnsi="宋体"/>
          <w:color w:val="auto"/>
          <w:szCs w:val="22"/>
          <w:highlight w:val="none"/>
          <w:u w:val="single"/>
          <w:lang w:eastAsia="zh-CN"/>
        </w:rPr>
        <w:t>，</w:t>
      </w:r>
      <w:r>
        <w:rPr>
          <w:rFonts w:hint="eastAsia" w:ascii="Calibri" w:hAnsi="宋体"/>
          <w:bCs/>
          <w:color w:val="auto"/>
          <w:szCs w:val="21"/>
          <w:highlight w:val="none"/>
          <w:u w:val="single"/>
          <w:lang w:val="en-US" w:eastAsia="zh-CN"/>
        </w:rPr>
        <w:t>最终价格以财政或第三方机构审核为准</w:t>
      </w:r>
      <w:r>
        <w:rPr>
          <w:rFonts w:hint="eastAsia" w:ascii="宋体" w:hAnsi="宋体"/>
          <w:color w:val="auto"/>
          <w:szCs w:val="22"/>
          <w:highlight w:val="none"/>
          <w:u w:val="single"/>
        </w:rPr>
        <w:t>。</w:t>
      </w:r>
    </w:p>
    <w:p w14:paraId="3E1AD27B">
      <w:pPr>
        <w:spacing w:line="360" w:lineRule="auto"/>
        <w:jc w:val="left"/>
        <w:rPr>
          <w:rFonts w:ascii="宋体" w:hAnsi="宋体"/>
          <w:b/>
          <w:color w:val="auto"/>
          <w:szCs w:val="21"/>
          <w:highlight w:val="none"/>
        </w:rPr>
      </w:pPr>
      <w:r>
        <w:rPr>
          <w:rFonts w:hint="eastAsia" w:ascii="宋体" w:hAnsi="宋体"/>
          <w:b/>
          <w:color w:val="auto"/>
          <w:szCs w:val="21"/>
          <w:highlight w:val="none"/>
        </w:rPr>
        <w:t>11.2不平衡报价调整方式</w:t>
      </w:r>
    </w:p>
    <w:p w14:paraId="104BA8D4">
      <w:pPr>
        <w:spacing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按防住建发[2016]31号文《防城港市政府投资项目房屋建筑和市政基础设施工程严重不平衡报价修正暂行办法》的规定进行修正。</w:t>
      </w:r>
    </w:p>
    <w:bookmarkEnd w:id="957"/>
    <w:bookmarkEnd w:id="958"/>
    <w:bookmarkEnd w:id="959"/>
    <w:bookmarkEnd w:id="960"/>
    <w:bookmarkEnd w:id="961"/>
    <w:bookmarkEnd w:id="962"/>
    <w:p w14:paraId="184B51EB">
      <w:pPr>
        <w:keepNext/>
        <w:keepLines/>
        <w:spacing w:before="260" w:after="260" w:line="416" w:lineRule="auto"/>
        <w:outlineLvl w:val="2"/>
        <w:rPr>
          <w:rFonts w:ascii="宋体" w:hAnsi="宋体"/>
          <w:b/>
          <w:bCs/>
          <w:color w:val="auto"/>
          <w:sz w:val="32"/>
          <w:szCs w:val="32"/>
          <w:highlight w:val="none"/>
        </w:rPr>
      </w:pPr>
      <w:bookmarkStart w:id="1175" w:name="_Toc296944544"/>
      <w:bookmarkStart w:id="1176" w:name="_Toc292559410"/>
      <w:bookmarkStart w:id="1177" w:name="_Toc292559915"/>
      <w:bookmarkStart w:id="1178" w:name="_Toc297048391"/>
      <w:bookmarkStart w:id="1179" w:name="_Toc296503205"/>
      <w:bookmarkStart w:id="1180" w:name="_Toc296891033"/>
      <w:bookmarkStart w:id="1181" w:name="_Toc297120505"/>
      <w:bookmarkStart w:id="1182" w:name="_Toc296346706"/>
      <w:bookmarkStart w:id="1183" w:name="_Toc296347204"/>
      <w:bookmarkStart w:id="1184" w:name="_Toc296891245"/>
      <w:bookmarkStart w:id="1185" w:name="_Toc454211163"/>
      <w:bookmarkStart w:id="1186" w:name="_Toc530144518"/>
      <w:bookmarkStart w:id="1187" w:name="_Toc411345232"/>
      <w:bookmarkStart w:id="1188" w:name="_Toc432343939"/>
      <w:bookmarkStart w:id="1189" w:name="_Toc470247851"/>
      <w:bookmarkStart w:id="1190" w:name="_Toc531186653"/>
      <w:bookmarkStart w:id="1191" w:name="_Toc529527024"/>
      <w:bookmarkStart w:id="1192" w:name="_Toc373227748"/>
      <w:bookmarkStart w:id="1193" w:name="_Toc472931657"/>
      <w:bookmarkStart w:id="1194" w:name="_Toc351203644"/>
      <w:bookmarkStart w:id="1195" w:name="_Toc529547376"/>
      <w:bookmarkStart w:id="1196" w:name="_Toc373478395"/>
      <w:bookmarkStart w:id="1197" w:name="_Toc461179293"/>
      <w:bookmarkStart w:id="1198" w:name="_Toc297216211"/>
      <w:bookmarkStart w:id="1199" w:name="_Toc303539159"/>
      <w:bookmarkStart w:id="1200" w:name="_Toc297123552"/>
      <w:bookmarkStart w:id="1201" w:name="_Toc300935002"/>
      <w:bookmarkStart w:id="1202" w:name="_Toc312678040"/>
      <w:bookmarkStart w:id="1203" w:name="_Toc304295579"/>
      <w:r>
        <w:rPr>
          <w:rFonts w:ascii="宋体" w:hAnsi="宋体"/>
          <w:b/>
          <w:bCs/>
          <w:color w:val="auto"/>
          <w:sz w:val="32"/>
          <w:szCs w:val="32"/>
          <w:highlight w:val="none"/>
        </w:rPr>
        <w:t xml:space="preserve">12. </w:t>
      </w:r>
      <w:bookmarkEnd w:id="1175"/>
      <w:bookmarkEnd w:id="1176"/>
      <w:bookmarkEnd w:id="1177"/>
      <w:bookmarkEnd w:id="1178"/>
      <w:bookmarkEnd w:id="1179"/>
      <w:bookmarkEnd w:id="1180"/>
      <w:bookmarkEnd w:id="1181"/>
      <w:bookmarkEnd w:id="1182"/>
      <w:bookmarkEnd w:id="1183"/>
      <w:bookmarkEnd w:id="1184"/>
      <w:r>
        <w:rPr>
          <w:rFonts w:ascii="宋体" w:hAnsi="宋体"/>
          <w:b/>
          <w:bCs/>
          <w:color w:val="auto"/>
          <w:sz w:val="32"/>
          <w:szCs w:val="32"/>
          <w:highlight w:val="none"/>
        </w:rPr>
        <w:t>合同价格、计量与支付</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p>
    <w:bookmarkEnd w:id="1198"/>
    <w:bookmarkEnd w:id="1199"/>
    <w:bookmarkEnd w:id="1200"/>
    <w:bookmarkEnd w:id="1201"/>
    <w:bookmarkEnd w:id="1202"/>
    <w:bookmarkEnd w:id="1203"/>
    <w:p w14:paraId="01AA7604">
      <w:pPr>
        <w:keepNext/>
        <w:keepLines/>
        <w:spacing w:before="260" w:after="260" w:line="416" w:lineRule="auto"/>
        <w:outlineLvl w:val="2"/>
        <w:rPr>
          <w:b/>
          <w:bCs/>
          <w:color w:val="auto"/>
          <w:sz w:val="32"/>
          <w:szCs w:val="32"/>
          <w:highlight w:val="none"/>
        </w:rPr>
      </w:pPr>
      <w:bookmarkStart w:id="1204" w:name="_Toc267251461"/>
      <w:bookmarkStart w:id="1205" w:name="_Toc292559411"/>
      <w:bookmarkStart w:id="1206" w:name="_Toc292559916"/>
      <w:bookmarkStart w:id="1207" w:name="_Toc297048392"/>
      <w:bookmarkStart w:id="1208" w:name="_Toc296346707"/>
      <w:bookmarkStart w:id="1209" w:name="_Toc296891246"/>
      <w:bookmarkStart w:id="1210" w:name="_Toc297120506"/>
      <w:bookmarkStart w:id="1211" w:name="_Toc296944545"/>
      <w:bookmarkStart w:id="1212" w:name="_Toc296891034"/>
      <w:bookmarkStart w:id="1213" w:name="_Toc296347205"/>
      <w:bookmarkStart w:id="1214" w:name="_Toc296503206"/>
      <w:bookmarkStart w:id="1215" w:name="_Toc465114909"/>
      <w:bookmarkStart w:id="1216" w:name="_Toc529527025"/>
      <w:bookmarkStart w:id="1217" w:name="_Toc389065314"/>
      <w:bookmarkStart w:id="1218" w:name="_Toc373478396"/>
      <w:bookmarkStart w:id="1219" w:name="_Toc529547377"/>
      <w:bookmarkStart w:id="1220" w:name="_Toc530144519"/>
      <w:bookmarkStart w:id="1221" w:name="_Toc531186654"/>
      <w:bookmarkStart w:id="1222" w:name="_Toc470247852"/>
      <w:bookmarkStart w:id="1223" w:name="_Toc472931658"/>
      <w:bookmarkStart w:id="1224" w:name="_Toc373227749"/>
      <w:bookmarkStart w:id="1225" w:name="_Toc300935003"/>
      <w:bookmarkStart w:id="1226" w:name="_Toc303539160"/>
      <w:bookmarkStart w:id="1227" w:name="_Toc304295580"/>
      <w:bookmarkStart w:id="1228" w:name="_Toc312678041"/>
      <w:bookmarkStart w:id="1229" w:name="_Toc297123553"/>
      <w:bookmarkStart w:id="1230" w:name="_Toc297216212"/>
      <w:bookmarkStart w:id="1231" w:name="_Toc373227750"/>
      <w:bookmarkStart w:id="1232" w:name="_Toc389065315"/>
      <w:bookmarkStart w:id="1233" w:name="_Toc373478397"/>
      <w:bookmarkStart w:id="1234" w:name="_Toc297216213"/>
      <w:bookmarkStart w:id="1235" w:name="_Toc312678042"/>
      <w:bookmarkStart w:id="1236" w:name="_Toc303539161"/>
      <w:bookmarkStart w:id="1237" w:name="_Toc300935004"/>
      <w:bookmarkStart w:id="1238" w:name="_Toc297123554"/>
      <w:bookmarkStart w:id="1239" w:name="_Toc304295581"/>
      <w:bookmarkStart w:id="1240" w:name="_Toc297048393"/>
      <w:bookmarkStart w:id="1241" w:name="_Toc296944546"/>
      <w:bookmarkStart w:id="1242" w:name="_Toc296891247"/>
      <w:bookmarkStart w:id="1243" w:name="_Toc296346708"/>
      <w:bookmarkStart w:id="1244" w:name="_Toc292559917"/>
      <w:bookmarkStart w:id="1245" w:name="_Toc296891035"/>
      <w:bookmarkStart w:id="1246" w:name="_Toc296503207"/>
      <w:bookmarkStart w:id="1247" w:name="_Toc296347206"/>
      <w:bookmarkStart w:id="1248" w:name="_Toc297120507"/>
      <w:bookmarkStart w:id="1249" w:name="_Toc292559412"/>
      <w:r>
        <w:rPr>
          <w:b/>
          <w:bCs/>
          <w:color w:val="auto"/>
          <w:sz w:val="32"/>
          <w:szCs w:val="32"/>
          <w:highlight w:val="none"/>
        </w:rPr>
        <w:t xml:space="preserve">12.1 </w:t>
      </w:r>
      <w:r>
        <w:rPr>
          <w:rFonts w:hAnsi="宋体"/>
          <w:b/>
          <w:bCs/>
          <w:color w:val="auto"/>
          <w:sz w:val="32"/>
          <w:szCs w:val="32"/>
          <w:highlight w:val="none"/>
        </w:rPr>
        <w:t>合</w:t>
      </w:r>
      <w:bookmarkEnd w:id="1204"/>
      <w:bookmarkEnd w:id="1205"/>
      <w:bookmarkEnd w:id="1206"/>
      <w:r>
        <w:rPr>
          <w:rFonts w:hAnsi="宋体"/>
          <w:b/>
          <w:bCs/>
          <w:color w:val="auto"/>
          <w:sz w:val="32"/>
          <w:szCs w:val="32"/>
          <w:highlight w:val="none"/>
        </w:rPr>
        <w:t>同价</w:t>
      </w:r>
      <w:bookmarkEnd w:id="1207"/>
      <w:bookmarkEnd w:id="1208"/>
      <w:bookmarkEnd w:id="1209"/>
      <w:bookmarkEnd w:id="1210"/>
      <w:bookmarkEnd w:id="1211"/>
      <w:bookmarkEnd w:id="1212"/>
      <w:bookmarkEnd w:id="1213"/>
      <w:bookmarkEnd w:id="1214"/>
      <w:r>
        <w:rPr>
          <w:rFonts w:hAnsi="宋体"/>
          <w:b/>
          <w:bCs/>
          <w:color w:val="auto"/>
          <w:sz w:val="32"/>
          <w:szCs w:val="32"/>
          <w:highlight w:val="none"/>
        </w:rPr>
        <w:t>格形式</w:t>
      </w:r>
      <w:bookmarkEnd w:id="1215"/>
      <w:bookmarkEnd w:id="1216"/>
      <w:bookmarkEnd w:id="1217"/>
      <w:bookmarkEnd w:id="1218"/>
      <w:bookmarkEnd w:id="1219"/>
      <w:bookmarkEnd w:id="1220"/>
      <w:bookmarkEnd w:id="1221"/>
      <w:bookmarkEnd w:id="1222"/>
      <w:bookmarkEnd w:id="1223"/>
      <w:bookmarkEnd w:id="1224"/>
    </w:p>
    <w:bookmarkEnd w:id="1225"/>
    <w:bookmarkEnd w:id="1226"/>
    <w:bookmarkEnd w:id="1227"/>
    <w:bookmarkEnd w:id="1228"/>
    <w:bookmarkEnd w:id="1229"/>
    <w:bookmarkEnd w:id="1230"/>
    <w:p w14:paraId="434722ED">
      <w:pPr>
        <w:spacing w:line="360" w:lineRule="auto"/>
        <w:ind w:firstLine="420" w:firstLineChars="200"/>
        <w:jc w:val="left"/>
        <w:rPr>
          <w:rFonts w:ascii="Calibri" w:hAnsi="宋体"/>
          <w:color w:val="auto"/>
          <w:szCs w:val="21"/>
          <w:highlight w:val="none"/>
        </w:rPr>
      </w:pPr>
      <w:r>
        <w:rPr>
          <w:rFonts w:hint="eastAsia" w:ascii="Calibri" w:hAnsi="宋体"/>
          <w:color w:val="auto"/>
          <w:szCs w:val="21"/>
          <w:highlight w:val="none"/>
        </w:rPr>
        <w:t>本工程采用</w:t>
      </w:r>
      <w:r>
        <w:rPr>
          <w:rFonts w:hint="eastAsia" w:ascii="Calibri" w:hAnsi="宋体"/>
          <w:color w:val="auto"/>
          <w:szCs w:val="21"/>
          <w:highlight w:val="none"/>
          <w:u w:val="single"/>
        </w:rPr>
        <w:t>（1）</w:t>
      </w:r>
      <w:r>
        <w:rPr>
          <w:rFonts w:ascii="Calibri" w:hAnsi="宋体"/>
          <w:color w:val="auto"/>
          <w:szCs w:val="21"/>
          <w:highlight w:val="none"/>
        </w:rPr>
        <w:t>单价</w:t>
      </w:r>
      <w:r>
        <w:rPr>
          <w:rFonts w:hint="eastAsia" w:ascii="Calibri" w:hAnsi="宋体"/>
          <w:color w:val="auto"/>
          <w:szCs w:val="21"/>
          <w:highlight w:val="none"/>
        </w:rPr>
        <w:t>合同价格形式。</w:t>
      </w:r>
    </w:p>
    <w:p w14:paraId="1FFAB852">
      <w:pPr>
        <w:spacing w:line="360" w:lineRule="auto"/>
        <w:ind w:firstLine="420" w:firstLineChars="200"/>
        <w:jc w:val="left"/>
        <w:rPr>
          <w:rFonts w:ascii="Calibri" w:hAnsi="宋体"/>
          <w:color w:val="auto"/>
          <w:szCs w:val="21"/>
          <w:highlight w:val="none"/>
        </w:rPr>
      </w:pPr>
      <w:r>
        <w:rPr>
          <w:rFonts w:hint="eastAsia" w:ascii="Calibri" w:hAnsi="宋体"/>
          <w:color w:val="auto"/>
          <w:szCs w:val="21"/>
          <w:highlight w:val="none"/>
        </w:rPr>
        <w:t>（</w:t>
      </w:r>
      <w:r>
        <w:rPr>
          <w:rFonts w:ascii="Calibri" w:hAnsi="宋体"/>
          <w:color w:val="auto"/>
          <w:szCs w:val="21"/>
          <w:highlight w:val="none"/>
        </w:rPr>
        <w:t>1</w:t>
      </w:r>
      <w:r>
        <w:rPr>
          <w:rFonts w:hint="eastAsia" w:ascii="Calibri" w:hAnsi="宋体"/>
          <w:color w:val="auto"/>
          <w:szCs w:val="21"/>
          <w:highlight w:val="none"/>
        </w:rPr>
        <w:t>）</w:t>
      </w:r>
      <w:r>
        <w:rPr>
          <w:rFonts w:ascii="Calibri" w:hAnsi="宋体"/>
          <w:color w:val="auto"/>
          <w:szCs w:val="21"/>
          <w:highlight w:val="none"/>
        </w:rPr>
        <w:t>单价合同。</w:t>
      </w:r>
    </w:p>
    <w:p w14:paraId="0DF16644">
      <w:pPr>
        <w:spacing w:line="360" w:lineRule="auto"/>
        <w:ind w:firstLine="420" w:firstLineChars="200"/>
        <w:jc w:val="left"/>
        <w:rPr>
          <w:rFonts w:ascii="Calibri" w:hAnsi="宋体"/>
          <w:color w:val="auto"/>
          <w:szCs w:val="21"/>
          <w:highlight w:val="none"/>
        </w:rPr>
      </w:pPr>
      <w:r>
        <w:rPr>
          <w:rFonts w:hint="eastAsia" w:ascii="Calibri" w:hAnsi="宋体"/>
          <w:color w:val="auto"/>
          <w:szCs w:val="21"/>
          <w:highlight w:val="none"/>
        </w:rPr>
        <w:t>单价合同</w:t>
      </w:r>
      <w:r>
        <w:rPr>
          <w:rFonts w:ascii="Calibri" w:hAnsi="宋体"/>
          <w:color w:val="auto"/>
          <w:szCs w:val="21"/>
          <w:highlight w:val="none"/>
        </w:rPr>
        <w:t>采用综合单价方式确定</w:t>
      </w:r>
      <w:r>
        <w:rPr>
          <w:rFonts w:hint="eastAsia" w:ascii="Calibri" w:hAnsi="宋体"/>
          <w:color w:val="auto"/>
          <w:szCs w:val="21"/>
          <w:highlight w:val="none"/>
        </w:rPr>
        <w:t>，工程量按实际结算</w:t>
      </w:r>
      <w:r>
        <w:rPr>
          <w:rFonts w:ascii="Calibri" w:hAnsi="宋体"/>
          <w:color w:val="auto"/>
          <w:szCs w:val="21"/>
          <w:highlight w:val="none"/>
        </w:rPr>
        <w:t>。</w:t>
      </w:r>
    </w:p>
    <w:p w14:paraId="659B536A">
      <w:pPr>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综合单价包含的风险范围：</w:t>
      </w:r>
      <w:r>
        <w:rPr>
          <w:rFonts w:ascii="Calibri" w:hAnsi="宋体"/>
          <w:color w:val="auto"/>
          <w:szCs w:val="21"/>
          <w:highlight w:val="none"/>
          <w:u w:val="single"/>
        </w:rPr>
        <w:t>除工程变更、</w:t>
      </w:r>
      <w:r>
        <w:rPr>
          <w:rFonts w:hint="eastAsia" w:ascii="Calibri" w:hAnsi="宋体"/>
          <w:color w:val="auto"/>
          <w:szCs w:val="21"/>
          <w:highlight w:val="none"/>
          <w:u w:val="single"/>
        </w:rPr>
        <w:t>项目特征不符、</w:t>
      </w:r>
      <w:r>
        <w:rPr>
          <w:rFonts w:ascii="Calibri" w:hAnsi="宋体"/>
          <w:color w:val="auto"/>
          <w:szCs w:val="21"/>
          <w:highlight w:val="none"/>
          <w:u w:val="single"/>
        </w:rPr>
        <w:t>政策性调整、《承包人提供主要材料和设备一览表》约定的材料、设备价格变动风险以外因素。</w:t>
      </w:r>
    </w:p>
    <w:p w14:paraId="3F5FC4E6">
      <w:pPr>
        <w:spacing w:line="360" w:lineRule="auto"/>
        <w:ind w:firstLine="441" w:firstLineChars="210"/>
        <w:rPr>
          <w:rFonts w:hAnsi="宋体"/>
          <w:color w:val="auto"/>
          <w:szCs w:val="21"/>
          <w:highlight w:val="none"/>
        </w:rPr>
      </w:pPr>
      <w:r>
        <w:rPr>
          <w:rFonts w:hAnsi="宋体"/>
          <w:color w:val="auto"/>
          <w:szCs w:val="21"/>
          <w:highlight w:val="none"/>
        </w:rPr>
        <w:t>风险范围以外合同价格的调整方法：</w:t>
      </w:r>
    </w:p>
    <w:p w14:paraId="168B99B6">
      <w:pPr>
        <w:spacing w:line="360" w:lineRule="auto"/>
        <w:ind w:firstLine="441" w:firstLineChars="210"/>
        <w:rPr>
          <w:rFonts w:hAnsi="宋体"/>
          <w:color w:val="auto"/>
          <w:szCs w:val="21"/>
          <w:highlight w:val="none"/>
        </w:rPr>
      </w:pPr>
      <w:r>
        <w:rPr>
          <w:rFonts w:hAnsi="宋体"/>
          <w:color w:val="auto"/>
          <w:szCs w:val="21"/>
          <w:highlight w:val="none"/>
        </w:rPr>
        <w:t>①工程变更：按10.4.1变更估价原则的约定调整。</w:t>
      </w:r>
    </w:p>
    <w:p w14:paraId="020EB2B4">
      <w:pPr>
        <w:spacing w:line="360" w:lineRule="auto"/>
        <w:ind w:firstLine="441" w:firstLineChars="210"/>
        <w:rPr>
          <w:rFonts w:hAnsi="宋体"/>
          <w:color w:val="auto"/>
          <w:szCs w:val="21"/>
          <w:highlight w:val="none"/>
        </w:rPr>
      </w:pPr>
      <w:r>
        <w:rPr>
          <w:rFonts w:hAnsi="宋体"/>
          <w:color w:val="auto"/>
          <w:szCs w:val="21"/>
          <w:highlight w:val="none"/>
        </w:rPr>
        <w:t>②政策性调整：按自治区建设行政主管部门颁布的文件执行。</w:t>
      </w:r>
    </w:p>
    <w:p w14:paraId="34C44A3D">
      <w:pPr>
        <w:spacing w:line="360" w:lineRule="auto"/>
        <w:ind w:firstLine="441" w:firstLineChars="210"/>
        <w:rPr>
          <w:rFonts w:hAnsi="宋体"/>
          <w:color w:val="auto"/>
          <w:szCs w:val="21"/>
          <w:highlight w:val="none"/>
        </w:rPr>
      </w:pPr>
      <w:r>
        <w:rPr>
          <w:rFonts w:hAnsi="宋体"/>
          <w:color w:val="auto"/>
          <w:szCs w:val="21"/>
          <w:highlight w:val="none"/>
        </w:rPr>
        <w:t>③材料价格风险：按11.1的约定调整。</w:t>
      </w:r>
    </w:p>
    <w:p w14:paraId="420F8656">
      <w:pPr>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④其它：</w:t>
      </w:r>
      <w:r>
        <w:rPr>
          <w:rFonts w:hint="eastAsia" w:ascii="宋体" w:hAnsi="宋体"/>
          <w:color w:val="auto"/>
          <w:szCs w:val="21"/>
          <w:highlight w:val="none"/>
          <w:u w:val="single"/>
        </w:rPr>
        <w:t>/</w:t>
      </w:r>
      <w:r>
        <w:rPr>
          <w:rFonts w:ascii="Calibri" w:hAnsi="宋体"/>
          <w:color w:val="auto"/>
          <w:szCs w:val="21"/>
          <w:highlight w:val="none"/>
        </w:rPr>
        <w:t>。</w:t>
      </w:r>
    </w:p>
    <w:p w14:paraId="765C83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总价合同。</w:t>
      </w:r>
    </w:p>
    <w:p w14:paraId="473A5EC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总价包含的风险范围：</w:t>
      </w:r>
      <w:r>
        <w:rPr>
          <w:rFonts w:hint="eastAsia" w:ascii="宋体" w:hAnsi="宋体"/>
          <w:color w:val="auto"/>
          <w:szCs w:val="21"/>
          <w:highlight w:val="none"/>
          <w:u w:val="single"/>
        </w:rPr>
        <w:t>/</w:t>
      </w:r>
      <w:r>
        <w:rPr>
          <w:rFonts w:ascii="宋体" w:hAnsi="宋体"/>
          <w:color w:val="auto"/>
          <w:szCs w:val="21"/>
          <w:highlight w:val="none"/>
        </w:rPr>
        <w:t>。</w:t>
      </w:r>
    </w:p>
    <w:p w14:paraId="4A953848">
      <w:pPr>
        <w:spacing w:line="360" w:lineRule="auto"/>
        <w:ind w:firstLine="420" w:firstLineChars="200"/>
        <w:jc w:val="left"/>
        <w:rPr>
          <w:rFonts w:ascii="宋体" w:hAnsi="宋体"/>
          <w:color w:val="auto"/>
          <w:szCs w:val="22"/>
          <w:highlight w:val="none"/>
        </w:rPr>
      </w:pPr>
      <w:r>
        <w:rPr>
          <w:rFonts w:ascii="宋体" w:hAnsi="宋体"/>
          <w:color w:val="auto"/>
          <w:szCs w:val="22"/>
          <w:highlight w:val="none"/>
        </w:rPr>
        <w:t>风险范围以外合同价格的调整方法：</w:t>
      </w:r>
      <w:r>
        <w:rPr>
          <w:rFonts w:hint="eastAsia" w:ascii="宋体" w:hAnsi="宋体"/>
          <w:color w:val="auto"/>
          <w:szCs w:val="22"/>
          <w:highlight w:val="none"/>
          <w:u w:val="single"/>
        </w:rPr>
        <w:t>/</w:t>
      </w:r>
      <w:r>
        <w:rPr>
          <w:rFonts w:ascii="宋体" w:hAnsi="宋体"/>
          <w:color w:val="auto"/>
          <w:szCs w:val="22"/>
          <w:highlight w:val="none"/>
        </w:rPr>
        <w:t>。</w:t>
      </w:r>
    </w:p>
    <w:p w14:paraId="035E4D90">
      <w:pPr>
        <w:spacing w:line="360" w:lineRule="auto"/>
        <w:ind w:firstLine="420" w:firstLineChars="200"/>
        <w:jc w:val="left"/>
        <w:rPr>
          <w:rFonts w:ascii="宋体" w:hAnsi="宋体"/>
          <w:color w:val="auto"/>
          <w:szCs w:val="22"/>
          <w:highlight w:val="none"/>
        </w:rPr>
      </w:pPr>
      <w:r>
        <w:rPr>
          <w:rFonts w:hint="eastAsia" w:ascii="宋体" w:hAnsi="宋体"/>
          <w:color w:val="auto"/>
          <w:szCs w:val="22"/>
          <w:highlight w:val="none"/>
        </w:rPr>
        <w:t>（</w:t>
      </w:r>
      <w:r>
        <w:rPr>
          <w:rFonts w:ascii="宋体" w:hAnsi="宋体"/>
          <w:color w:val="auto"/>
          <w:szCs w:val="22"/>
          <w:highlight w:val="none"/>
        </w:rPr>
        <w:t>3</w:t>
      </w:r>
      <w:r>
        <w:rPr>
          <w:rFonts w:hint="eastAsia" w:ascii="宋体" w:hAnsi="宋体"/>
          <w:color w:val="auto"/>
          <w:szCs w:val="22"/>
          <w:highlight w:val="none"/>
        </w:rPr>
        <w:t>）</w:t>
      </w:r>
      <w:r>
        <w:rPr>
          <w:rFonts w:ascii="宋体" w:hAnsi="宋体"/>
          <w:color w:val="auto"/>
          <w:szCs w:val="22"/>
          <w:highlight w:val="none"/>
        </w:rPr>
        <w:t>其他价格方式：</w:t>
      </w:r>
      <w:r>
        <w:rPr>
          <w:rFonts w:hint="eastAsia" w:ascii="宋体" w:hAnsi="宋体"/>
          <w:color w:val="auto"/>
          <w:szCs w:val="22"/>
          <w:highlight w:val="none"/>
          <w:u w:val="single"/>
        </w:rPr>
        <w:t>/</w:t>
      </w:r>
      <w:r>
        <w:rPr>
          <w:rFonts w:ascii="宋体" w:hAnsi="宋体"/>
          <w:color w:val="auto"/>
          <w:szCs w:val="22"/>
          <w:highlight w:val="none"/>
        </w:rPr>
        <w:t>。</w:t>
      </w:r>
    </w:p>
    <w:p w14:paraId="6017376B">
      <w:pPr>
        <w:keepNext/>
        <w:keepLines/>
        <w:spacing w:before="260" w:after="260" w:line="416" w:lineRule="auto"/>
        <w:outlineLvl w:val="2"/>
        <w:rPr>
          <w:rFonts w:ascii="宋体" w:hAnsi="宋体"/>
          <w:b/>
          <w:bCs/>
          <w:color w:val="auto"/>
          <w:sz w:val="32"/>
          <w:szCs w:val="32"/>
          <w:highlight w:val="none"/>
        </w:rPr>
      </w:pPr>
      <w:bookmarkStart w:id="1250" w:name="_Toc529547378"/>
      <w:bookmarkStart w:id="1251" w:name="_Toc432343941"/>
      <w:bookmarkStart w:id="1252" w:name="_Toc411345234"/>
      <w:bookmarkStart w:id="1253" w:name="_Toc530144520"/>
      <w:bookmarkStart w:id="1254" w:name="_Toc461179295"/>
      <w:bookmarkStart w:id="1255" w:name="_Toc454211165"/>
      <w:bookmarkStart w:id="1256" w:name="_Toc531186655"/>
      <w:bookmarkStart w:id="1257" w:name="_Toc529527026"/>
      <w:bookmarkStart w:id="1258" w:name="_Toc472931659"/>
      <w:bookmarkStart w:id="1259" w:name="_Toc470247853"/>
      <w:r>
        <w:rPr>
          <w:rFonts w:ascii="宋体" w:hAnsi="宋体"/>
          <w:b/>
          <w:bCs/>
          <w:color w:val="auto"/>
          <w:sz w:val="32"/>
          <w:szCs w:val="32"/>
          <w:highlight w:val="none"/>
        </w:rPr>
        <w:t>12.2 预付款</w:t>
      </w:r>
      <w:bookmarkEnd w:id="1231"/>
      <w:bookmarkEnd w:id="1232"/>
      <w:bookmarkEnd w:id="1233"/>
      <w:bookmarkEnd w:id="1250"/>
      <w:bookmarkEnd w:id="1251"/>
      <w:bookmarkEnd w:id="1252"/>
      <w:bookmarkEnd w:id="1253"/>
      <w:bookmarkEnd w:id="1254"/>
      <w:bookmarkEnd w:id="1255"/>
      <w:bookmarkEnd w:id="1256"/>
      <w:bookmarkEnd w:id="1257"/>
      <w:bookmarkEnd w:id="1258"/>
      <w:bookmarkEnd w:id="1259"/>
    </w:p>
    <w:bookmarkEnd w:id="1234"/>
    <w:bookmarkEnd w:id="1235"/>
    <w:bookmarkEnd w:id="1236"/>
    <w:bookmarkEnd w:id="1237"/>
    <w:bookmarkEnd w:id="1238"/>
    <w:bookmarkEnd w:id="1239"/>
    <w:p w14:paraId="1D131A7E">
      <w:pPr>
        <w:spacing w:line="260" w:lineRule="exact"/>
        <w:ind w:firstLine="420" w:firstLineChars="200"/>
        <w:jc w:val="left"/>
        <w:rPr>
          <w:rFonts w:ascii="宋体" w:hAnsi="宋体"/>
          <w:color w:val="auto"/>
          <w:szCs w:val="21"/>
          <w:highlight w:val="none"/>
          <w:u w:val="single"/>
        </w:rPr>
      </w:pPr>
      <w:r>
        <w:rPr>
          <w:rFonts w:ascii="宋体" w:hAnsi="宋体"/>
          <w:color w:val="auto"/>
          <w:szCs w:val="21"/>
          <w:highlight w:val="none"/>
        </w:rPr>
        <w:t>12.2.1 预付款的支付</w:t>
      </w:r>
      <w:r>
        <w:rPr>
          <w:rFonts w:hint="eastAsia" w:ascii="Calibri" w:hAnsi="Calibri"/>
          <w:color w:val="auto"/>
          <w:szCs w:val="21"/>
          <w:highlight w:val="none"/>
          <w:u w:val="single"/>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0%</w:t>
      </w:r>
      <w:r>
        <w:rPr>
          <w:rFonts w:hint="eastAsia" w:ascii="宋体" w:hAnsi="宋体"/>
          <w:color w:val="auto"/>
          <w:szCs w:val="21"/>
          <w:highlight w:val="none"/>
          <w:u w:val="single"/>
          <w:lang w:val="en-US" w:eastAsia="zh-CN"/>
        </w:rPr>
        <w:t>的</w:t>
      </w:r>
      <w:r>
        <w:rPr>
          <w:rFonts w:hint="eastAsia" w:ascii="宋体" w:hAnsi="宋体"/>
          <w:color w:val="auto"/>
          <w:szCs w:val="21"/>
          <w:highlight w:val="none"/>
          <w:u w:val="single"/>
        </w:rPr>
        <w:t>合同价款。</w:t>
      </w:r>
    </w:p>
    <w:p w14:paraId="1C9B03B0">
      <w:pPr>
        <w:spacing w:line="360" w:lineRule="auto"/>
        <w:ind w:left="420" w:leftChars="200" w:firstLine="0" w:firstLineChars="0"/>
        <w:jc w:val="left"/>
        <w:rPr>
          <w:rFonts w:ascii="宋体" w:hAnsi="宋体"/>
          <w:color w:val="auto"/>
          <w:szCs w:val="21"/>
          <w:highlight w:val="none"/>
        </w:rPr>
      </w:pPr>
      <w:r>
        <w:rPr>
          <w:rFonts w:ascii="宋体" w:hAnsi="宋体"/>
          <w:color w:val="auto"/>
          <w:szCs w:val="21"/>
          <w:highlight w:val="none"/>
        </w:rPr>
        <w:t>预付款支付期限：</w:t>
      </w:r>
      <w:r>
        <w:rPr>
          <w:rFonts w:hint="eastAsia" w:ascii="宋体" w:hAnsi="宋体"/>
          <w:color w:val="auto"/>
          <w:szCs w:val="21"/>
          <w:highlight w:val="none"/>
          <w:u w:val="single"/>
        </w:rPr>
        <w:t>合同签订后10个工作日内，发包人向承包人支付合同总价的30%作为工程预付款。</w:t>
      </w:r>
      <w:r>
        <w:rPr>
          <w:rFonts w:ascii="宋体" w:hAnsi="宋体"/>
          <w:color w:val="auto"/>
          <w:szCs w:val="21"/>
          <w:highlight w:val="none"/>
        </w:rPr>
        <w:t>预付款扣回的方式：</w:t>
      </w:r>
      <w:r>
        <w:rPr>
          <w:rFonts w:hint="eastAsia" w:hAnsi="宋体"/>
          <w:color w:val="auto"/>
          <w:szCs w:val="21"/>
          <w:highlight w:val="none"/>
          <w:u w:val="single"/>
          <w:lang w:eastAsia="zh-CN"/>
        </w:rPr>
        <w:t>无</w:t>
      </w:r>
      <w:r>
        <w:rPr>
          <w:rFonts w:hint="eastAsia" w:ascii="宋体" w:hAnsi="宋体"/>
          <w:color w:val="auto"/>
          <w:szCs w:val="21"/>
          <w:highlight w:val="none"/>
        </w:rPr>
        <w:t>；</w:t>
      </w:r>
    </w:p>
    <w:p w14:paraId="55BB5A4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12.2.2 预付款担保</w:t>
      </w:r>
    </w:p>
    <w:p w14:paraId="05170A6D">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承包人提交预付款担保的期限：</w:t>
      </w:r>
      <w:r>
        <w:rPr>
          <w:rFonts w:hint="eastAsia" w:ascii="宋体" w:hAnsi="宋体"/>
          <w:color w:val="auto"/>
          <w:szCs w:val="22"/>
          <w:highlight w:val="none"/>
          <w:u w:val="single"/>
        </w:rPr>
        <w:t>/</w:t>
      </w:r>
      <w:r>
        <w:rPr>
          <w:rFonts w:ascii="宋体" w:hAnsi="宋体"/>
          <w:color w:val="auto"/>
          <w:szCs w:val="21"/>
          <w:highlight w:val="none"/>
        </w:rPr>
        <w:t>。</w:t>
      </w:r>
    </w:p>
    <w:p w14:paraId="111E875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预付款担保的形式为：</w:t>
      </w:r>
      <w:r>
        <w:rPr>
          <w:rFonts w:hint="eastAsia" w:ascii="宋体" w:hAnsi="宋体"/>
          <w:color w:val="auto"/>
          <w:szCs w:val="22"/>
          <w:highlight w:val="none"/>
          <w:u w:val="single"/>
        </w:rPr>
        <w:t>/</w:t>
      </w:r>
      <w:r>
        <w:rPr>
          <w:rFonts w:ascii="宋体" w:hAnsi="宋体"/>
          <w:color w:val="auto"/>
          <w:szCs w:val="21"/>
          <w:highlight w:val="none"/>
        </w:rPr>
        <w:t>。</w:t>
      </w:r>
    </w:p>
    <w:p w14:paraId="60E9D5C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预付款担保格式见合同附件7。</w:t>
      </w:r>
    </w:p>
    <w:bookmarkEnd w:id="1240"/>
    <w:bookmarkEnd w:id="1241"/>
    <w:bookmarkEnd w:id="1242"/>
    <w:bookmarkEnd w:id="1243"/>
    <w:bookmarkEnd w:id="1244"/>
    <w:bookmarkEnd w:id="1245"/>
    <w:bookmarkEnd w:id="1246"/>
    <w:bookmarkEnd w:id="1247"/>
    <w:bookmarkEnd w:id="1248"/>
    <w:bookmarkEnd w:id="1249"/>
    <w:p w14:paraId="70E405D6">
      <w:pPr>
        <w:keepNext/>
        <w:keepLines/>
        <w:spacing w:before="260" w:after="260" w:line="416" w:lineRule="auto"/>
        <w:outlineLvl w:val="2"/>
        <w:rPr>
          <w:rFonts w:ascii="宋体" w:hAnsi="宋体"/>
          <w:b/>
          <w:bCs/>
          <w:color w:val="auto"/>
          <w:sz w:val="32"/>
          <w:szCs w:val="32"/>
          <w:highlight w:val="none"/>
        </w:rPr>
      </w:pPr>
      <w:bookmarkStart w:id="1260" w:name="_Toc461179296"/>
      <w:bookmarkStart w:id="1261" w:name="_Toc529547379"/>
      <w:bookmarkStart w:id="1262" w:name="_Toc454211166"/>
      <w:bookmarkStart w:id="1263" w:name="_Toc411345235"/>
      <w:bookmarkStart w:id="1264" w:name="_Toc530144521"/>
      <w:bookmarkStart w:id="1265" w:name="_Toc432343942"/>
      <w:bookmarkStart w:id="1266" w:name="_Toc531186656"/>
      <w:bookmarkStart w:id="1267" w:name="_Toc470247854"/>
      <w:bookmarkStart w:id="1268" w:name="_Toc389065316"/>
      <w:bookmarkStart w:id="1269" w:name="_Toc373227751"/>
      <w:bookmarkStart w:id="1270" w:name="_Toc373478398"/>
      <w:bookmarkStart w:id="1271" w:name="_Toc529527027"/>
      <w:bookmarkStart w:id="1272" w:name="_Toc472931660"/>
      <w:r>
        <w:rPr>
          <w:rFonts w:ascii="宋体" w:hAnsi="宋体"/>
          <w:b/>
          <w:bCs/>
          <w:color w:val="auto"/>
          <w:sz w:val="32"/>
          <w:szCs w:val="32"/>
          <w:highlight w:val="none"/>
        </w:rPr>
        <w:t>12.3 计量</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76EB8A7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12.3.1 计量原则</w:t>
      </w:r>
    </w:p>
    <w:p w14:paraId="2F0398C1">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工程的计量均以</w:t>
      </w:r>
      <w:r>
        <w:rPr>
          <w:rFonts w:hint="eastAsia" w:ascii="宋体" w:hAnsi="宋体"/>
          <w:color w:val="auto"/>
          <w:szCs w:val="21"/>
          <w:highlight w:val="none"/>
          <w:u w:val="single"/>
        </w:rPr>
        <w:t>《建设工程工程量清单计价规范》（GB 50500-2013）、《市政工程工程量计算规范》（GB 50857-2013）、《通用安装工程工程量计算规范》(GB 50856-2013)、广西壮族自治区住房和城乡建设厅颁布的《&lt;建设工程工程量清单计价规范&gt;GB 50500-2013广西壮族自治区实施细则、《&lt;建设工程工程量清单计算规范&gt;GB 50854～50862-2013广西壮族自治区实施细则》修订本</w:t>
      </w:r>
      <w:r>
        <w:rPr>
          <w:rFonts w:ascii="宋体" w:hAnsi="宋体"/>
          <w:color w:val="auto"/>
          <w:szCs w:val="21"/>
          <w:highlight w:val="none"/>
          <w:u w:val="single"/>
        </w:rPr>
        <w:t>、本工程补充项目清单为准。</w:t>
      </w:r>
    </w:p>
    <w:p w14:paraId="6F25650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12.3.2 计量周期</w:t>
      </w:r>
    </w:p>
    <w:p w14:paraId="615281D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关于计量周期的约定：</w:t>
      </w:r>
      <w:r>
        <w:rPr>
          <w:rFonts w:ascii="宋体" w:hAnsi="宋体"/>
          <w:color w:val="auto"/>
          <w:szCs w:val="21"/>
          <w:highlight w:val="none"/>
          <w:u w:val="single"/>
        </w:rPr>
        <w:t>每月25日前</w:t>
      </w:r>
      <w:r>
        <w:rPr>
          <w:rFonts w:ascii="宋体" w:hAnsi="宋体"/>
          <w:color w:val="auto"/>
          <w:szCs w:val="21"/>
          <w:highlight w:val="none"/>
        </w:rPr>
        <w:t>。</w:t>
      </w:r>
    </w:p>
    <w:p w14:paraId="0B65BEE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12.3.3 单价合同的计量</w:t>
      </w:r>
    </w:p>
    <w:p w14:paraId="3211E99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关于单价合同计量的约定：</w:t>
      </w:r>
    </w:p>
    <w:p w14:paraId="121C4358">
      <w:pPr>
        <w:spacing w:line="360" w:lineRule="auto"/>
        <w:ind w:firstLine="441" w:firstLineChars="210"/>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33A2CF12">
      <w:pPr>
        <w:spacing w:line="360" w:lineRule="auto"/>
        <w:ind w:firstLine="441" w:firstLineChars="210"/>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w:t>
      </w:r>
    </w:p>
    <w:p w14:paraId="45EB592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12.3.4 总价合同的计量</w:t>
      </w:r>
    </w:p>
    <w:p w14:paraId="23F29C2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w:t>
      </w:r>
      <w:r>
        <w:rPr>
          <w:rFonts w:ascii="宋体" w:hAnsi="宋体"/>
          <w:color w:val="auto"/>
          <w:kern w:val="0"/>
          <w:szCs w:val="21"/>
          <w:highlight w:val="none"/>
        </w:rPr>
        <w:t>12.3.4</w:t>
      </w:r>
      <w:r>
        <w:rPr>
          <w:rFonts w:ascii="宋体" w:hAnsi="宋体"/>
          <w:color w:val="auto"/>
          <w:szCs w:val="21"/>
          <w:highlight w:val="none"/>
        </w:rPr>
        <w:t>项</w:t>
      </w:r>
      <w:r>
        <w:rPr>
          <w:rFonts w:ascii="宋体" w:hAnsi="宋体"/>
          <w:color w:val="auto"/>
          <w:kern w:val="0"/>
          <w:szCs w:val="21"/>
          <w:highlight w:val="none"/>
        </w:rPr>
        <w:t>〔总价合同的计量〕</w:t>
      </w:r>
      <w:r>
        <w:rPr>
          <w:rFonts w:ascii="宋体" w:hAnsi="宋体"/>
          <w:color w:val="auto"/>
          <w:szCs w:val="21"/>
          <w:highlight w:val="none"/>
        </w:rPr>
        <w:t>约定</w:t>
      </w:r>
      <w:r>
        <w:rPr>
          <w:rFonts w:hint="eastAsia" w:ascii="宋体" w:hAnsi="宋体"/>
          <w:color w:val="auto"/>
          <w:szCs w:val="21"/>
          <w:highlight w:val="none"/>
        </w:rPr>
        <w:t>进行计量，但</w:t>
      </w:r>
      <w:r>
        <w:rPr>
          <w:rFonts w:ascii="宋体" w:hAnsi="宋体"/>
          <w:color w:val="auto"/>
          <w:kern w:val="0"/>
          <w:szCs w:val="21"/>
          <w:highlight w:val="none"/>
        </w:rPr>
        <w:t>合同价款按照支付分解表进行支付。</w:t>
      </w:r>
    </w:p>
    <w:p w14:paraId="30A668F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12.3.6 其他价格形式合同的计量</w:t>
      </w:r>
    </w:p>
    <w:p w14:paraId="5A2D8C70">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无</w:t>
      </w:r>
      <w:r>
        <w:rPr>
          <w:rFonts w:ascii="宋体" w:hAnsi="宋体"/>
          <w:color w:val="auto"/>
          <w:szCs w:val="21"/>
          <w:highlight w:val="none"/>
        </w:rPr>
        <w:t>。</w:t>
      </w:r>
    </w:p>
    <w:p w14:paraId="3C4DF220">
      <w:pPr>
        <w:keepNext/>
        <w:keepLines/>
        <w:spacing w:before="260" w:after="260" w:line="416" w:lineRule="auto"/>
        <w:outlineLvl w:val="2"/>
        <w:rPr>
          <w:rFonts w:ascii="宋体" w:hAnsi="宋体"/>
          <w:b/>
          <w:bCs/>
          <w:color w:val="auto"/>
          <w:sz w:val="32"/>
          <w:szCs w:val="32"/>
          <w:highlight w:val="none"/>
        </w:rPr>
      </w:pPr>
      <w:bookmarkStart w:id="1273" w:name="_Toc389065317"/>
      <w:bookmarkStart w:id="1274" w:name="_Toc529547380"/>
      <w:bookmarkStart w:id="1275" w:name="_Toc530144522"/>
      <w:bookmarkStart w:id="1276" w:name="_Toc454211167"/>
      <w:bookmarkStart w:id="1277" w:name="_Toc531186657"/>
      <w:bookmarkStart w:id="1278" w:name="_Toc373478399"/>
      <w:bookmarkStart w:id="1279" w:name="_Toc411345236"/>
      <w:bookmarkStart w:id="1280" w:name="_Toc472931661"/>
      <w:bookmarkStart w:id="1281" w:name="_Toc461179297"/>
      <w:bookmarkStart w:id="1282" w:name="_Toc373227752"/>
      <w:bookmarkStart w:id="1283" w:name="_Toc529527028"/>
      <w:bookmarkStart w:id="1284" w:name="_Toc432343943"/>
      <w:bookmarkStart w:id="1285" w:name="_Toc470247855"/>
      <w:r>
        <w:rPr>
          <w:rFonts w:ascii="宋体" w:hAnsi="宋体"/>
          <w:b/>
          <w:bCs/>
          <w:color w:val="auto"/>
          <w:sz w:val="32"/>
          <w:szCs w:val="32"/>
          <w:highlight w:val="none"/>
        </w:rPr>
        <w:t>12.4 工程进度款支付</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70A22962">
      <w:pPr>
        <w:spacing w:line="360" w:lineRule="auto"/>
        <w:ind w:firstLine="420" w:firstLineChars="200"/>
        <w:jc w:val="left"/>
        <w:rPr>
          <w:rFonts w:ascii="宋体" w:hAnsi="宋体"/>
          <w:color w:val="auto"/>
          <w:szCs w:val="21"/>
          <w:highlight w:val="none"/>
        </w:rPr>
      </w:pPr>
      <w:bookmarkStart w:id="1286" w:name="_Toc300935006"/>
      <w:bookmarkStart w:id="1287" w:name="_Toc297120511"/>
      <w:bookmarkStart w:id="1288" w:name="_Toc292559416"/>
      <w:bookmarkStart w:id="1289" w:name="_Toc296346712"/>
      <w:bookmarkStart w:id="1290" w:name="_Toc296944550"/>
      <w:bookmarkStart w:id="1291" w:name="_Toc303539163"/>
      <w:bookmarkStart w:id="1292" w:name="_Toc297123556"/>
      <w:bookmarkStart w:id="1293" w:name="_Toc297048397"/>
      <w:bookmarkStart w:id="1294" w:name="_Toc292559921"/>
      <w:bookmarkStart w:id="1295" w:name="_Toc297216215"/>
      <w:bookmarkStart w:id="1296" w:name="_Toc296503211"/>
      <w:bookmarkStart w:id="1297" w:name="_Toc296891039"/>
      <w:bookmarkStart w:id="1298" w:name="_Toc296347210"/>
      <w:bookmarkStart w:id="1299" w:name="_Toc296891251"/>
      <w:r>
        <w:rPr>
          <w:rFonts w:ascii="宋体" w:hAnsi="宋体"/>
          <w:color w:val="auto"/>
          <w:szCs w:val="21"/>
          <w:highlight w:val="none"/>
        </w:rPr>
        <w:t>12.4.1 付款周期</w:t>
      </w:r>
    </w:p>
    <w:p w14:paraId="427E745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关于付款周期的约定：</w:t>
      </w:r>
    </w:p>
    <w:p w14:paraId="0BE1AF8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（1）本工程预付款比列</w:t>
      </w:r>
    </w:p>
    <w:p w14:paraId="494CBA3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预付款支付比例：</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0%</w:t>
      </w:r>
      <w:r>
        <w:rPr>
          <w:rFonts w:hint="eastAsia" w:ascii="宋体" w:hAnsi="宋体"/>
          <w:color w:val="auto"/>
          <w:szCs w:val="21"/>
          <w:highlight w:val="none"/>
          <w:u w:val="single"/>
          <w:lang w:val="en-US" w:eastAsia="zh-CN"/>
        </w:rPr>
        <w:t>的</w:t>
      </w:r>
      <w:r>
        <w:rPr>
          <w:rFonts w:hint="eastAsia" w:ascii="宋体" w:hAnsi="宋体"/>
          <w:color w:val="auto"/>
          <w:szCs w:val="21"/>
          <w:highlight w:val="none"/>
          <w:u w:val="single"/>
        </w:rPr>
        <w:t>合同价款</w:t>
      </w:r>
      <w:r>
        <w:rPr>
          <w:rFonts w:hint="eastAsia" w:ascii="宋体" w:hAnsi="宋体"/>
          <w:color w:val="auto"/>
          <w:szCs w:val="21"/>
          <w:highlight w:val="none"/>
        </w:rPr>
        <w:t>。</w:t>
      </w:r>
    </w:p>
    <w:p w14:paraId="1D75084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（2）工程进度付款的支付比例</w:t>
      </w:r>
    </w:p>
    <w:p w14:paraId="02B648C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签订后10个工作日内，发包人向承包人支付合同总价的30%作为工程预付款；工程完工并通过竣工验收、质量达标合格后，付款累计付至合同总价的80%（含前期已支付款项）；竣工结算资料报送财政部门审定完成后，付款累计付至财政审定结算价款的97%（含前期已支付全部款项）。发包人留存审定结算总价款3%作为工程质量保修金，待约定的工程质量保修期(承包人按要求完成保修责任，并经发包人验收合格)满后无息一次性付清剩余全部款项。</w:t>
      </w:r>
    </w:p>
    <w:p w14:paraId="0AC923E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12.4.2 进度付款申请单的编制</w:t>
      </w:r>
    </w:p>
    <w:p w14:paraId="0F9F524B">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3780F09D">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Pr>
          <w:rFonts w:ascii="宋体" w:hAnsi="宋体"/>
          <w:color w:val="auto"/>
          <w:szCs w:val="21"/>
          <w:highlight w:val="none"/>
        </w:rPr>
        <w:t>2.4.3 进度付款申请单的提交</w:t>
      </w:r>
    </w:p>
    <w:p w14:paraId="0AA53BA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bCs/>
          <w:color w:val="auto"/>
          <w:szCs w:val="28"/>
          <w:highlight w:val="none"/>
          <w:u w:val="single"/>
        </w:rPr>
        <w:t>按通用条款执行</w:t>
      </w:r>
      <w:r>
        <w:rPr>
          <w:rFonts w:hint="eastAsia" w:ascii="宋体" w:hAnsi="宋体"/>
          <w:bCs/>
          <w:color w:val="auto"/>
          <w:szCs w:val="21"/>
          <w:highlight w:val="none"/>
          <w:u w:val="single"/>
        </w:rPr>
        <w:t>。</w:t>
      </w:r>
    </w:p>
    <w:p w14:paraId="568434F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u w:val="single"/>
        </w:rPr>
        <w:t>无</w:t>
      </w:r>
      <w:r>
        <w:rPr>
          <w:rFonts w:ascii="宋体" w:hAnsi="宋体"/>
          <w:color w:val="auto"/>
          <w:szCs w:val="21"/>
          <w:highlight w:val="none"/>
        </w:rPr>
        <w:t>。</w:t>
      </w:r>
    </w:p>
    <w:p w14:paraId="456CF8FE">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无 </w:t>
      </w:r>
      <w:r>
        <w:rPr>
          <w:rFonts w:ascii="宋体" w:hAnsi="宋体"/>
          <w:color w:val="auto"/>
          <w:szCs w:val="21"/>
          <w:highlight w:val="none"/>
        </w:rPr>
        <w:t>。</w:t>
      </w:r>
    </w:p>
    <w:p w14:paraId="7B6FE39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12.4.4 进度款审核和支付</w:t>
      </w:r>
    </w:p>
    <w:p w14:paraId="55DF847A">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08993B4E">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6D50BBC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7C1C7C70">
      <w:pPr>
        <w:spacing w:line="360" w:lineRule="auto"/>
        <w:ind w:firstLine="525" w:firstLineChars="250"/>
        <w:jc w:val="left"/>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bCs/>
          <w:color w:val="auto"/>
          <w:szCs w:val="28"/>
          <w:highlight w:val="none"/>
          <w:u w:val="single"/>
        </w:rPr>
        <w:t>无</w:t>
      </w:r>
      <w:r>
        <w:rPr>
          <w:rFonts w:ascii="宋体" w:hAnsi="宋体"/>
          <w:color w:val="auto"/>
          <w:szCs w:val="21"/>
          <w:highlight w:val="none"/>
        </w:rPr>
        <w:t>。</w:t>
      </w:r>
    </w:p>
    <w:p w14:paraId="27E4BC02">
      <w:pPr>
        <w:spacing w:line="360" w:lineRule="auto"/>
        <w:ind w:firstLine="525" w:firstLineChars="250"/>
        <w:jc w:val="left"/>
        <w:rPr>
          <w:rFonts w:ascii="宋体" w:hAnsi="宋体"/>
          <w:color w:val="auto"/>
          <w:szCs w:val="21"/>
          <w:highlight w:val="none"/>
        </w:rPr>
      </w:pPr>
      <w:r>
        <w:rPr>
          <w:rFonts w:ascii="宋体" w:hAnsi="宋体"/>
          <w:color w:val="auto"/>
          <w:szCs w:val="21"/>
          <w:highlight w:val="none"/>
        </w:rPr>
        <w:t>进度款支付方式：</w:t>
      </w:r>
      <w:r>
        <w:rPr>
          <w:rFonts w:ascii="宋体" w:hAnsi="宋体"/>
          <w:color w:val="auto"/>
          <w:szCs w:val="21"/>
          <w:highlight w:val="none"/>
          <w:u w:val="single"/>
        </w:rPr>
        <w:t>银行转账</w:t>
      </w:r>
      <w:r>
        <w:rPr>
          <w:rFonts w:ascii="宋体" w:hAnsi="宋体"/>
          <w:color w:val="auto"/>
          <w:szCs w:val="21"/>
          <w:highlight w:val="none"/>
        </w:rPr>
        <w:t>。</w:t>
      </w:r>
    </w:p>
    <w:p w14:paraId="76D257EC">
      <w:pPr>
        <w:spacing w:line="360" w:lineRule="auto"/>
        <w:ind w:firstLine="525" w:firstLineChars="250"/>
        <w:jc w:val="left"/>
        <w:rPr>
          <w:rFonts w:ascii="宋体" w:hAnsi="宋体"/>
          <w:color w:val="auto"/>
          <w:szCs w:val="21"/>
          <w:highlight w:val="none"/>
        </w:rPr>
      </w:pPr>
      <w:r>
        <w:rPr>
          <w:rFonts w:ascii="宋体" w:hAnsi="宋体"/>
          <w:color w:val="auto"/>
          <w:szCs w:val="21"/>
          <w:highlight w:val="none"/>
        </w:rPr>
        <w:t>12.4.6 支付分解表的编制</w:t>
      </w:r>
    </w:p>
    <w:p w14:paraId="58E7C808">
      <w:pPr>
        <w:spacing w:line="360" w:lineRule="auto"/>
        <w:ind w:firstLine="525" w:firstLineChars="250"/>
        <w:jc w:val="left"/>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hint="eastAsia" w:ascii="宋体" w:hAnsi="宋体"/>
          <w:color w:val="auto"/>
          <w:szCs w:val="21"/>
          <w:highlight w:val="none"/>
          <w:u w:val="single"/>
        </w:rPr>
        <w:t>无</w:t>
      </w:r>
      <w:r>
        <w:rPr>
          <w:rFonts w:ascii="宋体" w:hAnsi="宋体"/>
          <w:color w:val="auto"/>
          <w:szCs w:val="21"/>
          <w:highlight w:val="none"/>
        </w:rPr>
        <w:t>。</w:t>
      </w:r>
    </w:p>
    <w:p w14:paraId="348B9A5F">
      <w:pPr>
        <w:spacing w:line="360" w:lineRule="auto"/>
        <w:ind w:firstLine="525" w:firstLineChars="25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bookmarkEnd w:id="963"/>
    <w:p w14:paraId="614F63D5">
      <w:pPr>
        <w:keepNext/>
        <w:keepLines/>
        <w:spacing w:before="260" w:after="260" w:line="416" w:lineRule="auto"/>
        <w:outlineLvl w:val="2"/>
        <w:rPr>
          <w:rFonts w:ascii="宋体" w:hAnsi="宋体"/>
          <w:b/>
          <w:bCs/>
          <w:color w:val="auto"/>
          <w:sz w:val="32"/>
          <w:szCs w:val="32"/>
          <w:highlight w:val="none"/>
        </w:rPr>
      </w:pPr>
      <w:bookmarkStart w:id="1300" w:name="_Toc373227753"/>
      <w:bookmarkStart w:id="1301" w:name="_Toc432343945"/>
      <w:bookmarkStart w:id="1302" w:name="_Toc470247856"/>
      <w:bookmarkStart w:id="1303" w:name="_Toc454211169"/>
      <w:bookmarkStart w:id="1304" w:name="_Toc530144523"/>
      <w:bookmarkStart w:id="1305" w:name="_Toc389065318"/>
      <w:bookmarkStart w:id="1306" w:name="_Toc529547381"/>
      <w:bookmarkStart w:id="1307" w:name="_Toc531186658"/>
      <w:bookmarkStart w:id="1308" w:name="_Toc373478400"/>
      <w:bookmarkStart w:id="1309" w:name="_Toc472931662"/>
      <w:bookmarkStart w:id="1310" w:name="_Toc461179299"/>
      <w:bookmarkStart w:id="1311" w:name="_Toc411345237"/>
      <w:bookmarkStart w:id="1312" w:name="_Toc351203645"/>
      <w:bookmarkStart w:id="1313" w:name="_Toc529527029"/>
      <w:bookmarkStart w:id="1314" w:name="_Toc297120519"/>
      <w:bookmarkStart w:id="1315" w:name="_Toc297216223"/>
      <w:bookmarkStart w:id="1316" w:name="_Toc296944558"/>
      <w:bookmarkStart w:id="1317" w:name="_Toc297123564"/>
      <w:bookmarkStart w:id="1318" w:name="_Toc304295593"/>
      <w:bookmarkStart w:id="1319" w:name="_Toc292559929"/>
      <w:bookmarkStart w:id="1320" w:name="_Toc312678053"/>
      <w:bookmarkStart w:id="1321" w:name="_Toc303539172"/>
      <w:bookmarkStart w:id="1322" w:name="_Toc296891259"/>
      <w:bookmarkStart w:id="1323" w:name="_Toc292559424"/>
      <w:bookmarkStart w:id="1324" w:name="_Toc296346720"/>
      <w:bookmarkStart w:id="1325" w:name="_Toc296347218"/>
      <w:bookmarkStart w:id="1326" w:name="_Toc300935015"/>
      <w:bookmarkStart w:id="1327" w:name="_Toc296891047"/>
      <w:bookmarkStart w:id="1328" w:name="_Toc296503219"/>
      <w:bookmarkStart w:id="1329" w:name="_Toc297048405"/>
      <w:r>
        <w:rPr>
          <w:rFonts w:ascii="宋体" w:hAnsi="宋体"/>
          <w:b/>
          <w:bCs/>
          <w:color w:val="auto"/>
          <w:sz w:val="32"/>
          <w:szCs w:val="32"/>
          <w:highlight w:val="none"/>
        </w:rPr>
        <w:t>13. 验收和工程试车</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14:paraId="3341D859">
      <w:pPr>
        <w:keepNext/>
        <w:keepLines/>
        <w:spacing w:before="260" w:after="260" w:line="416" w:lineRule="auto"/>
        <w:outlineLvl w:val="2"/>
        <w:rPr>
          <w:rFonts w:ascii="宋体" w:hAnsi="宋体"/>
          <w:b/>
          <w:bCs/>
          <w:color w:val="auto"/>
          <w:sz w:val="32"/>
          <w:szCs w:val="32"/>
          <w:highlight w:val="none"/>
        </w:rPr>
      </w:pPr>
      <w:bookmarkStart w:id="1330" w:name="_Toc373478401"/>
      <w:bookmarkStart w:id="1331" w:name="_Toc529527030"/>
      <w:bookmarkStart w:id="1332" w:name="_Toc529547382"/>
      <w:bookmarkStart w:id="1333" w:name="_Toc432343946"/>
      <w:bookmarkStart w:id="1334" w:name="_Toc530144524"/>
      <w:bookmarkStart w:id="1335" w:name="_Toc461179300"/>
      <w:bookmarkStart w:id="1336" w:name="_Toc472931663"/>
      <w:bookmarkStart w:id="1337" w:name="_Toc470247857"/>
      <w:bookmarkStart w:id="1338" w:name="_Toc454211170"/>
      <w:bookmarkStart w:id="1339" w:name="_Toc373227754"/>
      <w:bookmarkStart w:id="1340" w:name="_Toc389065319"/>
      <w:bookmarkStart w:id="1341" w:name="_Toc411345238"/>
      <w:bookmarkStart w:id="1342" w:name="_Toc531186659"/>
      <w:r>
        <w:rPr>
          <w:rFonts w:ascii="宋体" w:hAnsi="宋体"/>
          <w:b/>
          <w:bCs/>
          <w:color w:val="auto"/>
          <w:sz w:val="32"/>
          <w:szCs w:val="32"/>
          <w:highlight w:val="none"/>
        </w:rPr>
        <w:t>13.1 分部分项工程验收</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7A1A6C9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13.1.2监理人不能按时进行验收时，应提前</w:t>
      </w:r>
      <w:r>
        <w:rPr>
          <w:rFonts w:hint="eastAsia" w:ascii="宋体" w:hAnsi="宋体"/>
          <w:b/>
          <w:bCs/>
          <w:color w:val="auto"/>
          <w:szCs w:val="21"/>
          <w:highlight w:val="none"/>
          <w:u w:val="single"/>
        </w:rPr>
        <w:t>24</w:t>
      </w:r>
      <w:r>
        <w:rPr>
          <w:rFonts w:ascii="宋体" w:hAnsi="宋体"/>
          <w:color w:val="auto"/>
          <w:szCs w:val="21"/>
          <w:highlight w:val="none"/>
        </w:rPr>
        <w:t>小时提交书面延期要求。</w:t>
      </w:r>
    </w:p>
    <w:p w14:paraId="029E6636">
      <w:pPr>
        <w:spacing w:line="360" w:lineRule="auto"/>
        <w:ind w:firstLine="420" w:firstLineChars="200"/>
        <w:jc w:val="left"/>
        <w:rPr>
          <w:rFonts w:ascii="宋体" w:hAnsi="宋体"/>
          <w:b/>
          <w:color w:val="auto"/>
          <w:szCs w:val="21"/>
          <w:highlight w:val="none"/>
        </w:rPr>
      </w:pPr>
      <w:r>
        <w:rPr>
          <w:rFonts w:ascii="宋体" w:hAnsi="宋体"/>
          <w:color w:val="auto"/>
          <w:szCs w:val="21"/>
          <w:highlight w:val="none"/>
        </w:rPr>
        <w:t>关于延期最长不得超过：</w:t>
      </w:r>
      <w:r>
        <w:rPr>
          <w:rFonts w:hint="eastAsia" w:ascii="宋体" w:hAnsi="宋体"/>
          <w:b/>
          <w:bCs/>
          <w:color w:val="auto"/>
          <w:szCs w:val="21"/>
          <w:highlight w:val="none"/>
          <w:u w:val="single"/>
        </w:rPr>
        <w:t>48</w:t>
      </w:r>
      <w:r>
        <w:rPr>
          <w:rFonts w:ascii="宋体" w:hAnsi="宋体"/>
          <w:color w:val="auto"/>
          <w:szCs w:val="21"/>
          <w:highlight w:val="none"/>
        </w:rPr>
        <w:t>小时。</w:t>
      </w:r>
    </w:p>
    <w:p w14:paraId="6EC4FBDB">
      <w:pPr>
        <w:keepNext/>
        <w:keepLines/>
        <w:spacing w:before="260" w:after="260" w:line="416" w:lineRule="auto"/>
        <w:outlineLvl w:val="2"/>
        <w:rPr>
          <w:rFonts w:ascii="宋体" w:hAnsi="宋体"/>
          <w:b/>
          <w:bCs/>
          <w:color w:val="auto"/>
          <w:sz w:val="32"/>
          <w:szCs w:val="32"/>
          <w:highlight w:val="none"/>
        </w:rPr>
      </w:pPr>
      <w:bookmarkStart w:id="1343" w:name="_Toc531186660"/>
      <w:bookmarkStart w:id="1344" w:name="_Toc373227755"/>
      <w:bookmarkStart w:id="1345" w:name="_Toc529527031"/>
      <w:bookmarkStart w:id="1346" w:name="_Toc470247858"/>
      <w:bookmarkStart w:id="1347" w:name="_Toc529547383"/>
      <w:bookmarkStart w:id="1348" w:name="_Toc432343947"/>
      <w:bookmarkStart w:id="1349" w:name="_Toc411345239"/>
      <w:bookmarkStart w:id="1350" w:name="_Toc454211171"/>
      <w:bookmarkStart w:id="1351" w:name="_Toc389065320"/>
      <w:bookmarkStart w:id="1352" w:name="_Toc472931664"/>
      <w:bookmarkStart w:id="1353" w:name="_Toc461179301"/>
      <w:bookmarkStart w:id="1354" w:name="_Toc373478402"/>
      <w:bookmarkStart w:id="1355" w:name="_Toc530144525"/>
      <w:bookmarkStart w:id="1356" w:name="_Toc292559428"/>
      <w:bookmarkStart w:id="1357" w:name="_Toc296346724"/>
      <w:bookmarkStart w:id="1358" w:name="_Toc297216224"/>
      <w:bookmarkStart w:id="1359" w:name="_Toc297123565"/>
      <w:bookmarkStart w:id="1360" w:name="_Toc296503223"/>
      <w:bookmarkStart w:id="1361" w:name="_Toc303539173"/>
      <w:bookmarkStart w:id="1362" w:name="_Toc300935016"/>
      <w:bookmarkStart w:id="1363" w:name="_Toc304295596"/>
      <w:bookmarkStart w:id="1364" w:name="_Toc296891051"/>
      <w:bookmarkStart w:id="1365" w:name="_Toc292559933"/>
      <w:bookmarkStart w:id="1366" w:name="_Toc297048409"/>
      <w:bookmarkStart w:id="1367" w:name="_Toc296347222"/>
      <w:bookmarkStart w:id="1368" w:name="_Toc297120523"/>
      <w:bookmarkStart w:id="1369" w:name="_Toc296944562"/>
      <w:bookmarkStart w:id="1370" w:name="_Toc296891263"/>
      <w:bookmarkStart w:id="1371" w:name="_Toc312678056"/>
      <w:bookmarkStart w:id="1372" w:name="_Toc267251474"/>
      <w:bookmarkStart w:id="1373" w:name="_Toc267251475"/>
      <w:bookmarkStart w:id="1374" w:name="_Toc267251476"/>
      <w:bookmarkStart w:id="1375" w:name="_Toc267251472"/>
      <w:bookmarkStart w:id="1376" w:name="_Toc267251470"/>
      <w:bookmarkStart w:id="1377" w:name="_Toc267251471"/>
      <w:bookmarkStart w:id="1378" w:name="_Toc267251473"/>
      <w:r>
        <w:rPr>
          <w:rFonts w:ascii="宋体" w:hAnsi="宋体"/>
          <w:b/>
          <w:bCs/>
          <w:color w:val="auto"/>
          <w:sz w:val="32"/>
          <w:szCs w:val="32"/>
          <w:highlight w:val="none"/>
        </w:rPr>
        <w:t>13.2 竣工验收</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p>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14:paraId="52A9E010">
      <w:pPr>
        <w:spacing w:line="360" w:lineRule="auto"/>
        <w:ind w:firstLine="420" w:firstLineChars="200"/>
        <w:jc w:val="left"/>
        <w:rPr>
          <w:rFonts w:ascii="宋体" w:hAnsi="宋体"/>
          <w:color w:val="auto"/>
          <w:szCs w:val="21"/>
          <w:highlight w:val="none"/>
        </w:rPr>
      </w:pPr>
      <w:bookmarkStart w:id="1379" w:name="_Toc280868704"/>
      <w:bookmarkStart w:id="1380" w:name="_Toc280868705"/>
      <w:bookmarkStart w:id="1381" w:name="_Toc280868706"/>
      <w:bookmarkStart w:id="1382" w:name="_Toc280868707"/>
      <w:bookmarkStart w:id="1383" w:name="_Toc280868708"/>
      <w:bookmarkStart w:id="1384" w:name="_Toc280868709"/>
      <w:r>
        <w:rPr>
          <w:rFonts w:ascii="宋体" w:hAnsi="宋体"/>
          <w:color w:val="auto"/>
          <w:szCs w:val="21"/>
          <w:highlight w:val="none"/>
        </w:rPr>
        <w:t>13.2.1竣工验收条件</w:t>
      </w:r>
    </w:p>
    <w:p w14:paraId="5D5B28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承包人负责整理和提交的竣工验收资料应当符合工程所在地建设行政主管部门和(或)城市建设档案管理机构有关施工资料的要求，具体内容包括：</w:t>
      </w:r>
      <w:r>
        <w:rPr>
          <w:rFonts w:hint="eastAsia" w:ascii="宋体" w:hAnsi="宋体"/>
          <w:bCs/>
          <w:color w:val="auto"/>
          <w:szCs w:val="28"/>
          <w:highlight w:val="none"/>
          <w:u w:val="single"/>
        </w:rPr>
        <w:t>按通用合同条款执行</w:t>
      </w:r>
      <w:r>
        <w:rPr>
          <w:rFonts w:ascii="宋体" w:hAnsi="宋体"/>
          <w:color w:val="auto"/>
          <w:szCs w:val="21"/>
          <w:highlight w:val="none"/>
        </w:rPr>
        <w:t>。</w:t>
      </w:r>
    </w:p>
    <w:p w14:paraId="5037FC28">
      <w:pPr>
        <w:spacing w:line="360" w:lineRule="auto"/>
        <w:ind w:firstLine="420" w:firstLineChars="200"/>
        <w:rPr>
          <w:rFonts w:ascii="宋体" w:hAnsi="宋体"/>
          <w:color w:val="auto"/>
          <w:szCs w:val="21"/>
          <w:highlight w:val="none"/>
        </w:rPr>
      </w:pPr>
      <w:r>
        <w:rPr>
          <w:rFonts w:ascii="宋体" w:hAnsi="宋体"/>
          <w:color w:val="auto"/>
          <w:szCs w:val="21"/>
          <w:highlight w:val="none"/>
        </w:rPr>
        <w:t>竣工验收资料的份数：</w:t>
      </w:r>
      <w:r>
        <w:rPr>
          <w:rFonts w:hint="eastAsia" w:ascii="宋体" w:hAnsi="宋体"/>
          <w:b/>
          <w:bCs/>
          <w:color w:val="auto"/>
          <w:szCs w:val="21"/>
          <w:highlight w:val="none"/>
          <w:u w:val="single"/>
        </w:rPr>
        <w:t xml:space="preserve">6套及满足相关要求 </w:t>
      </w:r>
      <w:r>
        <w:rPr>
          <w:rFonts w:ascii="宋体" w:hAnsi="宋体"/>
          <w:color w:val="auto"/>
          <w:szCs w:val="21"/>
          <w:highlight w:val="none"/>
        </w:rPr>
        <w:t>。</w:t>
      </w:r>
    </w:p>
    <w:p w14:paraId="46A57724">
      <w:pPr>
        <w:spacing w:line="360" w:lineRule="auto"/>
        <w:ind w:firstLine="420" w:firstLineChars="200"/>
        <w:jc w:val="left"/>
        <w:rPr>
          <w:rFonts w:ascii="宋体" w:hAnsi="宋体"/>
          <w:color w:val="auto"/>
          <w:szCs w:val="21"/>
          <w:highlight w:val="none"/>
        </w:rPr>
      </w:pPr>
      <w:r>
        <w:rPr>
          <w:rFonts w:ascii="宋体" w:hAnsi="宋体"/>
          <w:bCs/>
          <w:color w:val="auto"/>
          <w:szCs w:val="21"/>
          <w:highlight w:val="none"/>
        </w:rPr>
        <w:t>承包人提供竣工图的约定：</w:t>
      </w:r>
      <w:r>
        <w:rPr>
          <w:rFonts w:ascii="宋体" w:hAnsi="宋体"/>
          <w:bCs/>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59CA4AC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13.2.2竣工验收程序</w:t>
      </w:r>
    </w:p>
    <w:bookmarkEnd w:id="1379"/>
    <w:p w14:paraId="6A48B929">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关于竣工验收程序的约定：</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33E01E2E">
      <w:pPr>
        <w:spacing w:line="360" w:lineRule="auto"/>
        <w:ind w:firstLine="420" w:firstLineChars="200"/>
        <w:jc w:val="left"/>
        <w:rPr>
          <w:rFonts w:ascii="宋体" w:hAnsi="宋体"/>
          <w:color w:val="auto"/>
          <w:szCs w:val="21"/>
          <w:highlight w:val="none"/>
        </w:rPr>
      </w:pPr>
      <w:r>
        <w:rPr>
          <w:rFonts w:ascii="宋体" w:hAnsi="宋体"/>
          <w:color w:val="auto"/>
          <w:kern w:val="0"/>
          <w:szCs w:val="21"/>
          <w:highlight w:val="none"/>
        </w:rPr>
        <w:t>发包人不按照本项约定组织竣工验收、颁发工程接收证书的违约金的计算方法：</w:t>
      </w:r>
      <w:r>
        <w:rPr>
          <w:rFonts w:hint="eastAsia" w:ascii="宋体" w:hAnsi="宋体"/>
          <w:color w:val="auto"/>
          <w:szCs w:val="21"/>
          <w:highlight w:val="none"/>
          <w:u w:val="single"/>
        </w:rPr>
        <w:t>无</w:t>
      </w:r>
      <w:r>
        <w:rPr>
          <w:rFonts w:ascii="宋体" w:hAnsi="宋体"/>
          <w:color w:val="auto"/>
          <w:szCs w:val="21"/>
          <w:highlight w:val="none"/>
        </w:rPr>
        <w:t>。</w:t>
      </w:r>
    </w:p>
    <w:bookmarkEnd w:id="1380"/>
    <w:p w14:paraId="2EB6276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13.2.5移交、接收全部与部分工程</w:t>
      </w:r>
    </w:p>
    <w:bookmarkEnd w:id="1381"/>
    <w:p w14:paraId="57E0C486">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承包人向发包人移交工程的期限：</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51AF77DB">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hint="eastAsia" w:ascii="宋体" w:hAnsi="宋体"/>
          <w:color w:val="auto"/>
          <w:szCs w:val="21"/>
          <w:highlight w:val="none"/>
          <w:u w:val="single"/>
        </w:rPr>
        <w:t>无</w:t>
      </w:r>
      <w:r>
        <w:rPr>
          <w:rFonts w:ascii="宋体" w:hAnsi="宋体"/>
          <w:color w:val="auto"/>
          <w:szCs w:val="21"/>
          <w:highlight w:val="none"/>
        </w:rPr>
        <w:t>。</w:t>
      </w:r>
    </w:p>
    <w:bookmarkEnd w:id="1382"/>
    <w:p w14:paraId="38BE8ECE">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承包人未按时移交工程的，违约金的计算方法为：</w:t>
      </w:r>
      <w:r>
        <w:rPr>
          <w:rFonts w:hint="eastAsia" w:ascii="宋体" w:hAnsi="宋体"/>
          <w:b/>
          <w:bCs/>
          <w:color w:val="auto"/>
          <w:szCs w:val="21"/>
          <w:highlight w:val="none"/>
          <w:u w:val="single"/>
        </w:rPr>
        <w:t>/</w:t>
      </w:r>
      <w:r>
        <w:rPr>
          <w:rFonts w:ascii="宋体" w:hAnsi="宋体"/>
          <w:color w:val="auto"/>
          <w:szCs w:val="21"/>
          <w:highlight w:val="none"/>
        </w:rPr>
        <w:t>。</w:t>
      </w:r>
    </w:p>
    <w:p w14:paraId="6674D16A">
      <w:pPr>
        <w:keepNext/>
        <w:keepLines/>
        <w:spacing w:before="260" w:after="260" w:line="416" w:lineRule="auto"/>
        <w:outlineLvl w:val="2"/>
        <w:rPr>
          <w:rFonts w:ascii="宋体" w:hAnsi="宋体"/>
          <w:b/>
          <w:bCs/>
          <w:color w:val="auto"/>
          <w:sz w:val="32"/>
          <w:szCs w:val="32"/>
          <w:highlight w:val="none"/>
        </w:rPr>
      </w:pPr>
      <w:bookmarkStart w:id="1385" w:name="_Toc373478403"/>
      <w:bookmarkStart w:id="1386" w:name="_Toc373227756"/>
      <w:bookmarkStart w:id="1387" w:name="_Toc389065321"/>
      <w:bookmarkStart w:id="1388" w:name="_Toc411345240"/>
      <w:bookmarkStart w:id="1389" w:name="_Toc472931665"/>
      <w:bookmarkStart w:id="1390" w:name="_Toc531186661"/>
      <w:bookmarkStart w:id="1391" w:name="_Toc530144526"/>
      <w:bookmarkStart w:id="1392" w:name="_Toc454211172"/>
      <w:bookmarkStart w:id="1393" w:name="_Toc461179302"/>
      <w:bookmarkStart w:id="1394" w:name="_Toc529547384"/>
      <w:bookmarkStart w:id="1395" w:name="_Toc529527032"/>
      <w:bookmarkStart w:id="1396" w:name="_Toc432343948"/>
      <w:bookmarkStart w:id="1397" w:name="_Toc470247859"/>
      <w:r>
        <w:rPr>
          <w:rFonts w:ascii="宋体" w:hAnsi="宋体"/>
          <w:b/>
          <w:bCs/>
          <w:color w:val="auto"/>
          <w:sz w:val="32"/>
          <w:szCs w:val="32"/>
          <w:highlight w:val="none"/>
        </w:rPr>
        <w:t>13.3 工程试车</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p>
    <w:bookmarkEnd w:id="1383"/>
    <w:p w14:paraId="18168F76">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13.3.1 试车程序</w:t>
      </w:r>
    </w:p>
    <w:p w14:paraId="2B894EE5">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工程试车内容：</w:t>
      </w:r>
      <w:r>
        <w:rPr>
          <w:rFonts w:hint="eastAsia" w:ascii="宋体" w:hAnsi="宋体"/>
          <w:color w:val="auto"/>
          <w:szCs w:val="21"/>
          <w:highlight w:val="none"/>
          <w:u w:val="single"/>
        </w:rPr>
        <w:t>无</w:t>
      </w:r>
      <w:r>
        <w:rPr>
          <w:rFonts w:ascii="宋体" w:hAnsi="宋体"/>
          <w:color w:val="auto"/>
          <w:szCs w:val="21"/>
          <w:highlight w:val="none"/>
        </w:rPr>
        <w:t>。</w:t>
      </w:r>
    </w:p>
    <w:p w14:paraId="7F52F1A2">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（1）单机无负荷试车费用由</w:t>
      </w:r>
      <w:r>
        <w:rPr>
          <w:rFonts w:hint="eastAsia" w:ascii="宋体" w:hAnsi="宋体"/>
          <w:color w:val="auto"/>
          <w:szCs w:val="21"/>
          <w:highlight w:val="none"/>
          <w:u w:val="single"/>
        </w:rPr>
        <w:t>无</w:t>
      </w:r>
      <w:r>
        <w:rPr>
          <w:rFonts w:ascii="宋体" w:hAnsi="宋体"/>
          <w:color w:val="auto"/>
          <w:kern w:val="0"/>
          <w:szCs w:val="21"/>
          <w:highlight w:val="none"/>
        </w:rPr>
        <w:t>承担；</w:t>
      </w:r>
    </w:p>
    <w:p w14:paraId="48DAD36B">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（2）无负荷联动试车费用由</w:t>
      </w:r>
      <w:r>
        <w:rPr>
          <w:rFonts w:hint="eastAsia" w:ascii="宋体" w:hAnsi="宋体"/>
          <w:color w:val="auto"/>
          <w:szCs w:val="21"/>
          <w:highlight w:val="none"/>
          <w:u w:val="single"/>
        </w:rPr>
        <w:t>无</w:t>
      </w:r>
      <w:r>
        <w:rPr>
          <w:rFonts w:ascii="宋体" w:hAnsi="宋体"/>
          <w:color w:val="auto"/>
          <w:kern w:val="0"/>
          <w:szCs w:val="21"/>
          <w:highlight w:val="none"/>
        </w:rPr>
        <w:t>承担。</w:t>
      </w:r>
    </w:p>
    <w:p w14:paraId="4928C6BB">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13.3.3 投料试车</w:t>
      </w:r>
    </w:p>
    <w:p w14:paraId="4DB82D21">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关于投料试车相关事项的约定：</w:t>
      </w:r>
      <w:r>
        <w:rPr>
          <w:rFonts w:hint="eastAsia" w:ascii="宋体" w:hAnsi="宋体"/>
          <w:color w:val="auto"/>
          <w:szCs w:val="21"/>
          <w:highlight w:val="none"/>
          <w:u w:val="single"/>
        </w:rPr>
        <w:t>无</w:t>
      </w:r>
      <w:r>
        <w:rPr>
          <w:rFonts w:ascii="宋体" w:hAnsi="宋体"/>
          <w:color w:val="auto"/>
          <w:szCs w:val="21"/>
          <w:highlight w:val="none"/>
        </w:rPr>
        <w:t>。</w:t>
      </w:r>
    </w:p>
    <w:p w14:paraId="4E8EFE8F">
      <w:pPr>
        <w:keepNext/>
        <w:keepLines/>
        <w:spacing w:before="260" w:after="260" w:line="416" w:lineRule="auto"/>
        <w:outlineLvl w:val="2"/>
        <w:rPr>
          <w:rFonts w:ascii="宋体" w:hAnsi="宋体"/>
          <w:b/>
          <w:bCs/>
          <w:color w:val="auto"/>
          <w:sz w:val="32"/>
          <w:szCs w:val="32"/>
          <w:highlight w:val="none"/>
        </w:rPr>
      </w:pPr>
      <w:bookmarkStart w:id="1398" w:name="_Toc531186662"/>
      <w:bookmarkStart w:id="1399" w:name="_Toc470247860"/>
      <w:bookmarkStart w:id="1400" w:name="_Toc472931666"/>
      <w:bookmarkStart w:id="1401" w:name="_Toc454211173"/>
      <w:bookmarkStart w:id="1402" w:name="_Toc373478404"/>
      <w:bookmarkStart w:id="1403" w:name="_Toc461179303"/>
      <w:bookmarkStart w:id="1404" w:name="_Toc389065322"/>
      <w:bookmarkStart w:id="1405" w:name="_Toc529527033"/>
      <w:bookmarkStart w:id="1406" w:name="_Toc432343949"/>
      <w:bookmarkStart w:id="1407" w:name="_Toc373227757"/>
      <w:bookmarkStart w:id="1408" w:name="_Toc530144527"/>
      <w:bookmarkStart w:id="1409" w:name="_Toc529547385"/>
      <w:bookmarkStart w:id="1410" w:name="_Toc411345241"/>
      <w:r>
        <w:rPr>
          <w:rFonts w:ascii="宋体" w:hAnsi="宋体"/>
          <w:b/>
          <w:bCs/>
          <w:color w:val="auto"/>
          <w:sz w:val="32"/>
          <w:szCs w:val="32"/>
          <w:highlight w:val="none"/>
        </w:rPr>
        <w:t>13.6 竣工退场</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7854C46E">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13.6.1 竣工退场</w:t>
      </w:r>
    </w:p>
    <w:p w14:paraId="41186B84">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承包人完成竣工退场的期限：</w:t>
      </w:r>
      <w:r>
        <w:rPr>
          <w:rFonts w:hint="eastAsia" w:ascii="宋体" w:hAnsi="宋体"/>
          <w:color w:val="auto"/>
          <w:szCs w:val="21"/>
          <w:highlight w:val="none"/>
          <w:u w:val="single"/>
        </w:rPr>
        <w:t>按通用合同条款执行</w:t>
      </w:r>
      <w:r>
        <w:rPr>
          <w:rFonts w:ascii="宋体" w:hAnsi="宋体"/>
          <w:color w:val="auto"/>
          <w:kern w:val="0"/>
          <w:szCs w:val="21"/>
          <w:highlight w:val="none"/>
        </w:rPr>
        <w:t>。</w:t>
      </w:r>
    </w:p>
    <w:p w14:paraId="339E7D65">
      <w:pPr>
        <w:keepNext/>
        <w:keepLines/>
        <w:spacing w:before="260" w:after="260" w:line="416" w:lineRule="auto"/>
        <w:outlineLvl w:val="2"/>
        <w:rPr>
          <w:rFonts w:ascii="宋体" w:hAnsi="宋体"/>
          <w:b/>
          <w:bCs/>
          <w:color w:val="auto"/>
          <w:sz w:val="32"/>
          <w:szCs w:val="32"/>
          <w:highlight w:val="none"/>
        </w:rPr>
      </w:pPr>
      <w:bookmarkStart w:id="1411" w:name="_Toc454211174"/>
      <w:bookmarkStart w:id="1412" w:name="_Toc432343950"/>
      <w:bookmarkStart w:id="1413" w:name="_Toc411345242"/>
      <w:bookmarkStart w:id="1414" w:name="_Toc373227758"/>
      <w:bookmarkStart w:id="1415" w:name="_Toc389065323"/>
      <w:bookmarkStart w:id="1416" w:name="_Toc373478405"/>
      <w:bookmarkStart w:id="1417" w:name="_Toc529527034"/>
      <w:bookmarkStart w:id="1418" w:name="_Toc461179304"/>
      <w:bookmarkStart w:id="1419" w:name="_Toc529547386"/>
      <w:bookmarkStart w:id="1420" w:name="_Toc530144528"/>
      <w:bookmarkStart w:id="1421" w:name="_Toc472931667"/>
      <w:bookmarkStart w:id="1422" w:name="_Toc531186663"/>
      <w:bookmarkStart w:id="1423" w:name="_Toc470247861"/>
      <w:bookmarkStart w:id="1424" w:name="_Toc351203646"/>
      <w:r>
        <w:rPr>
          <w:rFonts w:ascii="宋体" w:hAnsi="宋体"/>
          <w:b/>
          <w:bCs/>
          <w:color w:val="auto"/>
          <w:sz w:val="32"/>
          <w:szCs w:val="32"/>
          <w:highlight w:val="none"/>
        </w:rPr>
        <w:t>14. 竣工结算</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05FDEE86">
      <w:pPr>
        <w:keepNext/>
        <w:keepLines/>
        <w:spacing w:before="260" w:after="260" w:line="416" w:lineRule="auto"/>
        <w:outlineLvl w:val="2"/>
        <w:rPr>
          <w:rFonts w:ascii="宋体" w:hAnsi="宋体"/>
          <w:b/>
          <w:bCs/>
          <w:color w:val="auto"/>
          <w:sz w:val="32"/>
          <w:szCs w:val="32"/>
          <w:highlight w:val="none"/>
        </w:rPr>
      </w:pPr>
      <w:bookmarkStart w:id="1425" w:name="_Toc411345243"/>
      <w:bookmarkStart w:id="1426" w:name="_Toc389065324"/>
      <w:bookmarkStart w:id="1427" w:name="_Toc529547387"/>
      <w:bookmarkStart w:id="1428" w:name="_Toc461179305"/>
      <w:bookmarkStart w:id="1429" w:name="_Toc454211175"/>
      <w:bookmarkStart w:id="1430" w:name="_Toc373478406"/>
      <w:bookmarkStart w:id="1431" w:name="_Toc530144529"/>
      <w:bookmarkStart w:id="1432" w:name="_Toc472931668"/>
      <w:bookmarkStart w:id="1433" w:name="_Toc470247862"/>
      <w:bookmarkStart w:id="1434" w:name="_Toc373227759"/>
      <w:bookmarkStart w:id="1435" w:name="_Toc529527035"/>
      <w:bookmarkStart w:id="1436" w:name="_Toc531186664"/>
      <w:bookmarkStart w:id="1437" w:name="_Toc432343951"/>
      <w:r>
        <w:rPr>
          <w:rFonts w:ascii="宋体" w:hAnsi="宋体"/>
          <w:b/>
          <w:bCs/>
          <w:color w:val="auto"/>
          <w:sz w:val="32"/>
          <w:szCs w:val="32"/>
          <w:highlight w:val="none"/>
        </w:rPr>
        <w:t>14.1 竣工付款申请</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14:paraId="4D87E54D">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承包人提交竣工付款申请单的期限：</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4817B62F">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竣工付款申请单应包括的内容：</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4B9004FF">
      <w:pPr>
        <w:keepNext/>
        <w:keepLines/>
        <w:spacing w:before="260" w:after="260" w:line="416" w:lineRule="auto"/>
        <w:outlineLvl w:val="2"/>
        <w:rPr>
          <w:rFonts w:ascii="宋体" w:hAnsi="宋体"/>
          <w:b/>
          <w:bCs/>
          <w:color w:val="auto"/>
          <w:sz w:val="32"/>
          <w:szCs w:val="32"/>
          <w:highlight w:val="none"/>
        </w:rPr>
      </w:pPr>
      <w:bookmarkStart w:id="1438" w:name="_Toc529547388"/>
      <w:bookmarkStart w:id="1439" w:name="_Toc470247863"/>
      <w:bookmarkStart w:id="1440" w:name="_Toc461179306"/>
      <w:bookmarkStart w:id="1441" w:name="_Toc530144530"/>
      <w:bookmarkStart w:id="1442" w:name="_Toc529527036"/>
      <w:bookmarkStart w:id="1443" w:name="_Toc472931669"/>
      <w:bookmarkStart w:id="1444" w:name="_Toc389065325"/>
      <w:bookmarkStart w:id="1445" w:name="_Toc373478407"/>
      <w:bookmarkStart w:id="1446" w:name="_Toc531186665"/>
      <w:bookmarkStart w:id="1447" w:name="_Toc411345244"/>
      <w:bookmarkStart w:id="1448" w:name="_Toc432343952"/>
      <w:bookmarkStart w:id="1449" w:name="_Toc454211176"/>
      <w:bookmarkStart w:id="1450" w:name="_Toc373227760"/>
      <w:r>
        <w:rPr>
          <w:rFonts w:ascii="宋体" w:hAnsi="宋体"/>
          <w:b/>
          <w:bCs/>
          <w:color w:val="auto"/>
          <w:sz w:val="32"/>
          <w:szCs w:val="32"/>
          <w:highlight w:val="none"/>
        </w:rPr>
        <w:t>14.2 竣工结算审核</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623D315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发包人审批竣工付款申请单的期限：</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20"/>
        <w:gridCol w:w="5333"/>
      </w:tblGrid>
      <w:tr w14:paraId="66FC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5E83F9E">
            <w:pPr>
              <w:spacing w:line="360" w:lineRule="auto"/>
              <w:jc w:val="center"/>
              <w:rPr>
                <w:rFonts w:ascii="宋体" w:hAnsi="宋体"/>
                <w:bCs/>
                <w:color w:val="auto"/>
                <w:szCs w:val="21"/>
                <w:highlight w:val="none"/>
              </w:rPr>
            </w:pPr>
          </w:p>
        </w:tc>
        <w:tc>
          <w:tcPr>
            <w:tcW w:w="2420" w:type="dxa"/>
            <w:vAlign w:val="center"/>
          </w:tcPr>
          <w:p w14:paraId="08E9840C">
            <w:pPr>
              <w:spacing w:line="360" w:lineRule="auto"/>
              <w:jc w:val="center"/>
              <w:rPr>
                <w:rFonts w:ascii="宋体" w:hAnsi="宋体"/>
                <w:bCs/>
                <w:color w:val="auto"/>
                <w:szCs w:val="21"/>
                <w:highlight w:val="none"/>
              </w:rPr>
            </w:pPr>
            <w:r>
              <w:rPr>
                <w:rFonts w:ascii="宋体" w:hAnsi="宋体"/>
                <w:bCs/>
                <w:color w:val="auto"/>
                <w:szCs w:val="21"/>
                <w:highlight w:val="none"/>
              </w:rPr>
              <w:t>工程竣工结算报告金额</w:t>
            </w:r>
          </w:p>
        </w:tc>
        <w:tc>
          <w:tcPr>
            <w:tcW w:w="5333" w:type="dxa"/>
            <w:vAlign w:val="center"/>
          </w:tcPr>
          <w:p w14:paraId="2332339E">
            <w:pPr>
              <w:spacing w:line="360" w:lineRule="auto"/>
              <w:jc w:val="center"/>
              <w:rPr>
                <w:rFonts w:ascii="宋体" w:hAnsi="宋体"/>
                <w:bCs/>
                <w:color w:val="auto"/>
                <w:szCs w:val="21"/>
                <w:highlight w:val="none"/>
              </w:rPr>
            </w:pPr>
            <w:r>
              <w:rPr>
                <w:rFonts w:ascii="宋体" w:hAnsi="宋体"/>
                <w:bCs/>
                <w:color w:val="auto"/>
                <w:szCs w:val="21"/>
                <w:highlight w:val="none"/>
              </w:rPr>
              <w:t>发包人审查时间</w:t>
            </w:r>
          </w:p>
        </w:tc>
      </w:tr>
      <w:tr w14:paraId="502A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61D24F8">
            <w:pPr>
              <w:spacing w:line="360" w:lineRule="auto"/>
              <w:jc w:val="center"/>
              <w:rPr>
                <w:rFonts w:ascii="宋体" w:hAnsi="宋体"/>
                <w:bCs/>
                <w:color w:val="auto"/>
                <w:szCs w:val="21"/>
                <w:highlight w:val="none"/>
              </w:rPr>
            </w:pPr>
            <w:r>
              <w:rPr>
                <w:rFonts w:ascii="宋体" w:hAnsi="宋体"/>
                <w:bCs/>
                <w:color w:val="auto"/>
                <w:szCs w:val="21"/>
                <w:highlight w:val="none"/>
              </w:rPr>
              <w:t>1</w:t>
            </w:r>
          </w:p>
        </w:tc>
        <w:tc>
          <w:tcPr>
            <w:tcW w:w="2420" w:type="dxa"/>
            <w:vAlign w:val="center"/>
          </w:tcPr>
          <w:p w14:paraId="5B794861">
            <w:pPr>
              <w:spacing w:line="360" w:lineRule="auto"/>
              <w:jc w:val="center"/>
              <w:rPr>
                <w:rFonts w:ascii="宋体" w:hAnsi="宋体"/>
                <w:bCs/>
                <w:color w:val="auto"/>
                <w:szCs w:val="21"/>
                <w:highlight w:val="none"/>
              </w:rPr>
            </w:pPr>
            <w:r>
              <w:rPr>
                <w:rFonts w:ascii="宋体" w:hAnsi="宋体"/>
                <w:bCs/>
                <w:color w:val="auto"/>
                <w:szCs w:val="21"/>
                <w:highlight w:val="none"/>
              </w:rPr>
              <w:t>500万元以下</w:t>
            </w:r>
          </w:p>
        </w:tc>
        <w:tc>
          <w:tcPr>
            <w:tcW w:w="5333" w:type="dxa"/>
            <w:vAlign w:val="center"/>
          </w:tcPr>
          <w:p w14:paraId="54DB6772">
            <w:pPr>
              <w:spacing w:line="360" w:lineRule="auto"/>
              <w:rPr>
                <w:rFonts w:ascii="宋体" w:hAnsi="宋体"/>
                <w:bCs/>
                <w:color w:val="auto"/>
                <w:szCs w:val="21"/>
                <w:highlight w:val="none"/>
              </w:rPr>
            </w:pPr>
            <w:r>
              <w:rPr>
                <w:rFonts w:ascii="宋体" w:hAnsi="宋体"/>
                <w:bCs/>
                <w:color w:val="auto"/>
                <w:szCs w:val="21"/>
                <w:highlight w:val="none"/>
              </w:rPr>
              <w:t>从接到竣工结算报告和完整的竣工结算资料之日起20天</w:t>
            </w:r>
          </w:p>
        </w:tc>
      </w:tr>
      <w:tr w14:paraId="17BF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DA1DD2A">
            <w:pPr>
              <w:spacing w:line="360" w:lineRule="auto"/>
              <w:jc w:val="center"/>
              <w:rPr>
                <w:rFonts w:ascii="宋体" w:hAnsi="宋体"/>
                <w:bCs/>
                <w:color w:val="auto"/>
                <w:szCs w:val="21"/>
                <w:highlight w:val="none"/>
              </w:rPr>
            </w:pPr>
            <w:r>
              <w:rPr>
                <w:rFonts w:ascii="宋体" w:hAnsi="宋体"/>
                <w:bCs/>
                <w:color w:val="auto"/>
                <w:szCs w:val="21"/>
                <w:highlight w:val="none"/>
              </w:rPr>
              <w:t>2</w:t>
            </w:r>
          </w:p>
        </w:tc>
        <w:tc>
          <w:tcPr>
            <w:tcW w:w="2420" w:type="dxa"/>
            <w:vAlign w:val="center"/>
          </w:tcPr>
          <w:p w14:paraId="5AA34D52">
            <w:pPr>
              <w:spacing w:line="360" w:lineRule="auto"/>
              <w:jc w:val="center"/>
              <w:rPr>
                <w:rFonts w:ascii="宋体" w:hAnsi="宋体"/>
                <w:bCs/>
                <w:color w:val="auto"/>
                <w:szCs w:val="21"/>
                <w:highlight w:val="none"/>
              </w:rPr>
            </w:pPr>
            <w:r>
              <w:rPr>
                <w:rFonts w:ascii="宋体" w:hAnsi="宋体"/>
                <w:bCs/>
                <w:color w:val="auto"/>
                <w:szCs w:val="21"/>
                <w:highlight w:val="none"/>
              </w:rPr>
              <w:t>500万元-2000万元</w:t>
            </w:r>
          </w:p>
        </w:tc>
        <w:tc>
          <w:tcPr>
            <w:tcW w:w="5333" w:type="dxa"/>
            <w:vAlign w:val="center"/>
          </w:tcPr>
          <w:p w14:paraId="44A30B9E">
            <w:pPr>
              <w:spacing w:line="360" w:lineRule="auto"/>
              <w:rPr>
                <w:rFonts w:ascii="宋体" w:hAnsi="宋体"/>
                <w:bCs/>
                <w:color w:val="auto"/>
                <w:szCs w:val="21"/>
                <w:highlight w:val="none"/>
              </w:rPr>
            </w:pPr>
            <w:r>
              <w:rPr>
                <w:rFonts w:ascii="宋体" w:hAnsi="宋体"/>
                <w:bCs/>
                <w:color w:val="auto"/>
                <w:szCs w:val="21"/>
                <w:highlight w:val="none"/>
              </w:rPr>
              <w:t>从接到竣工结算报告和完整的竣工结算资料之日起30天</w:t>
            </w:r>
          </w:p>
        </w:tc>
      </w:tr>
      <w:tr w14:paraId="0C8C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7465EC1">
            <w:pPr>
              <w:spacing w:line="360" w:lineRule="auto"/>
              <w:jc w:val="center"/>
              <w:rPr>
                <w:rFonts w:ascii="宋体" w:hAnsi="宋体"/>
                <w:bCs/>
                <w:color w:val="auto"/>
                <w:szCs w:val="21"/>
                <w:highlight w:val="none"/>
              </w:rPr>
            </w:pPr>
            <w:r>
              <w:rPr>
                <w:rFonts w:ascii="宋体" w:hAnsi="宋体"/>
                <w:bCs/>
                <w:color w:val="auto"/>
                <w:szCs w:val="21"/>
                <w:highlight w:val="none"/>
              </w:rPr>
              <w:t>3</w:t>
            </w:r>
          </w:p>
        </w:tc>
        <w:tc>
          <w:tcPr>
            <w:tcW w:w="2420" w:type="dxa"/>
            <w:vAlign w:val="center"/>
          </w:tcPr>
          <w:p w14:paraId="3AC0EA50">
            <w:pPr>
              <w:spacing w:line="360" w:lineRule="auto"/>
              <w:jc w:val="center"/>
              <w:rPr>
                <w:rFonts w:ascii="宋体" w:hAnsi="宋体"/>
                <w:bCs/>
                <w:color w:val="auto"/>
                <w:szCs w:val="21"/>
                <w:highlight w:val="none"/>
              </w:rPr>
            </w:pPr>
            <w:r>
              <w:rPr>
                <w:rFonts w:ascii="宋体" w:hAnsi="宋体"/>
                <w:bCs/>
                <w:color w:val="auto"/>
                <w:szCs w:val="21"/>
                <w:highlight w:val="none"/>
              </w:rPr>
              <w:t>2000万元-5000万元</w:t>
            </w:r>
          </w:p>
        </w:tc>
        <w:tc>
          <w:tcPr>
            <w:tcW w:w="5333" w:type="dxa"/>
            <w:vAlign w:val="center"/>
          </w:tcPr>
          <w:p w14:paraId="59F5B31A">
            <w:pPr>
              <w:spacing w:line="360" w:lineRule="auto"/>
              <w:rPr>
                <w:rFonts w:ascii="宋体" w:hAnsi="宋体"/>
                <w:bCs/>
                <w:color w:val="auto"/>
                <w:szCs w:val="21"/>
                <w:highlight w:val="none"/>
              </w:rPr>
            </w:pPr>
            <w:r>
              <w:rPr>
                <w:rFonts w:ascii="宋体" w:hAnsi="宋体"/>
                <w:bCs/>
                <w:color w:val="auto"/>
                <w:szCs w:val="21"/>
                <w:highlight w:val="none"/>
              </w:rPr>
              <w:t>从接到竣工结算报告和完整的竣工结算资料之日起45天</w:t>
            </w:r>
          </w:p>
        </w:tc>
      </w:tr>
      <w:tr w14:paraId="50C1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1DAFA89">
            <w:pPr>
              <w:spacing w:line="360" w:lineRule="auto"/>
              <w:jc w:val="center"/>
              <w:rPr>
                <w:rFonts w:ascii="宋体" w:hAnsi="宋体"/>
                <w:bCs/>
                <w:color w:val="auto"/>
                <w:szCs w:val="21"/>
                <w:highlight w:val="none"/>
              </w:rPr>
            </w:pPr>
            <w:r>
              <w:rPr>
                <w:rFonts w:ascii="宋体" w:hAnsi="宋体"/>
                <w:bCs/>
                <w:color w:val="auto"/>
                <w:szCs w:val="21"/>
                <w:highlight w:val="none"/>
              </w:rPr>
              <w:t>4</w:t>
            </w:r>
          </w:p>
        </w:tc>
        <w:tc>
          <w:tcPr>
            <w:tcW w:w="2420" w:type="dxa"/>
            <w:vAlign w:val="center"/>
          </w:tcPr>
          <w:p w14:paraId="123C9341">
            <w:pPr>
              <w:spacing w:line="360" w:lineRule="auto"/>
              <w:jc w:val="center"/>
              <w:rPr>
                <w:rFonts w:ascii="宋体" w:hAnsi="宋体"/>
                <w:bCs/>
                <w:color w:val="auto"/>
                <w:szCs w:val="21"/>
                <w:highlight w:val="none"/>
              </w:rPr>
            </w:pPr>
            <w:r>
              <w:rPr>
                <w:rFonts w:ascii="宋体" w:hAnsi="宋体"/>
                <w:bCs/>
                <w:color w:val="auto"/>
                <w:szCs w:val="21"/>
                <w:highlight w:val="none"/>
              </w:rPr>
              <w:t>5000万元以上</w:t>
            </w:r>
          </w:p>
        </w:tc>
        <w:tc>
          <w:tcPr>
            <w:tcW w:w="5333" w:type="dxa"/>
            <w:vAlign w:val="center"/>
          </w:tcPr>
          <w:p w14:paraId="2B887832">
            <w:pPr>
              <w:spacing w:line="360" w:lineRule="auto"/>
              <w:rPr>
                <w:rFonts w:ascii="宋体" w:hAnsi="宋体"/>
                <w:bCs/>
                <w:color w:val="auto"/>
                <w:szCs w:val="21"/>
                <w:highlight w:val="none"/>
              </w:rPr>
            </w:pPr>
            <w:r>
              <w:rPr>
                <w:rFonts w:ascii="宋体" w:hAnsi="宋体"/>
                <w:bCs/>
                <w:color w:val="auto"/>
                <w:szCs w:val="21"/>
                <w:highlight w:val="none"/>
              </w:rPr>
              <w:t>从接到竣工结算报告和完整的竣工结算资料之日起60天</w:t>
            </w:r>
          </w:p>
        </w:tc>
      </w:tr>
    </w:tbl>
    <w:p w14:paraId="03D3413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因承包人提供的结算资料不完整而需要补充或承包人不按时对账耽误时间时，审查时间应相应顺延。</w:t>
      </w:r>
    </w:p>
    <w:p w14:paraId="55F3CE6F">
      <w:pPr>
        <w:pStyle w:val="256"/>
        <w:spacing w:line="400" w:lineRule="exact"/>
        <w:ind w:firstLine="420" w:firstLineChars="200"/>
        <w:jc w:val="left"/>
        <w:rPr>
          <w:rStyle w:val="59"/>
          <w:rFonts w:hint="eastAsia" w:ascii="宋体" w:hAnsi="宋体" w:eastAsia="宋体" w:cs="宋体"/>
          <w:color w:val="auto"/>
          <w:sz w:val="24"/>
          <w:szCs w:val="24"/>
          <w:highlight w:val="none"/>
          <w:u w:val="single"/>
        </w:rPr>
      </w:pPr>
      <w:r>
        <w:rPr>
          <w:rFonts w:ascii="宋体" w:hAnsi="宋体"/>
          <w:color w:val="auto"/>
          <w:szCs w:val="21"/>
          <w:highlight w:val="none"/>
        </w:rPr>
        <w:t>竣工结算审核约定：</w:t>
      </w:r>
      <w:r>
        <w:rPr>
          <w:rStyle w:val="59"/>
          <w:rFonts w:hint="eastAsia" w:ascii="宋体" w:hAnsi="宋体" w:eastAsia="宋体" w:cs="宋体"/>
          <w:color w:val="auto"/>
          <w:sz w:val="24"/>
          <w:szCs w:val="24"/>
          <w:highlight w:val="none"/>
          <w:u w:val="single"/>
        </w:rPr>
        <w:t>1、工程最终竣工结算达到《防城港市财政局关于印发防城港市本级政府投资建设项目财政投资评审业务改革方案的通知》（防财发〔2019〕31号）规定的评审范围，需报财政部门审定，承包人所编制的工程竣工资料经发包人审核后，送到财政部门之日起，承包人所遗漏的与工程造价有关的签证不再作为结算审核依据，按自动放弃处理。竣工结算以财政评审意见为准。</w:t>
      </w:r>
    </w:p>
    <w:p w14:paraId="0D949F25">
      <w:pPr>
        <w:pStyle w:val="256"/>
        <w:spacing w:line="400" w:lineRule="exact"/>
        <w:ind w:firstLine="480" w:firstLineChars="200"/>
        <w:jc w:val="left"/>
        <w:rPr>
          <w:rStyle w:val="59"/>
          <w:rFonts w:hint="eastAsia" w:ascii="宋体" w:hAnsi="宋体" w:eastAsia="宋体" w:cs="宋体"/>
          <w:color w:val="auto"/>
          <w:sz w:val="24"/>
          <w:szCs w:val="24"/>
          <w:highlight w:val="none"/>
          <w:u w:val="single"/>
        </w:rPr>
      </w:pPr>
      <w:r>
        <w:rPr>
          <w:rStyle w:val="59"/>
          <w:rFonts w:hint="eastAsia" w:ascii="宋体" w:hAnsi="宋体" w:eastAsia="宋体" w:cs="宋体"/>
          <w:color w:val="auto"/>
          <w:sz w:val="24"/>
          <w:szCs w:val="24"/>
          <w:highlight w:val="none"/>
          <w:u w:val="single"/>
        </w:rPr>
        <w:t>2、如承包人报送的工程结算总价过高，造成财政部门</w:t>
      </w:r>
      <w:r>
        <w:rPr>
          <w:rStyle w:val="59"/>
          <w:rFonts w:hint="eastAsia" w:ascii="宋体" w:hAnsi="宋体" w:cs="宋体"/>
          <w:color w:val="auto"/>
          <w:sz w:val="24"/>
          <w:szCs w:val="24"/>
          <w:highlight w:val="none"/>
          <w:u w:val="single"/>
          <w:lang w:eastAsia="zh-CN"/>
        </w:rPr>
        <w:t>、</w:t>
      </w:r>
      <w:r>
        <w:rPr>
          <w:rStyle w:val="59"/>
          <w:rFonts w:hint="eastAsia" w:ascii="宋体" w:hAnsi="宋体" w:eastAsia="宋体" w:cs="宋体"/>
          <w:color w:val="auto"/>
          <w:sz w:val="24"/>
          <w:szCs w:val="24"/>
          <w:highlight w:val="none"/>
          <w:u w:val="single"/>
        </w:rPr>
        <w:t>审计部门</w:t>
      </w:r>
      <w:r>
        <w:rPr>
          <w:rStyle w:val="59"/>
          <w:rFonts w:hint="eastAsia" w:ascii="宋体" w:hAnsi="宋体" w:cs="宋体"/>
          <w:color w:val="auto"/>
          <w:sz w:val="24"/>
          <w:szCs w:val="24"/>
          <w:highlight w:val="none"/>
          <w:u w:val="single"/>
          <w:lang w:val="en-US" w:eastAsia="zh-CN"/>
        </w:rPr>
        <w:t>或第三方造价咨询机构</w:t>
      </w:r>
      <w:r>
        <w:rPr>
          <w:rStyle w:val="59"/>
          <w:rFonts w:hint="eastAsia" w:ascii="宋体" w:hAnsi="宋体" w:eastAsia="宋体" w:cs="宋体"/>
          <w:color w:val="auto"/>
          <w:sz w:val="24"/>
          <w:szCs w:val="24"/>
          <w:highlight w:val="none"/>
          <w:u w:val="single"/>
        </w:rPr>
        <w:t>对该项目结算审减率超过8%以上的，则超出8%以上部分的审核费由承包人承担，审核费上缴至防城港市财政局账户。</w:t>
      </w:r>
    </w:p>
    <w:p w14:paraId="2B591021">
      <w:pPr>
        <w:pStyle w:val="256"/>
        <w:spacing w:line="400" w:lineRule="exact"/>
        <w:ind w:firstLine="480" w:firstLineChars="200"/>
        <w:jc w:val="left"/>
        <w:rPr>
          <w:rStyle w:val="59"/>
          <w:rFonts w:hint="eastAsia" w:ascii="宋体" w:hAnsi="宋体" w:eastAsia="宋体" w:cs="宋体"/>
          <w:color w:val="auto"/>
          <w:sz w:val="24"/>
          <w:szCs w:val="24"/>
          <w:highlight w:val="none"/>
          <w:u w:val="single"/>
        </w:rPr>
      </w:pPr>
      <w:r>
        <w:rPr>
          <w:rStyle w:val="59"/>
          <w:rFonts w:hint="eastAsia" w:ascii="宋体" w:hAnsi="宋体" w:eastAsia="宋体" w:cs="宋体"/>
          <w:color w:val="auto"/>
          <w:sz w:val="24"/>
          <w:szCs w:val="24"/>
          <w:highlight w:val="none"/>
          <w:u w:val="single"/>
        </w:rPr>
        <w:t>3、工程竣工验收报告经发包人认可后10个做工作日内，承包人向发包人递交竣工验收合格资料及完整的结算资料和报告，双方按照本工程合同约定的价格形式及价款调整办法进行工程竣工结算。</w:t>
      </w:r>
    </w:p>
    <w:p w14:paraId="755D9557">
      <w:pPr>
        <w:pStyle w:val="256"/>
        <w:spacing w:line="400" w:lineRule="exact"/>
        <w:ind w:firstLine="480" w:firstLineChars="200"/>
        <w:jc w:val="left"/>
        <w:rPr>
          <w:rStyle w:val="59"/>
          <w:rFonts w:hint="eastAsia" w:ascii="宋体" w:hAnsi="宋体" w:eastAsia="宋体" w:cs="宋体"/>
          <w:color w:val="auto"/>
          <w:sz w:val="24"/>
          <w:szCs w:val="24"/>
          <w:highlight w:val="none"/>
          <w:u w:val="single"/>
        </w:rPr>
      </w:pPr>
      <w:r>
        <w:rPr>
          <w:rStyle w:val="59"/>
          <w:rFonts w:hint="eastAsia" w:ascii="宋体" w:hAnsi="宋体" w:eastAsia="宋体" w:cs="宋体"/>
          <w:color w:val="auto"/>
          <w:sz w:val="24"/>
          <w:szCs w:val="24"/>
          <w:highlight w:val="none"/>
          <w:u w:val="single"/>
        </w:rPr>
        <w:t>4、政府投资工程的结算如需财政部门</w:t>
      </w:r>
      <w:r>
        <w:rPr>
          <w:rStyle w:val="59"/>
          <w:rFonts w:hint="eastAsia" w:ascii="宋体" w:hAnsi="宋体" w:cs="宋体"/>
          <w:color w:val="auto"/>
          <w:sz w:val="24"/>
          <w:szCs w:val="24"/>
          <w:highlight w:val="none"/>
          <w:u w:val="single"/>
          <w:lang w:eastAsia="zh-CN"/>
        </w:rPr>
        <w:t>、</w:t>
      </w:r>
      <w:r>
        <w:rPr>
          <w:rStyle w:val="59"/>
          <w:rFonts w:hint="eastAsia" w:ascii="宋体" w:hAnsi="宋体" w:eastAsia="宋体" w:cs="宋体"/>
          <w:color w:val="auto"/>
          <w:sz w:val="24"/>
          <w:szCs w:val="24"/>
          <w:highlight w:val="none"/>
          <w:u w:val="single"/>
        </w:rPr>
        <w:t>审计部门</w:t>
      </w:r>
      <w:r>
        <w:rPr>
          <w:rStyle w:val="59"/>
          <w:rFonts w:hint="eastAsia" w:ascii="宋体" w:hAnsi="宋体" w:cs="宋体"/>
          <w:color w:val="auto"/>
          <w:sz w:val="24"/>
          <w:szCs w:val="24"/>
          <w:highlight w:val="none"/>
          <w:u w:val="single"/>
          <w:lang w:val="en-US" w:eastAsia="zh-CN"/>
        </w:rPr>
        <w:t>或第三方造价咨询机构</w:t>
      </w:r>
      <w:r>
        <w:rPr>
          <w:rStyle w:val="59"/>
          <w:rFonts w:hint="eastAsia" w:ascii="宋体" w:hAnsi="宋体" w:eastAsia="宋体" w:cs="宋体"/>
          <w:color w:val="auto"/>
          <w:sz w:val="24"/>
          <w:szCs w:val="24"/>
          <w:highlight w:val="none"/>
          <w:u w:val="single"/>
        </w:rPr>
        <w:t>审定，最终结算金额以审定金额为准，不能以发包人审核的结果作为要求支付的依据。审计</w:t>
      </w:r>
      <w:r>
        <w:rPr>
          <w:rStyle w:val="59"/>
          <w:rFonts w:hint="eastAsia" w:ascii="宋体" w:hAnsi="宋体" w:cs="宋体"/>
          <w:color w:val="auto"/>
          <w:sz w:val="24"/>
          <w:szCs w:val="24"/>
          <w:highlight w:val="none"/>
          <w:u w:val="single"/>
          <w:lang w:eastAsia="zh-CN"/>
        </w:rPr>
        <w:t>/财政评审</w:t>
      </w:r>
      <w:r>
        <w:rPr>
          <w:rStyle w:val="59"/>
          <w:rFonts w:hint="eastAsia" w:ascii="宋体" w:hAnsi="宋体" w:eastAsia="宋体" w:cs="宋体"/>
          <w:color w:val="auto"/>
          <w:sz w:val="24"/>
          <w:szCs w:val="24"/>
          <w:highlight w:val="none"/>
          <w:u w:val="single"/>
        </w:rPr>
        <w:t>单位处理相关事宜需要一定时间，发包人</w:t>
      </w:r>
      <w:r>
        <w:rPr>
          <w:rStyle w:val="59"/>
          <w:rFonts w:hint="eastAsia" w:ascii="宋体" w:hAnsi="宋体" w:cs="宋体"/>
          <w:color w:val="auto"/>
          <w:sz w:val="24"/>
          <w:szCs w:val="24"/>
          <w:highlight w:val="none"/>
          <w:u w:val="single"/>
          <w:lang w:eastAsia="zh-CN"/>
        </w:rPr>
        <w:t>应积极敦促</w:t>
      </w:r>
      <w:r>
        <w:rPr>
          <w:rStyle w:val="59"/>
          <w:rFonts w:hint="eastAsia" w:ascii="宋体" w:hAnsi="宋体" w:eastAsia="宋体" w:cs="宋体"/>
          <w:color w:val="auto"/>
          <w:sz w:val="24"/>
          <w:szCs w:val="24"/>
          <w:highlight w:val="none"/>
          <w:u w:val="single"/>
        </w:rPr>
        <w:t>审计</w:t>
      </w:r>
      <w:r>
        <w:rPr>
          <w:rStyle w:val="59"/>
          <w:rFonts w:hint="eastAsia" w:ascii="宋体" w:hAnsi="宋体" w:cs="宋体"/>
          <w:color w:val="auto"/>
          <w:sz w:val="24"/>
          <w:szCs w:val="24"/>
          <w:highlight w:val="none"/>
          <w:u w:val="single"/>
          <w:lang w:eastAsia="zh-CN"/>
        </w:rPr>
        <w:t>/财政评审</w:t>
      </w:r>
      <w:r>
        <w:rPr>
          <w:rStyle w:val="59"/>
          <w:rFonts w:hint="eastAsia" w:ascii="宋体" w:hAnsi="宋体" w:eastAsia="宋体" w:cs="宋体"/>
          <w:color w:val="auto"/>
          <w:sz w:val="24"/>
          <w:szCs w:val="24"/>
          <w:highlight w:val="none"/>
          <w:u w:val="single"/>
        </w:rPr>
        <w:t>单位</w:t>
      </w:r>
      <w:r>
        <w:rPr>
          <w:rStyle w:val="59"/>
          <w:rFonts w:hint="eastAsia" w:ascii="宋体" w:hAnsi="宋体" w:cs="宋体"/>
          <w:color w:val="auto"/>
          <w:sz w:val="24"/>
          <w:szCs w:val="24"/>
          <w:highlight w:val="none"/>
          <w:u w:val="single"/>
          <w:lang w:eastAsia="zh-CN"/>
        </w:rPr>
        <w:t>按相关规定时限完成审核，非因发包人原因导致的审核</w:t>
      </w:r>
      <w:r>
        <w:rPr>
          <w:rStyle w:val="59"/>
          <w:rFonts w:hint="eastAsia" w:ascii="宋体" w:hAnsi="宋体" w:eastAsia="宋体" w:cs="宋体"/>
          <w:color w:val="auto"/>
          <w:sz w:val="24"/>
          <w:szCs w:val="24"/>
          <w:highlight w:val="none"/>
          <w:u w:val="single"/>
        </w:rPr>
        <w:t>拖延</w:t>
      </w:r>
      <w:r>
        <w:rPr>
          <w:rStyle w:val="59"/>
          <w:rFonts w:hint="eastAsia" w:ascii="宋体" w:hAnsi="宋体" w:cs="宋体"/>
          <w:color w:val="auto"/>
          <w:sz w:val="24"/>
          <w:szCs w:val="24"/>
          <w:highlight w:val="none"/>
          <w:u w:val="single"/>
          <w:lang w:eastAsia="zh-CN"/>
        </w:rPr>
        <w:t>，发包人不承担</w:t>
      </w:r>
      <w:r>
        <w:rPr>
          <w:rStyle w:val="59"/>
          <w:rFonts w:hint="eastAsia" w:ascii="宋体" w:hAnsi="宋体" w:eastAsia="宋体" w:cs="宋体"/>
          <w:color w:val="auto"/>
          <w:sz w:val="24"/>
          <w:szCs w:val="24"/>
          <w:highlight w:val="none"/>
          <w:u w:val="single"/>
        </w:rPr>
        <w:t>任何责任。</w:t>
      </w:r>
    </w:p>
    <w:p w14:paraId="551ED921">
      <w:pPr>
        <w:spacing w:line="360" w:lineRule="auto"/>
        <w:jc w:val="left"/>
        <w:rPr>
          <w:rFonts w:ascii="宋体" w:hAnsi="宋体"/>
          <w:color w:val="auto"/>
          <w:szCs w:val="21"/>
          <w:highlight w:val="none"/>
        </w:rPr>
      </w:pPr>
    </w:p>
    <w:p w14:paraId="3AA45885">
      <w:pPr>
        <w:spacing w:line="360" w:lineRule="auto"/>
        <w:ind w:firstLine="420" w:firstLineChars="200"/>
        <w:jc w:val="left"/>
        <w:rPr>
          <w:color w:val="auto"/>
          <w:highlight w:val="none"/>
        </w:rPr>
      </w:pPr>
      <w:r>
        <w:rPr>
          <w:rFonts w:hint="eastAsia" w:ascii="宋体" w:hAnsi="宋体"/>
          <w:color w:val="auto"/>
          <w:szCs w:val="21"/>
          <w:highlight w:val="none"/>
        </w:rPr>
        <w:t>备注：对于国有投资项目结算审核约定，双方可结合各地政府或有关部门出台的管理规定进行局部调整</w:t>
      </w:r>
      <w:r>
        <w:rPr>
          <w:rFonts w:ascii="宋体" w:hAnsi="宋体"/>
          <w:color w:val="auto"/>
          <w:szCs w:val="21"/>
          <w:highlight w:val="none"/>
        </w:rPr>
        <w:t>。</w:t>
      </w:r>
    </w:p>
    <w:p w14:paraId="7610CBE8">
      <w:pPr>
        <w:keepNext/>
        <w:keepLines/>
        <w:spacing w:before="260" w:after="260" w:line="416" w:lineRule="auto"/>
        <w:outlineLvl w:val="2"/>
        <w:rPr>
          <w:rFonts w:ascii="宋体" w:hAnsi="宋体"/>
          <w:b/>
          <w:bCs/>
          <w:color w:val="auto"/>
          <w:sz w:val="32"/>
          <w:szCs w:val="32"/>
          <w:highlight w:val="none"/>
        </w:rPr>
      </w:pPr>
      <w:bookmarkStart w:id="1451" w:name="_Toc529547389"/>
      <w:bookmarkStart w:id="1452" w:name="_Toc432343953"/>
      <w:bookmarkStart w:id="1453" w:name="_Toc411345245"/>
      <w:bookmarkStart w:id="1454" w:name="_Toc531186666"/>
      <w:bookmarkStart w:id="1455" w:name="_Toc373227761"/>
      <w:bookmarkStart w:id="1456" w:name="_Toc529527037"/>
      <w:bookmarkStart w:id="1457" w:name="_Toc389065326"/>
      <w:bookmarkStart w:id="1458" w:name="_Toc461179307"/>
      <w:bookmarkStart w:id="1459" w:name="_Toc454211177"/>
      <w:bookmarkStart w:id="1460" w:name="_Toc470247864"/>
      <w:bookmarkStart w:id="1461" w:name="_Toc530144531"/>
      <w:bookmarkStart w:id="1462" w:name="_Toc373478408"/>
      <w:bookmarkStart w:id="1463" w:name="_Toc472931670"/>
      <w:r>
        <w:rPr>
          <w:rFonts w:ascii="宋体" w:hAnsi="宋体"/>
          <w:b/>
          <w:bCs/>
          <w:color w:val="auto"/>
          <w:sz w:val="32"/>
          <w:szCs w:val="32"/>
          <w:highlight w:val="none"/>
        </w:rPr>
        <w:t>14.4 最终结清</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14:paraId="2390391E">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14.4.1 最终结清申请单</w:t>
      </w:r>
    </w:p>
    <w:p w14:paraId="4F2399B7">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承包人提交最终结清申请单的份数：</w:t>
      </w:r>
      <w:r>
        <w:rPr>
          <w:rFonts w:hint="eastAsia" w:hAnsi="宋体"/>
          <w:color w:val="auto"/>
          <w:szCs w:val="21"/>
          <w:highlight w:val="none"/>
          <w:u w:val="single"/>
          <w:lang w:val="en-US" w:eastAsia="zh-CN"/>
        </w:rPr>
        <w:t xml:space="preserve">    /    </w:t>
      </w:r>
      <w:r>
        <w:rPr>
          <w:rFonts w:ascii="宋体" w:hAnsi="宋体"/>
          <w:color w:val="auto"/>
          <w:szCs w:val="21"/>
          <w:highlight w:val="none"/>
        </w:rPr>
        <w:t>。</w:t>
      </w:r>
    </w:p>
    <w:p w14:paraId="68047014">
      <w:pPr>
        <w:spacing w:line="360" w:lineRule="auto"/>
        <w:ind w:firstLine="420" w:firstLineChars="200"/>
        <w:jc w:val="left"/>
        <w:rPr>
          <w:rFonts w:ascii="宋体" w:hAnsi="宋体"/>
          <w:color w:val="auto"/>
          <w:szCs w:val="21"/>
          <w:highlight w:val="none"/>
        </w:rPr>
      </w:pPr>
      <w:r>
        <w:rPr>
          <w:rFonts w:ascii="宋体" w:hAnsi="宋体"/>
          <w:color w:val="auto"/>
          <w:kern w:val="0"/>
          <w:szCs w:val="21"/>
          <w:highlight w:val="none"/>
        </w:rPr>
        <w:t>承包人提交最终结算申请单的期限：</w:t>
      </w:r>
      <w:r>
        <w:rPr>
          <w:rFonts w:hint="eastAsia" w:hAnsi="宋体"/>
          <w:color w:val="auto"/>
          <w:szCs w:val="21"/>
          <w:highlight w:val="none"/>
          <w:u w:val="single"/>
          <w:lang w:val="en-US" w:eastAsia="zh-CN"/>
        </w:rPr>
        <w:t xml:space="preserve">      /    </w:t>
      </w:r>
      <w:r>
        <w:rPr>
          <w:rFonts w:ascii="宋体" w:hAnsi="宋体"/>
          <w:color w:val="auto"/>
          <w:szCs w:val="21"/>
          <w:highlight w:val="none"/>
        </w:rPr>
        <w:t xml:space="preserve">。 </w:t>
      </w:r>
    </w:p>
    <w:p w14:paraId="0D5F163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14.4.2 最终结清证书和支付</w:t>
      </w:r>
    </w:p>
    <w:p w14:paraId="250DB541">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（1）发包人完成最终结清申请单的审批并颁发最终结清证书的期限：</w:t>
      </w:r>
      <w:r>
        <w:rPr>
          <w:rFonts w:hint="eastAsia" w:hAnsi="宋体"/>
          <w:color w:val="auto"/>
          <w:szCs w:val="21"/>
          <w:highlight w:val="none"/>
          <w:u w:val="single"/>
          <w:lang w:val="en-US" w:eastAsia="zh-CN"/>
        </w:rPr>
        <w:t xml:space="preserve">    /    </w:t>
      </w:r>
      <w:r>
        <w:rPr>
          <w:rFonts w:ascii="宋体" w:hAnsi="宋体"/>
          <w:color w:val="auto"/>
          <w:szCs w:val="21"/>
          <w:highlight w:val="none"/>
        </w:rPr>
        <w:t>。</w:t>
      </w:r>
    </w:p>
    <w:p w14:paraId="724C5F3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（2）发包人完成支付的期限：</w:t>
      </w:r>
      <w:r>
        <w:rPr>
          <w:rFonts w:hint="eastAsia" w:hAnsi="宋体"/>
          <w:color w:val="auto"/>
          <w:szCs w:val="21"/>
          <w:highlight w:val="none"/>
          <w:u w:val="single"/>
          <w:lang w:val="en-US" w:eastAsia="zh-CN"/>
        </w:rPr>
        <w:t xml:space="preserve">      /     </w:t>
      </w:r>
      <w:r>
        <w:rPr>
          <w:rFonts w:ascii="宋体" w:hAnsi="宋体"/>
          <w:color w:val="auto"/>
          <w:szCs w:val="21"/>
          <w:highlight w:val="none"/>
        </w:rPr>
        <w:t>。</w:t>
      </w:r>
    </w:p>
    <w:bookmarkEnd w:id="1372"/>
    <w:bookmarkEnd w:id="1373"/>
    <w:bookmarkEnd w:id="1374"/>
    <w:bookmarkEnd w:id="1375"/>
    <w:bookmarkEnd w:id="1376"/>
    <w:bookmarkEnd w:id="1377"/>
    <w:bookmarkEnd w:id="1378"/>
    <w:bookmarkEnd w:id="1384"/>
    <w:p w14:paraId="194E1473">
      <w:pPr>
        <w:keepNext/>
        <w:keepLines/>
        <w:spacing w:before="260" w:after="260" w:line="416" w:lineRule="auto"/>
        <w:outlineLvl w:val="2"/>
        <w:rPr>
          <w:rFonts w:ascii="宋体" w:hAnsi="宋体"/>
          <w:b/>
          <w:bCs/>
          <w:color w:val="auto"/>
          <w:sz w:val="32"/>
          <w:szCs w:val="32"/>
          <w:highlight w:val="none"/>
        </w:rPr>
      </w:pPr>
      <w:bookmarkStart w:id="1464" w:name="_Toc432343954"/>
      <w:bookmarkStart w:id="1465" w:name="_Toc470247865"/>
      <w:bookmarkStart w:id="1466" w:name="_Toc454211178"/>
      <w:bookmarkStart w:id="1467" w:name="_Toc389065327"/>
      <w:bookmarkStart w:id="1468" w:name="_Toc411345246"/>
      <w:bookmarkStart w:id="1469" w:name="_Toc461179308"/>
      <w:bookmarkStart w:id="1470" w:name="_Toc373478409"/>
      <w:bookmarkStart w:id="1471" w:name="_Toc530144532"/>
      <w:bookmarkStart w:id="1472" w:name="_Toc529527038"/>
      <w:bookmarkStart w:id="1473" w:name="_Toc351203647"/>
      <w:bookmarkStart w:id="1474" w:name="_Toc472931671"/>
      <w:bookmarkStart w:id="1475" w:name="_Toc373227762"/>
      <w:bookmarkStart w:id="1476" w:name="_Toc531186667"/>
      <w:bookmarkStart w:id="1477" w:name="_Toc529547390"/>
      <w:bookmarkStart w:id="1478" w:name="_Toc267251483"/>
      <w:bookmarkStart w:id="1479" w:name="_Toc267251484"/>
      <w:bookmarkStart w:id="1480" w:name="_Toc267251482"/>
      <w:bookmarkStart w:id="1481" w:name="_Toc267251485"/>
      <w:bookmarkStart w:id="1482" w:name="_Toc267251490"/>
      <w:bookmarkStart w:id="1483" w:name="_Toc267251489"/>
      <w:bookmarkStart w:id="1484" w:name="_Toc267251488"/>
      <w:bookmarkStart w:id="1485" w:name="_Toc267251486"/>
      <w:bookmarkStart w:id="1486" w:name="_Toc267251495"/>
      <w:bookmarkStart w:id="1487" w:name="_Toc267251502"/>
      <w:bookmarkStart w:id="1488" w:name="_Toc267251497"/>
      <w:bookmarkStart w:id="1489" w:name="_Toc267251499"/>
      <w:bookmarkStart w:id="1490" w:name="_Toc267251503"/>
      <w:bookmarkStart w:id="1491" w:name="_Toc267251498"/>
      <w:bookmarkStart w:id="1492" w:name="_Toc267251501"/>
      <w:bookmarkStart w:id="1493" w:name="_Toc267251494"/>
      <w:bookmarkStart w:id="1494" w:name="_Toc267251493"/>
      <w:bookmarkStart w:id="1495" w:name="_Toc267251496"/>
      <w:bookmarkStart w:id="1496" w:name="_Toc267251492"/>
      <w:bookmarkStart w:id="1497" w:name="_Toc267251491"/>
      <w:bookmarkStart w:id="1498" w:name="_Toc267251506"/>
      <w:bookmarkStart w:id="1499" w:name="_Toc267251504"/>
      <w:bookmarkStart w:id="1500" w:name="_Toc267251507"/>
      <w:bookmarkStart w:id="1501" w:name="_Toc267251508"/>
      <w:bookmarkStart w:id="1502" w:name="_Toc267251515"/>
      <w:bookmarkStart w:id="1503" w:name="_Toc267251513"/>
      <w:bookmarkStart w:id="1504" w:name="_Toc267251510"/>
      <w:bookmarkStart w:id="1505" w:name="_Toc267251514"/>
      <w:bookmarkStart w:id="1506" w:name="_Toc267251509"/>
      <w:bookmarkStart w:id="1507" w:name="_Toc267251511"/>
      <w:r>
        <w:rPr>
          <w:rFonts w:ascii="宋体" w:hAnsi="宋体"/>
          <w:b/>
          <w:bCs/>
          <w:color w:val="auto"/>
          <w:sz w:val="32"/>
          <w:szCs w:val="32"/>
          <w:highlight w:val="none"/>
        </w:rPr>
        <w:t>15. 缺陷责任期与保修</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14:paraId="653AEC25">
      <w:pPr>
        <w:keepNext/>
        <w:keepLines/>
        <w:spacing w:before="260" w:after="260" w:line="416" w:lineRule="auto"/>
        <w:outlineLvl w:val="2"/>
        <w:rPr>
          <w:rFonts w:ascii="宋体" w:hAnsi="宋体"/>
          <w:b/>
          <w:bCs/>
          <w:color w:val="auto"/>
          <w:sz w:val="32"/>
          <w:szCs w:val="32"/>
          <w:highlight w:val="none"/>
        </w:rPr>
      </w:pPr>
      <w:bookmarkStart w:id="1508" w:name="_Toc530144533"/>
      <w:bookmarkStart w:id="1509" w:name="_Toc470247866"/>
      <w:bookmarkStart w:id="1510" w:name="_Toc389065328"/>
      <w:bookmarkStart w:id="1511" w:name="_Toc531186668"/>
      <w:bookmarkStart w:id="1512" w:name="_Toc373227763"/>
      <w:bookmarkStart w:id="1513" w:name="_Toc529527039"/>
      <w:bookmarkStart w:id="1514" w:name="_Toc373478410"/>
      <w:bookmarkStart w:id="1515" w:name="_Toc529547391"/>
      <w:bookmarkStart w:id="1516" w:name="_Toc472931672"/>
      <w:bookmarkStart w:id="1517" w:name="_Toc454211179"/>
      <w:bookmarkStart w:id="1518" w:name="_Toc461179309"/>
      <w:bookmarkStart w:id="1519" w:name="_Toc411345247"/>
      <w:bookmarkStart w:id="1520" w:name="_Toc432343955"/>
      <w:r>
        <w:rPr>
          <w:rFonts w:ascii="宋体" w:hAnsi="宋体"/>
          <w:b/>
          <w:bCs/>
          <w:color w:val="auto"/>
          <w:sz w:val="32"/>
          <w:szCs w:val="32"/>
          <w:highlight w:val="none"/>
        </w:rPr>
        <w:t>15.2缺陷责任期</w:t>
      </w:r>
      <w:bookmarkEnd w:id="1478"/>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70AB252E">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缺陷责任期的具体期限：</w:t>
      </w:r>
      <w:r>
        <w:rPr>
          <w:rFonts w:hint="eastAsia" w:ascii="宋体" w:hAnsi="宋体" w:eastAsia="宋体" w:cs="Times New Roman"/>
          <w:b/>
          <w:bCs/>
          <w:color w:val="auto"/>
          <w:szCs w:val="21"/>
          <w:highlight w:val="none"/>
          <w:u w:val="single"/>
          <w:lang w:val="en-US" w:eastAsia="zh-CN"/>
        </w:rPr>
        <w:t>12</w:t>
      </w:r>
      <w:r>
        <w:rPr>
          <w:rFonts w:hint="eastAsia" w:ascii="宋体" w:hAnsi="宋体" w:eastAsia="宋体" w:cs="Times New Roman"/>
          <w:b/>
          <w:bCs/>
          <w:color w:val="auto"/>
          <w:szCs w:val="21"/>
          <w:highlight w:val="none"/>
          <w:u w:val="single"/>
        </w:rPr>
        <w:t>个</w:t>
      </w:r>
      <w:r>
        <w:rPr>
          <w:rFonts w:hint="eastAsia" w:ascii="宋体" w:hAnsi="宋体"/>
          <w:b/>
          <w:bCs/>
          <w:color w:val="auto"/>
          <w:szCs w:val="21"/>
          <w:highlight w:val="none"/>
          <w:u w:val="single"/>
        </w:rPr>
        <w:t>月</w:t>
      </w:r>
      <w:r>
        <w:rPr>
          <w:rFonts w:ascii="宋体" w:hAnsi="宋体"/>
          <w:color w:val="auto"/>
          <w:szCs w:val="21"/>
          <w:highlight w:val="none"/>
        </w:rPr>
        <w:t>。</w:t>
      </w:r>
    </w:p>
    <w:p w14:paraId="2C5B97CD">
      <w:pPr>
        <w:keepNext/>
        <w:keepLines/>
        <w:spacing w:before="260" w:after="260" w:line="416" w:lineRule="auto"/>
        <w:outlineLvl w:val="2"/>
        <w:rPr>
          <w:rFonts w:ascii="宋体" w:hAnsi="宋体"/>
          <w:b/>
          <w:bCs/>
          <w:color w:val="auto"/>
          <w:sz w:val="32"/>
          <w:szCs w:val="32"/>
          <w:highlight w:val="none"/>
        </w:rPr>
      </w:pPr>
      <w:bookmarkStart w:id="1521" w:name="_Toc389065329"/>
      <w:bookmarkStart w:id="1522" w:name="_Toc411345248"/>
      <w:bookmarkStart w:id="1523" w:name="_Toc529547392"/>
      <w:bookmarkStart w:id="1524" w:name="_Toc530144534"/>
      <w:bookmarkStart w:id="1525" w:name="_Toc454211180"/>
      <w:bookmarkStart w:id="1526" w:name="_Toc461179310"/>
      <w:bookmarkStart w:id="1527" w:name="_Toc531186669"/>
      <w:bookmarkStart w:id="1528" w:name="_Toc373227764"/>
      <w:bookmarkStart w:id="1529" w:name="_Toc529527040"/>
      <w:bookmarkStart w:id="1530" w:name="_Toc470247867"/>
      <w:bookmarkStart w:id="1531" w:name="_Toc373478411"/>
      <w:bookmarkStart w:id="1532" w:name="_Toc472931673"/>
      <w:bookmarkStart w:id="1533" w:name="_Toc432343956"/>
      <w:r>
        <w:rPr>
          <w:rFonts w:ascii="宋体" w:hAnsi="宋体"/>
          <w:b/>
          <w:bCs/>
          <w:color w:val="auto"/>
          <w:sz w:val="32"/>
          <w:szCs w:val="32"/>
          <w:highlight w:val="none"/>
        </w:rPr>
        <w:t>15.3 质量保证金</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14:paraId="38951AA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关于是否扣留质量保证金的约定：</w:t>
      </w:r>
      <w:r>
        <w:rPr>
          <w:rFonts w:hint="eastAsia" w:ascii="宋体" w:hAnsi="宋体"/>
          <w:color w:val="auto"/>
          <w:szCs w:val="21"/>
          <w:highlight w:val="none"/>
          <w:u w:val="single"/>
        </w:rPr>
        <w:t>扣留</w:t>
      </w:r>
      <w:r>
        <w:rPr>
          <w:rFonts w:ascii="宋体" w:hAnsi="宋体"/>
          <w:color w:val="auto"/>
          <w:szCs w:val="21"/>
          <w:highlight w:val="none"/>
        </w:rPr>
        <w:t>。</w:t>
      </w:r>
    </w:p>
    <w:p w14:paraId="27B9346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15.3.1 承包人提供质量保证金的方式</w:t>
      </w:r>
    </w:p>
    <w:p w14:paraId="7B1DC64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质量保证金采用以下第</w:t>
      </w:r>
      <w:r>
        <w:rPr>
          <w:rFonts w:hint="eastAsia" w:ascii="宋体" w:hAnsi="宋体"/>
          <w:b/>
          <w:bCs/>
          <w:color w:val="auto"/>
          <w:szCs w:val="21"/>
          <w:highlight w:val="none"/>
          <w:u w:val="single"/>
        </w:rPr>
        <w:t>（2）</w:t>
      </w:r>
      <w:r>
        <w:rPr>
          <w:rFonts w:ascii="宋体" w:hAnsi="宋体"/>
          <w:color w:val="auto"/>
          <w:szCs w:val="21"/>
          <w:highlight w:val="none"/>
        </w:rPr>
        <w:t>种方式：</w:t>
      </w:r>
    </w:p>
    <w:p w14:paraId="63B09781">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（1）质量保证金保函，保证金额为：；</w:t>
      </w:r>
    </w:p>
    <w:p w14:paraId="66540F37">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ascii="宋体" w:hAnsi="宋体"/>
          <w:bCs/>
          <w:color w:val="auto"/>
          <w:szCs w:val="21"/>
          <w:highlight w:val="none"/>
        </w:rPr>
        <w:t>发包人按工程价款结算总额的</w:t>
      </w:r>
      <w:r>
        <w:rPr>
          <w:rFonts w:hint="eastAsia" w:ascii="宋体" w:hAnsi="宋体"/>
          <w:b/>
          <w:color w:val="auto"/>
          <w:szCs w:val="21"/>
          <w:highlight w:val="none"/>
          <w:u w:val="single"/>
        </w:rPr>
        <w:t xml:space="preserve"> 3 </w:t>
      </w:r>
      <w:r>
        <w:rPr>
          <w:rFonts w:ascii="宋体" w:hAnsi="宋体"/>
          <w:bCs/>
          <w:color w:val="auto"/>
          <w:szCs w:val="21"/>
          <w:highlight w:val="none"/>
        </w:rPr>
        <w:t>%预留工程质量保修金，待</w:t>
      </w:r>
      <w:r>
        <w:rPr>
          <w:rFonts w:hint="eastAsia" w:ascii="宋体" w:hAnsi="宋体"/>
          <w:bCs/>
          <w:color w:val="auto"/>
          <w:szCs w:val="21"/>
          <w:highlight w:val="none"/>
        </w:rPr>
        <w:t>缺陷责任期</w:t>
      </w:r>
      <w:r>
        <w:rPr>
          <w:rFonts w:ascii="宋体" w:hAnsi="宋体"/>
          <w:bCs/>
          <w:color w:val="auto"/>
          <w:szCs w:val="21"/>
          <w:highlight w:val="none"/>
        </w:rPr>
        <w:t>满后返还</w:t>
      </w:r>
      <w:r>
        <w:rPr>
          <w:rFonts w:ascii="宋体" w:hAnsi="宋体"/>
          <w:color w:val="auto"/>
          <w:kern w:val="0"/>
          <w:szCs w:val="21"/>
          <w:highlight w:val="none"/>
        </w:rPr>
        <w:t>；</w:t>
      </w:r>
    </w:p>
    <w:p w14:paraId="26A9BF97">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（3）其他方式</w:t>
      </w:r>
      <w:r>
        <w:rPr>
          <w:rFonts w:hint="eastAsia" w:ascii="宋体" w:hAnsi="宋体"/>
          <w:color w:val="auto"/>
          <w:kern w:val="0"/>
          <w:szCs w:val="21"/>
          <w:highlight w:val="none"/>
        </w:rPr>
        <w:t>：</w:t>
      </w:r>
      <w:r>
        <w:rPr>
          <w:rFonts w:hint="eastAsia" w:ascii="宋体" w:hAnsi="宋体"/>
          <w:bCs/>
          <w:color w:val="auto"/>
          <w:szCs w:val="21"/>
          <w:highlight w:val="none"/>
          <w:u w:val="single"/>
        </w:rPr>
        <w:t xml:space="preserve">    /     </w:t>
      </w:r>
      <w:r>
        <w:rPr>
          <w:rFonts w:ascii="宋体" w:hAnsi="宋体"/>
          <w:bCs/>
          <w:color w:val="auto"/>
          <w:szCs w:val="21"/>
          <w:highlight w:val="none"/>
        </w:rPr>
        <w:t>。</w:t>
      </w:r>
    </w:p>
    <w:p w14:paraId="27E5EEE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15.3.2 质量保证金的扣留</w:t>
      </w:r>
    </w:p>
    <w:p w14:paraId="760EF67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质量保证金的扣留采取以下第</w:t>
      </w:r>
      <w:r>
        <w:rPr>
          <w:rFonts w:hint="eastAsia" w:ascii="宋体" w:hAnsi="宋体"/>
          <w:b/>
          <w:bCs/>
          <w:color w:val="auto"/>
          <w:szCs w:val="21"/>
          <w:highlight w:val="none"/>
          <w:u w:val="single"/>
        </w:rPr>
        <w:t>（2）</w:t>
      </w:r>
      <w:r>
        <w:rPr>
          <w:rFonts w:ascii="宋体" w:hAnsi="宋体"/>
          <w:color w:val="auto"/>
          <w:szCs w:val="21"/>
          <w:highlight w:val="none"/>
        </w:rPr>
        <w:t>种方式：</w:t>
      </w:r>
    </w:p>
    <w:p w14:paraId="3C9FCEC5">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14:paraId="3AA7FBF7">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（2）工程竣工结算时一次性扣留质量保证金；</w:t>
      </w:r>
    </w:p>
    <w:p w14:paraId="66464990">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（3）其他扣留方式:</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05FDA7A5">
      <w:pPr>
        <w:spacing w:line="360" w:lineRule="auto"/>
        <w:ind w:firstLine="420" w:firstLineChars="200"/>
        <w:jc w:val="left"/>
        <w:rPr>
          <w:rFonts w:ascii="宋体" w:hAnsi="宋体"/>
          <w:color w:val="auto"/>
          <w:kern w:val="0"/>
          <w:szCs w:val="21"/>
          <w:highlight w:val="none"/>
          <w:u w:val="single"/>
        </w:rPr>
      </w:pPr>
      <w:r>
        <w:rPr>
          <w:rFonts w:ascii="宋体" w:hAnsi="宋体"/>
          <w:color w:val="auto"/>
          <w:szCs w:val="21"/>
          <w:highlight w:val="none"/>
        </w:rPr>
        <w:t>关于质量保证金的补充约定：</w:t>
      </w:r>
      <w:r>
        <w:rPr>
          <w:rFonts w:hint="eastAsia" w:ascii="宋体" w:hAnsi="宋体"/>
          <w:color w:val="auto"/>
          <w:kern w:val="0"/>
          <w:szCs w:val="21"/>
          <w:highlight w:val="none"/>
          <w:u w:val="single"/>
        </w:rPr>
        <w:t>/</w:t>
      </w:r>
      <w:r>
        <w:rPr>
          <w:rFonts w:ascii="宋体" w:hAnsi="宋体"/>
          <w:color w:val="auto"/>
          <w:kern w:val="0"/>
          <w:szCs w:val="21"/>
          <w:highlight w:val="none"/>
        </w:rPr>
        <w:t>。</w:t>
      </w:r>
    </w:p>
    <w:bookmarkEnd w:id="1479"/>
    <w:bookmarkEnd w:id="1480"/>
    <w:p w14:paraId="44F73BBB">
      <w:pPr>
        <w:keepNext/>
        <w:keepLines/>
        <w:spacing w:before="260" w:after="260" w:line="416" w:lineRule="auto"/>
        <w:outlineLvl w:val="2"/>
        <w:rPr>
          <w:rFonts w:ascii="宋体" w:hAnsi="宋体"/>
          <w:b/>
          <w:bCs/>
          <w:color w:val="auto"/>
          <w:sz w:val="32"/>
          <w:szCs w:val="32"/>
          <w:highlight w:val="none"/>
        </w:rPr>
      </w:pPr>
      <w:bookmarkStart w:id="1534" w:name="_Toc373478412"/>
      <w:bookmarkStart w:id="1535" w:name="_Toc373227765"/>
      <w:bookmarkStart w:id="1536" w:name="_Toc389065330"/>
      <w:bookmarkStart w:id="1537" w:name="_Toc411345249"/>
      <w:bookmarkStart w:id="1538" w:name="_Toc529547393"/>
      <w:bookmarkStart w:id="1539" w:name="_Toc530144535"/>
      <w:bookmarkStart w:id="1540" w:name="_Toc529527041"/>
      <w:bookmarkStart w:id="1541" w:name="_Toc470247868"/>
      <w:bookmarkStart w:id="1542" w:name="_Toc461179311"/>
      <w:bookmarkStart w:id="1543" w:name="_Toc432343957"/>
      <w:bookmarkStart w:id="1544" w:name="_Toc531186670"/>
      <w:bookmarkStart w:id="1545" w:name="_Toc472931674"/>
      <w:bookmarkStart w:id="1546" w:name="_Toc454211181"/>
      <w:r>
        <w:rPr>
          <w:rFonts w:ascii="宋体" w:hAnsi="宋体"/>
          <w:b/>
          <w:bCs/>
          <w:color w:val="auto"/>
          <w:sz w:val="32"/>
          <w:szCs w:val="32"/>
          <w:highlight w:val="none"/>
        </w:rPr>
        <w:t>15.4保修</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p>
    <w:bookmarkEnd w:id="1481"/>
    <w:p w14:paraId="6406782A">
      <w:pPr>
        <w:spacing w:line="360" w:lineRule="auto"/>
        <w:ind w:firstLine="409" w:firstLineChars="195"/>
        <w:jc w:val="left"/>
        <w:rPr>
          <w:rFonts w:ascii="宋体" w:hAnsi="宋体"/>
          <w:color w:val="auto"/>
          <w:szCs w:val="21"/>
          <w:highlight w:val="none"/>
        </w:rPr>
      </w:pPr>
      <w:r>
        <w:rPr>
          <w:rFonts w:ascii="宋体" w:hAnsi="宋体"/>
          <w:color w:val="auto"/>
          <w:szCs w:val="21"/>
          <w:highlight w:val="none"/>
        </w:rPr>
        <w:t>15.4.1 保修责任</w:t>
      </w:r>
    </w:p>
    <w:p w14:paraId="4AE1541D">
      <w:pPr>
        <w:spacing w:line="360" w:lineRule="auto"/>
        <w:ind w:firstLine="409" w:firstLineChars="195"/>
        <w:jc w:val="left"/>
        <w:rPr>
          <w:rFonts w:ascii="宋体" w:hAnsi="宋体"/>
          <w:color w:val="auto"/>
          <w:kern w:val="0"/>
          <w:szCs w:val="21"/>
          <w:highlight w:val="none"/>
        </w:rPr>
      </w:pPr>
      <w:r>
        <w:rPr>
          <w:rFonts w:ascii="宋体" w:hAnsi="宋体"/>
          <w:color w:val="auto"/>
          <w:szCs w:val="21"/>
          <w:highlight w:val="none"/>
        </w:rPr>
        <w:t>工程保修期为：</w:t>
      </w:r>
      <w:r>
        <w:rPr>
          <w:rFonts w:hint="eastAsia" w:ascii="宋体" w:hAnsi="宋体"/>
          <w:color w:val="auto"/>
          <w:kern w:val="0"/>
          <w:szCs w:val="21"/>
          <w:highlight w:val="none"/>
          <w:u w:val="single"/>
        </w:rPr>
        <w:t>见工程质量保修书</w:t>
      </w:r>
      <w:r>
        <w:rPr>
          <w:rFonts w:ascii="宋体" w:hAnsi="宋体"/>
          <w:color w:val="auto"/>
          <w:kern w:val="0"/>
          <w:szCs w:val="21"/>
          <w:highlight w:val="none"/>
        </w:rPr>
        <w:t>。</w:t>
      </w:r>
    </w:p>
    <w:p w14:paraId="2B9A5557">
      <w:pPr>
        <w:spacing w:line="360" w:lineRule="auto"/>
        <w:ind w:firstLine="409" w:firstLineChars="195"/>
        <w:jc w:val="left"/>
        <w:rPr>
          <w:rFonts w:ascii="宋体" w:hAnsi="宋体"/>
          <w:color w:val="auto"/>
          <w:kern w:val="0"/>
          <w:szCs w:val="21"/>
          <w:highlight w:val="none"/>
          <w:u w:val="single"/>
        </w:rPr>
      </w:pPr>
      <w:r>
        <w:rPr>
          <w:rFonts w:hint="eastAsia" w:ascii="宋体" w:hAnsi="宋体"/>
          <w:color w:val="auto"/>
          <w:szCs w:val="21"/>
          <w:highlight w:val="none"/>
        </w:rPr>
        <w:t>工程保修书具体内容见合同附件8。</w:t>
      </w:r>
    </w:p>
    <w:p w14:paraId="7CFC5757">
      <w:pPr>
        <w:spacing w:line="360" w:lineRule="auto"/>
        <w:ind w:firstLine="409" w:firstLineChars="195"/>
        <w:jc w:val="left"/>
        <w:rPr>
          <w:rFonts w:ascii="宋体" w:hAnsi="宋体"/>
          <w:color w:val="auto"/>
          <w:szCs w:val="21"/>
          <w:highlight w:val="none"/>
        </w:rPr>
      </w:pPr>
      <w:r>
        <w:rPr>
          <w:rFonts w:ascii="宋体" w:hAnsi="宋体"/>
          <w:color w:val="auto"/>
          <w:szCs w:val="21"/>
          <w:highlight w:val="none"/>
        </w:rPr>
        <w:t>15.4.3 修复通知</w:t>
      </w:r>
    </w:p>
    <w:p w14:paraId="0022E800">
      <w:pPr>
        <w:spacing w:line="360" w:lineRule="auto"/>
        <w:ind w:firstLine="409" w:firstLineChars="195"/>
        <w:jc w:val="left"/>
        <w:rPr>
          <w:rFonts w:ascii="宋体" w:hAnsi="宋体"/>
          <w:color w:val="auto"/>
          <w:kern w:val="0"/>
          <w:szCs w:val="21"/>
          <w:highlight w:val="none"/>
          <w:u w:val="single"/>
        </w:rPr>
      </w:pPr>
      <w:r>
        <w:rPr>
          <w:rFonts w:ascii="宋体" w:hAnsi="宋体"/>
          <w:color w:val="auto"/>
          <w:kern w:val="0"/>
          <w:szCs w:val="21"/>
          <w:highlight w:val="none"/>
        </w:rPr>
        <w:t>承包人收到保修通知并到达工程现场的合理时间：</w:t>
      </w:r>
      <w:r>
        <w:rPr>
          <w:rFonts w:hint="eastAsia" w:ascii="宋体" w:hAnsi="宋体"/>
          <w:color w:val="auto"/>
          <w:kern w:val="0"/>
          <w:szCs w:val="21"/>
          <w:highlight w:val="none"/>
          <w:u w:val="single"/>
        </w:rPr>
        <w:t>见工程质量保修书</w:t>
      </w:r>
      <w:r>
        <w:rPr>
          <w:rFonts w:ascii="宋体" w:hAnsi="宋体"/>
          <w:color w:val="auto"/>
          <w:kern w:val="0"/>
          <w:szCs w:val="21"/>
          <w:highlight w:val="none"/>
        </w:rPr>
        <w:t>。</w:t>
      </w:r>
    </w:p>
    <w:bookmarkEnd w:id="1482"/>
    <w:bookmarkEnd w:id="1483"/>
    <w:bookmarkEnd w:id="1484"/>
    <w:bookmarkEnd w:id="1485"/>
    <w:p w14:paraId="556C95EE">
      <w:pPr>
        <w:keepNext/>
        <w:keepLines/>
        <w:spacing w:before="260" w:after="260" w:line="416" w:lineRule="auto"/>
        <w:outlineLvl w:val="2"/>
        <w:rPr>
          <w:rFonts w:ascii="宋体" w:hAnsi="宋体"/>
          <w:b/>
          <w:bCs/>
          <w:color w:val="auto"/>
          <w:sz w:val="32"/>
          <w:szCs w:val="32"/>
          <w:highlight w:val="none"/>
        </w:rPr>
      </w:pPr>
      <w:bookmarkStart w:id="1547" w:name="_Toc472931675"/>
      <w:bookmarkStart w:id="1548" w:name="_Toc529527042"/>
      <w:bookmarkStart w:id="1549" w:name="_Toc530144536"/>
      <w:bookmarkStart w:id="1550" w:name="_Toc411345250"/>
      <w:bookmarkStart w:id="1551" w:name="_Toc389065331"/>
      <w:bookmarkStart w:id="1552" w:name="_Toc531186671"/>
      <w:bookmarkStart w:id="1553" w:name="_Toc373227766"/>
      <w:bookmarkStart w:id="1554" w:name="_Toc432343958"/>
      <w:bookmarkStart w:id="1555" w:name="_Toc461179312"/>
      <w:bookmarkStart w:id="1556" w:name="_Toc529547394"/>
      <w:bookmarkStart w:id="1557" w:name="_Toc454211182"/>
      <w:bookmarkStart w:id="1558" w:name="_Toc351203648"/>
      <w:bookmarkStart w:id="1559" w:name="_Toc373478413"/>
      <w:bookmarkStart w:id="1560" w:name="_Toc470247869"/>
      <w:bookmarkStart w:id="1561" w:name="_Toc280868717"/>
      <w:bookmarkStart w:id="1562" w:name="_Toc280868718"/>
      <w:r>
        <w:rPr>
          <w:rFonts w:ascii="宋体" w:hAnsi="宋体"/>
          <w:b/>
          <w:bCs/>
          <w:color w:val="auto"/>
          <w:sz w:val="32"/>
          <w:szCs w:val="32"/>
          <w:highlight w:val="none"/>
        </w:rPr>
        <w:t>16. 违约</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33F34C36">
      <w:pPr>
        <w:keepNext/>
        <w:keepLines/>
        <w:spacing w:before="260" w:after="260" w:line="416" w:lineRule="auto"/>
        <w:outlineLvl w:val="2"/>
        <w:rPr>
          <w:rFonts w:ascii="宋体" w:hAnsi="宋体"/>
          <w:b/>
          <w:bCs/>
          <w:color w:val="auto"/>
          <w:sz w:val="32"/>
          <w:szCs w:val="32"/>
          <w:highlight w:val="none"/>
        </w:rPr>
      </w:pPr>
      <w:bookmarkStart w:id="1563" w:name="_Toc454211183"/>
      <w:bookmarkStart w:id="1564" w:name="_Toc373478414"/>
      <w:bookmarkStart w:id="1565" w:name="_Toc389065332"/>
      <w:bookmarkStart w:id="1566" w:name="_Toc530144537"/>
      <w:bookmarkStart w:id="1567" w:name="_Toc529527043"/>
      <w:bookmarkStart w:id="1568" w:name="_Toc461179313"/>
      <w:bookmarkStart w:id="1569" w:name="_Toc432343959"/>
      <w:bookmarkStart w:id="1570" w:name="_Toc411345251"/>
      <w:bookmarkStart w:id="1571" w:name="_Toc531186672"/>
      <w:bookmarkStart w:id="1572" w:name="_Toc373227767"/>
      <w:bookmarkStart w:id="1573" w:name="_Toc529547395"/>
      <w:bookmarkStart w:id="1574" w:name="_Toc470247870"/>
      <w:bookmarkStart w:id="1575" w:name="_Toc472931676"/>
      <w:r>
        <w:rPr>
          <w:rFonts w:ascii="宋体" w:hAnsi="宋体"/>
          <w:b/>
          <w:bCs/>
          <w:color w:val="auto"/>
          <w:sz w:val="32"/>
          <w:szCs w:val="32"/>
          <w:highlight w:val="none"/>
        </w:rPr>
        <w:t>16.1 发包人违约</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6B451DE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16.1.1发包人违约的情形</w:t>
      </w:r>
    </w:p>
    <w:p w14:paraId="5D8F63FC">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发包人违约的其他情形：</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1895E527">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16.1.2 发包人违约的责任</w:t>
      </w:r>
    </w:p>
    <w:p w14:paraId="0073DD67">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发包人违约责任的承担方式和计算方法：</w:t>
      </w:r>
    </w:p>
    <w:p w14:paraId="1CCAA1B9">
      <w:pPr>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hint="eastAsia" w:ascii="宋体" w:hAnsi="宋体"/>
          <w:color w:val="auto"/>
          <w:kern w:val="0"/>
          <w:szCs w:val="21"/>
          <w:highlight w:val="none"/>
          <w:u w:val="single"/>
        </w:rPr>
        <w:t>工期顺延</w:t>
      </w:r>
      <w:r>
        <w:rPr>
          <w:rFonts w:ascii="宋体" w:hAnsi="宋体"/>
          <w:color w:val="auto"/>
          <w:kern w:val="0"/>
          <w:szCs w:val="21"/>
          <w:highlight w:val="none"/>
        </w:rPr>
        <w:t>。</w:t>
      </w:r>
    </w:p>
    <w:p w14:paraId="6DC9B7FF">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2C193517">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（3）发包人违反第10.1款〔变更的范围〕第（2）项约定，自行实施被取消的工作或转由他人实施的违约责任：</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646BB689">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工期顺延</w:t>
      </w:r>
      <w:r>
        <w:rPr>
          <w:rFonts w:ascii="宋体" w:hAnsi="宋体"/>
          <w:color w:val="auto"/>
          <w:kern w:val="0"/>
          <w:szCs w:val="21"/>
          <w:highlight w:val="none"/>
        </w:rPr>
        <w:t>。</w:t>
      </w:r>
    </w:p>
    <w:p w14:paraId="3BC50DA6">
      <w:pPr>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（5）因发包人违反合同约定造成暂停施工的违约责任：</w:t>
      </w:r>
      <w:r>
        <w:rPr>
          <w:rFonts w:hint="eastAsia" w:ascii="宋体" w:hAnsi="宋体"/>
          <w:color w:val="auto"/>
          <w:kern w:val="0"/>
          <w:szCs w:val="21"/>
          <w:highlight w:val="none"/>
          <w:u w:val="single"/>
        </w:rPr>
        <w:t>工期顺延</w:t>
      </w:r>
      <w:r>
        <w:rPr>
          <w:rFonts w:ascii="宋体" w:hAnsi="宋体"/>
          <w:color w:val="auto"/>
          <w:kern w:val="0"/>
          <w:szCs w:val="21"/>
          <w:highlight w:val="none"/>
        </w:rPr>
        <w:t>。</w:t>
      </w:r>
    </w:p>
    <w:p w14:paraId="3723D826">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hint="eastAsia" w:ascii="宋体" w:hAnsi="宋体"/>
          <w:color w:val="auto"/>
          <w:kern w:val="0"/>
          <w:szCs w:val="21"/>
          <w:highlight w:val="none"/>
          <w:u w:val="single"/>
        </w:rPr>
        <w:t>工期顺延</w:t>
      </w:r>
      <w:r>
        <w:rPr>
          <w:rFonts w:ascii="宋体" w:hAnsi="宋体"/>
          <w:color w:val="auto"/>
          <w:kern w:val="0"/>
          <w:szCs w:val="21"/>
          <w:highlight w:val="none"/>
        </w:rPr>
        <w:t>。</w:t>
      </w:r>
    </w:p>
    <w:p w14:paraId="10999743">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（7）其他：</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52F0D56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16.1.3 因发包人违约解除合同</w:t>
      </w:r>
    </w:p>
    <w:p w14:paraId="335A2370">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承包人按16.1.1项〔发包人违约的情形〕约定暂停施工满</w:t>
      </w:r>
      <w:r>
        <w:rPr>
          <w:rFonts w:hint="eastAsia" w:ascii="宋体" w:hAnsi="宋体"/>
          <w:color w:val="auto"/>
          <w:kern w:val="0"/>
          <w:szCs w:val="21"/>
          <w:highlight w:val="none"/>
          <w:u w:val="single"/>
        </w:rPr>
        <w:t>84</w:t>
      </w:r>
      <w:r>
        <w:rPr>
          <w:rFonts w:hint="eastAsia" w:ascii="宋体" w:hAnsi="宋体"/>
          <w:color w:val="auto"/>
          <w:kern w:val="0"/>
          <w:szCs w:val="21"/>
          <w:highlight w:val="none"/>
        </w:rPr>
        <w:t>天后发包人仍不纠正其违约行为并致使合同目的不能实现的，承包人有权解除合同。</w:t>
      </w:r>
    </w:p>
    <w:p w14:paraId="243FC8F7">
      <w:pPr>
        <w:keepNext/>
        <w:keepLines/>
        <w:spacing w:before="260" w:after="260" w:line="416" w:lineRule="auto"/>
        <w:outlineLvl w:val="2"/>
        <w:rPr>
          <w:rFonts w:ascii="宋体" w:hAnsi="宋体"/>
          <w:b/>
          <w:bCs/>
          <w:color w:val="auto"/>
          <w:sz w:val="32"/>
          <w:szCs w:val="32"/>
          <w:highlight w:val="none"/>
        </w:rPr>
      </w:pPr>
      <w:bookmarkStart w:id="1576" w:name="_Toc529547396"/>
      <w:bookmarkStart w:id="1577" w:name="_Toc470247871"/>
      <w:bookmarkStart w:id="1578" w:name="_Toc389065333"/>
      <w:bookmarkStart w:id="1579" w:name="_Toc472931677"/>
      <w:bookmarkStart w:id="1580" w:name="_Toc373227768"/>
      <w:bookmarkStart w:id="1581" w:name="_Toc454211184"/>
      <w:bookmarkStart w:id="1582" w:name="_Toc432343960"/>
      <w:bookmarkStart w:id="1583" w:name="_Toc411345252"/>
      <w:bookmarkStart w:id="1584" w:name="_Toc461179314"/>
      <w:bookmarkStart w:id="1585" w:name="_Toc531186673"/>
      <w:bookmarkStart w:id="1586" w:name="_Toc529527044"/>
      <w:bookmarkStart w:id="1587" w:name="_Toc530144538"/>
      <w:bookmarkStart w:id="1588" w:name="_Toc373478415"/>
      <w:r>
        <w:rPr>
          <w:rFonts w:ascii="宋体" w:hAnsi="宋体"/>
          <w:b/>
          <w:bCs/>
          <w:color w:val="auto"/>
          <w:sz w:val="32"/>
          <w:szCs w:val="32"/>
          <w:highlight w:val="none"/>
        </w:rPr>
        <w:t>16.2 承包人违约</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1B67A298">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16.2.1 承包人违约的情形</w:t>
      </w:r>
    </w:p>
    <w:p w14:paraId="4EAB1F87">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承包人违约的其他情形：</w:t>
      </w:r>
    </w:p>
    <w:p w14:paraId="7D135898">
      <w:pPr>
        <w:numPr>
          <w:ilvl w:val="0"/>
          <w:numId w:val="1"/>
        </w:numPr>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u w:val="single"/>
        </w:rPr>
        <w:t>承包人未经发包人、监理人事先同意，擅自更换合同工程项目经理、技术负责人</w:t>
      </w:r>
      <w:r>
        <w:rPr>
          <w:rFonts w:hint="eastAsia" w:hAnsi="宋体"/>
          <w:color w:val="auto"/>
          <w:kern w:val="0"/>
          <w:szCs w:val="21"/>
          <w:highlight w:val="none"/>
          <w:u w:val="single"/>
          <w:lang w:eastAsia="zh-CN"/>
        </w:rPr>
        <w:t>、专职安全员及</w:t>
      </w:r>
      <w:r>
        <w:rPr>
          <w:rFonts w:hint="eastAsia" w:ascii="宋体" w:hAnsi="宋体"/>
          <w:color w:val="auto"/>
          <w:kern w:val="0"/>
          <w:szCs w:val="21"/>
          <w:highlight w:val="none"/>
          <w:u w:val="single"/>
        </w:rPr>
        <w:t>其他</w:t>
      </w:r>
      <w:r>
        <w:rPr>
          <w:rFonts w:hint="eastAsia" w:hAnsi="宋体"/>
          <w:color w:val="auto"/>
          <w:kern w:val="0"/>
          <w:szCs w:val="21"/>
          <w:highlight w:val="none"/>
          <w:u w:val="single"/>
          <w:lang w:eastAsia="zh-CN"/>
        </w:rPr>
        <w:t>在项目管理机构及施工现场管理人员安排报告中列明</w:t>
      </w:r>
      <w:r>
        <w:rPr>
          <w:rFonts w:hint="eastAsia" w:ascii="宋体" w:hAnsi="宋体"/>
          <w:color w:val="auto"/>
          <w:kern w:val="0"/>
          <w:szCs w:val="21"/>
          <w:highlight w:val="none"/>
          <w:u w:val="single"/>
        </w:rPr>
        <w:t>主要</w:t>
      </w:r>
      <w:r>
        <w:rPr>
          <w:rFonts w:hint="eastAsia" w:hAnsi="宋体"/>
          <w:color w:val="auto"/>
          <w:kern w:val="0"/>
          <w:szCs w:val="21"/>
          <w:highlight w:val="none"/>
          <w:u w:val="single"/>
          <w:lang w:val="en-US" w:eastAsia="zh-CN"/>
        </w:rPr>
        <w:t>施工</w:t>
      </w:r>
      <w:r>
        <w:rPr>
          <w:rFonts w:hint="eastAsia" w:ascii="宋体" w:hAnsi="宋体"/>
          <w:color w:val="auto"/>
          <w:kern w:val="0"/>
          <w:szCs w:val="21"/>
          <w:highlight w:val="none"/>
          <w:u w:val="single"/>
        </w:rPr>
        <w:t>管理人员。</w:t>
      </w:r>
    </w:p>
    <w:p w14:paraId="61797DD6">
      <w:pPr>
        <w:numPr>
          <w:ilvl w:val="0"/>
          <w:numId w:val="0"/>
        </w:num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（10）将工程预付款、进度款以及发包人支付用于本项目的其他费用挪作他用；</w:t>
      </w:r>
    </w:p>
    <w:p w14:paraId="07CCA71F">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（11）承包人违反第8.2款的约定使用了不合格的材料或工程设备又拒绝清除不合格的材料或工程设备，或因使用了不合格的材料或工程设备导致工程质量达不到标准要求又拒绝清除或修复不合格工程；</w:t>
      </w:r>
    </w:p>
    <w:p w14:paraId="04D70815">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（12）承包人违反第8.5款的约定使用了不合格的材料或工程设备或工程质量达不到标准要求等造成安全质量事故；</w:t>
      </w:r>
    </w:p>
    <w:p w14:paraId="5A25F0AF">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（13）合同工程竣工后，经两次验收仍不能达到合同约定的质量标准；</w:t>
      </w:r>
    </w:p>
    <w:p w14:paraId="6EC37A66">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14）承包人拒绝执行发包人或监理人发出的关于本工程的指令的；或以招标工程量清单中的措施项目出现错误、缺项、漏项情况为由，拒绝执行相应部分内容施工的；或以变更或增加部分与本合同无实质性关联为由，拒绝执行的；或以变更或增加部分子目单价低或超出施工能力范围等为由拒绝施工的</w:t>
      </w:r>
      <w:r>
        <w:rPr>
          <w:rFonts w:hint="eastAsia" w:hAnsi="宋体"/>
          <w:color w:val="auto"/>
          <w:kern w:val="0"/>
          <w:szCs w:val="21"/>
          <w:highlight w:val="none"/>
          <w:u w:val="single"/>
          <w:lang w:eastAsia="zh-CN"/>
        </w:rPr>
        <w:t>（但承包人应在其投标时已充分考虑并承诺的施工能力范围内）</w:t>
      </w:r>
      <w:r>
        <w:rPr>
          <w:rFonts w:hint="eastAsia" w:ascii="宋体" w:hAnsi="宋体"/>
          <w:color w:val="auto"/>
          <w:kern w:val="0"/>
          <w:szCs w:val="21"/>
          <w:highlight w:val="none"/>
          <w:u w:val="single"/>
        </w:rPr>
        <w:t>；或拒绝执行合同约定的其他情形的。</w:t>
      </w:r>
    </w:p>
    <w:p w14:paraId="1F7E9FF8">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（15）如果承包人或承包人的工作人员（不论承包人是否知晓）以贿赂或变相贿赂的方式，谋取不当利益或损害发包人权益的；</w:t>
      </w:r>
    </w:p>
    <w:p w14:paraId="749B230A">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（16) 未经验收或验收不合格，擅自进行隐蔽工程的覆盖或其他工程下道工序的施工，或验收合格后到隐蔽施工前对通过隐蔽验收的合格部分有任何改动；</w:t>
      </w:r>
    </w:p>
    <w:p w14:paraId="58966FBF">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（17）承包人在缺陷责任期内，未能对缺陷责任期内发生的缺陷进行修复而又拒绝按发包人或监理人指示再进行修补或同一部位出现二次以上维修的；</w:t>
      </w:r>
    </w:p>
    <w:p w14:paraId="592B827A">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（18）承包人无法定或合同约定依据，而未能按期开工、暂停施工或以暂停施工相威胁，连续或累计超过7天（含7天）；</w:t>
      </w:r>
    </w:p>
    <w:p w14:paraId="4A5F5E38">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（19）承包人逾期竣工超过60天（含60天）或投标文件承诺的节点或修改的施工组织设计承诺的节点逾期超过30天（含30天）；</w:t>
      </w:r>
    </w:p>
    <w:p w14:paraId="456AB8BB">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（20）承包人的雇员或其分包人的雇员、或承包人的供应商扰乱发包人生产、生活秩序的。</w:t>
      </w:r>
    </w:p>
    <w:p w14:paraId="035DAEB3">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16.2.2承包人违约的责任</w:t>
      </w:r>
    </w:p>
    <w:p w14:paraId="3A848823">
      <w:pPr>
        <w:spacing w:line="360" w:lineRule="auto"/>
        <w:ind w:firstLine="420" w:firstLineChars="200"/>
        <w:jc w:val="left"/>
        <w:rPr>
          <w:rFonts w:ascii="Calibri" w:hAnsi="Calibri"/>
          <w:color w:val="auto"/>
          <w:kern w:val="0"/>
          <w:szCs w:val="21"/>
          <w:highlight w:val="none"/>
        </w:rPr>
      </w:pPr>
      <w:r>
        <w:rPr>
          <w:rFonts w:ascii="Calibri" w:hAnsi="宋体"/>
          <w:color w:val="auto"/>
          <w:kern w:val="0"/>
          <w:szCs w:val="21"/>
          <w:highlight w:val="none"/>
        </w:rPr>
        <w:t>承包人违约责任的承担方式和计算方法：</w:t>
      </w:r>
    </w:p>
    <w:p w14:paraId="0F55D31D">
      <w:pPr>
        <w:spacing w:line="360" w:lineRule="auto"/>
        <w:ind w:firstLine="420" w:firstLineChars="200"/>
        <w:jc w:val="left"/>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1</w:t>
      </w:r>
      <w:r>
        <w:rPr>
          <w:rFonts w:ascii="Calibri" w:hAnsi="宋体"/>
          <w:color w:val="auto"/>
          <w:kern w:val="0"/>
          <w:szCs w:val="21"/>
          <w:highlight w:val="none"/>
        </w:rPr>
        <w:t>）承包人未按本合同通用条款第</w:t>
      </w:r>
      <w:r>
        <w:rPr>
          <w:rFonts w:ascii="Calibri" w:hAnsi="Calibri"/>
          <w:color w:val="auto"/>
          <w:kern w:val="0"/>
          <w:szCs w:val="21"/>
          <w:highlight w:val="none"/>
        </w:rPr>
        <w:t>16.2.1</w:t>
      </w:r>
      <w:r>
        <w:rPr>
          <w:rFonts w:ascii="Calibri" w:hAnsi="宋体"/>
          <w:color w:val="auto"/>
          <w:kern w:val="0"/>
          <w:szCs w:val="21"/>
          <w:highlight w:val="none"/>
        </w:rPr>
        <w:t>（</w:t>
      </w:r>
      <w:r>
        <w:rPr>
          <w:rFonts w:ascii="Calibri" w:hAnsi="Calibri"/>
          <w:color w:val="auto"/>
          <w:kern w:val="0"/>
          <w:szCs w:val="21"/>
          <w:highlight w:val="none"/>
        </w:rPr>
        <w:t>2</w:t>
      </w:r>
      <w:r>
        <w:rPr>
          <w:rFonts w:ascii="Calibri" w:hAnsi="宋体"/>
          <w:color w:val="auto"/>
          <w:kern w:val="0"/>
          <w:szCs w:val="21"/>
          <w:highlight w:val="none"/>
        </w:rPr>
        <w:t>）</w:t>
      </w:r>
      <w:r>
        <w:rPr>
          <w:rFonts w:hint="eastAsia" w:ascii="Calibri" w:hAnsi="宋体"/>
          <w:color w:val="auto"/>
          <w:kern w:val="0"/>
          <w:szCs w:val="21"/>
          <w:highlight w:val="none"/>
        </w:rPr>
        <w:t>、</w:t>
      </w:r>
      <w:r>
        <w:rPr>
          <w:rFonts w:ascii="Calibri" w:hAnsi="宋体"/>
          <w:color w:val="auto"/>
          <w:kern w:val="0"/>
          <w:szCs w:val="21"/>
          <w:highlight w:val="none"/>
        </w:rPr>
        <w:t>（</w:t>
      </w:r>
      <w:r>
        <w:rPr>
          <w:rFonts w:ascii="Calibri" w:hAnsi="Calibri"/>
          <w:color w:val="auto"/>
          <w:kern w:val="0"/>
          <w:szCs w:val="21"/>
          <w:highlight w:val="none"/>
        </w:rPr>
        <w:t>3</w:t>
      </w:r>
      <w:r>
        <w:rPr>
          <w:rFonts w:ascii="Calibri" w:hAnsi="宋体"/>
          <w:color w:val="auto"/>
          <w:kern w:val="0"/>
          <w:szCs w:val="21"/>
          <w:highlight w:val="none"/>
        </w:rPr>
        <w:t>）条内容完成的，承包人无条件返工处理，修复至工程质量要求并承担相关费用，并在发包人规定的时间内完成返工，否则发包人有权扣罚该分项工程</w:t>
      </w:r>
      <w:r>
        <w:rPr>
          <w:rFonts w:ascii="Calibri" w:hAnsi="Calibri"/>
          <w:color w:val="auto"/>
          <w:kern w:val="0"/>
          <w:szCs w:val="21"/>
          <w:highlight w:val="none"/>
        </w:rPr>
        <w:t>10%</w:t>
      </w:r>
      <w:r>
        <w:rPr>
          <w:rFonts w:ascii="Calibri" w:hAnsi="宋体"/>
          <w:color w:val="auto"/>
          <w:kern w:val="0"/>
          <w:szCs w:val="21"/>
          <w:highlight w:val="none"/>
        </w:rPr>
        <w:t>的工程款作为处罚。</w:t>
      </w:r>
    </w:p>
    <w:p w14:paraId="00009168">
      <w:pPr>
        <w:spacing w:line="360" w:lineRule="auto"/>
        <w:ind w:firstLine="420" w:firstLineChars="200"/>
        <w:jc w:val="left"/>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2</w:t>
      </w:r>
      <w:r>
        <w:rPr>
          <w:rFonts w:ascii="Calibri" w:hAnsi="宋体"/>
          <w:color w:val="auto"/>
          <w:kern w:val="0"/>
          <w:szCs w:val="21"/>
          <w:highlight w:val="none"/>
        </w:rPr>
        <w:t>）承包人有本合同通用条款第</w:t>
      </w:r>
      <w:r>
        <w:rPr>
          <w:rFonts w:ascii="Calibri" w:hAnsi="Calibri"/>
          <w:color w:val="auto"/>
          <w:kern w:val="0"/>
          <w:szCs w:val="21"/>
          <w:highlight w:val="none"/>
        </w:rPr>
        <w:t>16.2.1</w:t>
      </w:r>
      <w:r>
        <w:rPr>
          <w:rFonts w:ascii="Calibri" w:hAnsi="宋体"/>
          <w:color w:val="auto"/>
          <w:kern w:val="0"/>
          <w:szCs w:val="21"/>
          <w:highlight w:val="none"/>
        </w:rPr>
        <w:t>（</w:t>
      </w:r>
      <w:r>
        <w:rPr>
          <w:rFonts w:ascii="Calibri" w:hAnsi="Calibri"/>
          <w:color w:val="auto"/>
          <w:kern w:val="0"/>
          <w:szCs w:val="21"/>
          <w:highlight w:val="none"/>
        </w:rPr>
        <w:t>6</w:t>
      </w:r>
      <w:r>
        <w:rPr>
          <w:rFonts w:ascii="Calibri" w:hAnsi="宋体"/>
          <w:color w:val="auto"/>
          <w:kern w:val="0"/>
          <w:szCs w:val="21"/>
          <w:highlight w:val="none"/>
        </w:rPr>
        <w:t>）条情形的，或经监理人检验认为修复质量不合格而承包人拒绝再进行修补的，发包人将扣除承包人全部质量保修金。</w:t>
      </w:r>
    </w:p>
    <w:p w14:paraId="1B8836B6">
      <w:pPr>
        <w:spacing w:line="360" w:lineRule="auto"/>
        <w:ind w:firstLine="420" w:firstLineChars="200"/>
        <w:jc w:val="left"/>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3</w:t>
      </w:r>
      <w:r>
        <w:rPr>
          <w:rFonts w:ascii="Calibri" w:hAnsi="宋体"/>
          <w:color w:val="auto"/>
          <w:kern w:val="0"/>
          <w:szCs w:val="21"/>
          <w:highlight w:val="none"/>
        </w:rPr>
        <w:t>）承包人有本专用合同条款</w:t>
      </w:r>
      <w:r>
        <w:rPr>
          <w:rFonts w:ascii="Calibri" w:hAnsi="Calibri"/>
          <w:color w:val="auto"/>
          <w:kern w:val="0"/>
          <w:szCs w:val="21"/>
          <w:highlight w:val="none"/>
        </w:rPr>
        <w:t>3.2</w:t>
      </w:r>
      <w:r>
        <w:rPr>
          <w:rFonts w:ascii="Calibri" w:hAnsi="宋体"/>
          <w:color w:val="auto"/>
          <w:kern w:val="0"/>
          <w:szCs w:val="21"/>
          <w:highlight w:val="none"/>
        </w:rPr>
        <w:t>、</w:t>
      </w:r>
      <w:r>
        <w:rPr>
          <w:rFonts w:ascii="Calibri" w:hAnsi="Calibri"/>
          <w:color w:val="auto"/>
          <w:kern w:val="0"/>
          <w:szCs w:val="21"/>
          <w:highlight w:val="none"/>
        </w:rPr>
        <w:t>3.3</w:t>
      </w:r>
      <w:r>
        <w:rPr>
          <w:rFonts w:ascii="Calibri" w:hAnsi="宋体"/>
          <w:color w:val="auto"/>
          <w:kern w:val="0"/>
          <w:szCs w:val="21"/>
          <w:highlight w:val="none"/>
        </w:rPr>
        <w:t>条违约责任的，发包人有权扣除承包人的违约金。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72787A24">
      <w:pPr>
        <w:spacing w:line="360" w:lineRule="auto"/>
        <w:ind w:firstLine="422" w:firstLineChars="200"/>
        <w:jc w:val="left"/>
        <w:rPr>
          <w:rFonts w:ascii="宋体" w:hAnsi="宋体"/>
          <w:b/>
          <w:color w:val="auto"/>
          <w:szCs w:val="21"/>
          <w:highlight w:val="none"/>
        </w:rPr>
      </w:pPr>
      <w:r>
        <w:rPr>
          <w:rFonts w:ascii="宋体" w:hAnsi="宋体"/>
          <w:b/>
          <w:color w:val="auto"/>
          <w:szCs w:val="21"/>
          <w:highlight w:val="none"/>
        </w:rPr>
        <w:t>16.2.3 因承包人违约解除合同</w:t>
      </w:r>
    </w:p>
    <w:p w14:paraId="441CB8CF">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承包人有违反以下情况之一的，发包人有权解除合同</w:t>
      </w:r>
      <w:r>
        <w:rPr>
          <w:rFonts w:ascii="宋体" w:hAnsi="宋体"/>
          <w:color w:val="auto"/>
          <w:kern w:val="0"/>
          <w:szCs w:val="21"/>
          <w:highlight w:val="none"/>
        </w:rPr>
        <w:t>。</w:t>
      </w:r>
    </w:p>
    <w:p w14:paraId="52CE5D9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1)承包人无正当理由不按开工通知的要求及时进场组织施工和不按签订协议书时商</w:t>
      </w:r>
      <w:r>
        <w:rPr>
          <w:rFonts w:hint="eastAsia" w:ascii="宋体" w:hAnsi="宋体"/>
          <w:color w:val="auto"/>
          <w:kern w:val="0"/>
          <w:szCs w:val="21"/>
          <w:highlight w:val="none"/>
        </w:rPr>
        <w:t>定</w:t>
      </w:r>
      <w:r>
        <w:rPr>
          <w:rFonts w:ascii="宋体" w:hAnsi="宋体"/>
          <w:color w:val="auto"/>
          <w:kern w:val="0"/>
          <w:szCs w:val="21"/>
          <w:highlight w:val="none"/>
        </w:rPr>
        <w:t>的进度计划有效地开展施工准备，造成工期延误的；</w:t>
      </w:r>
    </w:p>
    <w:p w14:paraId="4A797F0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2)承包人违反本合同通用条款第3.5条规定私自将合同或合同的任何部分或任何权利转让给其他人，或私自将工程或工程的一部分分包出去的；</w:t>
      </w:r>
    </w:p>
    <w:p w14:paraId="57D5EF6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3)未经监理人批准，承包人私自将已按投标文件承诺进入工地的工程设备、施工设备、临时工程或材料撤离工地的；</w:t>
      </w:r>
    </w:p>
    <w:p w14:paraId="5190CEE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4)由于承包人原因拒绝按合同进度计划及时完成合同规定的工程，而又未采取有效措施赶上进度，造成工期延误的；</w:t>
      </w:r>
    </w:p>
    <w:p w14:paraId="08E868CC">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5)承包人否认合同有效或拒绝履行合同规定的承包人义务，或由于法律、财务等原因导致承包人无法继续履行或实质上已停止履行合同的义务的；</w:t>
      </w:r>
    </w:p>
    <w:p w14:paraId="08F95340">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6)合同签订之日起十五日内，承包人无法按合同规定及投标文件的承诺进场经监理工程师认可的全部人员和机械的。</w:t>
      </w:r>
    </w:p>
    <w:p w14:paraId="35153871">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5AECBF05">
      <w:pPr>
        <w:keepNext/>
        <w:keepLines/>
        <w:spacing w:before="260" w:after="260" w:line="416" w:lineRule="auto"/>
        <w:outlineLvl w:val="2"/>
        <w:rPr>
          <w:rFonts w:ascii="宋体" w:hAnsi="宋体"/>
          <w:b/>
          <w:bCs/>
          <w:color w:val="auto"/>
          <w:sz w:val="32"/>
          <w:szCs w:val="32"/>
          <w:highlight w:val="none"/>
        </w:rPr>
      </w:pPr>
      <w:bookmarkStart w:id="1589" w:name="_Toc411345253"/>
      <w:bookmarkStart w:id="1590" w:name="_Toc432343961"/>
      <w:bookmarkStart w:id="1591" w:name="_Toc529547397"/>
      <w:bookmarkStart w:id="1592" w:name="_Toc461179315"/>
      <w:bookmarkStart w:id="1593" w:name="_Toc530144539"/>
      <w:bookmarkStart w:id="1594" w:name="_Toc351203649"/>
      <w:bookmarkStart w:id="1595" w:name="_Toc470247872"/>
      <w:bookmarkStart w:id="1596" w:name="_Toc454211185"/>
      <w:bookmarkStart w:id="1597" w:name="_Toc529527045"/>
      <w:bookmarkStart w:id="1598" w:name="_Toc373227769"/>
      <w:bookmarkStart w:id="1599" w:name="_Toc531186674"/>
      <w:bookmarkStart w:id="1600" w:name="_Toc472931678"/>
      <w:bookmarkStart w:id="1601" w:name="_Toc389065334"/>
      <w:bookmarkStart w:id="1602" w:name="_Toc373478416"/>
      <w:r>
        <w:rPr>
          <w:rFonts w:ascii="宋体" w:hAnsi="宋体"/>
          <w:b/>
          <w:bCs/>
          <w:color w:val="auto"/>
          <w:sz w:val="32"/>
          <w:szCs w:val="32"/>
          <w:highlight w:val="none"/>
        </w:rPr>
        <w:t>17. 不可抗力</w:t>
      </w:r>
      <w:bookmarkEnd w:id="1561"/>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09979D4F">
      <w:pPr>
        <w:keepNext/>
        <w:keepLines/>
        <w:spacing w:before="260" w:after="260" w:line="416" w:lineRule="auto"/>
        <w:outlineLvl w:val="2"/>
        <w:rPr>
          <w:rFonts w:ascii="宋体" w:hAnsi="宋体"/>
          <w:b/>
          <w:bCs/>
          <w:color w:val="auto"/>
          <w:sz w:val="32"/>
          <w:szCs w:val="32"/>
          <w:highlight w:val="none"/>
        </w:rPr>
      </w:pPr>
      <w:bookmarkStart w:id="1603" w:name="_Toc373478417"/>
      <w:bookmarkStart w:id="1604" w:name="_Toc529527046"/>
      <w:bookmarkStart w:id="1605" w:name="_Toc373227770"/>
      <w:bookmarkStart w:id="1606" w:name="_Toc389065335"/>
      <w:bookmarkStart w:id="1607" w:name="_Toc472931679"/>
      <w:bookmarkStart w:id="1608" w:name="_Toc470247873"/>
      <w:bookmarkStart w:id="1609" w:name="_Toc411345254"/>
      <w:bookmarkStart w:id="1610" w:name="_Toc531186675"/>
      <w:bookmarkStart w:id="1611" w:name="_Toc530144540"/>
      <w:bookmarkStart w:id="1612" w:name="_Toc454211186"/>
      <w:bookmarkStart w:id="1613" w:name="_Toc432343962"/>
      <w:bookmarkStart w:id="1614" w:name="_Toc529547398"/>
      <w:bookmarkStart w:id="1615" w:name="_Toc461179316"/>
      <w:r>
        <w:rPr>
          <w:rFonts w:ascii="宋体" w:hAnsi="宋体"/>
          <w:b/>
          <w:bCs/>
          <w:color w:val="auto"/>
          <w:sz w:val="32"/>
          <w:szCs w:val="32"/>
          <w:highlight w:val="none"/>
        </w:rPr>
        <w:t>17.1 不可抗力的确认</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14:paraId="680DDED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rPr>
        <w:t>地震、海啸、瘟疫、骚乱、戒严、暴动、战争及13级以上台风，但由于承包人及其分包商的雇员的原因引起的骚乱及其他灾难性事件不属于不可抗力。</w:t>
      </w:r>
    </w:p>
    <w:p w14:paraId="28B1BB90">
      <w:pPr>
        <w:keepNext/>
        <w:keepLines/>
        <w:spacing w:before="260" w:after="260" w:line="416" w:lineRule="auto"/>
        <w:outlineLvl w:val="2"/>
        <w:rPr>
          <w:rFonts w:ascii="宋体" w:hAnsi="宋体"/>
          <w:b/>
          <w:bCs/>
          <w:color w:val="auto"/>
          <w:sz w:val="32"/>
          <w:szCs w:val="32"/>
          <w:highlight w:val="none"/>
        </w:rPr>
      </w:pPr>
      <w:bookmarkStart w:id="1616" w:name="_Toc432343964"/>
      <w:bookmarkStart w:id="1617" w:name="_Toc411345256"/>
      <w:bookmarkStart w:id="1618" w:name="_Toc389065336"/>
      <w:bookmarkStart w:id="1619" w:name="_Toc373478418"/>
      <w:bookmarkStart w:id="1620" w:name="_Toc454211188"/>
      <w:bookmarkStart w:id="1621" w:name="_Toc530144541"/>
      <w:bookmarkStart w:id="1622" w:name="_Toc472931680"/>
      <w:bookmarkStart w:id="1623" w:name="_Toc531186676"/>
      <w:bookmarkStart w:id="1624" w:name="_Toc529547399"/>
      <w:bookmarkStart w:id="1625" w:name="_Toc373227771"/>
      <w:bookmarkStart w:id="1626" w:name="_Toc529527047"/>
      <w:bookmarkStart w:id="1627" w:name="_Toc470247874"/>
      <w:bookmarkStart w:id="1628" w:name="_Toc461179318"/>
      <w:r>
        <w:rPr>
          <w:rFonts w:ascii="宋体" w:hAnsi="宋体"/>
          <w:b/>
          <w:bCs/>
          <w:color w:val="auto"/>
          <w:sz w:val="32"/>
          <w:szCs w:val="32"/>
          <w:highlight w:val="none"/>
        </w:rPr>
        <w:t>17.4 因不可抗力解除合同</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5917D9F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 xml:space="preserve"> 120 </w:t>
      </w:r>
      <w:r>
        <w:rPr>
          <w:rFonts w:ascii="宋体" w:hAnsi="宋体"/>
          <w:color w:val="auto"/>
          <w:szCs w:val="21"/>
          <w:highlight w:val="none"/>
        </w:rPr>
        <w:t>天内完成款项的支付。</w:t>
      </w:r>
    </w:p>
    <w:p w14:paraId="66750879">
      <w:pPr>
        <w:keepNext/>
        <w:keepLines/>
        <w:spacing w:before="260" w:after="260" w:line="416" w:lineRule="auto"/>
        <w:outlineLvl w:val="2"/>
        <w:rPr>
          <w:rFonts w:ascii="宋体" w:hAnsi="宋体"/>
          <w:b/>
          <w:bCs/>
          <w:color w:val="auto"/>
          <w:sz w:val="32"/>
          <w:szCs w:val="32"/>
          <w:highlight w:val="none"/>
        </w:rPr>
      </w:pPr>
      <w:bookmarkStart w:id="1629" w:name="_Toc411345257"/>
      <w:bookmarkStart w:id="1630" w:name="_Toc472931681"/>
      <w:bookmarkStart w:id="1631" w:name="_Toc530144542"/>
      <w:bookmarkStart w:id="1632" w:name="_Toc373227772"/>
      <w:bookmarkStart w:id="1633" w:name="_Toc432343965"/>
      <w:bookmarkStart w:id="1634" w:name="_Toc373478419"/>
      <w:bookmarkStart w:id="1635" w:name="_Toc461179319"/>
      <w:bookmarkStart w:id="1636" w:name="_Toc470247875"/>
      <w:bookmarkStart w:id="1637" w:name="_Toc389065337"/>
      <w:bookmarkStart w:id="1638" w:name="_Toc351203650"/>
      <w:bookmarkStart w:id="1639" w:name="_Toc529547400"/>
      <w:bookmarkStart w:id="1640" w:name="_Toc531186677"/>
      <w:bookmarkStart w:id="1641" w:name="_Toc529527048"/>
      <w:bookmarkStart w:id="1642" w:name="_Toc454211189"/>
      <w:r>
        <w:rPr>
          <w:rFonts w:ascii="宋体" w:hAnsi="宋体"/>
          <w:b/>
          <w:bCs/>
          <w:color w:val="auto"/>
          <w:sz w:val="32"/>
          <w:szCs w:val="32"/>
          <w:highlight w:val="none"/>
        </w:rPr>
        <w:t>18. 保险</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bookmarkEnd w:id="1562"/>
    <w:p w14:paraId="57753E28">
      <w:pPr>
        <w:keepNext/>
        <w:keepLines/>
        <w:spacing w:before="260" w:after="260" w:line="416" w:lineRule="auto"/>
        <w:outlineLvl w:val="2"/>
        <w:rPr>
          <w:rFonts w:ascii="宋体" w:hAnsi="宋体"/>
          <w:b/>
          <w:bCs/>
          <w:color w:val="auto"/>
          <w:sz w:val="32"/>
          <w:szCs w:val="32"/>
          <w:highlight w:val="none"/>
        </w:rPr>
      </w:pPr>
      <w:bookmarkStart w:id="1643" w:name="_Toc432343966"/>
      <w:bookmarkStart w:id="1644" w:name="_Toc530144543"/>
      <w:bookmarkStart w:id="1645" w:name="_Toc389065338"/>
      <w:bookmarkStart w:id="1646" w:name="_Toc461179320"/>
      <w:bookmarkStart w:id="1647" w:name="_Toc411345258"/>
      <w:bookmarkStart w:id="1648" w:name="_Toc373227773"/>
      <w:bookmarkStart w:id="1649" w:name="_Toc529527049"/>
      <w:bookmarkStart w:id="1650" w:name="_Toc470247876"/>
      <w:bookmarkStart w:id="1651" w:name="_Toc531186678"/>
      <w:bookmarkStart w:id="1652" w:name="_Toc454211190"/>
      <w:bookmarkStart w:id="1653" w:name="_Toc529547401"/>
      <w:bookmarkStart w:id="1654" w:name="_Toc373478420"/>
      <w:bookmarkStart w:id="1655" w:name="_Toc472931682"/>
      <w:r>
        <w:rPr>
          <w:rFonts w:ascii="宋体" w:hAnsi="宋体"/>
          <w:b/>
          <w:bCs/>
          <w:color w:val="auto"/>
          <w:sz w:val="32"/>
          <w:szCs w:val="32"/>
          <w:highlight w:val="none"/>
        </w:rPr>
        <w:t>18.1 工程保险</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14:paraId="1A6EC98E">
      <w:pPr>
        <w:spacing w:line="360" w:lineRule="auto"/>
        <w:ind w:firstLine="420" w:firstLineChars="200"/>
        <w:jc w:val="left"/>
        <w:rPr>
          <w:rFonts w:ascii="宋体" w:hAnsi="宋体"/>
          <w:b/>
          <w:color w:val="auto"/>
          <w:szCs w:val="21"/>
          <w:highlight w:val="none"/>
          <w:u w:val="single"/>
        </w:rPr>
      </w:pPr>
      <w:r>
        <w:rPr>
          <w:rFonts w:ascii="宋体" w:hAnsi="宋体"/>
          <w:color w:val="auto"/>
          <w:szCs w:val="21"/>
          <w:highlight w:val="none"/>
        </w:rPr>
        <w:t>关于工程保险的特别约定：</w:t>
      </w:r>
      <w:r>
        <w:rPr>
          <w:rFonts w:hint="eastAsia" w:ascii="宋体" w:hAnsi="宋体"/>
          <w:b/>
          <w:color w:val="auto"/>
          <w:szCs w:val="21"/>
          <w:highlight w:val="none"/>
          <w:u w:val="single"/>
        </w:rPr>
        <w:t>本项目的一切险（或安装工程一切险）和第三者责任险由</w:t>
      </w:r>
      <w:r>
        <w:rPr>
          <w:rFonts w:hint="eastAsia" w:ascii="宋体" w:hAnsi="宋体"/>
          <w:b/>
          <w:color w:val="auto"/>
          <w:kern w:val="0"/>
          <w:szCs w:val="21"/>
          <w:highlight w:val="none"/>
          <w:u w:val="single"/>
        </w:rPr>
        <w:t>发包人委托承包人投保，投保产生的保险费和其他相关费用由发包人承担，投保产生的相关费用由承包人在措施费中列项考虑，费用总价包干，由于承包人预估费用低于实际费用，不足部分由承包人补齐。</w:t>
      </w:r>
    </w:p>
    <w:p w14:paraId="3DC08FBF">
      <w:pPr>
        <w:keepNext/>
        <w:keepLines/>
        <w:spacing w:before="260" w:after="260" w:line="416" w:lineRule="auto"/>
        <w:outlineLvl w:val="2"/>
        <w:rPr>
          <w:rFonts w:ascii="宋体" w:hAnsi="宋体"/>
          <w:b/>
          <w:bCs/>
          <w:color w:val="auto"/>
          <w:sz w:val="32"/>
          <w:szCs w:val="32"/>
          <w:highlight w:val="none"/>
        </w:rPr>
      </w:pPr>
      <w:bookmarkStart w:id="1656" w:name="_Toc530144544"/>
      <w:bookmarkStart w:id="1657" w:name="_Toc461179321"/>
      <w:bookmarkStart w:id="1658" w:name="_Toc373227774"/>
      <w:bookmarkStart w:id="1659" w:name="_Toc529547402"/>
      <w:bookmarkStart w:id="1660" w:name="_Toc454211191"/>
      <w:bookmarkStart w:id="1661" w:name="_Toc373478421"/>
      <w:bookmarkStart w:id="1662" w:name="_Toc389065339"/>
      <w:bookmarkStart w:id="1663" w:name="_Toc529527050"/>
      <w:bookmarkStart w:id="1664" w:name="_Toc432343967"/>
      <w:bookmarkStart w:id="1665" w:name="_Toc470247877"/>
      <w:bookmarkStart w:id="1666" w:name="_Toc531186679"/>
      <w:bookmarkStart w:id="1667" w:name="_Toc411345259"/>
      <w:bookmarkStart w:id="1668" w:name="_Toc472931683"/>
      <w:r>
        <w:rPr>
          <w:rFonts w:ascii="宋体" w:hAnsi="宋体"/>
          <w:b/>
          <w:bCs/>
          <w:color w:val="auto"/>
          <w:sz w:val="32"/>
          <w:szCs w:val="32"/>
          <w:highlight w:val="none"/>
        </w:rPr>
        <w:t>18.3 其他保险</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14:paraId="1F6DBB5A">
      <w:pPr>
        <w:spacing w:line="360" w:lineRule="auto"/>
        <w:ind w:firstLine="420" w:firstLineChars="200"/>
        <w:jc w:val="left"/>
        <w:rPr>
          <w:rFonts w:ascii="宋体" w:hAnsi="宋体"/>
          <w:color w:val="auto"/>
          <w:kern w:val="0"/>
          <w:szCs w:val="21"/>
          <w:highlight w:val="none"/>
        </w:rPr>
      </w:pPr>
      <w:r>
        <w:rPr>
          <w:rFonts w:ascii="宋体" w:hAnsi="宋体"/>
          <w:color w:val="auto"/>
          <w:szCs w:val="21"/>
          <w:highlight w:val="none"/>
        </w:rPr>
        <w:t>关于其他保险的约定：</w:t>
      </w:r>
      <w:r>
        <w:rPr>
          <w:rFonts w:hint="eastAsia" w:ascii="宋体" w:hAnsi="宋体"/>
          <w:bCs/>
          <w:color w:val="auto"/>
          <w:szCs w:val="21"/>
          <w:highlight w:val="none"/>
          <w:u w:val="single"/>
        </w:rPr>
        <w:t xml:space="preserve">  承包人必须为施工现场从事施工的自有作业人员和管理人员办理意外伤害保险，并支付其保费，保险期限为项目建设期内 </w:t>
      </w:r>
      <w:r>
        <w:rPr>
          <w:rFonts w:hint="eastAsia" w:ascii="宋体" w:hAnsi="宋体"/>
          <w:bCs/>
          <w:color w:val="auto"/>
          <w:szCs w:val="21"/>
          <w:highlight w:val="none"/>
        </w:rPr>
        <w:t>。</w:t>
      </w:r>
    </w:p>
    <w:p w14:paraId="14604CA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承包人是否应为其施工设备等办理财产保险：</w:t>
      </w:r>
      <w:r>
        <w:rPr>
          <w:rFonts w:hint="eastAsia" w:ascii="宋体" w:hAnsi="宋体"/>
          <w:color w:val="auto"/>
          <w:szCs w:val="21"/>
          <w:highlight w:val="none"/>
          <w:u w:val="single"/>
        </w:rPr>
        <w:t>无</w:t>
      </w:r>
      <w:r>
        <w:rPr>
          <w:rFonts w:ascii="宋体" w:hAnsi="宋体"/>
          <w:color w:val="auto"/>
          <w:szCs w:val="21"/>
          <w:highlight w:val="none"/>
        </w:rPr>
        <w:t>。</w:t>
      </w:r>
    </w:p>
    <w:p w14:paraId="6A632127">
      <w:pPr>
        <w:keepNext/>
        <w:keepLines/>
        <w:spacing w:before="260" w:after="260" w:line="416" w:lineRule="auto"/>
        <w:outlineLvl w:val="2"/>
        <w:rPr>
          <w:rFonts w:ascii="宋体" w:hAnsi="宋体"/>
          <w:b/>
          <w:bCs/>
          <w:color w:val="auto"/>
          <w:sz w:val="32"/>
          <w:szCs w:val="32"/>
          <w:highlight w:val="none"/>
        </w:rPr>
      </w:pPr>
      <w:bookmarkStart w:id="1669" w:name="_Toc432343969"/>
      <w:bookmarkStart w:id="1670" w:name="_Toc389065340"/>
      <w:bookmarkStart w:id="1671" w:name="_Toc530144545"/>
      <w:bookmarkStart w:id="1672" w:name="_Toc411345260"/>
      <w:bookmarkStart w:id="1673" w:name="_Toc529527051"/>
      <w:bookmarkStart w:id="1674" w:name="_Toc454211193"/>
      <w:bookmarkStart w:id="1675" w:name="_Toc461179323"/>
      <w:bookmarkStart w:id="1676" w:name="_Toc529547403"/>
      <w:bookmarkStart w:id="1677" w:name="_Toc531186680"/>
      <w:bookmarkStart w:id="1678" w:name="_Toc470247878"/>
      <w:bookmarkStart w:id="1679" w:name="_Toc373227775"/>
      <w:bookmarkStart w:id="1680" w:name="_Toc373478422"/>
      <w:bookmarkStart w:id="1681" w:name="_Toc472931684"/>
      <w:r>
        <w:rPr>
          <w:rFonts w:ascii="宋体" w:hAnsi="宋体"/>
          <w:b/>
          <w:bCs/>
          <w:color w:val="auto"/>
          <w:sz w:val="32"/>
          <w:szCs w:val="32"/>
          <w:highlight w:val="none"/>
        </w:rPr>
        <w:t>18.7 通知义务</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5020EDBF">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关于变更保险合同时的通知义务的约定：</w:t>
      </w:r>
      <w:r>
        <w:rPr>
          <w:rFonts w:hint="eastAsia" w:ascii="宋体" w:hAnsi="宋体"/>
          <w:color w:val="auto"/>
          <w:szCs w:val="21"/>
          <w:highlight w:val="none"/>
          <w:u w:val="single"/>
        </w:rPr>
        <w:t>按通用合同条款执行</w:t>
      </w:r>
      <w:r>
        <w:rPr>
          <w:rFonts w:ascii="宋体" w:hAnsi="宋体"/>
          <w:color w:val="auto"/>
          <w:szCs w:val="21"/>
          <w:highlight w:val="none"/>
        </w:rPr>
        <w:t>。</w:t>
      </w:r>
    </w:p>
    <w:bookmarkEnd w:id="1486"/>
    <w:bookmarkEnd w:id="1487"/>
    <w:bookmarkEnd w:id="1488"/>
    <w:bookmarkEnd w:id="1489"/>
    <w:bookmarkEnd w:id="1490"/>
    <w:bookmarkEnd w:id="1491"/>
    <w:bookmarkEnd w:id="1492"/>
    <w:bookmarkEnd w:id="1493"/>
    <w:bookmarkEnd w:id="1494"/>
    <w:bookmarkEnd w:id="1495"/>
    <w:bookmarkEnd w:id="1496"/>
    <w:bookmarkEnd w:id="1497"/>
    <w:p w14:paraId="6D6E9A04">
      <w:pPr>
        <w:keepNext/>
        <w:keepLines/>
        <w:spacing w:before="260" w:after="260" w:line="416" w:lineRule="auto"/>
        <w:outlineLvl w:val="2"/>
        <w:rPr>
          <w:rFonts w:ascii="宋体" w:hAnsi="宋体"/>
          <w:b/>
          <w:bCs/>
          <w:color w:val="auto"/>
          <w:sz w:val="32"/>
          <w:szCs w:val="32"/>
          <w:highlight w:val="none"/>
        </w:rPr>
      </w:pPr>
      <w:bookmarkStart w:id="1682" w:name="_Toc373227776"/>
      <w:bookmarkStart w:id="1683" w:name="_Toc432343970"/>
      <w:bookmarkStart w:id="1684" w:name="_Toc389065341"/>
      <w:bookmarkStart w:id="1685" w:name="_Toc373478423"/>
      <w:bookmarkStart w:id="1686" w:name="_Toc461179324"/>
      <w:bookmarkStart w:id="1687" w:name="_Toc529527052"/>
      <w:bookmarkStart w:id="1688" w:name="_Toc529547404"/>
      <w:bookmarkStart w:id="1689" w:name="_Toc470247879"/>
      <w:bookmarkStart w:id="1690" w:name="_Toc411345261"/>
      <w:bookmarkStart w:id="1691" w:name="_Toc531186681"/>
      <w:bookmarkStart w:id="1692" w:name="_Toc530144546"/>
      <w:bookmarkStart w:id="1693" w:name="_Toc454211194"/>
      <w:bookmarkStart w:id="1694" w:name="_Toc351203651"/>
      <w:bookmarkStart w:id="1695" w:name="_Toc472931685"/>
      <w:r>
        <w:rPr>
          <w:rFonts w:ascii="宋体" w:hAnsi="宋体"/>
          <w:b/>
          <w:bCs/>
          <w:color w:val="auto"/>
          <w:sz w:val="32"/>
          <w:szCs w:val="32"/>
          <w:highlight w:val="none"/>
        </w:rPr>
        <w:t>20. 争议解决</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bookmarkEnd w:id="1498"/>
    <w:bookmarkEnd w:id="1499"/>
    <w:p w14:paraId="60BE6EC2">
      <w:pPr>
        <w:keepNext/>
        <w:keepLines/>
        <w:spacing w:before="260" w:after="260" w:line="416" w:lineRule="auto"/>
        <w:outlineLvl w:val="2"/>
        <w:rPr>
          <w:rFonts w:ascii="宋体" w:hAnsi="宋体"/>
          <w:b/>
          <w:bCs/>
          <w:color w:val="auto"/>
          <w:sz w:val="32"/>
          <w:szCs w:val="32"/>
          <w:highlight w:val="none"/>
        </w:rPr>
      </w:pPr>
      <w:bookmarkStart w:id="1696" w:name="_Toc461179325"/>
      <w:bookmarkStart w:id="1697" w:name="_Toc470247880"/>
      <w:bookmarkStart w:id="1698" w:name="_Toc389065342"/>
      <w:bookmarkStart w:id="1699" w:name="_Toc454211195"/>
      <w:bookmarkStart w:id="1700" w:name="_Toc373227777"/>
      <w:bookmarkStart w:id="1701" w:name="_Toc529527053"/>
      <w:bookmarkStart w:id="1702" w:name="_Toc530144547"/>
      <w:bookmarkStart w:id="1703" w:name="_Toc531186682"/>
      <w:bookmarkStart w:id="1704" w:name="_Toc432343971"/>
      <w:bookmarkStart w:id="1705" w:name="_Toc472931686"/>
      <w:bookmarkStart w:id="1706" w:name="_Toc529547405"/>
      <w:bookmarkStart w:id="1707" w:name="_Toc411345262"/>
      <w:bookmarkStart w:id="1708" w:name="_Toc373478424"/>
      <w:r>
        <w:rPr>
          <w:rFonts w:ascii="宋体" w:hAnsi="宋体"/>
          <w:b/>
          <w:bCs/>
          <w:color w:val="auto"/>
          <w:sz w:val="32"/>
          <w:szCs w:val="32"/>
          <w:highlight w:val="none"/>
        </w:rPr>
        <w:t>20.3 争</w:t>
      </w:r>
      <w:bookmarkEnd w:id="1500"/>
      <w:r>
        <w:rPr>
          <w:rFonts w:ascii="宋体" w:hAnsi="宋体"/>
          <w:b/>
          <w:bCs/>
          <w:color w:val="auto"/>
          <w:sz w:val="32"/>
          <w:szCs w:val="32"/>
          <w:highlight w:val="none"/>
        </w:rPr>
        <w:t>议评审</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14:paraId="3BE80E7F">
      <w:pPr>
        <w:spacing w:line="360" w:lineRule="auto"/>
        <w:ind w:left="149" w:leftChars="71" w:firstLine="315" w:firstLineChars="150"/>
        <w:jc w:val="left"/>
        <w:rPr>
          <w:rFonts w:ascii="宋体" w:hAnsi="宋体"/>
          <w:color w:val="auto"/>
          <w:szCs w:val="21"/>
          <w:highlight w:val="none"/>
          <w:u w:val="single"/>
        </w:rPr>
      </w:pPr>
      <w:r>
        <w:rPr>
          <w:rFonts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否。双方约定，在履行合同进程中产生争议时，请工程所在地建设行政主管部门进行调解，调解不成时，向工程所在地人民法院起诉。</w:t>
      </w:r>
    </w:p>
    <w:p w14:paraId="0AFF539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20.3.1 争议评审小组的确定</w:t>
      </w:r>
    </w:p>
    <w:p w14:paraId="000B9317">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争议评审小组成员的确定：</w:t>
      </w:r>
      <w:r>
        <w:rPr>
          <w:rFonts w:hint="eastAsia" w:ascii="宋体" w:hAnsi="宋体"/>
          <w:color w:val="auto"/>
          <w:szCs w:val="21"/>
          <w:highlight w:val="none"/>
          <w:u w:val="single"/>
        </w:rPr>
        <w:t>/</w:t>
      </w:r>
      <w:r>
        <w:rPr>
          <w:rFonts w:ascii="宋体" w:hAnsi="宋体"/>
          <w:color w:val="auto"/>
          <w:szCs w:val="21"/>
          <w:highlight w:val="none"/>
        </w:rPr>
        <w:t>。</w:t>
      </w:r>
    </w:p>
    <w:p w14:paraId="5694E41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选定争议评审员的期限：</w:t>
      </w:r>
      <w:r>
        <w:rPr>
          <w:rFonts w:hint="eastAsia" w:ascii="宋体" w:hAnsi="宋体"/>
          <w:color w:val="auto"/>
          <w:szCs w:val="21"/>
          <w:highlight w:val="none"/>
          <w:u w:val="single"/>
        </w:rPr>
        <w:t>/</w:t>
      </w:r>
      <w:r>
        <w:rPr>
          <w:rFonts w:ascii="宋体" w:hAnsi="宋体"/>
          <w:color w:val="auto"/>
          <w:szCs w:val="21"/>
          <w:highlight w:val="none"/>
        </w:rPr>
        <w:t>。</w:t>
      </w:r>
    </w:p>
    <w:p w14:paraId="3AF7C35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争议评审小组成员的报酬承担方式：</w:t>
      </w:r>
      <w:r>
        <w:rPr>
          <w:rFonts w:hint="eastAsia" w:ascii="宋体" w:hAnsi="宋体"/>
          <w:color w:val="auto"/>
          <w:szCs w:val="21"/>
          <w:highlight w:val="none"/>
          <w:u w:val="single"/>
        </w:rPr>
        <w:t>/</w:t>
      </w:r>
      <w:r>
        <w:rPr>
          <w:rFonts w:ascii="宋体" w:hAnsi="宋体"/>
          <w:color w:val="auto"/>
          <w:szCs w:val="21"/>
          <w:highlight w:val="none"/>
        </w:rPr>
        <w:t>。</w:t>
      </w:r>
    </w:p>
    <w:p w14:paraId="1790AF5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其他事项的约定：</w:t>
      </w:r>
      <w:r>
        <w:rPr>
          <w:rFonts w:hint="eastAsia" w:ascii="宋体" w:hAnsi="宋体"/>
          <w:color w:val="auto"/>
          <w:szCs w:val="21"/>
          <w:highlight w:val="none"/>
          <w:u w:val="single"/>
        </w:rPr>
        <w:t>/</w:t>
      </w:r>
      <w:r>
        <w:rPr>
          <w:rFonts w:ascii="宋体" w:hAnsi="宋体"/>
          <w:color w:val="auto"/>
          <w:szCs w:val="21"/>
          <w:highlight w:val="none"/>
        </w:rPr>
        <w:t>。</w:t>
      </w:r>
    </w:p>
    <w:p w14:paraId="07421BAD">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20.3.2 争议评审小组的决定</w:t>
      </w:r>
    </w:p>
    <w:p w14:paraId="50E5553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合同当事人关于本项的约定：</w:t>
      </w:r>
      <w:r>
        <w:rPr>
          <w:rFonts w:hint="eastAsia" w:ascii="宋体" w:hAnsi="宋体"/>
          <w:color w:val="auto"/>
          <w:szCs w:val="21"/>
          <w:highlight w:val="none"/>
          <w:u w:val="single"/>
        </w:rPr>
        <w:t>/</w:t>
      </w:r>
      <w:r>
        <w:rPr>
          <w:rFonts w:ascii="宋体" w:hAnsi="宋体"/>
          <w:color w:val="auto"/>
          <w:szCs w:val="21"/>
          <w:highlight w:val="none"/>
        </w:rPr>
        <w:t>。</w:t>
      </w:r>
    </w:p>
    <w:p w14:paraId="2A2CC494">
      <w:pPr>
        <w:keepNext/>
        <w:keepLines/>
        <w:spacing w:before="260" w:after="260" w:line="416" w:lineRule="auto"/>
        <w:outlineLvl w:val="2"/>
        <w:rPr>
          <w:rFonts w:ascii="宋体" w:hAnsi="宋体"/>
          <w:b/>
          <w:bCs/>
          <w:color w:val="auto"/>
          <w:sz w:val="32"/>
          <w:szCs w:val="32"/>
          <w:highlight w:val="none"/>
        </w:rPr>
      </w:pPr>
      <w:bookmarkStart w:id="1709" w:name="_Toc531186683"/>
      <w:bookmarkStart w:id="1710" w:name="_Toc529527054"/>
      <w:bookmarkStart w:id="1711" w:name="_Toc432343972"/>
      <w:bookmarkStart w:id="1712" w:name="_Toc411345263"/>
      <w:bookmarkStart w:id="1713" w:name="_Toc373478425"/>
      <w:bookmarkStart w:id="1714" w:name="_Toc472931687"/>
      <w:bookmarkStart w:id="1715" w:name="_Toc461179326"/>
      <w:bookmarkStart w:id="1716" w:name="_Toc470247881"/>
      <w:bookmarkStart w:id="1717" w:name="_Toc454211196"/>
      <w:bookmarkStart w:id="1718" w:name="_Toc529547406"/>
      <w:bookmarkStart w:id="1719" w:name="_Toc530144548"/>
      <w:bookmarkStart w:id="1720" w:name="_Toc389065343"/>
      <w:bookmarkStart w:id="1721" w:name="_Toc373227778"/>
      <w:r>
        <w:rPr>
          <w:rFonts w:ascii="宋体" w:hAnsi="宋体"/>
          <w:b/>
          <w:bCs/>
          <w:color w:val="auto"/>
          <w:sz w:val="32"/>
          <w:szCs w:val="32"/>
          <w:highlight w:val="none"/>
        </w:rPr>
        <w:t>20.4仲裁或诉讼</w:t>
      </w:r>
      <w:bookmarkEnd w:id="1501"/>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6A6EAF4">
      <w:pPr>
        <w:spacing w:line="360" w:lineRule="auto"/>
        <w:ind w:firstLine="420" w:firstLineChars="200"/>
        <w:rPr>
          <w:rFonts w:ascii="宋体" w:hAnsi="宋体"/>
          <w:color w:val="auto"/>
          <w:szCs w:val="21"/>
          <w:highlight w:val="none"/>
        </w:rPr>
      </w:pPr>
      <w:r>
        <w:rPr>
          <w:rFonts w:ascii="宋体" w:hAnsi="宋体"/>
          <w:color w:val="auto"/>
          <w:szCs w:val="21"/>
          <w:highlight w:val="none"/>
        </w:rPr>
        <w:t>因合同及合同有关事项发生的争议，按下列第</w:t>
      </w:r>
      <w:r>
        <w:rPr>
          <w:rFonts w:hint="eastAsia" w:ascii="宋体" w:hAnsi="宋体"/>
          <w:b/>
          <w:bCs/>
          <w:color w:val="auto"/>
          <w:szCs w:val="21"/>
          <w:highlight w:val="none"/>
          <w:u w:val="single"/>
        </w:rPr>
        <w:t>（2）</w:t>
      </w:r>
      <w:r>
        <w:rPr>
          <w:rFonts w:ascii="宋体" w:hAnsi="宋体"/>
          <w:color w:val="auto"/>
          <w:szCs w:val="21"/>
          <w:highlight w:val="none"/>
        </w:rPr>
        <w:t>种方式解决：</w:t>
      </w:r>
    </w:p>
    <w:p w14:paraId="18AD492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（1）提请</w:t>
      </w:r>
      <w:r>
        <w:rPr>
          <w:rFonts w:hint="eastAsia" w:ascii="宋体" w:hAnsi="宋体"/>
          <w:color w:val="auto"/>
          <w:szCs w:val="21"/>
          <w:highlight w:val="none"/>
          <w:u w:val="single"/>
        </w:rPr>
        <w:t>/</w:t>
      </w:r>
      <w:r>
        <w:rPr>
          <w:rFonts w:ascii="宋体" w:hAnsi="宋体"/>
          <w:color w:val="auto"/>
          <w:szCs w:val="21"/>
          <w:highlight w:val="none"/>
        </w:rPr>
        <w:t>仲裁委员会按照该会仲裁规则进行仲裁，仲裁裁决是终局的，对合同双方均有约束力。</w:t>
      </w:r>
    </w:p>
    <w:p w14:paraId="3DF5479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（2）向</w:t>
      </w:r>
      <w:r>
        <w:rPr>
          <w:rFonts w:hint="eastAsia" w:ascii="宋体" w:hAnsi="宋体"/>
          <w:color w:val="auto"/>
          <w:szCs w:val="21"/>
          <w:highlight w:val="none"/>
          <w:u w:val="single"/>
        </w:rPr>
        <w:t>工程所在地</w:t>
      </w:r>
      <w:r>
        <w:rPr>
          <w:rFonts w:ascii="宋体" w:hAnsi="宋体"/>
          <w:color w:val="auto"/>
          <w:szCs w:val="21"/>
          <w:highlight w:val="none"/>
        </w:rPr>
        <w:t>人民法院起诉。</w:t>
      </w:r>
      <w:bookmarkEnd w:id="1502"/>
      <w:bookmarkEnd w:id="1503"/>
      <w:bookmarkEnd w:id="1504"/>
      <w:bookmarkEnd w:id="1505"/>
      <w:bookmarkEnd w:id="1506"/>
      <w:bookmarkEnd w:id="1507"/>
    </w:p>
    <w:p w14:paraId="33B81516">
      <w:pPr>
        <w:keepNext/>
        <w:keepLines/>
        <w:spacing w:before="260" w:after="260" w:line="416" w:lineRule="auto"/>
        <w:outlineLvl w:val="2"/>
        <w:rPr>
          <w:rFonts w:ascii="宋体" w:hAnsi="宋体"/>
          <w:b/>
          <w:bCs/>
          <w:color w:val="auto"/>
          <w:sz w:val="32"/>
          <w:szCs w:val="32"/>
          <w:highlight w:val="none"/>
        </w:rPr>
      </w:pPr>
      <w:bookmarkStart w:id="1722" w:name="_Toc373227779"/>
      <w:bookmarkStart w:id="1723" w:name="_Toc529547407"/>
      <w:bookmarkStart w:id="1724" w:name="_Toc531186684"/>
      <w:bookmarkStart w:id="1725" w:name="_Toc472931688"/>
      <w:bookmarkStart w:id="1726" w:name="_Toc470247882"/>
      <w:bookmarkStart w:id="1727" w:name="_Toc389065344"/>
      <w:bookmarkStart w:id="1728" w:name="_Toc530144549"/>
      <w:bookmarkStart w:id="1729" w:name="_Toc432343973"/>
      <w:bookmarkStart w:id="1730" w:name="_Toc373478426"/>
      <w:bookmarkStart w:id="1731" w:name="_Toc529527055"/>
      <w:bookmarkStart w:id="1732" w:name="_Toc454211197"/>
      <w:bookmarkStart w:id="1733" w:name="_Toc411345264"/>
      <w:bookmarkStart w:id="1734" w:name="_Toc461179327"/>
      <w:r>
        <w:rPr>
          <w:rFonts w:ascii="宋体" w:hAnsi="宋体"/>
          <w:b/>
          <w:bCs/>
          <w:color w:val="auto"/>
          <w:sz w:val="32"/>
          <w:szCs w:val="32"/>
          <w:highlight w:val="none"/>
        </w:rPr>
        <w:t>21. 补充条款</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699100F3">
      <w:pPr>
        <w:spacing w:line="360" w:lineRule="auto"/>
        <w:ind w:left="-359" w:leftChars="-171" w:firstLine="268" w:firstLineChars="128"/>
        <w:jc w:val="left"/>
        <w:rPr>
          <w:rFonts w:ascii="Calibri" w:hAnsi="Calibri"/>
          <w:color w:val="auto"/>
          <w:szCs w:val="22"/>
          <w:highlight w:val="none"/>
        </w:rPr>
      </w:pPr>
      <w:r>
        <w:rPr>
          <w:rFonts w:ascii="Calibri" w:hAnsi="Calibri"/>
          <w:color w:val="auto"/>
          <w:szCs w:val="21"/>
          <w:highlight w:val="none"/>
        </w:rPr>
        <w:t xml:space="preserve">  21.1 </w:t>
      </w:r>
      <w:r>
        <w:rPr>
          <w:rFonts w:ascii="Calibri" w:hAnsi="宋体"/>
          <w:color w:val="auto"/>
          <w:szCs w:val="21"/>
          <w:highlight w:val="none"/>
        </w:rPr>
        <w:t>凡进入本工程工作的妇女应持有计生证、否则不准安排工作，禁止使用童工。</w:t>
      </w:r>
    </w:p>
    <w:p w14:paraId="53D1D18D">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21.2农民工工资实行分账管理</w:t>
      </w:r>
    </w:p>
    <w:p w14:paraId="30D71907">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根据《关于进一步规范防城港市建设领域农民工工资的有关问题的通知》（防住建管发［2017]37号）第二条，合同承包人应设立农民工工资支付账户，实行农民工工资与其他款项分账管理，农民工工资支付账户信息：</w:t>
      </w:r>
    </w:p>
    <w:p w14:paraId="7C8F85F2">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开户名称：   </w:t>
      </w:r>
    </w:p>
    <w:p w14:paraId="142B4C92">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开户行：       </w:t>
      </w:r>
    </w:p>
    <w:p w14:paraId="67105DB7">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账号：    </w:t>
      </w:r>
    </w:p>
    <w:p w14:paraId="5792FD8B">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21.3农民工工资支付约定</w:t>
      </w:r>
    </w:p>
    <w:p w14:paraId="0D6E0EE2">
      <w:pPr>
        <w:spacing w:line="360" w:lineRule="auto"/>
        <w:ind w:firstLine="420" w:firstLineChars="200"/>
        <w:rPr>
          <w:color w:val="auto"/>
          <w:highlight w:val="none"/>
        </w:rPr>
      </w:pPr>
      <w:r>
        <w:rPr>
          <w:rFonts w:hint="eastAsia" w:hAnsi="宋体"/>
          <w:color w:val="auto"/>
          <w:szCs w:val="21"/>
          <w:highlight w:val="none"/>
          <w:lang w:val="en-US" w:eastAsia="zh-CN"/>
        </w:rPr>
        <w:t>21.3.1</w:t>
      </w:r>
      <w:r>
        <w:rPr>
          <w:rFonts w:hint="eastAsia" w:ascii="宋体" w:hAnsi="宋体"/>
          <w:color w:val="auto"/>
          <w:szCs w:val="21"/>
          <w:highlight w:val="none"/>
        </w:rPr>
        <w:t>发包人应按合同约定向承包人及时支付合同条款，发包人在每期进度支付进度款时，通过银行转账方式，按进度款的20%拨付到承包人农民工工资支付专用账户，专门用于支付农民工工资</w:t>
      </w:r>
      <w:r>
        <w:rPr>
          <w:rFonts w:hint="eastAsia" w:hAnsi="宋体"/>
          <w:color w:val="auto"/>
          <w:szCs w:val="21"/>
          <w:highlight w:val="none"/>
          <w:lang w:eastAsia="zh-CN"/>
        </w:rPr>
        <w:t>。</w:t>
      </w:r>
    </w:p>
    <w:p w14:paraId="7163A571">
      <w:pPr>
        <w:spacing w:line="360" w:lineRule="auto"/>
        <w:ind w:firstLine="420" w:firstLineChars="200"/>
        <w:jc w:val="left"/>
        <w:rPr>
          <w:rFonts w:ascii="宋体" w:hAnsi="宋体"/>
          <w:color w:val="auto"/>
          <w:szCs w:val="21"/>
          <w:highlight w:val="none"/>
        </w:rPr>
      </w:pPr>
      <w:r>
        <w:rPr>
          <w:rFonts w:hint="eastAsia" w:hAnsi="宋体"/>
          <w:color w:val="auto"/>
          <w:szCs w:val="21"/>
          <w:highlight w:val="none"/>
          <w:lang w:val="en-US" w:eastAsia="zh-CN"/>
        </w:rPr>
        <w:t>21.3.2</w:t>
      </w:r>
      <w:r>
        <w:rPr>
          <w:rFonts w:ascii="宋体" w:hAnsi="宋体" w:cs="宋体"/>
          <w:color w:val="auto"/>
          <w:kern w:val="0"/>
          <w:szCs w:val="21"/>
          <w:highlight w:val="none"/>
        </w:rPr>
        <w:t>合同承包人申请进度款应明确农民工工资金额，拨付进度款须优先保障农民工工资，再经农民工工资专户转至工人个人账户。</w:t>
      </w:r>
    </w:p>
    <w:p w14:paraId="57D619EA">
      <w:pPr>
        <w:pageBreakBefore/>
        <w:spacing w:line="360" w:lineRule="auto"/>
        <w:ind w:left="-359" w:leftChars="-171" w:firstLine="360" w:firstLineChars="128"/>
        <w:jc w:val="left"/>
        <w:rPr>
          <w:rFonts w:ascii="宋体" w:hAnsi="宋体"/>
          <w:b/>
          <w:color w:val="auto"/>
          <w:sz w:val="28"/>
          <w:szCs w:val="28"/>
          <w:highlight w:val="none"/>
        </w:rPr>
      </w:pPr>
      <w:r>
        <w:rPr>
          <w:rFonts w:ascii="宋体" w:hAnsi="宋体"/>
          <w:b/>
          <w:color w:val="auto"/>
          <w:sz w:val="28"/>
          <w:szCs w:val="28"/>
          <w:highlight w:val="none"/>
        </w:rPr>
        <w:t>附件</w:t>
      </w:r>
    </w:p>
    <w:p w14:paraId="4BEB2C2C">
      <w:pPr>
        <w:spacing w:line="360" w:lineRule="auto"/>
        <w:jc w:val="left"/>
        <w:rPr>
          <w:rFonts w:ascii="宋体" w:hAnsi="宋体"/>
          <w:color w:val="auto"/>
          <w:szCs w:val="21"/>
          <w:highlight w:val="none"/>
        </w:rPr>
      </w:pPr>
      <w:r>
        <w:rPr>
          <w:rFonts w:ascii="宋体" w:hAnsi="宋体"/>
          <w:color w:val="auto"/>
          <w:szCs w:val="21"/>
          <w:highlight w:val="none"/>
        </w:rPr>
        <w:t>附件1：承包人承揽工程项目一览表</w:t>
      </w:r>
    </w:p>
    <w:p w14:paraId="730A4D08">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rPr>
        <w:t>承包人主要施工管理人员表</w:t>
      </w:r>
    </w:p>
    <w:p w14:paraId="2DD303C6">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分包人主要施工管理人员表</w:t>
      </w:r>
    </w:p>
    <w:p w14:paraId="3DC777AA">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承包人用于本工程施工的机械设备表</w:t>
      </w:r>
    </w:p>
    <w:p w14:paraId="6442F623">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预付款担保格式</w:t>
      </w:r>
    </w:p>
    <w:p w14:paraId="58582F9F">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hAnsi="宋体"/>
          <w:color w:val="auto"/>
          <w:szCs w:val="21"/>
          <w:highlight w:val="none"/>
          <w:lang w:val="en-US" w:eastAsia="zh-CN"/>
        </w:rPr>
        <w:t>6</w:t>
      </w:r>
      <w:r>
        <w:rPr>
          <w:rFonts w:ascii="宋体" w:hAnsi="宋体"/>
          <w:color w:val="auto"/>
          <w:szCs w:val="21"/>
          <w:highlight w:val="none"/>
        </w:rPr>
        <w:t>：</w:t>
      </w:r>
      <w:r>
        <w:rPr>
          <w:rFonts w:hint="eastAsia" w:ascii="宋体" w:hAnsi="宋体"/>
          <w:color w:val="auto"/>
          <w:szCs w:val="21"/>
          <w:highlight w:val="none"/>
        </w:rPr>
        <w:t>工程质量保修书</w:t>
      </w:r>
    </w:p>
    <w:p w14:paraId="4FAD14A2">
      <w:pPr>
        <w:pStyle w:val="252"/>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lang w:val="en-US" w:eastAsia="zh-CN"/>
        </w:rPr>
        <w:t>7</w:t>
      </w:r>
      <w:r>
        <w:rPr>
          <w:rFonts w:ascii="宋体" w:hAnsi="宋体"/>
          <w:color w:val="auto"/>
          <w:szCs w:val="21"/>
          <w:highlight w:val="none"/>
        </w:rPr>
        <w:t>：</w:t>
      </w:r>
      <w:bookmarkStart w:id="1735" w:name="_Toc14904_WPSOffice_Level2"/>
      <w:r>
        <w:rPr>
          <w:rFonts w:hint="eastAsia" w:ascii="宋体" w:hAnsi="宋体"/>
          <w:color w:val="auto"/>
          <w:szCs w:val="21"/>
          <w:highlight w:val="none"/>
        </w:rPr>
        <w:t>廉政合同</w:t>
      </w:r>
      <w:bookmarkEnd w:id="1735"/>
    </w:p>
    <w:p w14:paraId="5A515959">
      <w:pPr>
        <w:pStyle w:val="252"/>
        <w:spacing w:line="360" w:lineRule="auto"/>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lang w:val="en-US" w:eastAsia="zh-CN"/>
        </w:rPr>
        <w:t>8</w:t>
      </w:r>
      <w:r>
        <w:rPr>
          <w:rFonts w:ascii="宋体" w:hAnsi="宋体"/>
          <w:color w:val="auto"/>
          <w:szCs w:val="21"/>
          <w:highlight w:val="none"/>
        </w:rPr>
        <w:t>：</w:t>
      </w:r>
      <w:bookmarkStart w:id="1736" w:name="_Toc23600_WPSOffice_Level2"/>
      <w:r>
        <w:rPr>
          <w:rFonts w:hint="eastAsia" w:ascii="宋体" w:hAnsi="宋体"/>
          <w:color w:val="auto"/>
          <w:szCs w:val="21"/>
          <w:highlight w:val="none"/>
        </w:rPr>
        <w:t>安全生产合同</w:t>
      </w:r>
      <w:bookmarkEnd w:id="1736"/>
    </w:p>
    <w:p w14:paraId="52EA186C">
      <w:pPr>
        <w:pStyle w:val="23"/>
        <w:rPr>
          <w:color w:val="auto"/>
          <w:highlight w:val="none"/>
        </w:rPr>
      </w:pPr>
    </w:p>
    <w:p w14:paraId="4C72FE16">
      <w:pPr>
        <w:spacing w:line="360" w:lineRule="auto"/>
        <w:jc w:val="left"/>
        <w:rPr>
          <w:rFonts w:ascii="宋体" w:hAnsi="宋体"/>
          <w:color w:val="auto"/>
          <w:szCs w:val="21"/>
          <w:highlight w:val="none"/>
        </w:rPr>
      </w:pPr>
    </w:p>
    <w:p w14:paraId="4A3B67DF">
      <w:pPr>
        <w:spacing w:line="360" w:lineRule="auto"/>
        <w:jc w:val="left"/>
        <w:rPr>
          <w:rFonts w:ascii="宋体" w:hAnsi="宋体"/>
          <w:color w:val="auto"/>
          <w:szCs w:val="21"/>
          <w:highlight w:val="none"/>
        </w:rPr>
      </w:pPr>
    </w:p>
    <w:p w14:paraId="1C05F688">
      <w:pPr>
        <w:spacing w:line="360" w:lineRule="auto"/>
        <w:jc w:val="left"/>
        <w:rPr>
          <w:rFonts w:ascii="宋体" w:hAnsi="宋体"/>
          <w:color w:val="auto"/>
          <w:szCs w:val="21"/>
          <w:highlight w:val="none"/>
        </w:rPr>
      </w:pPr>
    </w:p>
    <w:p w14:paraId="6752F129">
      <w:pPr>
        <w:spacing w:line="360" w:lineRule="auto"/>
        <w:jc w:val="left"/>
        <w:rPr>
          <w:rFonts w:ascii="宋体" w:hAnsi="宋体"/>
          <w:color w:val="auto"/>
          <w:szCs w:val="21"/>
          <w:highlight w:val="none"/>
        </w:rPr>
      </w:pPr>
    </w:p>
    <w:p w14:paraId="36D5795B">
      <w:pPr>
        <w:spacing w:line="360" w:lineRule="auto"/>
        <w:jc w:val="left"/>
        <w:rPr>
          <w:rFonts w:ascii="宋体" w:hAnsi="宋体"/>
          <w:color w:val="auto"/>
          <w:szCs w:val="21"/>
          <w:highlight w:val="none"/>
        </w:rPr>
      </w:pPr>
    </w:p>
    <w:p w14:paraId="19889896">
      <w:pPr>
        <w:spacing w:line="360" w:lineRule="auto"/>
        <w:jc w:val="left"/>
        <w:rPr>
          <w:rFonts w:ascii="宋体" w:hAnsi="宋体"/>
          <w:color w:val="auto"/>
          <w:szCs w:val="21"/>
          <w:highlight w:val="none"/>
        </w:rPr>
      </w:pPr>
    </w:p>
    <w:p w14:paraId="257E118C">
      <w:pPr>
        <w:spacing w:line="360" w:lineRule="auto"/>
        <w:jc w:val="left"/>
        <w:rPr>
          <w:rFonts w:ascii="宋体" w:hAnsi="宋体"/>
          <w:color w:val="auto"/>
          <w:szCs w:val="21"/>
          <w:highlight w:val="none"/>
        </w:rPr>
      </w:pPr>
    </w:p>
    <w:p w14:paraId="23EAB914">
      <w:pPr>
        <w:spacing w:line="360" w:lineRule="auto"/>
        <w:jc w:val="left"/>
        <w:rPr>
          <w:rFonts w:ascii="宋体" w:hAnsi="宋体"/>
          <w:color w:val="auto"/>
          <w:szCs w:val="21"/>
          <w:highlight w:val="none"/>
        </w:rPr>
      </w:pPr>
    </w:p>
    <w:p w14:paraId="01B3C5B1">
      <w:pPr>
        <w:spacing w:line="360" w:lineRule="auto"/>
        <w:jc w:val="left"/>
        <w:rPr>
          <w:rFonts w:ascii="宋体" w:hAnsi="宋体"/>
          <w:color w:val="auto"/>
          <w:szCs w:val="21"/>
          <w:highlight w:val="none"/>
        </w:rPr>
      </w:pPr>
    </w:p>
    <w:p w14:paraId="25BB6288">
      <w:pPr>
        <w:spacing w:line="360" w:lineRule="auto"/>
        <w:jc w:val="left"/>
        <w:rPr>
          <w:rFonts w:ascii="宋体" w:hAnsi="宋体"/>
          <w:color w:val="auto"/>
          <w:szCs w:val="21"/>
          <w:highlight w:val="none"/>
        </w:rPr>
      </w:pPr>
    </w:p>
    <w:p w14:paraId="08C749F2">
      <w:pPr>
        <w:spacing w:line="360" w:lineRule="auto"/>
        <w:jc w:val="left"/>
        <w:rPr>
          <w:rFonts w:ascii="宋体" w:hAnsi="宋体"/>
          <w:color w:val="auto"/>
          <w:szCs w:val="21"/>
          <w:highlight w:val="none"/>
        </w:rPr>
      </w:pPr>
    </w:p>
    <w:p w14:paraId="53FA1560">
      <w:pPr>
        <w:spacing w:line="360" w:lineRule="auto"/>
        <w:jc w:val="left"/>
        <w:rPr>
          <w:rFonts w:ascii="宋体" w:hAnsi="宋体"/>
          <w:color w:val="auto"/>
          <w:szCs w:val="21"/>
          <w:highlight w:val="none"/>
        </w:rPr>
      </w:pPr>
    </w:p>
    <w:p w14:paraId="7BE4BD1F">
      <w:pPr>
        <w:spacing w:line="360" w:lineRule="auto"/>
        <w:jc w:val="left"/>
        <w:rPr>
          <w:rFonts w:ascii="宋体" w:hAnsi="宋体"/>
          <w:color w:val="auto"/>
          <w:szCs w:val="21"/>
          <w:highlight w:val="none"/>
        </w:rPr>
      </w:pPr>
    </w:p>
    <w:p w14:paraId="43CF3174">
      <w:pPr>
        <w:spacing w:line="360" w:lineRule="auto"/>
        <w:jc w:val="left"/>
        <w:rPr>
          <w:rFonts w:ascii="宋体" w:hAnsi="宋体"/>
          <w:color w:val="auto"/>
          <w:szCs w:val="21"/>
          <w:highlight w:val="none"/>
        </w:rPr>
      </w:pPr>
    </w:p>
    <w:p w14:paraId="5F02FA69">
      <w:pPr>
        <w:spacing w:line="360" w:lineRule="auto"/>
        <w:jc w:val="left"/>
        <w:rPr>
          <w:rFonts w:ascii="宋体" w:hAnsi="宋体"/>
          <w:color w:val="auto"/>
          <w:szCs w:val="21"/>
          <w:highlight w:val="none"/>
        </w:rPr>
      </w:pPr>
    </w:p>
    <w:p w14:paraId="2555091F">
      <w:pPr>
        <w:spacing w:line="360" w:lineRule="auto"/>
        <w:jc w:val="left"/>
        <w:rPr>
          <w:rFonts w:ascii="宋体" w:hAnsi="宋体"/>
          <w:color w:val="auto"/>
          <w:szCs w:val="21"/>
          <w:highlight w:val="none"/>
        </w:rPr>
      </w:pPr>
    </w:p>
    <w:p w14:paraId="1F2D52EC">
      <w:pPr>
        <w:spacing w:line="360" w:lineRule="auto"/>
        <w:jc w:val="left"/>
        <w:rPr>
          <w:rFonts w:ascii="宋体" w:hAnsi="宋体"/>
          <w:color w:val="auto"/>
          <w:szCs w:val="21"/>
          <w:highlight w:val="none"/>
        </w:rPr>
      </w:pPr>
    </w:p>
    <w:p w14:paraId="793FBAD3">
      <w:pPr>
        <w:spacing w:line="360" w:lineRule="auto"/>
        <w:jc w:val="left"/>
        <w:rPr>
          <w:rFonts w:ascii="宋体" w:hAnsi="宋体"/>
          <w:color w:val="auto"/>
          <w:szCs w:val="21"/>
          <w:highlight w:val="none"/>
        </w:rPr>
      </w:pPr>
    </w:p>
    <w:p w14:paraId="724A6528">
      <w:pPr>
        <w:spacing w:line="360" w:lineRule="auto"/>
        <w:jc w:val="left"/>
        <w:rPr>
          <w:rFonts w:ascii="宋体" w:hAnsi="宋体"/>
          <w:color w:val="auto"/>
          <w:szCs w:val="21"/>
          <w:highlight w:val="none"/>
        </w:rPr>
      </w:pPr>
    </w:p>
    <w:p w14:paraId="666CD893">
      <w:pPr>
        <w:spacing w:line="360" w:lineRule="auto"/>
        <w:jc w:val="left"/>
        <w:rPr>
          <w:rFonts w:ascii="宋体" w:hAnsi="宋体"/>
          <w:color w:val="auto"/>
          <w:szCs w:val="21"/>
          <w:highlight w:val="none"/>
        </w:rPr>
      </w:pPr>
    </w:p>
    <w:p w14:paraId="1AF31169">
      <w:pPr>
        <w:spacing w:line="360" w:lineRule="auto"/>
        <w:jc w:val="left"/>
        <w:rPr>
          <w:rFonts w:ascii="宋体" w:hAnsi="宋体"/>
          <w:color w:val="auto"/>
          <w:szCs w:val="21"/>
          <w:highlight w:val="none"/>
        </w:rPr>
      </w:pPr>
    </w:p>
    <w:p w14:paraId="084F77F9">
      <w:pPr>
        <w:spacing w:line="360" w:lineRule="auto"/>
        <w:jc w:val="left"/>
        <w:rPr>
          <w:rFonts w:ascii="宋体" w:hAnsi="宋体"/>
          <w:color w:val="auto"/>
          <w:szCs w:val="21"/>
          <w:highlight w:val="none"/>
        </w:rPr>
      </w:pPr>
    </w:p>
    <w:p w14:paraId="2BF2AF29">
      <w:pPr>
        <w:spacing w:line="360" w:lineRule="auto"/>
        <w:jc w:val="left"/>
        <w:rPr>
          <w:rFonts w:ascii="宋体" w:hAnsi="宋体"/>
          <w:color w:val="auto"/>
          <w:szCs w:val="21"/>
          <w:highlight w:val="none"/>
        </w:rPr>
      </w:pPr>
    </w:p>
    <w:p w14:paraId="1DC1EF7F">
      <w:pPr>
        <w:spacing w:before="120" w:beforeLines="50" w:after="120" w:afterLines="50" w:line="440" w:lineRule="exact"/>
        <w:jc w:val="left"/>
        <w:rPr>
          <w:rFonts w:ascii="仿宋_GB2312" w:eastAsia="仿宋_GB2312" w:cs="仿宋_GB2312"/>
          <w:color w:val="auto"/>
          <w:sz w:val="30"/>
          <w:szCs w:val="30"/>
          <w:highlight w:val="none"/>
        </w:rPr>
        <w:sectPr>
          <w:headerReference r:id="rId9" w:type="default"/>
          <w:pgSz w:w="11906" w:h="16838"/>
          <w:pgMar w:top="1134" w:right="1134" w:bottom="1134" w:left="1134" w:header="851" w:footer="851" w:gutter="0"/>
          <w:cols w:space="720" w:num="1"/>
          <w:docGrid w:linePitch="312" w:charSpace="0"/>
        </w:sectPr>
      </w:pPr>
    </w:p>
    <w:p w14:paraId="4AC10B41">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71915C8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002D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494FD3B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单位工程名称</w:t>
            </w:r>
          </w:p>
        </w:tc>
        <w:tc>
          <w:tcPr>
            <w:tcW w:w="1440" w:type="dxa"/>
            <w:vAlign w:val="center"/>
          </w:tcPr>
          <w:p w14:paraId="3021ECA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建设规模</w:t>
            </w:r>
          </w:p>
        </w:tc>
        <w:tc>
          <w:tcPr>
            <w:tcW w:w="1620" w:type="dxa"/>
            <w:vAlign w:val="center"/>
          </w:tcPr>
          <w:p w14:paraId="35A981A7">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建筑面积</w:t>
            </w:r>
            <w:r>
              <w:rPr>
                <w:rFonts w:ascii="Calibri" w:hAnsi="Calibri" w:eastAsia="仿宋_GB2312"/>
                <w:color w:val="auto"/>
                <w:sz w:val="28"/>
                <w:szCs w:val="28"/>
                <w:highlight w:val="none"/>
              </w:rPr>
              <w:t>(</w:t>
            </w:r>
            <w:r>
              <w:rPr>
                <w:rFonts w:hint="eastAsia" w:ascii="Calibri" w:hAnsi="Calibri" w:eastAsia="仿宋_GB2312" w:cs="仿宋_GB2312"/>
                <w:color w:val="auto"/>
                <w:sz w:val="28"/>
                <w:szCs w:val="28"/>
                <w:highlight w:val="none"/>
              </w:rPr>
              <w:t>平方米</w:t>
            </w:r>
            <w:r>
              <w:rPr>
                <w:rFonts w:ascii="Calibri" w:hAnsi="Calibri" w:eastAsia="仿宋_GB2312"/>
                <w:color w:val="auto"/>
                <w:sz w:val="28"/>
                <w:szCs w:val="28"/>
                <w:highlight w:val="none"/>
              </w:rPr>
              <w:t>)</w:t>
            </w:r>
          </w:p>
        </w:tc>
        <w:tc>
          <w:tcPr>
            <w:tcW w:w="1661" w:type="dxa"/>
            <w:vAlign w:val="center"/>
          </w:tcPr>
          <w:p w14:paraId="281DD7AB">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结构形式</w:t>
            </w:r>
          </w:p>
        </w:tc>
        <w:tc>
          <w:tcPr>
            <w:tcW w:w="850" w:type="dxa"/>
            <w:vAlign w:val="center"/>
          </w:tcPr>
          <w:p w14:paraId="089C4083">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层数</w:t>
            </w:r>
          </w:p>
        </w:tc>
        <w:tc>
          <w:tcPr>
            <w:tcW w:w="1560" w:type="dxa"/>
            <w:vAlign w:val="center"/>
          </w:tcPr>
          <w:p w14:paraId="20A1F779">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生产能力</w:t>
            </w:r>
          </w:p>
        </w:tc>
        <w:tc>
          <w:tcPr>
            <w:tcW w:w="2126" w:type="dxa"/>
            <w:vAlign w:val="center"/>
          </w:tcPr>
          <w:p w14:paraId="5C9B9CC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设备安装内容</w:t>
            </w:r>
          </w:p>
        </w:tc>
        <w:tc>
          <w:tcPr>
            <w:tcW w:w="1417" w:type="dxa"/>
            <w:vAlign w:val="center"/>
          </w:tcPr>
          <w:p w14:paraId="28CAE02A">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合同价格（元）</w:t>
            </w:r>
          </w:p>
        </w:tc>
        <w:tc>
          <w:tcPr>
            <w:tcW w:w="851" w:type="dxa"/>
            <w:vAlign w:val="center"/>
          </w:tcPr>
          <w:p w14:paraId="3DA44F1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开工日期</w:t>
            </w:r>
          </w:p>
        </w:tc>
        <w:tc>
          <w:tcPr>
            <w:tcW w:w="850" w:type="dxa"/>
            <w:vAlign w:val="center"/>
          </w:tcPr>
          <w:p w14:paraId="4B9A03BD">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竣工日期</w:t>
            </w:r>
          </w:p>
        </w:tc>
      </w:tr>
      <w:tr w14:paraId="77CF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17FDB5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59179A8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57F71D6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6C37345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63B2E0D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1F7A00E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73F39EF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2C63BB8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5AC6C5C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6BC9B99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A42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394DE0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7E33D0F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6DBEB56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0EB3C59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720F61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0ACC4A4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52A1406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0EFECCE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3B246A8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78C7203F">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22C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52AD24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17C2566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6E3C11E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27B8F94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5F9423C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749CAE8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499FBCE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5233212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440AA11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24CD963F">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053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BFA45F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1303C43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0638C30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425FD53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13CEA4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5D7926B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69882D7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3DB3415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57C8ADF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ED3BC34">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9F4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CB0553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6C5805F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5BC404E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10C1468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62F7329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7B081AB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2407A98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3D86076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2F8B0E5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4572BE4E">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1BD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7BA3CC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6760546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7C5D156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6FC1DA4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477B573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5E87BEA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0BD0645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3F67D47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5BFB823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57A636AD">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8D2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FD2B79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2F22CA0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47E2354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07E7F2F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6DD1461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7D4D0B9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532628E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5DE95EE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396D7F2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ED88621">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A49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9CD194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388BE1F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4D73950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7C71BFD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09804C2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310AF01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44EFC4E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0D454B6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1056E7D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CC09B2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D20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52E815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13141DB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1D52E7C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2963352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602AEC2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6C8A62E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4E7B441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3FF4684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60DA765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5095270">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bl>
    <w:p w14:paraId="6E95D830">
      <w:pPr>
        <w:spacing w:line="460" w:lineRule="exact"/>
        <w:ind w:firstLine="420" w:firstLineChars="200"/>
        <w:rPr>
          <w:color w:val="auto"/>
          <w:szCs w:val="21"/>
          <w:highlight w:val="none"/>
        </w:rPr>
      </w:pPr>
    </w:p>
    <w:p w14:paraId="2486B59D">
      <w:pPr>
        <w:spacing w:line="440" w:lineRule="exact"/>
        <w:rPr>
          <w:rFonts w:eastAsia="仿宋_GB2312" w:cs="仿宋_GB2312"/>
          <w:color w:val="auto"/>
          <w:sz w:val="30"/>
          <w:szCs w:val="30"/>
          <w:highlight w:val="none"/>
        </w:rPr>
      </w:pPr>
    </w:p>
    <w:p w14:paraId="2ACEED5B">
      <w:pPr>
        <w:spacing w:line="440" w:lineRule="exact"/>
        <w:rPr>
          <w:rFonts w:eastAsia="仿宋_GB2312" w:cs="仿宋_GB2312"/>
          <w:color w:val="auto"/>
          <w:sz w:val="30"/>
          <w:szCs w:val="30"/>
          <w:highlight w:val="none"/>
        </w:rPr>
      </w:pPr>
    </w:p>
    <w:p w14:paraId="16262DC3">
      <w:pPr>
        <w:spacing w:line="440" w:lineRule="exact"/>
        <w:rPr>
          <w:rFonts w:eastAsia="仿宋_GB2312" w:cs="仿宋_GB2312"/>
          <w:color w:val="auto"/>
          <w:sz w:val="30"/>
          <w:szCs w:val="30"/>
          <w:highlight w:val="none"/>
        </w:rPr>
      </w:pPr>
    </w:p>
    <w:p w14:paraId="74B916B4">
      <w:pPr>
        <w:spacing w:line="440" w:lineRule="exact"/>
        <w:rPr>
          <w:rFonts w:eastAsia="仿宋_GB2312" w:cs="仿宋_GB2312"/>
          <w:color w:val="auto"/>
          <w:sz w:val="30"/>
          <w:szCs w:val="30"/>
          <w:highlight w:val="none"/>
        </w:rPr>
        <w:sectPr>
          <w:pgSz w:w="16838" w:h="11906" w:orient="landscape"/>
          <w:pgMar w:top="1134" w:right="1134" w:bottom="1134" w:left="1134" w:header="851" w:footer="851" w:gutter="0"/>
          <w:cols w:space="720" w:num="1"/>
          <w:docGrid w:linePitch="312" w:charSpace="0"/>
        </w:sectPr>
      </w:pPr>
    </w:p>
    <w:p w14:paraId="6F7CA1B2">
      <w:pPr>
        <w:pStyle w:val="23"/>
        <w:rPr>
          <w:color w:val="auto"/>
          <w:highlight w:val="none"/>
        </w:rPr>
      </w:pPr>
    </w:p>
    <w:p w14:paraId="24D11C31">
      <w:pPr>
        <w:spacing w:line="440" w:lineRule="exact"/>
        <w:rPr>
          <w:rFonts w:eastAsia="黑体"/>
          <w:color w:val="auto"/>
          <w:sz w:val="30"/>
          <w:szCs w:val="30"/>
          <w:highlight w:val="none"/>
        </w:rPr>
      </w:pPr>
      <w:r>
        <w:rPr>
          <w:rFonts w:hint="eastAsia" w:eastAsia="仿宋_GB2312" w:cs="仿宋_GB2312"/>
          <w:color w:val="auto"/>
          <w:sz w:val="30"/>
          <w:szCs w:val="30"/>
          <w:highlight w:val="none"/>
        </w:rPr>
        <w:t>附</w:t>
      </w:r>
      <w:bookmarkStart w:id="1737" w:name="_Toc296503228"/>
      <w:bookmarkStart w:id="1738" w:name="_Toc296346729"/>
      <w:bookmarkStart w:id="1739" w:name="_Toc296944567"/>
      <w:bookmarkStart w:id="1740" w:name="_Toc296891268"/>
      <w:bookmarkStart w:id="1741" w:name="_Toc296891056"/>
      <w:bookmarkStart w:id="1742" w:name="_Toc296347227"/>
      <w:bookmarkStart w:id="1743" w:name="_Toc267261699"/>
      <w:r>
        <w:rPr>
          <w:rFonts w:hint="eastAsia" w:eastAsia="仿宋_GB2312" w:cs="仿宋_GB2312"/>
          <w:color w:val="auto"/>
          <w:sz w:val="30"/>
          <w:szCs w:val="30"/>
          <w:highlight w:val="none"/>
        </w:rPr>
        <w:t>件</w:t>
      </w:r>
      <w:r>
        <w:rPr>
          <w:rFonts w:hint="eastAsia" w:eastAsia="仿宋_GB2312"/>
          <w:color w:val="auto"/>
          <w:sz w:val="30"/>
          <w:szCs w:val="30"/>
          <w:highlight w:val="none"/>
          <w:lang w:val="en-US" w:eastAsia="zh-CN"/>
        </w:rPr>
        <w:t>2</w:t>
      </w:r>
      <w:r>
        <w:rPr>
          <w:rFonts w:hint="eastAsia" w:eastAsia="仿宋_GB2312" w:cs="仿宋_GB2312"/>
          <w:color w:val="auto"/>
          <w:sz w:val="30"/>
          <w:szCs w:val="30"/>
          <w:highlight w:val="none"/>
        </w:rPr>
        <w:t>：</w:t>
      </w:r>
    </w:p>
    <w:bookmarkEnd w:id="1737"/>
    <w:bookmarkEnd w:id="1738"/>
    <w:bookmarkEnd w:id="1739"/>
    <w:bookmarkEnd w:id="1740"/>
    <w:bookmarkEnd w:id="1741"/>
    <w:bookmarkEnd w:id="1742"/>
    <w:bookmarkEnd w:id="1743"/>
    <w:p w14:paraId="1F6AA488">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12E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104E0DD">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名称</w:t>
            </w:r>
          </w:p>
        </w:tc>
        <w:tc>
          <w:tcPr>
            <w:tcW w:w="1418" w:type="dxa"/>
            <w:vAlign w:val="center"/>
          </w:tcPr>
          <w:p w14:paraId="5110530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姓名</w:t>
            </w:r>
          </w:p>
        </w:tc>
        <w:tc>
          <w:tcPr>
            <w:tcW w:w="1134" w:type="dxa"/>
            <w:vAlign w:val="center"/>
          </w:tcPr>
          <w:p w14:paraId="6D301246">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职务</w:t>
            </w:r>
          </w:p>
        </w:tc>
        <w:tc>
          <w:tcPr>
            <w:tcW w:w="1134" w:type="dxa"/>
            <w:vAlign w:val="center"/>
          </w:tcPr>
          <w:p w14:paraId="08D330C4">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职称</w:t>
            </w:r>
          </w:p>
        </w:tc>
        <w:tc>
          <w:tcPr>
            <w:tcW w:w="4252" w:type="dxa"/>
            <w:vAlign w:val="center"/>
          </w:tcPr>
          <w:p w14:paraId="39ED945F">
            <w:pPr>
              <w:keepNext/>
              <w:adjustRightInd w:val="0"/>
              <w:spacing w:line="440" w:lineRule="exact"/>
              <w:ind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计划进场时间</w:t>
            </w:r>
          </w:p>
        </w:tc>
      </w:tr>
      <w:tr w14:paraId="5285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3F39E7D">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一、总部人员</w:t>
            </w:r>
          </w:p>
        </w:tc>
      </w:tr>
      <w:tr w14:paraId="1C6C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6881B5">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项目主管</w:t>
            </w:r>
          </w:p>
        </w:tc>
        <w:tc>
          <w:tcPr>
            <w:tcW w:w="1418" w:type="dxa"/>
            <w:vAlign w:val="center"/>
          </w:tcPr>
          <w:p w14:paraId="72D79FB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CCE7FE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8C0C3B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9A142F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4EB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A492601">
            <w:pPr>
              <w:keepNext/>
              <w:adjustRightInd w:val="0"/>
              <w:spacing w:after="60"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24182A3C">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9E6A84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EACD1A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0E74FAE3">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A22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A602B06">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2546427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4D396F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E90016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047D94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470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CB7FAE6">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413A9299">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514FBF2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B5A1DC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FF32E3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739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544F2B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二、现场人员</w:t>
            </w:r>
          </w:p>
        </w:tc>
      </w:tr>
      <w:tr w14:paraId="07E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28675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项目经理</w:t>
            </w:r>
          </w:p>
        </w:tc>
        <w:tc>
          <w:tcPr>
            <w:tcW w:w="1418" w:type="dxa"/>
            <w:vAlign w:val="center"/>
          </w:tcPr>
          <w:p w14:paraId="336A9E3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B88005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117FCD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A54FF1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FE0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E53F6A">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项目副经理</w:t>
            </w:r>
          </w:p>
        </w:tc>
        <w:tc>
          <w:tcPr>
            <w:tcW w:w="1418" w:type="dxa"/>
            <w:vAlign w:val="center"/>
          </w:tcPr>
          <w:p w14:paraId="13D2FA52">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79D371D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8D695A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5813EAE">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607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6C5C009">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技术负责人</w:t>
            </w:r>
          </w:p>
        </w:tc>
        <w:tc>
          <w:tcPr>
            <w:tcW w:w="1418" w:type="dxa"/>
            <w:vAlign w:val="center"/>
          </w:tcPr>
          <w:p w14:paraId="06502902">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5817B4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E95940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5014805">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AEE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F87CE4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造价管理</w:t>
            </w:r>
          </w:p>
        </w:tc>
        <w:tc>
          <w:tcPr>
            <w:tcW w:w="1418" w:type="dxa"/>
            <w:vAlign w:val="center"/>
          </w:tcPr>
          <w:p w14:paraId="5B448D0E">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714B5C8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D63632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00E6FF5F">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9B1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4C4930D">
            <w:pPr>
              <w:keepNext/>
              <w:adjustRightInd w:val="0"/>
              <w:spacing w:after="60"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质量管理</w:t>
            </w:r>
          </w:p>
        </w:tc>
        <w:tc>
          <w:tcPr>
            <w:tcW w:w="1418" w:type="dxa"/>
            <w:vAlign w:val="center"/>
          </w:tcPr>
          <w:p w14:paraId="38186A9B">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235C32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6FF36E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BD45B8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14D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32C1ADC">
            <w:pPr>
              <w:keepNext/>
              <w:adjustRightInd w:val="0"/>
              <w:spacing w:after="60"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194F1DAC">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53ED37A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E48CA8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15FC094">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BA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1E50ABF">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6E3564B6">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7FF234E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950A9E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77C1169">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596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4129E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材料管理</w:t>
            </w:r>
          </w:p>
        </w:tc>
        <w:tc>
          <w:tcPr>
            <w:tcW w:w="1418" w:type="dxa"/>
            <w:vAlign w:val="center"/>
          </w:tcPr>
          <w:p w14:paraId="46FC238D">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016FA8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2B05B3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56EB1A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0CF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120A30">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计划管理</w:t>
            </w:r>
          </w:p>
        </w:tc>
        <w:tc>
          <w:tcPr>
            <w:tcW w:w="1418" w:type="dxa"/>
            <w:vAlign w:val="center"/>
          </w:tcPr>
          <w:p w14:paraId="21D985C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E5DD09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FA70F8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774392A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384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77B0065">
            <w:pPr>
              <w:keepNext/>
              <w:adjustRightInd w:val="0"/>
              <w:spacing w:after="60"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安全管理</w:t>
            </w:r>
          </w:p>
        </w:tc>
        <w:tc>
          <w:tcPr>
            <w:tcW w:w="1418" w:type="dxa"/>
            <w:vAlign w:val="center"/>
          </w:tcPr>
          <w:p w14:paraId="6D5A44B0">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00E3B5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AB891A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6696655">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506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6AD542">
            <w:pPr>
              <w:keepNext/>
              <w:adjustRightInd w:val="0"/>
              <w:spacing w:after="60"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664696D8">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3314B3B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AE45F2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3C689E1">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D3D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4179E00">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78D8903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416E65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2D4B72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77615C7">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8B5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D5AE4A8">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658A6CD2">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9A729D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A3774B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4F15FC7">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B00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66AA87B">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024584A3">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99C230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6A12C8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A85045C">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460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6C76FF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3E87A7C0">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7C1E8FC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582AE0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020BF33F">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8FD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73F899B">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33BC0DEA">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EE993F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F6342B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9A8AC8F">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54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750786A">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0F536A5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309F8E3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17176B5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FDDACA1">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415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DA5E2B6">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2567577D">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590BB1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02BEC9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C7FFDA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bl>
    <w:p w14:paraId="20E24E15">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744" w:name="_Toc296891057"/>
      <w:bookmarkStart w:id="1745" w:name="_Toc296503229"/>
      <w:bookmarkStart w:id="1746" w:name="_Toc296891269"/>
      <w:bookmarkStart w:id="1747" w:name="_Toc296346730"/>
      <w:bookmarkStart w:id="1748" w:name="_Toc296944568"/>
      <w:bookmarkStart w:id="1749" w:name="_Toc296347228"/>
      <w:r>
        <w:rPr>
          <w:rFonts w:hint="eastAsia" w:eastAsia="仿宋_GB2312" w:cs="仿宋_GB2312"/>
          <w:color w:val="auto"/>
          <w:sz w:val="30"/>
          <w:szCs w:val="30"/>
          <w:highlight w:val="none"/>
        </w:rPr>
        <w:t>件</w:t>
      </w:r>
      <w:r>
        <w:rPr>
          <w:rFonts w:hint="eastAsia" w:eastAsia="仿宋_GB2312"/>
          <w:color w:val="auto"/>
          <w:sz w:val="30"/>
          <w:szCs w:val="30"/>
          <w:highlight w:val="none"/>
          <w:lang w:val="en-US" w:eastAsia="zh-CN"/>
        </w:rPr>
        <w:t>3</w:t>
      </w:r>
      <w:r>
        <w:rPr>
          <w:rFonts w:hint="eastAsia" w:eastAsia="仿宋_GB2312" w:cs="仿宋_GB2312"/>
          <w:color w:val="auto"/>
          <w:sz w:val="30"/>
          <w:szCs w:val="30"/>
          <w:highlight w:val="none"/>
        </w:rPr>
        <w:t>：</w:t>
      </w:r>
    </w:p>
    <w:bookmarkEnd w:id="1744"/>
    <w:bookmarkEnd w:id="1745"/>
    <w:bookmarkEnd w:id="1746"/>
    <w:bookmarkEnd w:id="1747"/>
    <w:bookmarkEnd w:id="1748"/>
    <w:bookmarkEnd w:id="1749"/>
    <w:p w14:paraId="0DCA734A">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939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99E9AD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名称</w:t>
            </w:r>
          </w:p>
        </w:tc>
        <w:tc>
          <w:tcPr>
            <w:tcW w:w="1418" w:type="dxa"/>
            <w:vAlign w:val="center"/>
          </w:tcPr>
          <w:p w14:paraId="4158D9C9">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姓名</w:t>
            </w:r>
          </w:p>
        </w:tc>
        <w:tc>
          <w:tcPr>
            <w:tcW w:w="1134" w:type="dxa"/>
            <w:vAlign w:val="center"/>
          </w:tcPr>
          <w:p w14:paraId="019E692E">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职务</w:t>
            </w:r>
          </w:p>
        </w:tc>
        <w:tc>
          <w:tcPr>
            <w:tcW w:w="1134" w:type="dxa"/>
            <w:vAlign w:val="center"/>
          </w:tcPr>
          <w:p w14:paraId="2DBCB5EE">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职称</w:t>
            </w:r>
          </w:p>
        </w:tc>
        <w:tc>
          <w:tcPr>
            <w:tcW w:w="4252" w:type="dxa"/>
            <w:vAlign w:val="center"/>
          </w:tcPr>
          <w:p w14:paraId="646C89FF">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主要资历、经验及承担过的项目</w:t>
            </w:r>
          </w:p>
        </w:tc>
      </w:tr>
      <w:tr w14:paraId="197E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5CC5B47">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一、总部人员</w:t>
            </w:r>
          </w:p>
        </w:tc>
      </w:tr>
      <w:tr w14:paraId="4A95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20A9EA2">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项目主管</w:t>
            </w:r>
          </w:p>
        </w:tc>
        <w:tc>
          <w:tcPr>
            <w:tcW w:w="1418" w:type="dxa"/>
            <w:vAlign w:val="center"/>
          </w:tcPr>
          <w:p w14:paraId="5F8593DB">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0D2893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13A9C16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903279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AD9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5B17655">
            <w:pPr>
              <w:keepNext/>
              <w:adjustRightInd w:val="0"/>
              <w:spacing w:after="60"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7D8B8A58">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E0B1D7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22D25B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EE550E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58C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25D7BEE">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1AF213DC">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84DC0A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1A7C6AE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CF0777A">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0F2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F71E4E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3BE4ACFC">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531B320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8FFED4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CF7B747">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BC1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4842A3B">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二、现场人员</w:t>
            </w:r>
          </w:p>
        </w:tc>
      </w:tr>
      <w:tr w14:paraId="6266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C3C60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项目经理</w:t>
            </w:r>
          </w:p>
        </w:tc>
        <w:tc>
          <w:tcPr>
            <w:tcW w:w="1418" w:type="dxa"/>
            <w:vAlign w:val="center"/>
          </w:tcPr>
          <w:p w14:paraId="507BAD20">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1B970C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5371AE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5CB35C0">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F5B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D8C89E">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项目副经理</w:t>
            </w:r>
          </w:p>
        </w:tc>
        <w:tc>
          <w:tcPr>
            <w:tcW w:w="1418" w:type="dxa"/>
            <w:vAlign w:val="center"/>
          </w:tcPr>
          <w:p w14:paraId="3786972A">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B49064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285F16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4CB9555">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F20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6E2BE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技术负责人</w:t>
            </w:r>
          </w:p>
        </w:tc>
        <w:tc>
          <w:tcPr>
            <w:tcW w:w="1418" w:type="dxa"/>
            <w:vAlign w:val="center"/>
          </w:tcPr>
          <w:p w14:paraId="78332919">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937EF9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188B31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0FCE08DB">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556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79D7A48">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造价管理</w:t>
            </w:r>
          </w:p>
        </w:tc>
        <w:tc>
          <w:tcPr>
            <w:tcW w:w="1418" w:type="dxa"/>
            <w:vAlign w:val="center"/>
          </w:tcPr>
          <w:p w14:paraId="7BBA8CD2">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583E08B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B01A6C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8255C44">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6C9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ABD86B2">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质量管理</w:t>
            </w:r>
          </w:p>
        </w:tc>
        <w:tc>
          <w:tcPr>
            <w:tcW w:w="1418" w:type="dxa"/>
            <w:vAlign w:val="center"/>
          </w:tcPr>
          <w:p w14:paraId="3CFCFBB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0DCBB0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69078E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032BE2C">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0FB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EFC68B0">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材料管理</w:t>
            </w:r>
          </w:p>
        </w:tc>
        <w:tc>
          <w:tcPr>
            <w:tcW w:w="1418" w:type="dxa"/>
            <w:vAlign w:val="center"/>
          </w:tcPr>
          <w:p w14:paraId="3F33DBA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26135E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0FBF3A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4E4758B">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554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9DD74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计划管理</w:t>
            </w:r>
          </w:p>
        </w:tc>
        <w:tc>
          <w:tcPr>
            <w:tcW w:w="1418" w:type="dxa"/>
            <w:vAlign w:val="center"/>
          </w:tcPr>
          <w:p w14:paraId="3CBF584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6EC42A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2D95C6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BC1285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DFD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0D2E52">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安全管理</w:t>
            </w:r>
          </w:p>
        </w:tc>
        <w:tc>
          <w:tcPr>
            <w:tcW w:w="1418" w:type="dxa"/>
            <w:vAlign w:val="center"/>
          </w:tcPr>
          <w:p w14:paraId="66ECB69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19499D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79A19D0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9CA1FE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3A7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3C73019">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38611B9B">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5C5714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2EF3D9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9D5049A">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66F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2D99F8B">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62DEB0DB">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3D28C95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156A85B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006F4AE">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238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0B8E5C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521542B9">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C608A9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E945C9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0A8E81FB">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68E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5FC7EF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6F3C063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F4934B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7861603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7A5CEB7C">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395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15827F9">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538D682D">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5EB2B31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CA9E81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0F0E3D1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F36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062DC6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000433CF">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C3538C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8CECB5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30C03A9">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bl>
    <w:p w14:paraId="7CEC6BE3">
      <w:pPr>
        <w:spacing w:line="440" w:lineRule="exact"/>
        <w:rPr>
          <w:rFonts w:eastAsia="黑体"/>
          <w:color w:val="auto"/>
          <w:sz w:val="30"/>
          <w:szCs w:val="30"/>
          <w:highlight w:val="none"/>
        </w:rPr>
      </w:pPr>
      <w:r>
        <w:rPr>
          <w:rFonts w:eastAsia="仿宋_GB2312"/>
          <w:color w:val="auto"/>
          <w:sz w:val="30"/>
          <w:szCs w:val="30"/>
          <w:highlight w:val="none"/>
        </w:rPr>
        <w:br w:type="page"/>
      </w:r>
      <w:bookmarkStart w:id="1750" w:name="_Toc267261701"/>
      <w:r>
        <w:rPr>
          <w:rFonts w:hint="eastAsia" w:eastAsia="仿宋_GB2312" w:cs="仿宋_GB2312"/>
          <w:color w:val="auto"/>
          <w:sz w:val="30"/>
          <w:szCs w:val="30"/>
          <w:highlight w:val="none"/>
        </w:rPr>
        <w:t xml:space="preserve"> </w:t>
      </w:r>
      <w:bookmarkEnd w:id="1750"/>
      <w:r>
        <w:rPr>
          <w:rFonts w:hint="eastAsia" w:eastAsia="仿宋_GB2312" w:cs="仿宋_GB2312"/>
          <w:color w:val="auto"/>
          <w:sz w:val="30"/>
          <w:szCs w:val="30"/>
          <w:highlight w:val="none"/>
        </w:rPr>
        <w:t>附</w:t>
      </w:r>
      <w:bookmarkStart w:id="1751" w:name="_Toc296346726"/>
      <w:bookmarkStart w:id="1752" w:name="_Toc267261692"/>
      <w:bookmarkStart w:id="1753" w:name="_Toc296347224"/>
      <w:bookmarkStart w:id="1754" w:name="_Toc296891265"/>
      <w:bookmarkStart w:id="1755" w:name="_Toc296503225"/>
      <w:bookmarkStart w:id="1756" w:name="_Toc296891053"/>
      <w:bookmarkStart w:id="1757" w:name="_Toc296944564"/>
      <w:r>
        <w:rPr>
          <w:rFonts w:hint="eastAsia" w:eastAsia="仿宋_GB2312" w:cs="仿宋_GB2312"/>
          <w:color w:val="auto"/>
          <w:sz w:val="30"/>
          <w:szCs w:val="30"/>
          <w:highlight w:val="none"/>
        </w:rPr>
        <w:t>件</w:t>
      </w:r>
      <w:r>
        <w:rPr>
          <w:rFonts w:hint="eastAsia" w:eastAsia="仿宋_GB2312"/>
          <w:color w:val="auto"/>
          <w:sz w:val="30"/>
          <w:szCs w:val="30"/>
          <w:highlight w:val="none"/>
          <w:lang w:val="en-US" w:eastAsia="zh-CN"/>
        </w:rPr>
        <w:t>4</w:t>
      </w:r>
      <w:r>
        <w:rPr>
          <w:rFonts w:hint="eastAsia" w:eastAsia="仿宋_GB2312" w:cs="仿宋_GB2312"/>
          <w:color w:val="auto"/>
          <w:sz w:val="30"/>
          <w:szCs w:val="30"/>
          <w:highlight w:val="none"/>
        </w:rPr>
        <w:t>：</w:t>
      </w:r>
    </w:p>
    <w:bookmarkEnd w:id="1751"/>
    <w:bookmarkEnd w:id="1752"/>
    <w:bookmarkEnd w:id="1753"/>
    <w:bookmarkEnd w:id="1754"/>
    <w:bookmarkEnd w:id="1755"/>
    <w:bookmarkEnd w:id="1756"/>
    <w:bookmarkEnd w:id="1757"/>
    <w:p w14:paraId="38E49D32">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A3F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63083E1D">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序号</w:t>
            </w:r>
          </w:p>
        </w:tc>
        <w:tc>
          <w:tcPr>
            <w:tcW w:w="1418" w:type="dxa"/>
            <w:vAlign w:val="center"/>
          </w:tcPr>
          <w:p w14:paraId="5BE274E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机械或设备名称</w:t>
            </w:r>
          </w:p>
        </w:tc>
        <w:tc>
          <w:tcPr>
            <w:tcW w:w="850" w:type="dxa"/>
            <w:vAlign w:val="center"/>
          </w:tcPr>
          <w:p w14:paraId="1CD9FFE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规格型号</w:t>
            </w:r>
          </w:p>
        </w:tc>
        <w:tc>
          <w:tcPr>
            <w:tcW w:w="1058" w:type="dxa"/>
            <w:vAlign w:val="center"/>
          </w:tcPr>
          <w:p w14:paraId="1507A574">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数量</w:t>
            </w:r>
          </w:p>
        </w:tc>
        <w:tc>
          <w:tcPr>
            <w:tcW w:w="880" w:type="dxa"/>
            <w:vAlign w:val="center"/>
          </w:tcPr>
          <w:p w14:paraId="75838C2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产地</w:t>
            </w:r>
          </w:p>
        </w:tc>
        <w:tc>
          <w:tcPr>
            <w:tcW w:w="1020" w:type="dxa"/>
            <w:vAlign w:val="center"/>
          </w:tcPr>
          <w:p w14:paraId="08040004">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制造年份</w:t>
            </w:r>
          </w:p>
        </w:tc>
        <w:tc>
          <w:tcPr>
            <w:tcW w:w="1480" w:type="dxa"/>
            <w:vAlign w:val="center"/>
          </w:tcPr>
          <w:p w14:paraId="7B24E9F0">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额定功率（</w:t>
            </w:r>
            <w:r>
              <w:rPr>
                <w:rFonts w:ascii="Calibri" w:hAnsi="Calibri" w:eastAsia="仿宋_GB2312"/>
                <w:color w:val="auto"/>
                <w:sz w:val="28"/>
                <w:szCs w:val="28"/>
                <w:highlight w:val="none"/>
              </w:rPr>
              <w:t>kW</w:t>
            </w:r>
            <w:r>
              <w:rPr>
                <w:rFonts w:hint="eastAsia" w:ascii="Calibri" w:hAnsi="Calibri" w:eastAsia="仿宋_GB2312" w:cs="仿宋_GB2312"/>
                <w:color w:val="auto"/>
                <w:sz w:val="28"/>
                <w:szCs w:val="28"/>
                <w:highlight w:val="none"/>
              </w:rPr>
              <w:t>）</w:t>
            </w:r>
          </w:p>
        </w:tc>
        <w:tc>
          <w:tcPr>
            <w:tcW w:w="1020" w:type="dxa"/>
            <w:vAlign w:val="center"/>
          </w:tcPr>
          <w:p w14:paraId="2A90DEFD">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生产能力</w:t>
            </w:r>
          </w:p>
        </w:tc>
        <w:tc>
          <w:tcPr>
            <w:tcW w:w="921" w:type="dxa"/>
            <w:vAlign w:val="center"/>
          </w:tcPr>
          <w:p w14:paraId="62293FFD">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备注</w:t>
            </w:r>
          </w:p>
        </w:tc>
      </w:tr>
      <w:tr w14:paraId="5E51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0F79DD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12A3B3C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7714530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334005C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16F3B6F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1A8E489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279FCFE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DBDF0D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696C0AF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5CC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89E11C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2D12335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4AEDDD1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0AD64A6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375728F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6EAA510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2646A47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0F19E0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1AFD8E6C">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4BE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DFC45C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7318B20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F38323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068EA1A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2C738A3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4E325EE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0C04634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713219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03EAD12C">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3F39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567983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7861A5D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F7307B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0D868E5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4E2DCEB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764EBA7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425CEF7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6A4F4B0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395566D0">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BA3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00730F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72896F0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60E689B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550EB53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56704FB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3C9F3CB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42D7FB7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0BD48BA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399AF13E">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955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431BA5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53E8F0E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7438CCB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51F2594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6044B7B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239D86B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0ABFB5B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7D10047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4DB41167">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3E43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9DFA02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087A392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71D279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36E4BE7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0E9375F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0CAA03C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2EB3FC2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086D9F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2F04731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0C1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C19257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57A6801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20FAC64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7DB724B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657E077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0B61936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6DBB145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325A97C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4A3C84B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CBF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FA13EA5">
            <w:pPr>
              <w:rPr>
                <w:rFonts w:eastAsia="仿宋_GB2312"/>
                <w:color w:val="auto"/>
                <w:sz w:val="30"/>
                <w:szCs w:val="30"/>
                <w:highlight w:val="none"/>
              </w:rPr>
            </w:pPr>
          </w:p>
        </w:tc>
        <w:tc>
          <w:tcPr>
            <w:tcW w:w="1418" w:type="dxa"/>
          </w:tcPr>
          <w:p w14:paraId="77F733CE">
            <w:pPr>
              <w:rPr>
                <w:rFonts w:eastAsia="仿宋_GB2312"/>
                <w:color w:val="auto"/>
                <w:sz w:val="30"/>
                <w:szCs w:val="30"/>
                <w:highlight w:val="none"/>
              </w:rPr>
            </w:pPr>
          </w:p>
        </w:tc>
        <w:tc>
          <w:tcPr>
            <w:tcW w:w="850" w:type="dxa"/>
          </w:tcPr>
          <w:p w14:paraId="15F939DE">
            <w:pPr>
              <w:rPr>
                <w:rFonts w:eastAsia="仿宋_GB2312"/>
                <w:color w:val="auto"/>
                <w:sz w:val="30"/>
                <w:szCs w:val="30"/>
                <w:highlight w:val="none"/>
              </w:rPr>
            </w:pPr>
          </w:p>
        </w:tc>
        <w:tc>
          <w:tcPr>
            <w:tcW w:w="1058" w:type="dxa"/>
          </w:tcPr>
          <w:p w14:paraId="4C55341A">
            <w:pPr>
              <w:rPr>
                <w:rFonts w:eastAsia="仿宋_GB2312"/>
                <w:color w:val="auto"/>
                <w:sz w:val="30"/>
                <w:szCs w:val="30"/>
                <w:highlight w:val="none"/>
              </w:rPr>
            </w:pPr>
          </w:p>
        </w:tc>
        <w:tc>
          <w:tcPr>
            <w:tcW w:w="880" w:type="dxa"/>
          </w:tcPr>
          <w:p w14:paraId="67C10515">
            <w:pPr>
              <w:rPr>
                <w:rFonts w:eastAsia="仿宋_GB2312"/>
                <w:color w:val="auto"/>
                <w:sz w:val="30"/>
                <w:szCs w:val="30"/>
                <w:highlight w:val="none"/>
              </w:rPr>
            </w:pPr>
          </w:p>
        </w:tc>
        <w:tc>
          <w:tcPr>
            <w:tcW w:w="1020" w:type="dxa"/>
          </w:tcPr>
          <w:p w14:paraId="72E6084C">
            <w:pPr>
              <w:rPr>
                <w:rFonts w:eastAsia="仿宋_GB2312"/>
                <w:color w:val="auto"/>
                <w:sz w:val="30"/>
                <w:szCs w:val="30"/>
                <w:highlight w:val="none"/>
              </w:rPr>
            </w:pPr>
          </w:p>
        </w:tc>
        <w:tc>
          <w:tcPr>
            <w:tcW w:w="1480" w:type="dxa"/>
          </w:tcPr>
          <w:p w14:paraId="26B182E0">
            <w:pPr>
              <w:rPr>
                <w:rFonts w:eastAsia="仿宋_GB2312"/>
                <w:color w:val="auto"/>
                <w:sz w:val="30"/>
                <w:szCs w:val="30"/>
                <w:highlight w:val="none"/>
              </w:rPr>
            </w:pPr>
          </w:p>
        </w:tc>
        <w:tc>
          <w:tcPr>
            <w:tcW w:w="1020" w:type="dxa"/>
          </w:tcPr>
          <w:p w14:paraId="4A0387DA">
            <w:pPr>
              <w:rPr>
                <w:rFonts w:eastAsia="仿宋_GB2312"/>
                <w:color w:val="auto"/>
                <w:sz w:val="30"/>
                <w:szCs w:val="30"/>
                <w:highlight w:val="none"/>
              </w:rPr>
            </w:pPr>
          </w:p>
        </w:tc>
        <w:tc>
          <w:tcPr>
            <w:tcW w:w="921" w:type="dxa"/>
          </w:tcPr>
          <w:p w14:paraId="66A17690">
            <w:pPr>
              <w:rPr>
                <w:rFonts w:eastAsia="仿宋_GB2312"/>
                <w:color w:val="auto"/>
                <w:sz w:val="30"/>
                <w:szCs w:val="30"/>
                <w:highlight w:val="none"/>
              </w:rPr>
            </w:pPr>
          </w:p>
        </w:tc>
      </w:tr>
      <w:tr w14:paraId="1A4D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AB58D0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0FF2331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5E3E160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44BE908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49C746B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0C541BF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0B05F29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009E312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50EF9A67">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943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E3063FA">
            <w:pPr>
              <w:rPr>
                <w:rFonts w:eastAsia="仿宋_GB2312"/>
                <w:color w:val="auto"/>
                <w:sz w:val="30"/>
                <w:szCs w:val="30"/>
                <w:highlight w:val="none"/>
              </w:rPr>
            </w:pPr>
          </w:p>
        </w:tc>
        <w:tc>
          <w:tcPr>
            <w:tcW w:w="1418" w:type="dxa"/>
          </w:tcPr>
          <w:p w14:paraId="59042C2D">
            <w:pPr>
              <w:rPr>
                <w:rFonts w:eastAsia="仿宋_GB2312"/>
                <w:color w:val="auto"/>
                <w:sz w:val="30"/>
                <w:szCs w:val="30"/>
                <w:highlight w:val="none"/>
              </w:rPr>
            </w:pPr>
          </w:p>
        </w:tc>
        <w:tc>
          <w:tcPr>
            <w:tcW w:w="850" w:type="dxa"/>
          </w:tcPr>
          <w:p w14:paraId="0E19C57F">
            <w:pPr>
              <w:rPr>
                <w:rFonts w:eastAsia="仿宋_GB2312"/>
                <w:color w:val="auto"/>
                <w:sz w:val="30"/>
                <w:szCs w:val="30"/>
                <w:highlight w:val="none"/>
              </w:rPr>
            </w:pPr>
          </w:p>
        </w:tc>
        <w:tc>
          <w:tcPr>
            <w:tcW w:w="1058" w:type="dxa"/>
          </w:tcPr>
          <w:p w14:paraId="426078FA">
            <w:pPr>
              <w:rPr>
                <w:rFonts w:eastAsia="仿宋_GB2312"/>
                <w:color w:val="auto"/>
                <w:sz w:val="30"/>
                <w:szCs w:val="30"/>
                <w:highlight w:val="none"/>
              </w:rPr>
            </w:pPr>
          </w:p>
        </w:tc>
        <w:tc>
          <w:tcPr>
            <w:tcW w:w="880" w:type="dxa"/>
          </w:tcPr>
          <w:p w14:paraId="663E8A0B">
            <w:pPr>
              <w:rPr>
                <w:rFonts w:eastAsia="仿宋_GB2312"/>
                <w:color w:val="auto"/>
                <w:sz w:val="30"/>
                <w:szCs w:val="30"/>
                <w:highlight w:val="none"/>
              </w:rPr>
            </w:pPr>
          </w:p>
        </w:tc>
        <w:tc>
          <w:tcPr>
            <w:tcW w:w="1020" w:type="dxa"/>
          </w:tcPr>
          <w:p w14:paraId="1C1A99EF">
            <w:pPr>
              <w:rPr>
                <w:rFonts w:eastAsia="仿宋_GB2312"/>
                <w:color w:val="auto"/>
                <w:sz w:val="30"/>
                <w:szCs w:val="30"/>
                <w:highlight w:val="none"/>
              </w:rPr>
            </w:pPr>
          </w:p>
        </w:tc>
        <w:tc>
          <w:tcPr>
            <w:tcW w:w="1480" w:type="dxa"/>
          </w:tcPr>
          <w:p w14:paraId="497A7194">
            <w:pPr>
              <w:rPr>
                <w:rFonts w:eastAsia="仿宋_GB2312"/>
                <w:color w:val="auto"/>
                <w:sz w:val="30"/>
                <w:szCs w:val="30"/>
                <w:highlight w:val="none"/>
              </w:rPr>
            </w:pPr>
          </w:p>
        </w:tc>
        <w:tc>
          <w:tcPr>
            <w:tcW w:w="1020" w:type="dxa"/>
          </w:tcPr>
          <w:p w14:paraId="163F9BB1">
            <w:pPr>
              <w:rPr>
                <w:rFonts w:eastAsia="仿宋_GB2312"/>
                <w:color w:val="auto"/>
                <w:sz w:val="30"/>
                <w:szCs w:val="30"/>
                <w:highlight w:val="none"/>
              </w:rPr>
            </w:pPr>
          </w:p>
        </w:tc>
        <w:tc>
          <w:tcPr>
            <w:tcW w:w="921" w:type="dxa"/>
          </w:tcPr>
          <w:p w14:paraId="4A8EF6E5">
            <w:pPr>
              <w:rPr>
                <w:rFonts w:eastAsia="仿宋_GB2312"/>
                <w:color w:val="auto"/>
                <w:sz w:val="30"/>
                <w:szCs w:val="30"/>
                <w:highlight w:val="none"/>
              </w:rPr>
            </w:pPr>
          </w:p>
        </w:tc>
      </w:tr>
      <w:tr w14:paraId="185C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26EA950">
            <w:pPr>
              <w:rPr>
                <w:rFonts w:eastAsia="仿宋_GB2312"/>
                <w:color w:val="auto"/>
                <w:sz w:val="30"/>
                <w:szCs w:val="30"/>
                <w:highlight w:val="none"/>
              </w:rPr>
            </w:pPr>
          </w:p>
        </w:tc>
        <w:tc>
          <w:tcPr>
            <w:tcW w:w="1418" w:type="dxa"/>
          </w:tcPr>
          <w:p w14:paraId="6CA479A7">
            <w:pPr>
              <w:rPr>
                <w:rFonts w:eastAsia="仿宋_GB2312"/>
                <w:color w:val="auto"/>
                <w:sz w:val="30"/>
                <w:szCs w:val="30"/>
                <w:highlight w:val="none"/>
              </w:rPr>
            </w:pPr>
          </w:p>
        </w:tc>
        <w:tc>
          <w:tcPr>
            <w:tcW w:w="850" w:type="dxa"/>
          </w:tcPr>
          <w:p w14:paraId="517AFF6E">
            <w:pPr>
              <w:rPr>
                <w:rFonts w:eastAsia="仿宋_GB2312"/>
                <w:color w:val="auto"/>
                <w:sz w:val="30"/>
                <w:szCs w:val="30"/>
                <w:highlight w:val="none"/>
              </w:rPr>
            </w:pPr>
          </w:p>
        </w:tc>
        <w:tc>
          <w:tcPr>
            <w:tcW w:w="1058" w:type="dxa"/>
          </w:tcPr>
          <w:p w14:paraId="5C18C1F1">
            <w:pPr>
              <w:rPr>
                <w:rFonts w:eastAsia="仿宋_GB2312"/>
                <w:color w:val="auto"/>
                <w:sz w:val="30"/>
                <w:szCs w:val="30"/>
                <w:highlight w:val="none"/>
              </w:rPr>
            </w:pPr>
          </w:p>
        </w:tc>
        <w:tc>
          <w:tcPr>
            <w:tcW w:w="880" w:type="dxa"/>
          </w:tcPr>
          <w:p w14:paraId="4C52195F">
            <w:pPr>
              <w:rPr>
                <w:rFonts w:eastAsia="仿宋_GB2312"/>
                <w:color w:val="auto"/>
                <w:sz w:val="30"/>
                <w:szCs w:val="30"/>
                <w:highlight w:val="none"/>
              </w:rPr>
            </w:pPr>
          </w:p>
        </w:tc>
        <w:tc>
          <w:tcPr>
            <w:tcW w:w="1020" w:type="dxa"/>
          </w:tcPr>
          <w:p w14:paraId="44C5F1A8">
            <w:pPr>
              <w:rPr>
                <w:rFonts w:eastAsia="仿宋_GB2312"/>
                <w:color w:val="auto"/>
                <w:sz w:val="30"/>
                <w:szCs w:val="30"/>
                <w:highlight w:val="none"/>
              </w:rPr>
            </w:pPr>
          </w:p>
        </w:tc>
        <w:tc>
          <w:tcPr>
            <w:tcW w:w="1480" w:type="dxa"/>
          </w:tcPr>
          <w:p w14:paraId="68BF7C47">
            <w:pPr>
              <w:rPr>
                <w:rFonts w:eastAsia="仿宋_GB2312"/>
                <w:color w:val="auto"/>
                <w:sz w:val="30"/>
                <w:szCs w:val="30"/>
                <w:highlight w:val="none"/>
              </w:rPr>
            </w:pPr>
          </w:p>
        </w:tc>
        <w:tc>
          <w:tcPr>
            <w:tcW w:w="1020" w:type="dxa"/>
          </w:tcPr>
          <w:p w14:paraId="5C239646">
            <w:pPr>
              <w:rPr>
                <w:rFonts w:eastAsia="仿宋_GB2312"/>
                <w:color w:val="auto"/>
                <w:sz w:val="30"/>
                <w:szCs w:val="30"/>
                <w:highlight w:val="none"/>
              </w:rPr>
            </w:pPr>
          </w:p>
        </w:tc>
        <w:tc>
          <w:tcPr>
            <w:tcW w:w="921" w:type="dxa"/>
          </w:tcPr>
          <w:p w14:paraId="6E14C562">
            <w:pPr>
              <w:rPr>
                <w:rFonts w:eastAsia="仿宋_GB2312"/>
                <w:color w:val="auto"/>
                <w:sz w:val="30"/>
                <w:szCs w:val="30"/>
                <w:highlight w:val="none"/>
              </w:rPr>
            </w:pPr>
          </w:p>
        </w:tc>
      </w:tr>
      <w:tr w14:paraId="48D2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FEF97D9">
            <w:pPr>
              <w:rPr>
                <w:rFonts w:eastAsia="仿宋_GB2312"/>
                <w:color w:val="auto"/>
                <w:sz w:val="30"/>
                <w:szCs w:val="30"/>
                <w:highlight w:val="none"/>
              </w:rPr>
            </w:pPr>
          </w:p>
        </w:tc>
        <w:tc>
          <w:tcPr>
            <w:tcW w:w="1418" w:type="dxa"/>
          </w:tcPr>
          <w:p w14:paraId="7D2C488D">
            <w:pPr>
              <w:rPr>
                <w:rFonts w:eastAsia="仿宋_GB2312"/>
                <w:color w:val="auto"/>
                <w:sz w:val="30"/>
                <w:szCs w:val="30"/>
                <w:highlight w:val="none"/>
              </w:rPr>
            </w:pPr>
          </w:p>
        </w:tc>
        <w:tc>
          <w:tcPr>
            <w:tcW w:w="850" w:type="dxa"/>
          </w:tcPr>
          <w:p w14:paraId="2275D0BF">
            <w:pPr>
              <w:rPr>
                <w:rFonts w:eastAsia="仿宋_GB2312"/>
                <w:color w:val="auto"/>
                <w:sz w:val="30"/>
                <w:szCs w:val="30"/>
                <w:highlight w:val="none"/>
              </w:rPr>
            </w:pPr>
          </w:p>
        </w:tc>
        <w:tc>
          <w:tcPr>
            <w:tcW w:w="1058" w:type="dxa"/>
          </w:tcPr>
          <w:p w14:paraId="08D468C4">
            <w:pPr>
              <w:rPr>
                <w:rFonts w:eastAsia="仿宋_GB2312"/>
                <w:color w:val="auto"/>
                <w:sz w:val="30"/>
                <w:szCs w:val="30"/>
                <w:highlight w:val="none"/>
              </w:rPr>
            </w:pPr>
          </w:p>
        </w:tc>
        <w:tc>
          <w:tcPr>
            <w:tcW w:w="880" w:type="dxa"/>
          </w:tcPr>
          <w:p w14:paraId="46ED9D46">
            <w:pPr>
              <w:rPr>
                <w:rFonts w:eastAsia="仿宋_GB2312"/>
                <w:color w:val="auto"/>
                <w:sz w:val="30"/>
                <w:szCs w:val="30"/>
                <w:highlight w:val="none"/>
              </w:rPr>
            </w:pPr>
          </w:p>
        </w:tc>
        <w:tc>
          <w:tcPr>
            <w:tcW w:w="1020" w:type="dxa"/>
          </w:tcPr>
          <w:p w14:paraId="4207B466">
            <w:pPr>
              <w:rPr>
                <w:rFonts w:eastAsia="仿宋_GB2312"/>
                <w:color w:val="auto"/>
                <w:sz w:val="30"/>
                <w:szCs w:val="30"/>
                <w:highlight w:val="none"/>
              </w:rPr>
            </w:pPr>
          </w:p>
        </w:tc>
        <w:tc>
          <w:tcPr>
            <w:tcW w:w="1480" w:type="dxa"/>
          </w:tcPr>
          <w:p w14:paraId="09C9D2ED">
            <w:pPr>
              <w:rPr>
                <w:rFonts w:eastAsia="仿宋_GB2312"/>
                <w:color w:val="auto"/>
                <w:sz w:val="30"/>
                <w:szCs w:val="30"/>
                <w:highlight w:val="none"/>
              </w:rPr>
            </w:pPr>
          </w:p>
        </w:tc>
        <w:tc>
          <w:tcPr>
            <w:tcW w:w="1020" w:type="dxa"/>
          </w:tcPr>
          <w:p w14:paraId="5FEB1688">
            <w:pPr>
              <w:rPr>
                <w:rFonts w:eastAsia="仿宋_GB2312"/>
                <w:color w:val="auto"/>
                <w:sz w:val="30"/>
                <w:szCs w:val="30"/>
                <w:highlight w:val="none"/>
              </w:rPr>
            </w:pPr>
          </w:p>
        </w:tc>
        <w:tc>
          <w:tcPr>
            <w:tcW w:w="921" w:type="dxa"/>
          </w:tcPr>
          <w:p w14:paraId="4911A454">
            <w:pPr>
              <w:rPr>
                <w:rFonts w:eastAsia="仿宋_GB2312"/>
                <w:color w:val="auto"/>
                <w:sz w:val="30"/>
                <w:szCs w:val="30"/>
                <w:highlight w:val="none"/>
              </w:rPr>
            </w:pPr>
          </w:p>
        </w:tc>
      </w:tr>
      <w:tr w14:paraId="4BBA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79FE613">
            <w:pPr>
              <w:rPr>
                <w:rFonts w:eastAsia="仿宋_GB2312"/>
                <w:color w:val="auto"/>
                <w:sz w:val="30"/>
                <w:szCs w:val="30"/>
                <w:highlight w:val="none"/>
              </w:rPr>
            </w:pPr>
          </w:p>
        </w:tc>
        <w:tc>
          <w:tcPr>
            <w:tcW w:w="1418" w:type="dxa"/>
          </w:tcPr>
          <w:p w14:paraId="2E660D22">
            <w:pPr>
              <w:rPr>
                <w:rFonts w:eastAsia="仿宋_GB2312"/>
                <w:color w:val="auto"/>
                <w:sz w:val="30"/>
                <w:szCs w:val="30"/>
                <w:highlight w:val="none"/>
              </w:rPr>
            </w:pPr>
          </w:p>
        </w:tc>
        <w:tc>
          <w:tcPr>
            <w:tcW w:w="850" w:type="dxa"/>
          </w:tcPr>
          <w:p w14:paraId="4ECDC487">
            <w:pPr>
              <w:rPr>
                <w:rFonts w:eastAsia="仿宋_GB2312"/>
                <w:color w:val="auto"/>
                <w:sz w:val="30"/>
                <w:szCs w:val="30"/>
                <w:highlight w:val="none"/>
              </w:rPr>
            </w:pPr>
          </w:p>
        </w:tc>
        <w:tc>
          <w:tcPr>
            <w:tcW w:w="1058" w:type="dxa"/>
          </w:tcPr>
          <w:p w14:paraId="1B456547">
            <w:pPr>
              <w:rPr>
                <w:rFonts w:eastAsia="仿宋_GB2312"/>
                <w:color w:val="auto"/>
                <w:sz w:val="30"/>
                <w:szCs w:val="30"/>
                <w:highlight w:val="none"/>
              </w:rPr>
            </w:pPr>
          </w:p>
        </w:tc>
        <w:tc>
          <w:tcPr>
            <w:tcW w:w="880" w:type="dxa"/>
          </w:tcPr>
          <w:p w14:paraId="7A73D568">
            <w:pPr>
              <w:rPr>
                <w:rFonts w:eastAsia="仿宋_GB2312"/>
                <w:color w:val="auto"/>
                <w:sz w:val="30"/>
                <w:szCs w:val="30"/>
                <w:highlight w:val="none"/>
              </w:rPr>
            </w:pPr>
          </w:p>
        </w:tc>
        <w:tc>
          <w:tcPr>
            <w:tcW w:w="1020" w:type="dxa"/>
          </w:tcPr>
          <w:p w14:paraId="78826C5E">
            <w:pPr>
              <w:rPr>
                <w:rFonts w:eastAsia="仿宋_GB2312"/>
                <w:color w:val="auto"/>
                <w:sz w:val="30"/>
                <w:szCs w:val="30"/>
                <w:highlight w:val="none"/>
              </w:rPr>
            </w:pPr>
          </w:p>
        </w:tc>
        <w:tc>
          <w:tcPr>
            <w:tcW w:w="1480" w:type="dxa"/>
          </w:tcPr>
          <w:p w14:paraId="2F5D0B71">
            <w:pPr>
              <w:rPr>
                <w:rFonts w:eastAsia="仿宋_GB2312"/>
                <w:color w:val="auto"/>
                <w:sz w:val="30"/>
                <w:szCs w:val="30"/>
                <w:highlight w:val="none"/>
              </w:rPr>
            </w:pPr>
          </w:p>
        </w:tc>
        <w:tc>
          <w:tcPr>
            <w:tcW w:w="1020" w:type="dxa"/>
          </w:tcPr>
          <w:p w14:paraId="1B7D52C1">
            <w:pPr>
              <w:rPr>
                <w:rFonts w:eastAsia="仿宋_GB2312"/>
                <w:color w:val="auto"/>
                <w:sz w:val="30"/>
                <w:szCs w:val="30"/>
                <w:highlight w:val="none"/>
              </w:rPr>
            </w:pPr>
          </w:p>
        </w:tc>
        <w:tc>
          <w:tcPr>
            <w:tcW w:w="921" w:type="dxa"/>
          </w:tcPr>
          <w:p w14:paraId="35FBF8C2">
            <w:pPr>
              <w:rPr>
                <w:rFonts w:eastAsia="仿宋_GB2312"/>
                <w:color w:val="auto"/>
                <w:sz w:val="30"/>
                <w:szCs w:val="30"/>
                <w:highlight w:val="none"/>
              </w:rPr>
            </w:pPr>
          </w:p>
        </w:tc>
      </w:tr>
      <w:tr w14:paraId="6FE1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20C5CA5">
            <w:pPr>
              <w:rPr>
                <w:rFonts w:eastAsia="仿宋_GB2312"/>
                <w:color w:val="auto"/>
                <w:sz w:val="30"/>
                <w:szCs w:val="30"/>
                <w:highlight w:val="none"/>
              </w:rPr>
            </w:pPr>
          </w:p>
        </w:tc>
        <w:tc>
          <w:tcPr>
            <w:tcW w:w="1418" w:type="dxa"/>
          </w:tcPr>
          <w:p w14:paraId="6278C58B">
            <w:pPr>
              <w:rPr>
                <w:rFonts w:eastAsia="仿宋_GB2312"/>
                <w:color w:val="auto"/>
                <w:sz w:val="30"/>
                <w:szCs w:val="30"/>
                <w:highlight w:val="none"/>
              </w:rPr>
            </w:pPr>
          </w:p>
        </w:tc>
        <w:tc>
          <w:tcPr>
            <w:tcW w:w="850" w:type="dxa"/>
          </w:tcPr>
          <w:p w14:paraId="2DD06242">
            <w:pPr>
              <w:rPr>
                <w:rFonts w:eastAsia="仿宋_GB2312"/>
                <w:color w:val="auto"/>
                <w:sz w:val="30"/>
                <w:szCs w:val="30"/>
                <w:highlight w:val="none"/>
              </w:rPr>
            </w:pPr>
          </w:p>
        </w:tc>
        <w:tc>
          <w:tcPr>
            <w:tcW w:w="1058" w:type="dxa"/>
          </w:tcPr>
          <w:p w14:paraId="62F00501">
            <w:pPr>
              <w:rPr>
                <w:rFonts w:eastAsia="仿宋_GB2312"/>
                <w:color w:val="auto"/>
                <w:sz w:val="30"/>
                <w:szCs w:val="30"/>
                <w:highlight w:val="none"/>
              </w:rPr>
            </w:pPr>
          </w:p>
        </w:tc>
        <w:tc>
          <w:tcPr>
            <w:tcW w:w="880" w:type="dxa"/>
          </w:tcPr>
          <w:p w14:paraId="643645CA">
            <w:pPr>
              <w:rPr>
                <w:rFonts w:eastAsia="仿宋_GB2312"/>
                <w:color w:val="auto"/>
                <w:sz w:val="30"/>
                <w:szCs w:val="30"/>
                <w:highlight w:val="none"/>
              </w:rPr>
            </w:pPr>
          </w:p>
        </w:tc>
        <w:tc>
          <w:tcPr>
            <w:tcW w:w="1020" w:type="dxa"/>
          </w:tcPr>
          <w:p w14:paraId="4B2AD048">
            <w:pPr>
              <w:rPr>
                <w:rFonts w:eastAsia="仿宋_GB2312"/>
                <w:color w:val="auto"/>
                <w:sz w:val="30"/>
                <w:szCs w:val="30"/>
                <w:highlight w:val="none"/>
              </w:rPr>
            </w:pPr>
          </w:p>
        </w:tc>
        <w:tc>
          <w:tcPr>
            <w:tcW w:w="1480" w:type="dxa"/>
          </w:tcPr>
          <w:p w14:paraId="62C36E78">
            <w:pPr>
              <w:rPr>
                <w:rFonts w:eastAsia="仿宋_GB2312"/>
                <w:color w:val="auto"/>
                <w:sz w:val="30"/>
                <w:szCs w:val="30"/>
                <w:highlight w:val="none"/>
              </w:rPr>
            </w:pPr>
          </w:p>
        </w:tc>
        <w:tc>
          <w:tcPr>
            <w:tcW w:w="1020" w:type="dxa"/>
          </w:tcPr>
          <w:p w14:paraId="41B021F1">
            <w:pPr>
              <w:rPr>
                <w:rFonts w:eastAsia="仿宋_GB2312"/>
                <w:color w:val="auto"/>
                <w:sz w:val="30"/>
                <w:szCs w:val="30"/>
                <w:highlight w:val="none"/>
              </w:rPr>
            </w:pPr>
          </w:p>
        </w:tc>
        <w:tc>
          <w:tcPr>
            <w:tcW w:w="921" w:type="dxa"/>
          </w:tcPr>
          <w:p w14:paraId="398C60F1">
            <w:pPr>
              <w:rPr>
                <w:rFonts w:eastAsia="仿宋_GB2312"/>
                <w:color w:val="auto"/>
                <w:sz w:val="30"/>
                <w:szCs w:val="30"/>
                <w:highlight w:val="none"/>
              </w:rPr>
            </w:pPr>
          </w:p>
        </w:tc>
      </w:tr>
      <w:tr w14:paraId="7017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EBA7D97">
            <w:pPr>
              <w:rPr>
                <w:rFonts w:eastAsia="仿宋_GB2312"/>
                <w:color w:val="auto"/>
                <w:sz w:val="30"/>
                <w:szCs w:val="30"/>
                <w:highlight w:val="none"/>
              </w:rPr>
            </w:pPr>
          </w:p>
        </w:tc>
        <w:tc>
          <w:tcPr>
            <w:tcW w:w="1418" w:type="dxa"/>
          </w:tcPr>
          <w:p w14:paraId="30CDE995">
            <w:pPr>
              <w:rPr>
                <w:rFonts w:eastAsia="仿宋_GB2312"/>
                <w:color w:val="auto"/>
                <w:sz w:val="30"/>
                <w:szCs w:val="30"/>
                <w:highlight w:val="none"/>
              </w:rPr>
            </w:pPr>
          </w:p>
        </w:tc>
        <w:tc>
          <w:tcPr>
            <w:tcW w:w="850" w:type="dxa"/>
          </w:tcPr>
          <w:p w14:paraId="32D53C06">
            <w:pPr>
              <w:rPr>
                <w:rFonts w:eastAsia="仿宋_GB2312"/>
                <w:color w:val="auto"/>
                <w:sz w:val="30"/>
                <w:szCs w:val="30"/>
                <w:highlight w:val="none"/>
              </w:rPr>
            </w:pPr>
          </w:p>
        </w:tc>
        <w:tc>
          <w:tcPr>
            <w:tcW w:w="1058" w:type="dxa"/>
          </w:tcPr>
          <w:p w14:paraId="31758DAF">
            <w:pPr>
              <w:rPr>
                <w:rFonts w:eastAsia="仿宋_GB2312"/>
                <w:color w:val="auto"/>
                <w:sz w:val="30"/>
                <w:szCs w:val="30"/>
                <w:highlight w:val="none"/>
              </w:rPr>
            </w:pPr>
          </w:p>
        </w:tc>
        <w:tc>
          <w:tcPr>
            <w:tcW w:w="880" w:type="dxa"/>
          </w:tcPr>
          <w:p w14:paraId="4EC56876">
            <w:pPr>
              <w:rPr>
                <w:rFonts w:eastAsia="仿宋_GB2312"/>
                <w:color w:val="auto"/>
                <w:sz w:val="30"/>
                <w:szCs w:val="30"/>
                <w:highlight w:val="none"/>
              </w:rPr>
            </w:pPr>
          </w:p>
        </w:tc>
        <w:tc>
          <w:tcPr>
            <w:tcW w:w="1020" w:type="dxa"/>
          </w:tcPr>
          <w:p w14:paraId="683D71DB">
            <w:pPr>
              <w:rPr>
                <w:rFonts w:eastAsia="仿宋_GB2312"/>
                <w:color w:val="auto"/>
                <w:sz w:val="30"/>
                <w:szCs w:val="30"/>
                <w:highlight w:val="none"/>
              </w:rPr>
            </w:pPr>
          </w:p>
        </w:tc>
        <w:tc>
          <w:tcPr>
            <w:tcW w:w="1480" w:type="dxa"/>
          </w:tcPr>
          <w:p w14:paraId="4B28FFC5">
            <w:pPr>
              <w:rPr>
                <w:rFonts w:eastAsia="仿宋_GB2312"/>
                <w:color w:val="auto"/>
                <w:sz w:val="30"/>
                <w:szCs w:val="30"/>
                <w:highlight w:val="none"/>
              </w:rPr>
            </w:pPr>
          </w:p>
        </w:tc>
        <w:tc>
          <w:tcPr>
            <w:tcW w:w="1020" w:type="dxa"/>
          </w:tcPr>
          <w:p w14:paraId="17EFB78C">
            <w:pPr>
              <w:rPr>
                <w:rFonts w:eastAsia="仿宋_GB2312"/>
                <w:color w:val="auto"/>
                <w:sz w:val="30"/>
                <w:szCs w:val="30"/>
                <w:highlight w:val="none"/>
              </w:rPr>
            </w:pPr>
          </w:p>
        </w:tc>
        <w:tc>
          <w:tcPr>
            <w:tcW w:w="921" w:type="dxa"/>
          </w:tcPr>
          <w:p w14:paraId="5C806B95">
            <w:pPr>
              <w:rPr>
                <w:rFonts w:eastAsia="仿宋_GB2312"/>
                <w:color w:val="auto"/>
                <w:sz w:val="30"/>
                <w:szCs w:val="30"/>
                <w:highlight w:val="none"/>
              </w:rPr>
            </w:pPr>
          </w:p>
        </w:tc>
      </w:tr>
      <w:tr w14:paraId="5EAA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3CB805B">
            <w:pPr>
              <w:rPr>
                <w:rFonts w:eastAsia="仿宋_GB2312"/>
                <w:color w:val="auto"/>
                <w:sz w:val="30"/>
                <w:szCs w:val="30"/>
                <w:highlight w:val="none"/>
              </w:rPr>
            </w:pPr>
          </w:p>
        </w:tc>
        <w:tc>
          <w:tcPr>
            <w:tcW w:w="1418" w:type="dxa"/>
          </w:tcPr>
          <w:p w14:paraId="37429A0E">
            <w:pPr>
              <w:rPr>
                <w:rFonts w:eastAsia="仿宋_GB2312"/>
                <w:color w:val="auto"/>
                <w:sz w:val="30"/>
                <w:szCs w:val="30"/>
                <w:highlight w:val="none"/>
              </w:rPr>
            </w:pPr>
          </w:p>
        </w:tc>
        <w:tc>
          <w:tcPr>
            <w:tcW w:w="850" w:type="dxa"/>
          </w:tcPr>
          <w:p w14:paraId="77D811DA">
            <w:pPr>
              <w:rPr>
                <w:rFonts w:eastAsia="仿宋_GB2312"/>
                <w:color w:val="auto"/>
                <w:sz w:val="30"/>
                <w:szCs w:val="30"/>
                <w:highlight w:val="none"/>
              </w:rPr>
            </w:pPr>
          </w:p>
        </w:tc>
        <w:tc>
          <w:tcPr>
            <w:tcW w:w="1058" w:type="dxa"/>
          </w:tcPr>
          <w:p w14:paraId="55CDAF6C">
            <w:pPr>
              <w:rPr>
                <w:rFonts w:eastAsia="仿宋_GB2312"/>
                <w:color w:val="auto"/>
                <w:sz w:val="30"/>
                <w:szCs w:val="30"/>
                <w:highlight w:val="none"/>
              </w:rPr>
            </w:pPr>
          </w:p>
        </w:tc>
        <w:tc>
          <w:tcPr>
            <w:tcW w:w="880" w:type="dxa"/>
          </w:tcPr>
          <w:p w14:paraId="2D4997A2">
            <w:pPr>
              <w:rPr>
                <w:rFonts w:eastAsia="仿宋_GB2312"/>
                <w:color w:val="auto"/>
                <w:sz w:val="30"/>
                <w:szCs w:val="30"/>
                <w:highlight w:val="none"/>
              </w:rPr>
            </w:pPr>
          </w:p>
        </w:tc>
        <w:tc>
          <w:tcPr>
            <w:tcW w:w="1020" w:type="dxa"/>
          </w:tcPr>
          <w:p w14:paraId="1706CC04">
            <w:pPr>
              <w:rPr>
                <w:rFonts w:eastAsia="仿宋_GB2312"/>
                <w:color w:val="auto"/>
                <w:sz w:val="30"/>
                <w:szCs w:val="30"/>
                <w:highlight w:val="none"/>
              </w:rPr>
            </w:pPr>
          </w:p>
        </w:tc>
        <w:tc>
          <w:tcPr>
            <w:tcW w:w="1480" w:type="dxa"/>
          </w:tcPr>
          <w:p w14:paraId="2F784E58">
            <w:pPr>
              <w:rPr>
                <w:rFonts w:eastAsia="仿宋_GB2312"/>
                <w:color w:val="auto"/>
                <w:sz w:val="30"/>
                <w:szCs w:val="30"/>
                <w:highlight w:val="none"/>
              </w:rPr>
            </w:pPr>
          </w:p>
        </w:tc>
        <w:tc>
          <w:tcPr>
            <w:tcW w:w="1020" w:type="dxa"/>
          </w:tcPr>
          <w:p w14:paraId="7AC987D7">
            <w:pPr>
              <w:rPr>
                <w:rFonts w:eastAsia="仿宋_GB2312"/>
                <w:color w:val="auto"/>
                <w:sz w:val="30"/>
                <w:szCs w:val="30"/>
                <w:highlight w:val="none"/>
              </w:rPr>
            </w:pPr>
          </w:p>
        </w:tc>
        <w:tc>
          <w:tcPr>
            <w:tcW w:w="921" w:type="dxa"/>
          </w:tcPr>
          <w:p w14:paraId="46C6E448">
            <w:pPr>
              <w:rPr>
                <w:rFonts w:eastAsia="仿宋_GB2312"/>
                <w:color w:val="auto"/>
                <w:sz w:val="30"/>
                <w:szCs w:val="30"/>
                <w:highlight w:val="none"/>
              </w:rPr>
            </w:pPr>
          </w:p>
        </w:tc>
      </w:tr>
      <w:tr w14:paraId="6BAA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C6D0DC">
            <w:pPr>
              <w:rPr>
                <w:rFonts w:eastAsia="仿宋_GB2312"/>
                <w:color w:val="auto"/>
                <w:sz w:val="30"/>
                <w:szCs w:val="30"/>
                <w:highlight w:val="none"/>
              </w:rPr>
            </w:pPr>
          </w:p>
        </w:tc>
        <w:tc>
          <w:tcPr>
            <w:tcW w:w="1418" w:type="dxa"/>
          </w:tcPr>
          <w:p w14:paraId="4B60F44B">
            <w:pPr>
              <w:rPr>
                <w:rFonts w:eastAsia="仿宋_GB2312"/>
                <w:color w:val="auto"/>
                <w:sz w:val="30"/>
                <w:szCs w:val="30"/>
                <w:highlight w:val="none"/>
              </w:rPr>
            </w:pPr>
          </w:p>
        </w:tc>
        <w:tc>
          <w:tcPr>
            <w:tcW w:w="850" w:type="dxa"/>
          </w:tcPr>
          <w:p w14:paraId="40DC8159">
            <w:pPr>
              <w:rPr>
                <w:rFonts w:eastAsia="仿宋_GB2312"/>
                <w:color w:val="auto"/>
                <w:sz w:val="30"/>
                <w:szCs w:val="30"/>
                <w:highlight w:val="none"/>
              </w:rPr>
            </w:pPr>
          </w:p>
        </w:tc>
        <w:tc>
          <w:tcPr>
            <w:tcW w:w="1058" w:type="dxa"/>
          </w:tcPr>
          <w:p w14:paraId="2C68CA3C">
            <w:pPr>
              <w:rPr>
                <w:rFonts w:eastAsia="仿宋_GB2312"/>
                <w:color w:val="auto"/>
                <w:sz w:val="30"/>
                <w:szCs w:val="30"/>
                <w:highlight w:val="none"/>
              </w:rPr>
            </w:pPr>
          </w:p>
        </w:tc>
        <w:tc>
          <w:tcPr>
            <w:tcW w:w="880" w:type="dxa"/>
          </w:tcPr>
          <w:p w14:paraId="12EBF89A">
            <w:pPr>
              <w:rPr>
                <w:rFonts w:eastAsia="仿宋_GB2312"/>
                <w:color w:val="auto"/>
                <w:sz w:val="30"/>
                <w:szCs w:val="30"/>
                <w:highlight w:val="none"/>
              </w:rPr>
            </w:pPr>
          </w:p>
        </w:tc>
        <w:tc>
          <w:tcPr>
            <w:tcW w:w="1020" w:type="dxa"/>
          </w:tcPr>
          <w:p w14:paraId="7EA9CE1F">
            <w:pPr>
              <w:rPr>
                <w:rFonts w:eastAsia="仿宋_GB2312"/>
                <w:color w:val="auto"/>
                <w:sz w:val="30"/>
                <w:szCs w:val="30"/>
                <w:highlight w:val="none"/>
              </w:rPr>
            </w:pPr>
          </w:p>
        </w:tc>
        <w:tc>
          <w:tcPr>
            <w:tcW w:w="1480" w:type="dxa"/>
          </w:tcPr>
          <w:p w14:paraId="6AC03092">
            <w:pPr>
              <w:rPr>
                <w:rFonts w:eastAsia="仿宋_GB2312"/>
                <w:color w:val="auto"/>
                <w:sz w:val="30"/>
                <w:szCs w:val="30"/>
                <w:highlight w:val="none"/>
              </w:rPr>
            </w:pPr>
          </w:p>
        </w:tc>
        <w:tc>
          <w:tcPr>
            <w:tcW w:w="1020" w:type="dxa"/>
          </w:tcPr>
          <w:p w14:paraId="65DDB384">
            <w:pPr>
              <w:rPr>
                <w:rFonts w:eastAsia="仿宋_GB2312"/>
                <w:color w:val="auto"/>
                <w:sz w:val="30"/>
                <w:szCs w:val="30"/>
                <w:highlight w:val="none"/>
              </w:rPr>
            </w:pPr>
          </w:p>
        </w:tc>
        <w:tc>
          <w:tcPr>
            <w:tcW w:w="921" w:type="dxa"/>
          </w:tcPr>
          <w:p w14:paraId="5674FD72">
            <w:pPr>
              <w:rPr>
                <w:rFonts w:eastAsia="仿宋_GB2312"/>
                <w:color w:val="auto"/>
                <w:sz w:val="30"/>
                <w:szCs w:val="30"/>
                <w:highlight w:val="none"/>
              </w:rPr>
            </w:pPr>
          </w:p>
        </w:tc>
      </w:tr>
      <w:tr w14:paraId="7733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6A7F725">
            <w:pPr>
              <w:rPr>
                <w:rFonts w:eastAsia="仿宋_GB2312"/>
                <w:color w:val="auto"/>
                <w:sz w:val="30"/>
                <w:szCs w:val="30"/>
                <w:highlight w:val="none"/>
              </w:rPr>
            </w:pPr>
          </w:p>
        </w:tc>
        <w:tc>
          <w:tcPr>
            <w:tcW w:w="1418" w:type="dxa"/>
          </w:tcPr>
          <w:p w14:paraId="7B127F06">
            <w:pPr>
              <w:rPr>
                <w:rFonts w:eastAsia="仿宋_GB2312"/>
                <w:color w:val="auto"/>
                <w:sz w:val="30"/>
                <w:szCs w:val="30"/>
                <w:highlight w:val="none"/>
              </w:rPr>
            </w:pPr>
          </w:p>
        </w:tc>
        <w:tc>
          <w:tcPr>
            <w:tcW w:w="850" w:type="dxa"/>
          </w:tcPr>
          <w:p w14:paraId="0525B435">
            <w:pPr>
              <w:rPr>
                <w:rFonts w:eastAsia="仿宋_GB2312"/>
                <w:color w:val="auto"/>
                <w:sz w:val="30"/>
                <w:szCs w:val="30"/>
                <w:highlight w:val="none"/>
              </w:rPr>
            </w:pPr>
          </w:p>
        </w:tc>
        <w:tc>
          <w:tcPr>
            <w:tcW w:w="1058" w:type="dxa"/>
          </w:tcPr>
          <w:p w14:paraId="4E767888">
            <w:pPr>
              <w:rPr>
                <w:rFonts w:eastAsia="仿宋_GB2312"/>
                <w:color w:val="auto"/>
                <w:sz w:val="30"/>
                <w:szCs w:val="30"/>
                <w:highlight w:val="none"/>
              </w:rPr>
            </w:pPr>
          </w:p>
        </w:tc>
        <w:tc>
          <w:tcPr>
            <w:tcW w:w="880" w:type="dxa"/>
          </w:tcPr>
          <w:p w14:paraId="1E0D12FD">
            <w:pPr>
              <w:rPr>
                <w:rFonts w:eastAsia="仿宋_GB2312"/>
                <w:color w:val="auto"/>
                <w:sz w:val="30"/>
                <w:szCs w:val="30"/>
                <w:highlight w:val="none"/>
              </w:rPr>
            </w:pPr>
          </w:p>
        </w:tc>
        <w:tc>
          <w:tcPr>
            <w:tcW w:w="1020" w:type="dxa"/>
          </w:tcPr>
          <w:p w14:paraId="4A7BB26B">
            <w:pPr>
              <w:rPr>
                <w:rFonts w:eastAsia="仿宋_GB2312"/>
                <w:color w:val="auto"/>
                <w:sz w:val="30"/>
                <w:szCs w:val="30"/>
                <w:highlight w:val="none"/>
              </w:rPr>
            </w:pPr>
          </w:p>
        </w:tc>
        <w:tc>
          <w:tcPr>
            <w:tcW w:w="1480" w:type="dxa"/>
          </w:tcPr>
          <w:p w14:paraId="36162184">
            <w:pPr>
              <w:rPr>
                <w:rFonts w:eastAsia="仿宋_GB2312"/>
                <w:color w:val="auto"/>
                <w:sz w:val="30"/>
                <w:szCs w:val="30"/>
                <w:highlight w:val="none"/>
              </w:rPr>
            </w:pPr>
          </w:p>
        </w:tc>
        <w:tc>
          <w:tcPr>
            <w:tcW w:w="1020" w:type="dxa"/>
          </w:tcPr>
          <w:p w14:paraId="71F234A8">
            <w:pPr>
              <w:rPr>
                <w:rFonts w:eastAsia="仿宋_GB2312"/>
                <w:color w:val="auto"/>
                <w:sz w:val="30"/>
                <w:szCs w:val="30"/>
                <w:highlight w:val="none"/>
              </w:rPr>
            </w:pPr>
          </w:p>
        </w:tc>
        <w:tc>
          <w:tcPr>
            <w:tcW w:w="921" w:type="dxa"/>
          </w:tcPr>
          <w:p w14:paraId="71A8E270">
            <w:pPr>
              <w:rPr>
                <w:rFonts w:eastAsia="仿宋_GB2312"/>
                <w:color w:val="auto"/>
                <w:sz w:val="30"/>
                <w:szCs w:val="30"/>
                <w:highlight w:val="none"/>
              </w:rPr>
            </w:pPr>
          </w:p>
        </w:tc>
      </w:tr>
    </w:tbl>
    <w:p w14:paraId="3A947918">
      <w:pPr>
        <w:spacing w:line="360" w:lineRule="auto"/>
        <w:rPr>
          <w:rFonts w:eastAsia="仿宋_GB2312" w:cs="仿宋_GB2312"/>
          <w:color w:val="auto"/>
          <w:sz w:val="30"/>
          <w:szCs w:val="30"/>
          <w:highlight w:val="none"/>
        </w:rPr>
      </w:pPr>
    </w:p>
    <w:p w14:paraId="0E412B85">
      <w:pPr>
        <w:spacing w:line="360" w:lineRule="auto"/>
        <w:rPr>
          <w:rFonts w:eastAsia="仿宋_GB2312" w:cs="仿宋_GB2312"/>
          <w:color w:val="auto"/>
          <w:sz w:val="30"/>
          <w:szCs w:val="30"/>
          <w:highlight w:val="none"/>
        </w:rPr>
      </w:pPr>
    </w:p>
    <w:p w14:paraId="78B81C96">
      <w:pPr>
        <w:spacing w:line="360" w:lineRule="auto"/>
        <w:rPr>
          <w:rFonts w:eastAsia="黑体"/>
          <w:color w:val="auto"/>
          <w:sz w:val="30"/>
          <w:szCs w:val="30"/>
          <w:highlight w:val="none"/>
        </w:rPr>
      </w:pPr>
      <w:r>
        <w:rPr>
          <w:rFonts w:hint="eastAsia" w:eastAsia="仿宋_GB2312" w:cs="仿宋_GB2312"/>
          <w:color w:val="auto"/>
          <w:sz w:val="30"/>
          <w:szCs w:val="30"/>
          <w:highlight w:val="none"/>
        </w:rPr>
        <w:t>附件</w:t>
      </w:r>
      <w:r>
        <w:rPr>
          <w:rFonts w:hint="eastAsia" w:eastAsia="仿宋_GB2312"/>
          <w:color w:val="auto"/>
          <w:sz w:val="30"/>
          <w:szCs w:val="30"/>
          <w:highlight w:val="none"/>
          <w:lang w:val="en-US" w:eastAsia="zh-CN"/>
        </w:rPr>
        <w:t>5</w:t>
      </w:r>
      <w:r>
        <w:rPr>
          <w:rFonts w:hint="eastAsia" w:eastAsia="仿宋_GB2312" w:cs="仿宋_GB2312"/>
          <w:color w:val="auto"/>
          <w:sz w:val="30"/>
          <w:szCs w:val="30"/>
          <w:highlight w:val="none"/>
        </w:rPr>
        <w:t>：</w:t>
      </w:r>
    </w:p>
    <w:p w14:paraId="0B57891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预付款担保</w:t>
      </w:r>
    </w:p>
    <w:p w14:paraId="29956EA9">
      <w:pPr>
        <w:spacing w:line="360" w:lineRule="auto"/>
        <w:rPr>
          <w:color w:val="auto"/>
          <w:szCs w:val="21"/>
          <w:highlight w:val="none"/>
        </w:rPr>
      </w:pPr>
      <w:r>
        <w:rPr>
          <w:rFonts w:hint="eastAsia" w:hAnsi="宋体" w:cs="宋体"/>
          <w:color w:val="auto"/>
          <w:szCs w:val="21"/>
          <w:highlight w:val="none"/>
        </w:rPr>
        <w:t>（发包人名称）：</w:t>
      </w:r>
    </w:p>
    <w:p w14:paraId="0CFA49E9">
      <w:pPr>
        <w:spacing w:line="360" w:lineRule="auto"/>
        <w:ind w:firstLine="420" w:firstLineChars="200"/>
        <w:rPr>
          <w:color w:val="auto"/>
          <w:szCs w:val="21"/>
          <w:highlight w:val="none"/>
        </w:rPr>
      </w:pPr>
      <w:r>
        <w:rPr>
          <w:rFonts w:hint="eastAsia" w:hAnsi="宋体" w:cs="宋体"/>
          <w:color w:val="auto"/>
          <w:szCs w:val="21"/>
          <w:highlight w:val="none"/>
        </w:rPr>
        <w:t>根据（承包人名称）（以下称</w:t>
      </w:r>
      <w:r>
        <w:rPr>
          <w:color w:val="auto"/>
          <w:szCs w:val="21"/>
          <w:highlight w:val="none"/>
        </w:rPr>
        <w:t>“</w:t>
      </w:r>
      <w:r>
        <w:rPr>
          <w:rFonts w:hint="eastAsia" w:hAnsi="宋体" w:cs="宋体"/>
          <w:color w:val="auto"/>
          <w:szCs w:val="21"/>
          <w:highlight w:val="none"/>
        </w:rPr>
        <w:t>承包人</w:t>
      </w:r>
      <w:r>
        <w:rPr>
          <w:color w:val="auto"/>
          <w:szCs w:val="21"/>
          <w:highlight w:val="none"/>
        </w:rPr>
        <w:t>”</w:t>
      </w:r>
      <w:r>
        <w:rPr>
          <w:rFonts w:hint="eastAsia" w:hAnsi="宋体" w:cs="宋体"/>
          <w:color w:val="auto"/>
          <w:szCs w:val="21"/>
          <w:highlight w:val="none"/>
        </w:rPr>
        <w:t>）与（发包人名称）（以下简称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6F20E7BB">
      <w:pPr>
        <w:spacing w:line="360" w:lineRule="auto"/>
        <w:ind w:firstLine="420" w:firstLineChars="200"/>
        <w:rPr>
          <w:color w:val="auto"/>
          <w:szCs w:val="21"/>
          <w:highlight w:val="none"/>
        </w:rPr>
      </w:pPr>
      <w:r>
        <w:rPr>
          <w:color w:val="auto"/>
          <w:szCs w:val="21"/>
          <w:highlight w:val="none"/>
        </w:rPr>
        <w:t xml:space="preserve">1. </w:t>
      </w:r>
      <w:r>
        <w:rPr>
          <w:rFonts w:hint="eastAsia" w:hAnsi="宋体" w:cs="宋体"/>
          <w:color w:val="auto"/>
          <w:szCs w:val="21"/>
          <w:highlight w:val="none"/>
        </w:rPr>
        <w:t>担保金额人民币（大写）元（</w:t>
      </w:r>
      <w:r>
        <w:rPr>
          <w:color w:val="auto"/>
          <w:szCs w:val="21"/>
          <w:highlight w:val="none"/>
        </w:rPr>
        <w:t>¥</w:t>
      </w:r>
      <w:r>
        <w:rPr>
          <w:rFonts w:hint="eastAsia" w:hAnsi="宋体" w:cs="宋体"/>
          <w:color w:val="auto"/>
          <w:szCs w:val="21"/>
          <w:highlight w:val="none"/>
        </w:rPr>
        <w:t>）。</w:t>
      </w:r>
    </w:p>
    <w:p w14:paraId="411102CC">
      <w:pPr>
        <w:spacing w:line="360" w:lineRule="auto"/>
        <w:ind w:firstLine="420" w:firstLineChars="200"/>
        <w:rPr>
          <w:color w:val="auto"/>
          <w:szCs w:val="21"/>
          <w:highlight w:val="none"/>
        </w:rPr>
      </w:pPr>
      <w:r>
        <w:rPr>
          <w:color w:val="auto"/>
          <w:szCs w:val="21"/>
          <w:highlight w:val="none"/>
        </w:rPr>
        <w:t xml:space="preserve">2. </w:t>
      </w:r>
      <w:r>
        <w:rPr>
          <w:rFonts w:hint="eastAsia" w:hAnsi="宋体" w:cs="宋体"/>
          <w:color w:val="auto"/>
          <w:szCs w:val="21"/>
          <w:highlight w:val="none"/>
        </w:rPr>
        <w:t>担保有效期自预付款支付给承包人起生效，至你方签发的进度款支付证书说明已完全扣清止。</w:t>
      </w:r>
    </w:p>
    <w:p w14:paraId="19A45509">
      <w:pPr>
        <w:spacing w:line="360" w:lineRule="auto"/>
        <w:ind w:firstLine="420" w:firstLineChars="200"/>
        <w:rPr>
          <w:color w:val="auto"/>
          <w:szCs w:val="21"/>
          <w:highlight w:val="none"/>
        </w:rPr>
      </w:pPr>
      <w:r>
        <w:rPr>
          <w:color w:val="auto"/>
          <w:szCs w:val="21"/>
          <w:highlight w:val="none"/>
        </w:rPr>
        <w:t xml:space="preserve">3. </w:t>
      </w:r>
      <w:r>
        <w:rPr>
          <w:rFonts w:hint="eastAsia" w:hAnsi="宋体" w:cs="宋体"/>
          <w:color w:val="auto"/>
          <w:szCs w:val="21"/>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095B88D">
      <w:pPr>
        <w:spacing w:line="360" w:lineRule="auto"/>
        <w:ind w:firstLine="420" w:firstLineChars="200"/>
        <w:rPr>
          <w:color w:val="auto"/>
          <w:szCs w:val="21"/>
          <w:highlight w:val="none"/>
        </w:rPr>
      </w:pPr>
      <w:r>
        <w:rPr>
          <w:color w:val="auto"/>
          <w:szCs w:val="21"/>
          <w:highlight w:val="none"/>
        </w:rPr>
        <w:t xml:space="preserve">4. </w:t>
      </w:r>
      <w:r>
        <w:rPr>
          <w:rFonts w:hint="eastAsia" w:hAnsi="宋体" w:cs="宋体"/>
          <w:color w:val="auto"/>
          <w:szCs w:val="21"/>
          <w:highlight w:val="none"/>
        </w:rPr>
        <w:t>你方和承包人按合同约定变更合同时，我方承担本保函规定的义务不变。</w:t>
      </w:r>
    </w:p>
    <w:p w14:paraId="661F9F79">
      <w:pPr>
        <w:spacing w:line="360" w:lineRule="auto"/>
        <w:ind w:firstLine="420" w:firstLineChars="200"/>
        <w:rPr>
          <w:color w:val="auto"/>
          <w:szCs w:val="21"/>
          <w:highlight w:val="none"/>
        </w:rPr>
      </w:pPr>
      <w:r>
        <w:rPr>
          <w:color w:val="auto"/>
          <w:szCs w:val="21"/>
          <w:highlight w:val="none"/>
        </w:rPr>
        <w:t xml:space="preserve">5. </w:t>
      </w:r>
      <w:r>
        <w:rPr>
          <w:rFonts w:hint="eastAsia" w:hAnsi="宋体" w:cs="宋体"/>
          <w:color w:val="auto"/>
          <w:szCs w:val="21"/>
          <w:highlight w:val="none"/>
        </w:rPr>
        <w:t>因本保函发生的纠纷，可由双方协商解决，协商不成的，任何一方均可提请仲裁委员会仲裁。</w:t>
      </w:r>
    </w:p>
    <w:p w14:paraId="4F0F9260">
      <w:pPr>
        <w:spacing w:line="360" w:lineRule="auto"/>
        <w:ind w:firstLine="420" w:firstLineChars="200"/>
        <w:jc w:val="left"/>
        <w:rPr>
          <w:color w:val="auto"/>
          <w:szCs w:val="21"/>
          <w:highlight w:val="none"/>
        </w:rPr>
      </w:pPr>
      <w:r>
        <w:rPr>
          <w:color w:val="auto"/>
          <w:szCs w:val="21"/>
          <w:highlight w:val="none"/>
        </w:rPr>
        <w:t xml:space="preserve">6. </w:t>
      </w:r>
      <w:r>
        <w:rPr>
          <w:rFonts w:hint="eastAsia" w:hAnsi="宋体" w:cs="宋体"/>
          <w:color w:val="auto"/>
          <w:szCs w:val="21"/>
          <w:highlight w:val="none"/>
        </w:rPr>
        <w:t>本保函自我方法定代表人（或其授权代理人）签字并加盖公章之日起生效。</w:t>
      </w:r>
    </w:p>
    <w:p w14:paraId="35107FCE">
      <w:pPr>
        <w:spacing w:line="360" w:lineRule="auto"/>
        <w:rPr>
          <w:color w:val="auto"/>
          <w:szCs w:val="21"/>
          <w:highlight w:val="none"/>
        </w:rPr>
      </w:pPr>
    </w:p>
    <w:p w14:paraId="491D45B6">
      <w:pPr>
        <w:spacing w:line="360" w:lineRule="auto"/>
        <w:rPr>
          <w:color w:val="auto"/>
          <w:szCs w:val="21"/>
          <w:highlight w:val="none"/>
        </w:rPr>
      </w:pPr>
      <w:r>
        <w:rPr>
          <w:rFonts w:hint="eastAsia" w:hAnsi="宋体" w:cs="宋体"/>
          <w:color w:val="auto"/>
          <w:szCs w:val="21"/>
          <w:highlight w:val="none"/>
        </w:rPr>
        <w:t>担保人：（盖单位章）</w:t>
      </w:r>
    </w:p>
    <w:p w14:paraId="0F19AD95">
      <w:pPr>
        <w:spacing w:line="360" w:lineRule="auto"/>
        <w:rPr>
          <w:color w:val="auto"/>
          <w:szCs w:val="21"/>
          <w:highlight w:val="none"/>
        </w:rPr>
      </w:pPr>
      <w:r>
        <w:rPr>
          <w:rFonts w:hint="eastAsia" w:hAnsi="宋体" w:cs="宋体"/>
          <w:color w:val="auto"/>
          <w:szCs w:val="21"/>
          <w:highlight w:val="none"/>
        </w:rPr>
        <w:t>法定代表人或其委托代理人：（签字）</w:t>
      </w:r>
    </w:p>
    <w:p w14:paraId="0B9057F2">
      <w:pPr>
        <w:spacing w:line="360" w:lineRule="auto"/>
        <w:rPr>
          <w:color w:val="auto"/>
          <w:szCs w:val="21"/>
          <w:highlight w:val="none"/>
        </w:rPr>
      </w:pPr>
      <w:r>
        <w:rPr>
          <w:rFonts w:hint="eastAsia" w:hAnsi="宋体" w:cs="宋体"/>
          <w:color w:val="auto"/>
          <w:szCs w:val="21"/>
          <w:highlight w:val="none"/>
        </w:rPr>
        <w:t>地址：</w:t>
      </w:r>
    </w:p>
    <w:p w14:paraId="1D44E271">
      <w:pPr>
        <w:spacing w:line="360" w:lineRule="auto"/>
        <w:rPr>
          <w:color w:val="auto"/>
          <w:szCs w:val="21"/>
          <w:highlight w:val="none"/>
          <w:u w:val="single"/>
        </w:rPr>
      </w:pPr>
      <w:r>
        <w:rPr>
          <w:rFonts w:hint="eastAsia" w:hAnsi="宋体" w:cs="宋体"/>
          <w:color w:val="auto"/>
          <w:szCs w:val="21"/>
          <w:highlight w:val="none"/>
        </w:rPr>
        <w:t>邮政编码：</w:t>
      </w:r>
    </w:p>
    <w:p w14:paraId="23FE88FC">
      <w:pPr>
        <w:spacing w:line="360" w:lineRule="auto"/>
        <w:rPr>
          <w:color w:val="auto"/>
          <w:szCs w:val="21"/>
          <w:highlight w:val="none"/>
          <w:u w:val="single"/>
        </w:rPr>
      </w:pPr>
      <w:r>
        <w:rPr>
          <w:rFonts w:hint="eastAsia" w:hAnsi="宋体" w:cs="宋体"/>
          <w:color w:val="auto"/>
          <w:szCs w:val="21"/>
          <w:highlight w:val="none"/>
        </w:rPr>
        <w:t>电话：</w:t>
      </w:r>
    </w:p>
    <w:p w14:paraId="37965840">
      <w:pPr>
        <w:spacing w:line="360" w:lineRule="auto"/>
        <w:rPr>
          <w:color w:val="auto"/>
          <w:szCs w:val="21"/>
          <w:highlight w:val="none"/>
          <w:u w:val="single"/>
        </w:rPr>
      </w:pPr>
      <w:r>
        <w:rPr>
          <w:rFonts w:hint="eastAsia" w:hAnsi="宋体" w:cs="宋体"/>
          <w:color w:val="auto"/>
          <w:szCs w:val="21"/>
          <w:highlight w:val="none"/>
        </w:rPr>
        <w:t>传真：</w:t>
      </w:r>
    </w:p>
    <w:p w14:paraId="35558E77">
      <w:pPr>
        <w:spacing w:line="360" w:lineRule="auto"/>
        <w:rPr>
          <w:color w:val="auto"/>
          <w:szCs w:val="21"/>
          <w:highlight w:val="none"/>
          <w:u w:val="single"/>
        </w:rPr>
      </w:pPr>
    </w:p>
    <w:p w14:paraId="003921EA">
      <w:pPr>
        <w:spacing w:line="360" w:lineRule="auto"/>
        <w:rPr>
          <w:color w:val="auto"/>
          <w:szCs w:val="21"/>
          <w:highlight w:val="none"/>
        </w:rPr>
      </w:pPr>
      <w:r>
        <w:rPr>
          <w:rFonts w:hint="eastAsia" w:hAnsi="宋体" w:cs="宋体"/>
          <w:color w:val="auto"/>
          <w:szCs w:val="21"/>
          <w:highlight w:val="none"/>
        </w:rPr>
        <w:t>年月日</w:t>
      </w:r>
    </w:p>
    <w:p w14:paraId="1A0BEA7D">
      <w:pPr>
        <w:spacing w:line="480" w:lineRule="auto"/>
        <w:rPr>
          <w:rFonts w:hAnsi="宋体"/>
          <w:color w:val="auto"/>
          <w:szCs w:val="21"/>
          <w:highlight w:val="none"/>
        </w:rPr>
      </w:pPr>
    </w:p>
    <w:p w14:paraId="7B12A80D">
      <w:pPr>
        <w:spacing w:line="480" w:lineRule="auto"/>
        <w:rPr>
          <w:rFonts w:hAnsi="宋体"/>
          <w:color w:val="auto"/>
          <w:szCs w:val="21"/>
          <w:highlight w:val="none"/>
        </w:rPr>
      </w:pPr>
    </w:p>
    <w:p w14:paraId="69D69DDD">
      <w:pPr>
        <w:spacing w:line="480" w:lineRule="auto"/>
        <w:rPr>
          <w:rFonts w:hAnsi="宋体"/>
          <w:color w:val="auto"/>
          <w:szCs w:val="21"/>
          <w:highlight w:val="none"/>
        </w:rPr>
      </w:pPr>
    </w:p>
    <w:p w14:paraId="245CE9FB">
      <w:pPr>
        <w:pStyle w:val="23"/>
        <w:rPr>
          <w:rFonts w:hAnsi="宋体"/>
          <w:color w:val="auto"/>
          <w:szCs w:val="21"/>
          <w:highlight w:val="none"/>
        </w:rPr>
      </w:pPr>
    </w:p>
    <w:p w14:paraId="4E386BE2">
      <w:pPr>
        <w:pStyle w:val="23"/>
        <w:rPr>
          <w:rFonts w:hAnsi="宋体"/>
          <w:color w:val="auto"/>
          <w:szCs w:val="21"/>
          <w:highlight w:val="none"/>
        </w:rPr>
      </w:pPr>
    </w:p>
    <w:p w14:paraId="596CAEE1">
      <w:pPr>
        <w:pStyle w:val="23"/>
        <w:rPr>
          <w:rFonts w:hAnsi="宋体"/>
          <w:color w:val="auto"/>
          <w:szCs w:val="21"/>
          <w:highlight w:val="none"/>
        </w:rPr>
      </w:pPr>
    </w:p>
    <w:p w14:paraId="102C4CA6">
      <w:pPr>
        <w:pStyle w:val="23"/>
        <w:rPr>
          <w:rFonts w:hAnsi="宋体"/>
          <w:color w:val="auto"/>
          <w:szCs w:val="21"/>
          <w:highlight w:val="none"/>
        </w:rPr>
      </w:pPr>
    </w:p>
    <w:p w14:paraId="46ED2B33">
      <w:pPr>
        <w:pStyle w:val="23"/>
        <w:rPr>
          <w:rFonts w:hAnsi="宋体"/>
          <w:color w:val="auto"/>
          <w:szCs w:val="21"/>
          <w:highlight w:val="none"/>
        </w:rPr>
      </w:pPr>
    </w:p>
    <w:p w14:paraId="0F063514">
      <w:pPr>
        <w:pStyle w:val="23"/>
        <w:rPr>
          <w:rFonts w:hAnsi="宋体"/>
          <w:color w:val="auto"/>
          <w:szCs w:val="21"/>
          <w:highlight w:val="none"/>
        </w:rPr>
      </w:pPr>
    </w:p>
    <w:p w14:paraId="2A283A56">
      <w:pPr>
        <w:spacing w:line="440" w:lineRule="exact"/>
        <w:rPr>
          <w:rFonts w:ascii="Calibri" w:hAnsi="Calibri"/>
          <w:color w:val="auto"/>
          <w:sz w:val="30"/>
          <w:szCs w:val="30"/>
          <w:highlight w:val="none"/>
        </w:rPr>
      </w:pPr>
      <w:r>
        <w:rPr>
          <w:rFonts w:hint="eastAsia" w:ascii="Calibri" w:hAnsi="宋体" w:cs="宋体"/>
          <w:color w:val="auto"/>
          <w:sz w:val="30"/>
          <w:szCs w:val="30"/>
          <w:highlight w:val="none"/>
        </w:rPr>
        <w:t>附件</w:t>
      </w:r>
      <w:r>
        <w:rPr>
          <w:rFonts w:hint="eastAsia" w:ascii="Calibri" w:hAnsi="Calibri"/>
          <w:color w:val="auto"/>
          <w:sz w:val="30"/>
          <w:szCs w:val="30"/>
          <w:highlight w:val="none"/>
          <w:lang w:val="en-US" w:eastAsia="zh-CN"/>
        </w:rPr>
        <w:t>6</w:t>
      </w:r>
      <w:r>
        <w:rPr>
          <w:rFonts w:hint="eastAsia" w:ascii="Calibri" w:hAnsi="宋体" w:cs="宋体"/>
          <w:color w:val="auto"/>
          <w:sz w:val="30"/>
          <w:szCs w:val="30"/>
          <w:highlight w:val="none"/>
        </w:rPr>
        <w:t>：</w:t>
      </w:r>
    </w:p>
    <w:p w14:paraId="465BB761">
      <w:pPr>
        <w:spacing w:before="120" w:beforeLines="50" w:after="120" w:afterLines="50" w:line="440" w:lineRule="exact"/>
        <w:jc w:val="center"/>
        <w:rPr>
          <w:rFonts w:ascii="黑体" w:hAnsi="Calibri" w:eastAsia="黑体"/>
          <w:color w:val="auto"/>
          <w:sz w:val="32"/>
          <w:szCs w:val="32"/>
          <w:highlight w:val="none"/>
        </w:rPr>
      </w:pPr>
      <w:r>
        <w:rPr>
          <w:rFonts w:hint="eastAsia" w:ascii="黑体" w:hAnsi="宋体" w:eastAsia="黑体"/>
          <w:color w:val="auto"/>
          <w:sz w:val="32"/>
          <w:szCs w:val="32"/>
          <w:highlight w:val="none"/>
        </w:rPr>
        <w:t>工程质量保修书</w:t>
      </w:r>
    </w:p>
    <w:p w14:paraId="256DB238">
      <w:pPr>
        <w:spacing w:line="360" w:lineRule="auto"/>
        <w:ind w:firstLine="420" w:firstLineChars="200"/>
        <w:rPr>
          <w:rFonts w:ascii="宋体" w:hAnsi="宋体"/>
          <w:color w:val="auto"/>
          <w:szCs w:val="22"/>
          <w:highlight w:val="none"/>
        </w:rPr>
      </w:pPr>
      <w:r>
        <w:rPr>
          <w:rFonts w:ascii="宋体" w:hAnsi="宋体"/>
          <w:color w:val="auto"/>
          <w:szCs w:val="22"/>
          <w:highlight w:val="none"/>
        </w:rPr>
        <w:t>发包人（全称）：</w:t>
      </w:r>
    </w:p>
    <w:p w14:paraId="1B16F719">
      <w:pPr>
        <w:spacing w:line="360" w:lineRule="auto"/>
        <w:ind w:firstLine="420" w:firstLineChars="200"/>
        <w:rPr>
          <w:rFonts w:ascii="宋体" w:hAnsi="宋体"/>
          <w:color w:val="auto"/>
          <w:szCs w:val="22"/>
          <w:highlight w:val="none"/>
        </w:rPr>
      </w:pPr>
      <w:r>
        <w:rPr>
          <w:rFonts w:ascii="宋体" w:hAnsi="宋体"/>
          <w:color w:val="auto"/>
          <w:szCs w:val="22"/>
          <w:highlight w:val="none"/>
        </w:rPr>
        <w:t>承包人（全称）：</w:t>
      </w:r>
    </w:p>
    <w:p w14:paraId="22F4F448">
      <w:pPr>
        <w:spacing w:line="360" w:lineRule="auto"/>
        <w:rPr>
          <w:rFonts w:ascii="宋体" w:hAnsi="宋体"/>
          <w:color w:val="auto"/>
          <w:szCs w:val="22"/>
          <w:highlight w:val="none"/>
        </w:rPr>
      </w:pPr>
    </w:p>
    <w:p w14:paraId="3F953DE5">
      <w:pPr>
        <w:spacing w:line="360" w:lineRule="auto"/>
        <w:ind w:firstLine="420"/>
        <w:rPr>
          <w:rFonts w:ascii="宋体" w:hAnsi="宋体"/>
          <w:color w:val="auto"/>
          <w:szCs w:val="22"/>
          <w:highlight w:val="none"/>
        </w:rPr>
      </w:pPr>
      <w:r>
        <w:rPr>
          <w:rFonts w:ascii="宋体" w:hAnsi="宋体"/>
          <w:color w:val="auto"/>
          <w:szCs w:val="22"/>
          <w:highlight w:val="none"/>
        </w:rPr>
        <w:t>发包人和承包人根据《中华人民共和国建筑法》和《建设工程质量管理条例》，经协商一致就</w:t>
      </w:r>
      <w:r>
        <w:rPr>
          <w:rFonts w:hint="eastAsia" w:ascii="宋体" w:hAnsi="宋体"/>
          <w:color w:val="auto"/>
          <w:szCs w:val="22"/>
          <w:highlight w:val="none"/>
          <w:u w:val="single"/>
        </w:rPr>
        <w:t>                              </w:t>
      </w:r>
      <w:r>
        <w:rPr>
          <w:rFonts w:ascii="宋体" w:hAnsi="宋体"/>
          <w:color w:val="auto"/>
          <w:szCs w:val="22"/>
          <w:highlight w:val="none"/>
        </w:rPr>
        <w:t>（工程全称）签订工程质量保修书。</w:t>
      </w:r>
    </w:p>
    <w:p w14:paraId="1CCCAF2D">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一、工程质量保修范围和内容</w:t>
      </w:r>
    </w:p>
    <w:p w14:paraId="30FEB142">
      <w:pPr>
        <w:spacing w:line="360" w:lineRule="auto"/>
        <w:ind w:firstLine="420" w:firstLineChars="200"/>
        <w:rPr>
          <w:rFonts w:ascii="宋体" w:hAnsi="宋体"/>
          <w:color w:val="auto"/>
          <w:szCs w:val="22"/>
          <w:highlight w:val="none"/>
        </w:rPr>
      </w:pPr>
      <w:r>
        <w:rPr>
          <w:rFonts w:ascii="宋体" w:hAnsi="宋体"/>
          <w:color w:val="auto"/>
          <w:szCs w:val="22"/>
          <w:highlight w:val="none"/>
        </w:rPr>
        <w:t>承包人在质量保修期内，按照有关法律规定和合同约定，承担工程质量保修责任。</w:t>
      </w:r>
    </w:p>
    <w:p w14:paraId="00AB799C">
      <w:pPr>
        <w:spacing w:line="360" w:lineRule="auto"/>
        <w:ind w:firstLine="420" w:firstLineChars="200"/>
        <w:rPr>
          <w:rFonts w:ascii="宋体" w:hAnsi="宋体"/>
          <w:color w:val="auto"/>
          <w:szCs w:val="22"/>
          <w:highlight w:val="none"/>
        </w:rPr>
      </w:pPr>
      <w:r>
        <w:rPr>
          <w:rFonts w:ascii="宋体" w:hAnsi="宋体"/>
          <w:color w:val="auto"/>
          <w:szCs w:val="22"/>
          <w:highlight w:val="none"/>
        </w:rPr>
        <w:t>质量保修范围包括，以及双方约定的其他项目。具体保修的内容，双方约定如下：</w:t>
      </w:r>
    </w:p>
    <w:p w14:paraId="271F6ACF">
      <w:pPr>
        <w:spacing w:line="360" w:lineRule="auto"/>
        <w:ind w:firstLine="420" w:firstLineChars="200"/>
        <w:rPr>
          <w:rFonts w:ascii="宋体" w:hAnsi="宋体"/>
          <w:color w:val="auto"/>
          <w:szCs w:val="22"/>
          <w:highlight w:val="none"/>
        </w:rPr>
      </w:pPr>
      <w:r>
        <w:rPr>
          <w:rFonts w:ascii="宋体" w:hAnsi="宋体"/>
          <w:color w:val="auto"/>
          <w:szCs w:val="22"/>
          <w:highlight w:val="none"/>
        </w:rPr>
        <w:t>。</w:t>
      </w:r>
    </w:p>
    <w:p w14:paraId="187F6A4D">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二、质量保修期</w:t>
      </w:r>
    </w:p>
    <w:p w14:paraId="1E313832">
      <w:pPr>
        <w:spacing w:line="360" w:lineRule="auto"/>
        <w:ind w:firstLine="420" w:firstLineChars="200"/>
        <w:rPr>
          <w:rFonts w:ascii="宋体" w:hAnsi="宋体"/>
          <w:color w:val="auto"/>
          <w:szCs w:val="22"/>
          <w:highlight w:val="none"/>
        </w:rPr>
      </w:pPr>
      <w:r>
        <w:rPr>
          <w:rFonts w:ascii="宋体" w:hAnsi="宋体"/>
          <w:color w:val="auto"/>
          <w:szCs w:val="22"/>
          <w:highlight w:val="none"/>
        </w:rPr>
        <w:t>根据《建设工程质量管理条例》及有关规定，工程的质量保修期如下：</w:t>
      </w:r>
    </w:p>
    <w:p w14:paraId="27EFC45A">
      <w:pPr>
        <w:spacing w:line="360" w:lineRule="exact"/>
        <w:ind w:firstLine="426"/>
        <w:rPr>
          <w:rFonts w:ascii="宋体" w:hAnsi="宋体"/>
          <w:color w:val="auto"/>
          <w:szCs w:val="22"/>
          <w:highlight w:val="none"/>
        </w:rPr>
      </w:pPr>
      <w:r>
        <w:rPr>
          <w:rFonts w:hint="eastAsia" w:ascii="宋体" w:hAnsi="宋体"/>
          <w:color w:val="auto"/>
          <w:szCs w:val="22"/>
          <w:highlight w:val="none"/>
        </w:rPr>
        <w:t>1．屋面防水工程、有防水要求的卫生间、房间和外墙 面的防渗为</w:t>
      </w:r>
      <w:r>
        <w:rPr>
          <w:rFonts w:hint="eastAsia" w:ascii="宋体" w:hAnsi="宋体"/>
          <w:color w:val="auto"/>
          <w:szCs w:val="22"/>
          <w:highlight w:val="none"/>
          <w:u w:val="single"/>
        </w:rPr>
        <w:t xml:space="preserve">  5   </w:t>
      </w:r>
      <w:r>
        <w:rPr>
          <w:rFonts w:hint="eastAsia" w:ascii="宋体" w:hAnsi="宋体"/>
          <w:color w:val="auto"/>
          <w:szCs w:val="22"/>
          <w:highlight w:val="none"/>
        </w:rPr>
        <w:t>年；</w:t>
      </w:r>
    </w:p>
    <w:p w14:paraId="0AC91BFC">
      <w:pPr>
        <w:spacing w:line="360" w:lineRule="exact"/>
        <w:ind w:firstLine="426"/>
        <w:rPr>
          <w:rFonts w:ascii="宋体" w:hAnsi="宋体"/>
          <w:color w:val="auto"/>
          <w:szCs w:val="22"/>
          <w:highlight w:val="none"/>
        </w:rPr>
      </w:pPr>
      <w:r>
        <w:rPr>
          <w:rFonts w:hint="eastAsia" w:ascii="宋体" w:hAnsi="宋体"/>
          <w:color w:val="auto"/>
          <w:szCs w:val="22"/>
          <w:highlight w:val="none"/>
        </w:rPr>
        <w:t>2．装修工程为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5DDCDA4C">
      <w:pPr>
        <w:spacing w:line="360" w:lineRule="exact"/>
        <w:ind w:firstLine="426"/>
        <w:rPr>
          <w:rFonts w:ascii="宋体" w:hAnsi="宋体"/>
          <w:color w:val="auto"/>
          <w:szCs w:val="22"/>
          <w:highlight w:val="none"/>
        </w:rPr>
      </w:pPr>
      <w:r>
        <w:rPr>
          <w:rFonts w:hint="eastAsia" w:ascii="宋体" w:hAnsi="宋体"/>
          <w:color w:val="auto"/>
          <w:szCs w:val="22"/>
          <w:highlight w:val="none"/>
        </w:rPr>
        <w:t>3．电气管线、给排水管道、设备安装工程为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6175C429">
      <w:pPr>
        <w:spacing w:line="360" w:lineRule="exact"/>
        <w:ind w:firstLine="426"/>
        <w:rPr>
          <w:rFonts w:ascii="宋体" w:hAnsi="宋体"/>
          <w:color w:val="auto"/>
          <w:szCs w:val="22"/>
          <w:highlight w:val="none"/>
        </w:rPr>
      </w:pPr>
      <w:r>
        <w:rPr>
          <w:rFonts w:hint="eastAsia" w:ascii="宋体" w:hAnsi="宋体"/>
          <w:color w:val="auto"/>
          <w:szCs w:val="22"/>
          <w:highlight w:val="none"/>
        </w:rPr>
        <w:t>4. 供热与供冷系统</w:t>
      </w:r>
      <w:r>
        <w:rPr>
          <w:rFonts w:hint="eastAsia" w:ascii="宋体" w:hAnsi="宋体"/>
          <w:color w:val="auto"/>
          <w:szCs w:val="22"/>
          <w:highlight w:val="none"/>
          <w:u w:val="single"/>
        </w:rPr>
        <w:t xml:space="preserve">      2    </w:t>
      </w:r>
      <w:r>
        <w:rPr>
          <w:rFonts w:hint="eastAsia" w:ascii="宋体" w:hAnsi="宋体"/>
          <w:color w:val="auto"/>
          <w:szCs w:val="22"/>
          <w:highlight w:val="none"/>
        </w:rPr>
        <w:t>个采暖期、供冷期；</w:t>
      </w:r>
    </w:p>
    <w:p w14:paraId="5F690B55">
      <w:pPr>
        <w:spacing w:line="360" w:lineRule="exact"/>
        <w:ind w:firstLine="426"/>
        <w:rPr>
          <w:rFonts w:ascii="宋体" w:hAnsi="宋体"/>
          <w:color w:val="auto"/>
          <w:szCs w:val="22"/>
          <w:highlight w:val="none"/>
        </w:rPr>
      </w:pPr>
      <w:r>
        <w:rPr>
          <w:rFonts w:hint="eastAsia" w:ascii="宋体" w:hAnsi="宋体"/>
          <w:color w:val="auto"/>
          <w:szCs w:val="22"/>
          <w:highlight w:val="none"/>
        </w:rPr>
        <w:t>5.住宅小区内的给排水设施、道路等配套工程为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07282E45">
      <w:pPr>
        <w:spacing w:line="360" w:lineRule="exact"/>
        <w:ind w:firstLine="426"/>
        <w:rPr>
          <w:rFonts w:ascii="宋体" w:hAnsi="宋体"/>
          <w:color w:val="auto"/>
          <w:szCs w:val="22"/>
          <w:highlight w:val="none"/>
        </w:rPr>
      </w:pPr>
      <w:r>
        <w:rPr>
          <w:rFonts w:hint="eastAsia" w:ascii="宋体" w:hAnsi="宋体"/>
          <w:color w:val="auto"/>
          <w:szCs w:val="22"/>
          <w:highlight w:val="none"/>
        </w:rPr>
        <w:t>6．道路工程为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7B4CDF3A">
      <w:pPr>
        <w:spacing w:line="360" w:lineRule="exact"/>
        <w:ind w:firstLine="426"/>
        <w:rPr>
          <w:rFonts w:ascii="宋体" w:hAnsi="宋体"/>
          <w:color w:val="auto"/>
          <w:szCs w:val="22"/>
          <w:highlight w:val="none"/>
        </w:rPr>
      </w:pPr>
      <w:r>
        <w:rPr>
          <w:rFonts w:hint="eastAsia" w:ascii="宋体" w:hAnsi="宋体"/>
          <w:color w:val="auto"/>
          <w:szCs w:val="22"/>
          <w:highlight w:val="none"/>
        </w:rPr>
        <w:t>7．排水（雨水）工程为</w:t>
      </w:r>
      <w:r>
        <w:rPr>
          <w:rFonts w:hint="eastAsia" w:ascii="宋体" w:hAnsi="宋体"/>
          <w:color w:val="auto"/>
          <w:szCs w:val="22"/>
          <w:highlight w:val="none"/>
          <w:u w:val="single"/>
        </w:rPr>
        <w:t xml:space="preserve">  3   </w:t>
      </w:r>
      <w:r>
        <w:rPr>
          <w:rFonts w:hint="eastAsia" w:ascii="宋体" w:hAnsi="宋体"/>
          <w:color w:val="auto"/>
          <w:szCs w:val="22"/>
          <w:highlight w:val="none"/>
        </w:rPr>
        <w:t>年；</w:t>
      </w:r>
    </w:p>
    <w:p w14:paraId="7F25D33D">
      <w:pPr>
        <w:spacing w:line="360" w:lineRule="exact"/>
        <w:ind w:firstLine="426"/>
        <w:rPr>
          <w:rFonts w:ascii="宋体" w:hAnsi="宋体"/>
          <w:color w:val="auto"/>
          <w:szCs w:val="22"/>
          <w:highlight w:val="none"/>
        </w:rPr>
      </w:pPr>
      <w:r>
        <w:rPr>
          <w:rFonts w:hint="eastAsia" w:ascii="宋体" w:hAnsi="宋体"/>
          <w:color w:val="auto"/>
          <w:szCs w:val="22"/>
          <w:highlight w:val="none"/>
        </w:rPr>
        <w:t>8．绿化工程为</w:t>
      </w:r>
      <w:r>
        <w:rPr>
          <w:rFonts w:hint="eastAsia" w:ascii="宋体" w:hAnsi="宋体"/>
          <w:color w:val="auto"/>
          <w:szCs w:val="22"/>
          <w:highlight w:val="none"/>
          <w:u w:val="single"/>
        </w:rPr>
        <w:t xml:space="preserve">  单位工程竣工验收合格后 1 年     </w:t>
      </w:r>
      <w:r>
        <w:rPr>
          <w:rFonts w:hint="eastAsia" w:ascii="宋体" w:hAnsi="宋体"/>
          <w:color w:val="auto"/>
          <w:szCs w:val="22"/>
          <w:highlight w:val="none"/>
        </w:rPr>
        <w:t>；</w:t>
      </w:r>
    </w:p>
    <w:p w14:paraId="58EFC1E7">
      <w:pPr>
        <w:spacing w:line="360" w:lineRule="exact"/>
        <w:ind w:firstLine="426"/>
        <w:rPr>
          <w:rFonts w:ascii="宋体" w:hAnsi="宋体"/>
          <w:color w:val="auto"/>
          <w:szCs w:val="22"/>
          <w:highlight w:val="none"/>
        </w:rPr>
      </w:pPr>
      <w:r>
        <w:rPr>
          <w:rFonts w:hint="eastAsia" w:ascii="宋体" w:hAnsi="宋体"/>
          <w:color w:val="auto"/>
          <w:szCs w:val="22"/>
          <w:highlight w:val="none"/>
        </w:rPr>
        <w:t>9.  地下防水工程为</w:t>
      </w:r>
      <w:r>
        <w:rPr>
          <w:rFonts w:hint="eastAsia" w:ascii="宋体" w:hAnsi="宋体"/>
          <w:color w:val="auto"/>
          <w:szCs w:val="22"/>
          <w:highlight w:val="none"/>
          <w:u w:val="single"/>
        </w:rPr>
        <w:t xml:space="preserve">  5   </w:t>
      </w:r>
      <w:r>
        <w:rPr>
          <w:rFonts w:hint="eastAsia" w:ascii="宋体" w:hAnsi="宋体"/>
          <w:color w:val="auto"/>
          <w:szCs w:val="22"/>
          <w:highlight w:val="none"/>
        </w:rPr>
        <w:t>年；</w:t>
      </w:r>
    </w:p>
    <w:p w14:paraId="2E0B7678">
      <w:pPr>
        <w:spacing w:line="360" w:lineRule="exact"/>
        <w:ind w:firstLine="426"/>
        <w:rPr>
          <w:rFonts w:ascii="宋体" w:hAnsi="宋体"/>
          <w:color w:val="auto"/>
          <w:szCs w:val="22"/>
          <w:highlight w:val="none"/>
        </w:rPr>
      </w:pPr>
      <w:r>
        <w:rPr>
          <w:rFonts w:hint="eastAsia" w:ascii="宋体" w:hAnsi="宋体"/>
          <w:color w:val="auto"/>
          <w:szCs w:val="22"/>
          <w:highlight w:val="none"/>
        </w:rPr>
        <w:t>10.其它附属工程为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176641B1">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11.其他项目保修期限约定如下：无</w:t>
      </w:r>
    </w:p>
    <w:p w14:paraId="51E5951D">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三、缺陷责任期</w:t>
      </w:r>
    </w:p>
    <w:p w14:paraId="4CBCA844">
      <w:pPr>
        <w:spacing w:line="360" w:lineRule="auto"/>
        <w:ind w:firstLine="420" w:firstLineChars="200"/>
        <w:rPr>
          <w:rFonts w:ascii="宋体" w:hAnsi="宋体"/>
          <w:color w:val="auto"/>
          <w:szCs w:val="22"/>
          <w:highlight w:val="none"/>
        </w:rPr>
      </w:pPr>
      <w:r>
        <w:rPr>
          <w:rFonts w:ascii="宋体" w:hAnsi="宋体"/>
          <w:color w:val="auto"/>
          <w:szCs w:val="22"/>
          <w:highlight w:val="none"/>
        </w:rPr>
        <w:t>工程缺陷责任期为</w:t>
      </w:r>
      <w:r>
        <w:rPr>
          <w:rFonts w:hint="eastAsia" w:hAnsi="宋体"/>
          <w:color w:val="auto"/>
          <w:szCs w:val="22"/>
          <w:highlight w:val="none"/>
          <w:lang w:val="en-US" w:eastAsia="zh-CN"/>
        </w:rPr>
        <w:t>12</w:t>
      </w:r>
      <w:r>
        <w:rPr>
          <w:rFonts w:ascii="宋体" w:hAnsi="宋体"/>
          <w:color w:val="auto"/>
          <w:szCs w:val="22"/>
          <w:highlight w:val="none"/>
        </w:rPr>
        <w:t>个月</w:t>
      </w:r>
      <w:r>
        <w:rPr>
          <w:rFonts w:hint="eastAsia" w:ascii="Calibri" w:hAnsi="宋体"/>
          <w:color w:val="auto"/>
          <w:szCs w:val="22"/>
          <w:highlight w:val="none"/>
        </w:rPr>
        <w:t>（最长不超过24个月）</w:t>
      </w:r>
      <w:r>
        <w:rPr>
          <w:rFonts w:ascii="宋体" w:hAnsi="宋体"/>
          <w:color w:val="auto"/>
          <w:szCs w:val="22"/>
          <w:highlight w:val="none"/>
        </w:rPr>
        <w:t>，缺陷责任期自工程竣工验收合格之日起计算。单位工程先于全部工程进行验收，单位工程缺陷责任期自单位工程验收合格之日起算。</w:t>
      </w:r>
    </w:p>
    <w:p w14:paraId="58FC8E18">
      <w:pPr>
        <w:spacing w:line="360" w:lineRule="auto"/>
        <w:ind w:firstLine="420" w:firstLineChars="200"/>
        <w:rPr>
          <w:rFonts w:ascii="宋体" w:hAnsi="宋体"/>
          <w:color w:val="auto"/>
          <w:szCs w:val="22"/>
          <w:highlight w:val="none"/>
        </w:rPr>
      </w:pPr>
      <w:r>
        <w:rPr>
          <w:rFonts w:ascii="宋体" w:hAnsi="宋体"/>
          <w:color w:val="auto"/>
          <w:szCs w:val="22"/>
          <w:highlight w:val="none"/>
        </w:rPr>
        <w:t>缺陷责任期终止后，发包人应退还剩余的质量保证金。</w:t>
      </w:r>
    </w:p>
    <w:p w14:paraId="65EB21B9">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四、质量保修责任</w:t>
      </w:r>
    </w:p>
    <w:p w14:paraId="57F17FBD">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1．</w:t>
      </w:r>
      <w:r>
        <w:rPr>
          <w:rFonts w:ascii="宋体" w:hAnsi="宋体"/>
          <w:color w:val="auto"/>
          <w:szCs w:val="22"/>
          <w:highlight w:val="none"/>
        </w:rPr>
        <w:t>属于保修范围、内容的项目，承包人应当在接到保修通知之日起</w:t>
      </w:r>
      <w:r>
        <w:rPr>
          <w:rFonts w:hint="eastAsia" w:ascii="宋体" w:hAnsi="宋体"/>
          <w:color w:val="auto"/>
          <w:szCs w:val="22"/>
          <w:highlight w:val="none"/>
          <w:u w:val="single"/>
        </w:rPr>
        <w:t xml:space="preserve"> 3 </w:t>
      </w:r>
      <w:r>
        <w:rPr>
          <w:rFonts w:ascii="宋体" w:hAnsi="宋体"/>
          <w:color w:val="auto"/>
          <w:szCs w:val="22"/>
          <w:highlight w:val="none"/>
        </w:rPr>
        <w:t>天内派人保修。承包人不在约定期限内派人保修的，发包人可以委托他人修理</w:t>
      </w:r>
      <w:r>
        <w:rPr>
          <w:rFonts w:hint="eastAsia" w:ascii="Calibri" w:hAnsi="宋体"/>
          <w:color w:val="auto"/>
          <w:szCs w:val="22"/>
          <w:highlight w:val="none"/>
        </w:rPr>
        <w:t>，修理费用从质量保修金内扣除</w:t>
      </w:r>
      <w:r>
        <w:rPr>
          <w:rFonts w:ascii="Calibri" w:hAnsi="宋体"/>
          <w:color w:val="auto"/>
          <w:szCs w:val="22"/>
          <w:highlight w:val="none"/>
        </w:rPr>
        <w:t>。</w:t>
      </w:r>
    </w:p>
    <w:p w14:paraId="4147A7E1">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2．</w:t>
      </w:r>
      <w:r>
        <w:rPr>
          <w:rFonts w:ascii="宋体" w:hAnsi="宋体"/>
          <w:color w:val="auto"/>
          <w:szCs w:val="22"/>
          <w:highlight w:val="none"/>
        </w:rPr>
        <w:t>发生紧急事故需抢修的，承包人在接到事故通知后，应当立即到达事故现场抢修。</w:t>
      </w:r>
    </w:p>
    <w:p w14:paraId="3BA7AAE2">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3．</w:t>
      </w:r>
      <w:r>
        <w:rPr>
          <w:rFonts w:ascii="宋体" w:hAnsi="宋体"/>
          <w:color w:val="auto"/>
          <w:szCs w:val="22"/>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7A89576">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4．</w:t>
      </w:r>
      <w:r>
        <w:rPr>
          <w:rFonts w:ascii="宋体" w:hAnsi="宋体"/>
          <w:color w:val="auto"/>
          <w:szCs w:val="22"/>
          <w:highlight w:val="none"/>
        </w:rPr>
        <w:t>质量保修完成后，由发包人组织验收。</w:t>
      </w:r>
    </w:p>
    <w:p w14:paraId="1DA8299A">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五、保修费用</w:t>
      </w:r>
    </w:p>
    <w:p w14:paraId="292D418A">
      <w:pPr>
        <w:spacing w:line="360" w:lineRule="auto"/>
        <w:ind w:firstLine="420" w:firstLineChars="200"/>
        <w:rPr>
          <w:rFonts w:ascii="宋体" w:hAnsi="宋体"/>
          <w:color w:val="auto"/>
          <w:szCs w:val="22"/>
          <w:highlight w:val="none"/>
        </w:rPr>
      </w:pPr>
      <w:r>
        <w:rPr>
          <w:rFonts w:ascii="宋体" w:hAnsi="宋体"/>
          <w:color w:val="auto"/>
          <w:szCs w:val="22"/>
          <w:highlight w:val="none"/>
        </w:rPr>
        <w:t>保修费用由造成质量缺陷的责任方承担。</w:t>
      </w:r>
    </w:p>
    <w:p w14:paraId="7165DAF2">
      <w:pPr>
        <w:spacing w:line="360" w:lineRule="auto"/>
        <w:ind w:firstLine="420" w:firstLineChars="200"/>
        <w:rPr>
          <w:rFonts w:ascii="黑体" w:hAnsi="宋体" w:eastAsia="黑体"/>
          <w:color w:val="auto"/>
          <w:szCs w:val="22"/>
          <w:highlight w:val="none"/>
          <w:u w:val="single"/>
        </w:rPr>
      </w:pPr>
      <w:r>
        <w:rPr>
          <w:rFonts w:hint="eastAsia" w:ascii="黑体" w:hAnsi="宋体" w:eastAsia="黑体"/>
          <w:color w:val="auto"/>
          <w:szCs w:val="22"/>
          <w:highlight w:val="none"/>
        </w:rPr>
        <w:t>六、双方约定的其他工程质量保修事项：</w:t>
      </w:r>
    </w:p>
    <w:p w14:paraId="0542D9F2">
      <w:pPr>
        <w:spacing w:line="360" w:lineRule="auto"/>
        <w:jc w:val="left"/>
        <w:rPr>
          <w:rFonts w:ascii="宋体" w:hAnsi="宋体"/>
          <w:color w:val="auto"/>
          <w:szCs w:val="22"/>
          <w:highlight w:val="none"/>
        </w:rPr>
      </w:pPr>
      <w:r>
        <w:rPr>
          <w:rFonts w:ascii="宋体" w:hAnsi="宋体"/>
          <w:color w:val="auto"/>
          <w:szCs w:val="22"/>
          <w:highlight w:val="none"/>
        </w:rPr>
        <w:t>。</w:t>
      </w:r>
    </w:p>
    <w:p w14:paraId="6948F8D5">
      <w:pPr>
        <w:spacing w:line="360" w:lineRule="auto"/>
        <w:ind w:firstLine="399" w:firstLineChars="190"/>
        <w:rPr>
          <w:rFonts w:ascii="宋体" w:hAnsi="宋体"/>
          <w:color w:val="auto"/>
          <w:szCs w:val="22"/>
          <w:highlight w:val="none"/>
        </w:rPr>
      </w:pPr>
      <w:r>
        <w:rPr>
          <w:rFonts w:ascii="宋体" w:hAnsi="宋体"/>
          <w:color w:val="auto"/>
          <w:szCs w:val="22"/>
          <w:highlight w:val="none"/>
        </w:rPr>
        <w:t>工程质量保修书由发包人、承包人在工程竣工验收前共同签署，作为施工合同附件，其有效期限至保修期满。</w:t>
      </w:r>
    </w:p>
    <w:p w14:paraId="71D64141">
      <w:pPr>
        <w:spacing w:line="360" w:lineRule="auto"/>
        <w:ind w:firstLine="420"/>
        <w:rPr>
          <w:rFonts w:ascii="宋体" w:hAnsi="宋体"/>
          <w:color w:val="auto"/>
          <w:szCs w:val="22"/>
          <w:highlight w:val="none"/>
        </w:rPr>
      </w:pPr>
    </w:p>
    <w:p w14:paraId="7DEFED10">
      <w:pPr>
        <w:spacing w:line="360" w:lineRule="auto"/>
        <w:ind w:firstLine="420"/>
        <w:rPr>
          <w:rFonts w:ascii="宋体" w:hAnsi="宋体"/>
          <w:color w:val="auto"/>
          <w:szCs w:val="22"/>
          <w:highlight w:val="none"/>
        </w:rPr>
      </w:pPr>
    </w:p>
    <w:p w14:paraId="7BE3889F">
      <w:pPr>
        <w:spacing w:line="360" w:lineRule="auto"/>
        <w:rPr>
          <w:rFonts w:ascii="Calibri" w:hAnsi="Calibri"/>
          <w:color w:val="auto"/>
          <w:szCs w:val="22"/>
          <w:highlight w:val="none"/>
        </w:rPr>
      </w:pPr>
      <w:r>
        <w:rPr>
          <w:rFonts w:ascii="Calibri" w:hAnsi="宋体"/>
          <w:color w:val="auto"/>
          <w:szCs w:val="22"/>
          <w:highlight w:val="none"/>
        </w:rPr>
        <w:t>发包人</w:t>
      </w:r>
      <w:r>
        <w:rPr>
          <w:rFonts w:hint="eastAsia" w:ascii="Calibri" w:hAnsi="Calibri"/>
          <w:color w:val="auto"/>
          <w:szCs w:val="22"/>
          <w:highlight w:val="none"/>
        </w:rPr>
        <w:t>（</w:t>
      </w:r>
      <w:r>
        <w:rPr>
          <w:rFonts w:ascii="Calibri" w:hAnsi="宋体"/>
          <w:color w:val="auto"/>
          <w:szCs w:val="22"/>
          <w:highlight w:val="none"/>
        </w:rPr>
        <w:t>公章</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ascii="Calibri" w:hAnsi="宋体"/>
          <w:color w:val="auto"/>
          <w:szCs w:val="22"/>
          <w:highlight w:val="none"/>
        </w:rPr>
        <w:t>承包人</w:t>
      </w:r>
      <w:r>
        <w:rPr>
          <w:rFonts w:hint="eastAsia" w:ascii="Calibri" w:hAnsi="Calibri"/>
          <w:color w:val="auto"/>
          <w:szCs w:val="22"/>
          <w:highlight w:val="none"/>
        </w:rPr>
        <w:t>（</w:t>
      </w:r>
      <w:r>
        <w:rPr>
          <w:rFonts w:ascii="Calibri" w:hAnsi="宋体"/>
          <w:color w:val="auto"/>
          <w:szCs w:val="22"/>
          <w:highlight w:val="none"/>
        </w:rPr>
        <w:t>公章</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p>
    <w:p w14:paraId="62C0E484">
      <w:pPr>
        <w:spacing w:line="360" w:lineRule="auto"/>
        <w:rPr>
          <w:rFonts w:ascii="Calibri" w:hAnsi="Calibri"/>
          <w:color w:val="auto"/>
          <w:szCs w:val="22"/>
          <w:highlight w:val="none"/>
        </w:rPr>
      </w:pPr>
      <w:r>
        <w:rPr>
          <w:rFonts w:ascii="Calibri" w:hAnsi="宋体"/>
          <w:color w:val="auto"/>
          <w:szCs w:val="22"/>
          <w:highlight w:val="none"/>
        </w:rPr>
        <w:t>地址：</w:t>
      </w:r>
      <w:r>
        <w:rPr>
          <w:rFonts w:ascii="宋体" w:hAnsi="宋体"/>
          <w:color w:val="auto"/>
          <w:szCs w:val="22"/>
          <w:highlight w:val="none"/>
          <w:u w:val="single"/>
        </w:rPr>
        <w:t></w:t>
      </w:r>
      <w:r>
        <w:rPr>
          <w:rFonts w:ascii="Calibri" w:hAnsi="宋体"/>
          <w:color w:val="auto"/>
          <w:szCs w:val="22"/>
          <w:highlight w:val="none"/>
        </w:rPr>
        <w:t>地址：</w:t>
      </w:r>
      <w:r>
        <w:rPr>
          <w:rFonts w:ascii="宋体" w:hAnsi="宋体"/>
          <w:color w:val="auto"/>
          <w:szCs w:val="22"/>
          <w:highlight w:val="none"/>
          <w:u w:val="single"/>
        </w:rPr>
        <w:t></w:t>
      </w:r>
    </w:p>
    <w:p w14:paraId="1B9DE508">
      <w:pPr>
        <w:spacing w:line="360" w:lineRule="auto"/>
        <w:rPr>
          <w:rFonts w:ascii="Calibri" w:hAnsi="Calibri"/>
          <w:color w:val="auto"/>
          <w:szCs w:val="22"/>
          <w:highlight w:val="none"/>
        </w:rPr>
      </w:pPr>
      <w:r>
        <w:rPr>
          <w:rFonts w:ascii="Calibri" w:hAnsi="宋体"/>
          <w:color w:val="auto"/>
          <w:szCs w:val="22"/>
          <w:highlight w:val="none"/>
        </w:rPr>
        <w:t>法定代表人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ascii="Calibri" w:hAnsi="宋体"/>
          <w:color w:val="auto"/>
          <w:szCs w:val="22"/>
          <w:highlight w:val="none"/>
        </w:rPr>
        <w:t>法定代表人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p>
    <w:p w14:paraId="22FB605F">
      <w:pPr>
        <w:spacing w:line="360" w:lineRule="auto"/>
        <w:rPr>
          <w:rFonts w:ascii="Calibri" w:hAnsi="Calibri"/>
          <w:color w:val="auto"/>
          <w:szCs w:val="22"/>
          <w:highlight w:val="none"/>
        </w:rPr>
      </w:pPr>
      <w:r>
        <w:rPr>
          <w:rFonts w:hint="eastAsia" w:ascii="Calibri" w:hAnsi="宋体"/>
          <w:color w:val="auto"/>
          <w:szCs w:val="22"/>
          <w:highlight w:val="none"/>
        </w:rPr>
        <w:t>或其授权代理人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hint="eastAsia" w:ascii="Calibri" w:hAnsi="宋体"/>
          <w:color w:val="auto"/>
          <w:szCs w:val="22"/>
          <w:highlight w:val="none"/>
        </w:rPr>
        <w:t>或其授权代理人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p>
    <w:p w14:paraId="252C82D7">
      <w:pPr>
        <w:spacing w:line="360" w:lineRule="auto"/>
        <w:rPr>
          <w:rFonts w:ascii="Calibri" w:hAnsi="Calibri"/>
          <w:color w:val="auto"/>
          <w:szCs w:val="22"/>
          <w:highlight w:val="none"/>
        </w:rPr>
      </w:pPr>
      <w:r>
        <w:rPr>
          <w:rFonts w:ascii="Calibri" w:hAnsi="宋体"/>
          <w:color w:val="auto"/>
          <w:szCs w:val="22"/>
          <w:highlight w:val="none"/>
        </w:rPr>
        <w:t>电话：</w:t>
      </w:r>
      <w:r>
        <w:rPr>
          <w:rFonts w:ascii="宋体" w:hAnsi="宋体"/>
          <w:color w:val="auto"/>
          <w:szCs w:val="22"/>
          <w:highlight w:val="none"/>
          <w:u w:val="single"/>
        </w:rPr>
        <w:t></w:t>
      </w:r>
      <w:r>
        <w:rPr>
          <w:rFonts w:ascii="Calibri" w:hAnsi="宋体"/>
          <w:color w:val="auto"/>
          <w:szCs w:val="22"/>
          <w:highlight w:val="none"/>
        </w:rPr>
        <w:t>电话：</w:t>
      </w:r>
      <w:r>
        <w:rPr>
          <w:rFonts w:ascii="宋体" w:hAnsi="宋体"/>
          <w:color w:val="auto"/>
          <w:szCs w:val="22"/>
          <w:highlight w:val="none"/>
          <w:u w:val="single"/>
        </w:rPr>
        <w:t></w:t>
      </w:r>
    </w:p>
    <w:p w14:paraId="3FAA74D3">
      <w:pPr>
        <w:spacing w:line="360" w:lineRule="auto"/>
        <w:rPr>
          <w:rFonts w:ascii="Calibri" w:hAnsi="Calibri"/>
          <w:color w:val="auto"/>
          <w:szCs w:val="22"/>
          <w:highlight w:val="none"/>
        </w:rPr>
      </w:pPr>
      <w:r>
        <w:rPr>
          <w:rFonts w:ascii="Calibri" w:hAnsi="宋体"/>
          <w:color w:val="auto"/>
          <w:szCs w:val="22"/>
          <w:highlight w:val="none"/>
        </w:rPr>
        <w:t>传真：</w:t>
      </w:r>
      <w:r>
        <w:rPr>
          <w:rFonts w:ascii="宋体" w:hAnsi="宋体"/>
          <w:color w:val="auto"/>
          <w:szCs w:val="22"/>
          <w:highlight w:val="none"/>
          <w:u w:val="single"/>
        </w:rPr>
        <w:t></w:t>
      </w:r>
      <w:r>
        <w:rPr>
          <w:rFonts w:ascii="Calibri" w:hAnsi="宋体"/>
          <w:color w:val="auto"/>
          <w:szCs w:val="22"/>
          <w:highlight w:val="none"/>
        </w:rPr>
        <w:t>传真：</w:t>
      </w:r>
      <w:r>
        <w:rPr>
          <w:rFonts w:ascii="宋体" w:hAnsi="宋体"/>
          <w:color w:val="auto"/>
          <w:szCs w:val="22"/>
          <w:highlight w:val="none"/>
          <w:u w:val="single"/>
        </w:rPr>
        <w:t></w:t>
      </w:r>
    </w:p>
    <w:p w14:paraId="39C25979">
      <w:pPr>
        <w:spacing w:line="360" w:lineRule="auto"/>
        <w:rPr>
          <w:rFonts w:ascii="Calibri" w:hAnsi="Calibri"/>
          <w:color w:val="auto"/>
          <w:szCs w:val="22"/>
          <w:highlight w:val="none"/>
        </w:rPr>
      </w:pPr>
      <w:r>
        <w:rPr>
          <w:rFonts w:ascii="Calibri" w:hAnsi="宋体"/>
          <w:color w:val="auto"/>
          <w:szCs w:val="22"/>
          <w:highlight w:val="none"/>
        </w:rPr>
        <w:t>开户银行：</w:t>
      </w:r>
      <w:r>
        <w:rPr>
          <w:rFonts w:ascii="宋体" w:hAnsi="宋体"/>
          <w:color w:val="auto"/>
          <w:szCs w:val="22"/>
          <w:highlight w:val="none"/>
          <w:u w:val="single"/>
        </w:rPr>
        <w:t></w:t>
      </w:r>
      <w:r>
        <w:rPr>
          <w:rFonts w:ascii="Calibri" w:hAnsi="宋体"/>
          <w:color w:val="auto"/>
          <w:szCs w:val="22"/>
          <w:highlight w:val="none"/>
        </w:rPr>
        <w:t>开户银行：</w:t>
      </w:r>
      <w:r>
        <w:rPr>
          <w:rFonts w:ascii="宋体" w:hAnsi="宋体"/>
          <w:color w:val="auto"/>
          <w:szCs w:val="22"/>
          <w:highlight w:val="none"/>
          <w:u w:val="single"/>
        </w:rPr>
        <w:t></w:t>
      </w:r>
    </w:p>
    <w:p w14:paraId="3C58A266">
      <w:pPr>
        <w:tabs>
          <w:tab w:val="left" w:pos="2880"/>
          <w:tab w:val="left" w:pos="3060"/>
          <w:tab w:val="left" w:pos="4500"/>
        </w:tabs>
        <w:spacing w:line="360" w:lineRule="auto"/>
        <w:rPr>
          <w:rFonts w:ascii="Calibri" w:hAnsi="Calibri"/>
          <w:color w:val="auto"/>
          <w:szCs w:val="22"/>
          <w:highlight w:val="none"/>
        </w:rPr>
      </w:pPr>
      <w:r>
        <w:rPr>
          <w:rFonts w:ascii="Calibri" w:hAnsi="宋体"/>
          <w:color w:val="auto"/>
          <w:szCs w:val="22"/>
          <w:highlight w:val="none"/>
        </w:rPr>
        <w:t>账号：</w:t>
      </w:r>
      <w:r>
        <w:rPr>
          <w:rFonts w:ascii="宋体" w:hAnsi="宋体"/>
          <w:color w:val="auto"/>
          <w:szCs w:val="22"/>
          <w:highlight w:val="none"/>
          <w:u w:val="single"/>
        </w:rPr>
        <w:t></w:t>
      </w:r>
      <w:r>
        <w:rPr>
          <w:rFonts w:ascii="Calibri" w:hAnsi="宋体"/>
          <w:color w:val="auto"/>
          <w:szCs w:val="22"/>
          <w:highlight w:val="none"/>
        </w:rPr>
        <w:t>账号：</w:t>
      </w:r>
      <w:r>
        <w:rPr>
          <w:rFonts w:ascii="宋体" w:hAnsi="宋体"/>
          <w:color w:val="auto"/>
          <w:szCs w:val="22"/>
          <w:highlight w:val="none"/>
          <w:u w:val="single"/>
        </w:rPr>
        <w:t></w:t>
      </w:r>
    </w:p>
    <w:p w14:paraId="726E704C">
      <w:pPr>
        <w:spacing w:line="540" w:lineRule="exact"/>
        <w:ind w:firstLine="420" w:firstLineChars="200"/>
        <w:rPr>
          <w:rFonts w:ascii="宋体" w:hAnsi="宋体" w:cs="宋体"/>
          <w:color w:val="auto"/>
          <w:sz w:val="24"/>
          <w:highlight w:val="none"/>
        </w:rPr>
      </w:pPr>
      <w:r>
        <w:rPr>
          <w:rFonts w:ascii="Calibri" w:hAnsi="宋体"/>
          <w:color w:val="auto"/>
          <w:szCs w:val="21"/>
          <w:highlight w:val="none"/>
        </w:rPr>
        <w:t>邮政编码：</w:t>
      </w:r>
      <w:r>
        <w:rPr>
          <w:rFonts w:ascii="宋体" w:hAnsi="宋体"/>
          <w:color w:val="auto"/>
          <w:szCs w:val="21"/>
          <w:highlight w:val="none"/>
          <w:u w:val="single"/>
        </w:rPr>
        <w:t></w:t>
      </w:r>
      <w:r>
        <w:rPr>
          <w:rFonts w:ascii="Calibri" w:hAnsi="宋体"/>
          <w:color w:val="auto"/>
          <w:szCs w:val="21"/>
          <w:highlight w:val="none"/>
        </w:rPr>
        <w:t>邮政编码：</w:t>
      </w:r>
      <w:r>
        <w:rPr>
          <w:rFonts w:ascii="宋体" w:hAnsi="宋体"/>
          <w:color w:val="auto"/>
          <w:szCs w:val="21"/>
          <w:highlight w:val="none"/>
          <w:u w:val="single"/>
        </w:rPr>
        <w:t></w:t>
      </w:r>
    </w:p>
    <w:p w14:paraId="1F8E1320">
      <w:pPr>
        <w:pStyle w:val="4"/>
        <w:spacing w:line="500" w:lineRule="exact"/>
        <w:rPr>
          <w:rFonts w:ascii="宋体" w:hAnsi="宋体" w:cs="宋体"/>
          <w:color w:val="auto"/>
          <w:sz w:val="24"/>
          <w:szCs w:val="24"/>
          <w:highlight w:val="none"/>
        </w:rPr>
      </w:pPr>
    </w:p>
    <w:p w14:paraId="686C503E">
      <w:pPr>
        <w:rPr>
          <w:color w:val="auto"/>
          <w:sz w:val="24"/>
          <w:highlight w:val="none"/>
        </w:rPr>
      </w:pPr>
    </w:p>
    <w:p w14:paraId="280F9138">
      <w:pPr>
        <w:pStyle w:val="5"/>
        <w:rPr>
          <w:color w:val="auto"/>
          <w:sz w:val="24"/>
          <w:szCs w:val="24"/>
          <w:highlight w:val="none"/>
        </w:rPr>
      </w:pPr>
    </w:p>
    <w:p w14:paraId="4845D962">
      <w:pPr>
        <w:rPr>
          <w:color w:val="auto"/>
          <w:sz w:val="24"/>
          <w:highlight w:val="none"/>
        </w:rPr>
      </w:pPr>
    </w:p>
    <w:p w14:paraId="6DE7953F">
      <w:pPr>
        <w:pStyle w:val="23"/>
        <w:rPr>
          <w:color w:val="auto"/>
          <w:szCs w:val="24"/>
          <w:highlight w:val="none"/>
        </w:rPr>
      </w:pPr>
    </w:p>
    <w:p w14:paraId="42628B52">
      <w:pPr>
        <w:pStyle w:val="23"/>
        <w:rPr>
          <w:color w:val="auto"/>
          <w:szCs w:val="24"/>
          <w:highlight w:val="none"/>
        </w:rPr>
      </w:pPr>
    </w:p>
    <w:p w14:paraId="091EF384">
      <w:pPr>
        <w:pStyle w:val="23"/>
        <w:rPr>
          <w:color w:val="auto"/>
          <w:szCs w:val="24"/>
          <w:highlight w:val="none"/>
        </w:rPr>
      </w:pPr>
    </w:p>
    <w:p w14:paraId="75D62386">
      <w:pPr>
        <w:pStyle w:val="23"/>
        <w:rPr>
          <w:color w:val="auto"/>
          <w:szCs w:val="24"/>
          <w:highlight w:val="none"/>
        </w:rPr>
      </w:pPr>
    </w:p>
    <w:p w14:paraId="797A4C93">
      <w:pPr>
        <w:pStyle w:val="23"/>
        <w:rPr>
          <w:color w:val="auto"/>
          <w:szCs w:val="24"/>
          <w:highlight w:val="none"/>
        </w:rPr>
      </w:pPr>
    </w:p>
    <w:p w14:paraId="7861D052">
      <w:pPr>
        <w:pStyle w:val="23"/>
        <w:rPr>
          <w:color w:val="auto"/>
          <w:szCs w:val="24"/>
          <w:highlight w:val="none"/>
        </w:rPr>
      </w:pPr>
    </w:p>
    <w:p w14:paraId="0E7A0511">
      <w:pPr>
        <w:rPr>
          <w:color w:val="auto"/>
          <w:sz w:val="24"/>
          <w:highlight w:val="none"/>
        </w:rPr>
      </w:pPr>
    </w:p>
    <w:p w14:paraId="34E05ED6">
      <w:pPr>
        <w:pStyle w:val="23"/>
        <w:rPr>
          <w:color w:val="auto"/>
          <w:szCs w:val="24"/>
          <w:highlight w:val="none"/>
        </w:rPr>
      </w:pPr>
    </w:p>
    <w:p w14:paraId="71464224">
      <w:pPr>
        <w:pStyle w:val="252"/>
        <w:pageBreakBefore/>
        <w:spacing w:before="60" w:after="60" w:line="360" w:lineRule="auto"/>
        <w:outlineLvl w:val="1"/>
        <w:rPr>
          <w:rFonts w:ascii="宋体" w:hAnsi="宋体"/>
          <w:b/>
          <w:bCs/>
          <w:color w:val="auto"/>
          <w:sz w:val="24"/>
          <w:szCs w:val="32"/>
          <w:highlight w:val="none"/>
        </w:rPr>
      </w:pPr>
      <w:bookmarkStart w:id="1758" w:name="_Toc21343"/>
      <w:r>
        <w:rPr>
          <w:rFonts w:hint="eastAsia" w:ascii="宋体" w:hAnsi="宋体"/>
          <w:b/>
          <w:bCs/>
          <w:color w:val="auto"/>
          <w:sz w:val="28"/>
          <w:szCs w:val="28"/>
          <w:highlight w:val="none"/>
        </w:rPr>
        <w:t>附件</w:t>
      </w:r>
      <w:r>
        <w:rPr>
          <w:rFonts w:hint="eastAsia" w:ascii="宋体" w:hAnsi="宋体"/>
          <w:b/>
          <w:bCs/>
          <w:color w:val="auto"/>
          <w:sz w:val="28"/>
          <w:szCs w:val="28"/>
          <w:highlight w:val="none"/>
          <w:lang w:val="en-US" w:eastAsia="zh-CN"/>
        </w:rPr>
        <w:t>7</w:t>
      </w:r>
      <w:r>
        <w:rPr>
          <w:rFonts w:hint="eastAsia" w:ascii="宋体" w:hAnsi="宋体"/>
          <w:b/>
          <w:bCs/>
          <w:color w:val="auto"/>
          <w:sz w:val="28"/>
          <w:szCs w:val="28"/>
          <w:highlight w:val="none"/>
        </w:rPr>
        <w:t>：廉政合同</w:t>
      </w:r>
      <w:bookmarkEnd w:id="1758"/>
    </w:p>
    <w:p w14:paraId="591D2EFB">
      <w:pPr>
        <w:pStyle w:val="252"/>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廉政合同</w:t>
      </w:r>
    </w:p>
    <w:p w14:paraId="5D9A5641">
      <w:pPr>
        <w:pStyle w:val="252"/>
        <w:spacing w:line="360" w:lineRule="auto"/>
        <w:jc w:val="center"/>
        <w:rPr>
          <w:rFonts w:ascii="宋体" w:hAnsi="宋体"/>
          <w:color w:val="auto"/>
          <w:sz w:val="28"/>
          <w:szCs w:val="28"/>
          <w:highlight w:val="none"/>
        </w:rPr>
      </w:pPr>
    </w:p>
    <w:p w14:paraId="2085D40D">
      <w:pPr>
        <w:pStyle w:val="252"/>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根据国家有关工程建设、廉政建设的规定，为做好工程建设中的党风廉政建设，保证工程建设高效优质，保证建设资金的安全和有效使用以及投资效益，建设工程的项目法人（以下简称“发包人”）与总承包单位（以下简称“承包人”），特订立如下合同。</w:t>
      </w:r>
    </w:p>
    <w:p w14:paraId="0D5EEB0C">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1.双方的权利和义务</w:t>
      </w:r>
    </w:p>
    <w:p w14:paraId="360B798A">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（1）严格遵守党和国家的有关法律法规及中纪委监察部的有关规定。</w:t>
      </w:r>
    </w:p>
    <w:p w14:paraId="6171596E">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（2）严格执行工程的合同文件，自觉按合同办事。</w:t>
      </w:r>
    </w:p>
    <w:p w14:paraId="1E1CB463">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17168FB7">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3290C951">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（5）发现对方在业务活动中有违反廉政规定的行为，有及时提醒对方纠正的权利及义务。</w:t>
      </w:r>
    </w:p>
    <w:p w14:paraId="7C730F5A">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（6）发现对方严重违反本合同义务条款的行为，有向其上级有关部门举报、建议给予处理并要求告知处理结果的权利。</w:t>
      </w:r>
    </w:p>
    <w:p w14:paraId="3FBB6937">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2.发包人的义务</w:t>
      </w:r>
    </w:p>
    <w:p w14:paraId="7EEFCFC0">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（1）发包人及其工作人员不得索要或接受承包人的礼金、有价证券和贵重物品，不得在承包人报销任何应由发包人或发包人工作人员个人支付的费用等。</w:t>
      </w:r>
    </w:p>
    <w:p w14:paraId="5451EEC4">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（2）发包人工作人员不得参加承包人安排的超标准宴请和娱乐活动；不得接受承包人提供的通讯工具、交通工具和高档办公用品等。</w:t>
      </w:r>
    </w:p>
    <w:p w14:paraId="190B6249">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（3）发包人及其工作人员不得要求或者接受承包人为其住房装修、婚丧嫁娶活动、配偶子女的工作安排以及出国出境、旅游等提供方便等。</w:t>
      </w:r>
    </w:p>
    <w:p w14:paraId="40D873E3">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（4）发包人工作人及其配偶、子女不得从事与发包人工程有关的材料设备供应、工程分包、劳务等经济活动等。</w:t>
      </w:r>
    </w:p>
    <w:p w14:paraId="14A9FD47">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（5）发包人及其工作人员不得以任何理由向承包人推荐分包单位或推销材料，不得要求承包人购买合同规定外的材料和设备。</w:t>
      </w:r>
    </w:p>
    <w:p w14:paraId="76896380">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535CAE85">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3.承包人义务</w:t>
      </w:r>
    </w:p>
    <w:p w14:paraId="24BD6C28">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56151F07">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56CF56C9">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（3）承包人不得以任何理由安排发包人工作人员参加超标准宴请及娱乐活动。</w:t>
      </w:r>
    </w:p>
    <w:p w14:paraId="2024A3ED">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（4）承包人不得为发包人单位和个人购置或提供通讯工具、交通工具和高档办公用品等。</w:t>
      </w:r>
    </w:p>
    <w:p w14:paraId="7CB15BFC">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4.违约责任</w:t>
      </w:r>
    </w:p>
    <w:p w14:paraId="0F593907">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（1）发包人及其工作人员违反本合同第一、二条，按管理权限，依据有关规定给予党纪、政纪或组织处理；涉嫌犯罪的，移交司法机关追究刑事责任；给承包人单位造成经济损失的，应予以赔偿。</w:t>
      </w:r>
    </w:p>
    <w:p w14:paraId="1DF795A0">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承包人及其工作人员违反本合同第一、三条，按管理权限，依据有关规定给予党纪、政纪或组织处理；给发包人单位造成经济损失的，应予以赔偿；情节严重的，发包人建议工程建设主管部门给予承包人一至三年内不得进入其主管的工程建设市场的处罚。</w:t>
      </w:r>
    </w:p>
    <w:p w14:paraId="049C49D3">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24124DC4">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6.本合同有效期为双方签署之日起至该工程项目竣工验收后止。</w:t>
      </w:r>
    </w:p>
    <w:p w14:paraId="13E98234">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7.本合同作为工程总承包合同的附件，与工程施工合同具有同等的法律效力。</w:t>
      </w:r>
    </w:p>
    <w:p w14:paraId="40DA239D">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8.本合同作为主合同附件，正本和副本份数与本合同专用条款约定相同。由双方法定代表人或其授权的代理人签署与加盖公章后生效，全部工程竣工验收后失效。</w:t>
      </w:r>
    </w:p>
    <w:p w14:paraId="2B76C238">
      <w:pPr>
        <w:pStyle w:val="252"/>
        <w:snapToGrid w:val="0"/>
        <w:spacing w:line="360" w:lineRule="auto"/>
        <w:ind w:firstLine="420" w:firstLineChars="200"/>
        <w:rPr>
          <w:rFonts w:ascii="宋体" w:hAnsi="宋体"/>
          <w:color w:val="auto"/>
          <w:szCs w:val="21"/>
          <w:highlight w:val="none"/>
        </w:rPr>
      </w:pPr>
    </w:p>
    <w:p w14:paraId="2DAF7118">
      <w:pPr>
        <w:pStyle w:val="252"/>
        <w:snapToGrid w:val="0"/>
        <w:spacing w:line="360" w:lineRule="auto"/>
        <w:ind w:firstLine="420" w:firstLineChars="200"/>
        <w:rPr>
          <w:rFonts w:ascii="宋体" w:hAnsi="宋体"/>
          <w:color w:val="auto"/>
          <w:szCs w:val="21"/>
          <w:highlight w:val="none"/>
        </w:rPr>
      </w:pPr>
    </w:p>
    <w:p w14:paraId="3127FB44">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发包人：                                    承包人：   </w:t>
      </w:r>
    </w:p>
    <w:p w14:paraId="05D8278D">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（公章或合同专用章）                             （公章或合同专用章）</w:t>
      </w:r>
    </w:p>
    <w:p w14:paraId="4C9709D4">
      <w:pPr>
        <w:pStyle w:val="252"/>
        <w:snapToGrid w:val="0"/>
        <w:spacing w:line="360" w:lineRule="auto"/>
        <w:ind w:firstLine="420" w:firstLineChars="200"/>
        <w:rPr>
          <w:rFonts w:ascii="宋体" w:hAnsi="宋体"/>
          <w:color w:val="auto"/>
          <w:szCs w:val="21"/>
          <w:highlight w:val="none"/>
        </w:rPr>
      </w:pPr>
    </w:p>
    <w:p w14:paraId="3FFD6C85">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                               法定代表人：</w:t>
      </w:r>
    </w:p>
    <w:p w14:paraId="53674866">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（签字或盖章）                                （签字或盖章）</w:t>
      </w:r>
    </w:p>
    <w:p w14:paraId="31638275">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或授权代理人：                             或授权代理人：</w:t>
      </w:r>
    </w:p>
    <w:p w14:paraId="33B343BC">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（签字或盖章）                              （签字或盖章）                　　</w:t>
      </w:r>
    </w:p>
    <w:p w14:paraId="597C2389">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                                  地址：</w:t>
      </w:r>
    </w:p>
    <w:p w14:paraId="1E0BAB31">
      <w:pPr>
        <w:pStyle w:val="252"/>
        <w:snapToGrid w:val="0"/>
        <w:spacing w:line="360" w:lineRule="auto"/>
        <w:ind w:firstLine="420" w:firstLineChars="200"/>
        <w:rPr>
          <w:rFonts w:ascii="宋体" w:hAnsi="宋体"/>
          <w:color w:val="auto"/>
          <w:szCs w:val="21"/>
          <w:highlight w:val="none"/>
        </w:rPr>
      </w:pPr>
    </w:p>
    <w:p w14:paraId="245CEA47">
      <w:pPr>
        <w:pStyle w:val="252"/>
        <w:keepNext/>
        <w:keepLines/>
        <w:pageBreakBefore/>
        <w:spacing w:before="60" w:after="60" w:line="360" w:lineRule="auto"/>
        <w:outlineLvl w:val="1"/>
        <w:rPr>
          <w:rFonts w:ascii="宋体" w:hAnsi="宋体"/>
          <w:b/>
          <w:bCs/>
          <w:color w:val="auto"/>
          <w:sz w:val="28"/>
          <w:szCs w:val="28"/>
          <w:highlight w:val="none"/>
        </w:rPr>
      </w:pPr>
      <w:bookmarkStart w:id="1759" w:name="_Toc17747"/>
      <w:r>
        <w:rPr>
          <w:rFonts w:hint="eastAsia" w:ascii="宋体" w:hAnsi="宋体"/>
          <w:b/>
          <w:bCs/>
          <w:color w:val="auto"/>
          <w:sz w:val="28"/>
          <w:szCs w:val="28"/>
          <w:highlight w:val="none"/>
        </w:rPr>
        <w:t>附件</w:t>
      </w:r>
      <w:r>
        <w:rPr>
          <w:rFonts w:hint="eastAsia" w:ascii="宋体" w:hAnsi="宋体"/>
          <w:b/>
          <w:bCs/>
          <w:color w:val="auto"/>
          <w:sz w:val="28"/>
          <w:szCs w:val="28"/>
          <w:highlight w:val="none"/>
          <w:lang w:val="en-US" w:eastAsia="zh-CN"/>
        </w:rPr>
        <w:t>8</w:t>
      </w:r>
      <w:r>
        <w:rPr>
          <w:rFonts w:hint="eastAsia" w:ascii="宋体" w:hAnsi="宋体"/>
          <w:b/>
          <w:bCs/>
          <w:color w:val="auto"/>
          <w:sz w:val="28"/>
          <w:szCs w:val="28"/>
          <w:highlight w:val="none"/>
        </w:rPr>
        <w:t>：安全生产合同</w:t>
      </w:r>
      <w:bookmarkEnd w:id="1759"/>
    </w:p>
    <w:p w14:paraId="143CF9F9">
      <w:pPr>
        <w:pStyle w:val="252"/>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安全生产合同</w:t>
      </w:r>
    </w:p>
    <w:p w14:paraId="71036A05">
      <w:pPr>
        <w:pStyle w:val="252"/>
        <w:spacing w:line="360" w:lineRule="auto"/>
        <w:jc w:val="center"/>
        <w:rPr>
          <w:rFonts w:ascii="宋体" w:hAnsi="宋体"/>
          <w:color w:val="auto"/>
          <w:sz w:val="28"/>
          <w:szCs w:val="28"/>
          <w:highlight w:val="none"/>
        </w:rPr>
      </w:pPr>
    </w:p>
    <w:p w14:paraId="6F14616A">
      <w:pPr>
        <w:pStyle w:val="252"/>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为在施工合同的实施过程中创造安全、高效的施工环境，切实搞好本项目的安全管理工作，本项目业主（以下简称“发包人”）与承包人（以下简称“承包人”）特此签订安全生产合同：</w:t>
      </w:r>
    </w:p>
    <w:p w14:paraId="54440023">
      <w:pPr>
        <w:pStyle w:val="252"/>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一、发包人职责</w:t>
      </w:r>
    </w:p>
    <w:p w14:paraId="2B6D10A0">
      <w:pPr>
        <w:pStyle w:val="252"/>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严格遵守国家有关安全生产的法律法规，认真执行工程承包合同中的有关安全要求。</w:t>
      </w:r>
    </w:p>
    <w:p w14:paraId="6248CD59">
      <w:pPr>
        <w:pStyle w:val="252"/>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按照“安全第一、预防为主”和坚持“管生产必须管安全”的原则进行安全生产管理，做到生产与安全工作同时计划、布置、检查、总结和评比。</w:t>
      </w:r>
    </w:p>
    <w:p w14:paraId="794F2142">
      <w:pPr>
        <w:pStyle w:val="252"/>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重要的安全设施必须坚持与主体工程“三同时”的原则，即：同时设计、审批，同时施工，同时验收，投入使用。</w:t>
      </w:r>
    </w:p>
    <w:p w14:paraId="72AFBB30">
      <w:pPr>
        <w:pStyle w:val="252"/>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定期召开安全生产调度会，及时传达中央及地方有关安全生产的精神。</w:t>
      </w:r>
    </w:p>
    <w:p w14:paraId="06995446">
      <w:pPr>
        <w:pStyle w:val="252"/>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组织对承包人施工现场安全生产检查，监督承包人及时处理发现的各种安全隐患。</w:t>
      </w:r>
    </w:p>
    <w:p w14:paraId="06A3DB22">
      <w:pPr>
        <w:pStyle w:val="252"/>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二、承包人职责</w:t>
      </w:r>
    </w:p>
    <w:p w14:paraId="4931A1F9">
      <w:pPr>
        <w:pStyle w:val="252"/>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严格遵守国家有关安全生产的法律法规及建筑工程有关安全生产的规定，认真执行工程承包合同中的有关安全要求。</w:t>
      </w:r>
    </w:p>
    <w:p w14:paraId="01CE7FD7">
      <w:pPr>
        <w:pStyle w:val="252"/>
        <w:spacing w:line="360" w:lineRule="auto"/>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BEBABD8">
      <w:pPr>
        <w:pStyle w:val="252"/>
        <w:spacing w:line="360" w:lineRule="auto"/>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Fonts w:ascii="宋体" w:hAnsi="宋体"/>
          <w:color w:val="auto"/>
          <w:szCs w:val="21"/>
          <w:highlight w:val="none"/>
        </w:rPr>
        <w:t>1%~3%</w:t>
      </w:r>
      <w:r>
        <w:rPr>
          <w:rFonts w:hint="eastAsia" w:ascii="宋体" w:hAnsi="宋体"/>
          <w:color w:val="auto"/>
          <w:szCs w:val="21"/>
          <w:highlight w:val="none"/>
        </w:rPr>
        <w:t>配备安全员，专职负责所有员工的安全和治安保卫工作及预防事故的发生。安全机构人员，有权按有关规定发布指令，并采取保护性措施防止事故发生。</w:t>
      </w:r>
    </w:p>
    <w:p w14:paraId="3AB7DEAA">
      <w:pPr>
        <w:pStyle w:val="252"/>
        <w:spacing w:line="360" w:lineRule="auto"/>
        <w:rPr>
          <w:rFonts w:ascii="宋体" w:hAnsi="宋体"/>
          <w:color w:val="auto"/>
          <w:szCs w:val="21"/>
          <w:highlight w:val="none"/>
        </w:rPr>
      </w:pPr>
      <w:r>
        <w:rPr>
          <w:rFonts w:ascii="宋体" w:hAnsi="宋体"/>
          <w:color w:val="auto"/>
          <w:szCs w:val="21"/>
          <w:highlight w:val="none"/>
        </w:rPr>
        <w:t xml:space="preserve">    4.</w:t>
      </w:r>
      <w:r>
        <w:rPr>
          <w:rFonts w:hint="eastAsia" w:ascii="宋体" w:hAnsi="宋体"/>
          <w:color w:val="auto"/>
          <w:szCs w:val="21"/>
          <w:highlight w:val="none"/>
        </w:rPr>
        <w:t>承包人在任何时候都应采取各种合理的预防措施，防止其员工发生任何违法、违禁、暴力或妨碍治安的行为。</w:t>
      </w:r>
    </w:p>
    <w:p w14:paraId="34149888">
      <w:pPr>
        <w:pStyle w:val="252"/>
        <w:spacing w:line="360" w:lineRule="auto"/>
        <w:rPr>
          <w:rFonts w:ascii="宋体" w:hAnsi="宋体"/>
          <w:color w:val="auto"/>
          <w:szCs w:val="21"/>
          <w:highlight w:val="none"/>
        </w:rPr>
      </w:pPr>
      <w:r>
        <w:rPr>
          <w:rFonts w:ascii="宋体" w:hAnsi="宋体"/>
          <w:color w:val="auto"/>
          <w:szCs w:val="21"/>
          <w:highlight w:val="none"/>
        </w:rPr>
        <w:t xml:space="preserve">    5.</w:t>
      </w:r>
      <w:r>
        <w:rPr>
          <w:rFonts w:hint="eastAsia" w:ascii="宋体" w:hAnsi="宋体"/>
          <w:color w:val="auto"/>
          <w:szCs w:val="21"/>
          <w:highlight w:val="none"/>
        </w:rPr>
        <w:t>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3225BF92">
      <w:pPr>
        <w:pStyle w:val="252"/>
        <w:spacing w:line="360" w:lineRule="auto"/>
        <w:rPr>
          <w:rFonts w:ascii="宋体" w:hAnsi="宋体"/>
          <w:color w:val="auto"/>
          <w:szCs w:val="21"/>
          <w:highlight w:val="none"/>
        </w:rPr>
      </w:pPr>
      <w:r>
        <w:rPr>
          <w:rFonts w:ascii="宋体" w:hAnsi="宋体"/>
          <w:color w:val="auto"/>
          <w:szCs w:val="21"/>
          <w:highlight w:val="none"/>
        </w:rPr>
        <w:t xml:space="preserve">    6.</w:t>
      </w:r>
      <w:r>
        <w:rPr>
          <w:rFonts w:hint="eastAsia" w:ascii="宋体" w:hAnsi="宋体"/>
          <w:color w:val="auto"/>
          <w:szCs w:val="21"/>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B97737C">
      <w:pPr>
        <w:pStyle w:val="252"/>
        <w:spacing w:line="360" w:lineRule="auto"/>
        <w:rPr>
          <w:rFonts w:ascii="宋体" w:hAnsi="宋体"/>
          <w:color w:val="auto"/>
          <w:szCs w:val="21"/>
          <w:highlight w:val="none"/>
        </w:rPr>
      </w:pPr>
      <w:r>
        <w:rPr>
          <w:rFonts w:ascii="宋体" w:hAnsi="宋体"/>
          <w:color w:val="auto"/>
          <w:szCs w:val="21"/>
          <w:highlight w:val="none"/>
        </w:rPr>
        <w:t xml:space="preserve">    7.</w:t>
      </w:r>
      <w:r>
        <w:rPr>
          <w:rFonts w:hint="eastAsia" w:ascii="宋体" w:hAnsi="宋体"/>
          <w:color w:val="auto"/>
          <w:szCs w:val="21"/>
          <w:highlight w:val="none"/>
        </w:rPr>
        <w:t>操作人员上岗，必须按规定穿戴防护用品。项目经理和安全检查员应随时检查劳动防护用品的穿戴情况，不按规定穿戴防护用品的人员不得上岗。</w:t>
      </w:r>
    </w:p>
    <w:p w14:paraId="6500F43B">
      <w:pPr>
        <w:pStyle w:val="252"/>
        <w:spacing w:line="360" w:lineRule="auto"/>
        <w:rPr>
          <w:rFonts w:ascii="宋体" w:hAnsi="宋体"/>
          <w:color w:val="auto"/>
          <w:szCs w:val="21"/>
          <w:highlight w:val="none"/>
        </w:rPr>
      </w:pPr>
      <w:r>
        <w:rPr>
          <w:rFonts w:ascii="宋体" w:hAnsi="宋体"/>
          <w:color w:val="auto"/>
          <w:szCs w:val="21"/>
          <w:highlight w:val="none"/>
        </w:rPr>
        <w:t xml:space="preserve">    8.</w:t>
      </w:r>
      <w:r>
        <w:rPr>
          <w:rFonts w:hint="eastAsia" w:ascii="宋体" w:hAnsi="宋体"/>
          <w:color w:val="auto"/>
          <w:szCs w:val="21"/>
          <w:highlight w:val="none"/>
        </w:rPr>
        <w:t>所有施工机械设备和高空作业的设备均应定期检查，并有安全员的签字记录，保证其经常处于完好状态；不合格的机具、设备和劳动保护用品严禁使用。</w:t>
      </w:r>
    </w:p>
    <w:p w14:paraId="5BEB6C4B">
      <w:pPr>
        <w:pStyle w:val="252"/>
        <w:spacing w:line="360" w:lineRule="auto"/>
        <w:rPr>
          <w:rFonts w:ascii="宋体" w:hAnsi="宋体"/>
          <w:color w:val="auto"/>
          <w:szCs w:val="21"/>
          <w:highlight w:val="none"/>
        </w:rPr>
      </w:pPr>
      <w:r>
        <w:rPr>
          <w:rFonts w:ascii="宋体" w:hAnsi="宋体"/>
          <w:color w:val="auto"/>
          <w:szCs w:val="21"/>
          <w:highlight w:val="none"/>
        </w:rPr>
        <w:t xml:space="preserve">    9.</w:t>
      </w:r>
      <w:r>
        <w:rPr>
          <w:rFonts w:hint="eastAsia" w:ascii="宋体" w:hAnsi="宋体"/>
          <w:color w:val="auto"/>
          <w:szCs w:val="21"/>
          <w:highlight w:val="none"/>
        </w:rPr>
        <w:t>施工中采用新技术、新工艺、新设备、新材料时，必须制定相应的安全技术措施，施工现场必须具有相关的安全标志牌。</w:t>
      </w:r>
    </w:p>
    <w:p w14:paraId="362FC76D">
      <w:pPr>
        <w:pStyle w:val="252"/>
        <w:spacing w:line="360" w:lineRule="auto"/>
        <w:rPr>
          <w:rFonts w:ascii="宋体" w:hAnsi="宋体"/>
          <w:color w:val="auto"/>
          <w:szCs w:val="21"/>
          <w:highlight w:val="none"/>
        </w:rPr>
      </w:pPr>
      <w:r>
        <w:rPr>
          <w:rFonts w:ascii="宋体" w:hAnsi="宋体"/>
          <w:color w:val="auto"/>
          <w:szCs w:val="21"/>
          <w:highlight w:val="none"/>
        </w:rPr>
        <w:t xml:space="preserve">    10.</w:t>
      </w:r>
      <w:r>
        <w:rPr>
          <w:rFonts w:hint="eastAsia" w:ascii="宋体" w:hAnsi="宋体"/>
          <w:color w:val="auto"/>
          <w:szCs w:val="21"/>
          <w:highlight w:val="none"/>
        </w:rPr>
        <w:t>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5CE15235">
      <w:pPr>
        <w:pStyle w:val="252"/>
        <w:spacing w:line="360" w:lineRule="auto"/>
        <w:rPr>
          <w:rFonts w:ascii="宋体" w:hAnsi="宋体"/>
          <w:b/>
          <w:color w:val="auto"/>
          <w:szCs w:val="21"/>
          <w:highlight w:val="none"/>
        </w:rPr>
      </w:pPr>
      <w:r>
        <w:rPr>
          <w:rFonts w:hint="eastAsia" w:ascii="宋体" w:hAnsi="宋体"/>
          <w:b/>
          <w:color w:val="auto"/>
          <w:szCs w:val="21"/>
          <w:highlight w:val="none"/>
        </w:rPr>
        <w:t>三、违约责任</w:t>
      </w:r>
    </w:p>
    <w:p w14:paraId="18392B3B">
      <w:pPr>
        <w:pStyle w:val="252"/>
        <w:spacing w:line="360" w:lineRule="auto"/>
        <w:rPr>
          <w:rFonts w:ascii="宋体" w:hAnsi="宋体"/>
          <w:color w:val="auto"/>
          <w:szCs w:val="21"/>
          <w:highlight w:val="none"/>
        </w:rPr>
      </w:pPr>
      <w:r>
        <w:rPr>
          <w:rFonts w:hint="eastAsia" w:ascii="宋体" w:hAnsi="宋体"/>
          <w:color w:val="auto"/>
          <w:szCs w:val="21"/>
          <w:highlight w:val="none"/>
        </w:rPr>
        <w:t>如因发包人或承包人违约造成安全事故，将依法追究责任。</w:t>
      </w:r>
    </w:p>
    <w:p w14:paraId="53A4852D">
      <w:pPr>
        <w:pStyle w:val="252"/>
        <w:spacing w:line="360" w:lineRule="auto"/>
        <w:rPr>
          <w:rFonts w:ascii="宋体" w:hAnsi="宋体"/>
          <w:color w:val="auto"/>
          <w:szCs w:val="21"/>
          <w:highlight w:val="none"/>
        </w:rPr>
      </w:pPr>
      <w:r>
        <w:rPr>
          <w:rFonts w:hint="eastAsia" w:ascii="宋体" w:hAnsi="宋体"/>
          <w:color w:val="auto"/>
          <w:szCs w:val="21"/>
          <w:highlight w:val="none"/>
        </w:rPr>
        <w:t>本合同作为主合同附件，正本和副本份数与本合同专用条款定相同。由双方法定代表人或其授权的代理人签署与加盖公章后生效，全部工程竣工验收后失效。</w:t>
      </w:r>
    </w:p>
    <w:p w14:paraId="0F48F0F7">
      <w:pPr>
        <w:pStyle w:val="252"/>
        <w:spacing w:line="360" w:lineRule="auto"/>
        <w:rPr>
          <w:rFonts w:ascii="宋体" w:hAnsi="宋体"/>
          <w:color w:val="auto"/>
          <w:szCs w:val="21"/>
          <w:highlight w:val="none"/>
        </w:rPr>
      </w:pPr>
    </w:p>
    <w:p w14:paraId="1BEDC7B0">
      <w:pPr>
        <w:pStyle w:val="252"/>
        <w:spacing w:line="360" w:lineRule="auto"/>
        <w:rPr>
          <w:rFonts w:ascii="宋体" w:hAnsi="宋体"/>
          <w:color w:val="auto"/>
          <w:szCs w:val="21"/>
          <w:highlight w:val="none"/>
        </w:rPr>
      </w:pPr>
      <w:r>
        <w:rPr>
          <w:rFonts w:hint="eastAsia" w:ascii="宋体" w:hAnsi="宋体"/>
          <w:color w:val="auto"/>
          <w:szCs w:val="21"/>
          <w:highlight w:val="none"/>
        </w:rPr>
        <w:t xml:space="preserve">发包人：                                  承包人：    </w:t>
      </w:r>
    </w:p>
    <w:p w14:paraId="1CA94B1F">
      <w:pPr>
        <w:pStyle w:val="252"/>
        <w:spacing w:line="360" w:lineRule="auto"/>
        <w:ind w:firstLine="840" w:firstLineChars="400"/>
        <w:rPr>
          <w:rFonts w:ascii="宋体" w:hAnsi="宋体"/>
          <w:color w:val="auto"/>
          <w:szCs w:val="21"/>
          <w:highlight w:val="none"/>
        </w:rPr>
      </w:pPr>
    </w:p>
    <w:p w14:paraId="7685FAD0">
      <w:pPr>
        <w:pStyle w:val="252"/>
        <w:spacing w:line="360" w:lineRule="auto"/>
        <w:rPr>
          <w:rFonts w:ascii="宋体" w:hAnsi="宋体"/>
          <w:color w:val="auto"/>
          <w:szCs w:val="21"/>
          <w:highlight w:val="none"/>
        </w:rPr>
      </w:pPr>
      <w:r>
        <w:rPr>
          <w:rFonts w:hint="eastAsia" w:ascii="宋体" w:hAnsi="宋体"/>
          <w:color w:val="auto"/>
          <w:szCs w:val="21"/>
          <w:highlight w:val="none"/>
        </w:rPr>
        <w:t>（公章或合同专用章）                   （公章或合同专用章）</w:t>
      </w:r>
    </w:p>
    <w:p w14:paraId="106FCA0D">
      <w:pPr>
        <w:pStyle w:val="252"/>
        <w:spacing w:line="360" w:lineRule="auto"/>
        <w:rPr>
          <w:rFonts w:ascii="宋体" w:hAnsi="宋体"/>
          <w:color w:val="auto"/>
          <w:szCs w:val="21"/>
          <w:highlight w:val="none"/>
        </w:rPr>
      </w:pPr>
      <w:r>
        <w:rPr>
          <w:rFonts w:hint="eastAsia" w:ascii="宋体" w:hAnsi="宋体"/>
          <w:color w:val="auto"/>
          <w:szCs w:val="21"/>
          <w:highlight w:val="none"/>
        </w:rPr>
        <w:t>法定代表人：                       法定代表人：</w:t>
      </w:r>
    </w:p>
    <w:p w14:paraId="04E6F3FA">
      <w:pPr>
        <w:pStyle w:val="252"/>
        <w:spacing w:line="360" w:lineRule="auto"/>
        <w:rPr>
          <w:rFonts w:ascii="宋体" w:hAnsi="宋体"/>
          <w:color w:val="auto"/>
          <w:szCs w:val="21"/>
          <w:highlight w:val="none"/>
        </w:rPr>
      </w:pPr>
      <w:r>
        <w:rPr>
          <w:rFonts w:hint="eastAsia" w:ascii="宋体" w:hAnsi="宋体"/>
          <w:color w:val="auto"/>
          <w:szCs w:val="21"/>
          <w:highlight w:val="none"/>
        </w:rPr>
        <w:t>（签字或盖章）                                （签字或盖章）</w:t>
      </w:r>
    </w:p>
    <w:p w14:paraId="1824140A">
      <w:pPr>
        <w:pStyle w:val="252"/>
        <w:spacing w:line="360" w:lineRule="auto"/>
        <w:rPr>
          <w:rFonts w:ascii="宋体" w:hAnsi="宋体"/>
          <w:color w:val="auto"/>
          <w:szCs w:val="21"/>
          <w:highlight w:val="none"/>
        </w:rPr>
      </w:pPr>
      <w:r>
        <w:rPr>
          <w:rFonts w:hint="eastAsia" w:ascii="宋体" w:hAnsi="宋体"/>
          <w:color w:val="auto"/>
          <w:szCs w:val="21"/>
          <w:highlight w:val="none"/>
        </w:rPr>
        <w:t>或授权代理人：                             或授权代理人：</w:t>
      </w:r>
    </w:p>
    <w:p w14:paraId="30A7A18A">
      <w:pPr>
        <w:pStyle w:val="252"/>
        <w:spacing w:line="360" w:lineRule="auto"/>
        <w:rPr>
          <w:rFonts w:ascii="宋体" w:hAnsi="宋体"/>
          <w:color w:val="auto"/>
          <w:szCs w:val="21"/>
          <w:highlight w:val="none"/>
        </w:rPr>
      </w:pPr>
      <w:r>
        <w:rPr>
          <w:rFonts w:hint="eastAsia" w:ascii="宋体" w:hAnsi="宋体"/>
          <w:color w:val="auto"/>
          <w:szCs w:val="21"/>
          <w:highlight w:val="none"/>
        </w:rPr>
        <w:t>（签字或盖章）                           （签字或盖章）　　</w:t>
      </w:r>
    </w:p>
    <w:p w14:paraId="505BC5A3">
      <w:pPr>
        <w:rPr>
          <w:rFonts w:ascii="Calibri" w:hAnsi="Calibri"/>
          <w:color w:val="auto"/>
          <w:sz w:val="20"/>
          <w:szCs w:val="22"/>
          <w:highlight w:val="none"/>
        </w:rPr>
      </w:pPr>
      <w:r>
        <w:rPr>
          <w:rFonts w:hint="eastAsia" w:ascii="宋体" w:hAnsi="宋体"/>
          <w:color w:val="auto"/>
          <w:szCs w:val="21"/>
          <w:highlight w:val="none"/>
        </w:rPr>
        <w:t>地   址：                                  地址：</w:t>
      </w:r>
      <w:r>
        <w:rPr>
          <w:rFonts w:hint="eastAsia" w:ascii="Calibri" w:hAnsi="Calibri"/>
          <w:color w:val="auto"/>
          <w:sz w:val="20"/>
          <w:szCs w:val="22"/>
          <w:highlight w:val="none"/>
        </w:rPr>
        <w:t xml:space="preserve"> </w:t>
      </w:r>
      <w:bookmarkEnd w:id="56"/>
    </w:p>
    <w:p w14:paraId="4E0FCD8C">
      <w:pPr>
        <w:pStyle w:val="70"/>
        <w:rPr>
          <w:color w:val="auto"/>
          <w:highlight w:val="none"/>
        </w:rPr>
        <w:sectPr>
          <w:footerReference r:id="rId10" w:type="first"/>
          <w:pgSz w:w="11907" w:h="16840"/>
          <w:pgMar w:top="1440" w:right="1440" w:bottom="1440" w:left="1418" w:header="851" w:footer="851" w:gutter="0"/>
          <w:cols w:space="720" w:num="1"/>
          <w:docGrid w:linePitch="312" w:charSpace="0"/>
        </w:sectPr>
      </w:pPr>
    </w:p>
    <w:p w14:paraId="09EB7005">
      <w:pPr>
        <w:pStyle w:val="3"/>
        <w:spacing w:line="360" w:lineRule="auto"/>
        <w:ind w:right="384" w:rightChars="183"/>
        <w:jc w:val="center"/>
        <w:rPr>
          <w:rFonts w:asciiTheme="minorEastAsia" w:hAnsiTheme="minorEastAsia" w:eastAsiaTheme="minorEastAsia"/>
          <w:color w:val="auto"/>
          <w:highlight w:val="none"/>
        </w:rPr>
      </w:pPr>
      <w:bookmarkStart w:id="1760" w:name="_Toc25752"/>
      <w:r>
        <w:rPr>
          <w:rFonts w:hint="eastAsia" w:asciiTheme="minorEastAsia" w:hAnsiTheme="minorEastAsia" w:eastAsiaTheme="minorEastAsia"/>
          <w:color w:val="auto"/>
          <w:highlight w:val="none"/>
        </w:rPr>
        <w:t>第七章  磋商响应文件格式</w:t>
      </w:r>
      <w:bookmarkEnd w:id="39"/>
      <w:bookmarkEnd w:id="1760"/>
    </w:p>
    <w:bookmarkEnd w:id="40"/>
    <w:bookmarkEnd w:id="41"/>
    <w:p w14:paraId="150D954D">
      <w:pPr>
        <w:spacing w:line="500" w:lineRule="exact"/>
        <w:jc w:val="center"/>
        <w:rPr>
          <w:rFonts w:hAnsi="宋体"/>
          <w:color w:val="auto"/>
          <w:sz w:val="28"/>
          <w:szCs w:val="28"/>
          <w:highlight w:val="none"/>
        </w:rPr>
      </w:pPr>
      <w:r>
        <w:rPr>
          <w:rFonts w:hint="eastAsia" w:hAnsi="宋体"/>
          <w:color w:val="auto"/>
          <w:sz w:val="28"/>
          <w:szCs w:val="28"/>
          <w:highlight w:val="none"/>
        </w:rPr>
        <w:t>全流程电子标</w:t>
      </w:r>
    </w:p>
    <w:p w14:paraId="5FC80D43">
      <w:pPr>
        <w:spacing w:line="500" w:lineRule="exact"/>
        <w:jc w:val="center"/>
        <w:rPr>
          <w:rFonts w:hAnsi="宋体"/>
          <w:b/>
          <w:color w:val="auto"/>
          <w:sz w:val="44"/>
          <w:szCs w:val="32"/>
          <w:highlight w:val="none"/>
        </w:rPr>
      </w:pPr>
    </w:p>
    <w:p w14:paraId="648CEDED">
      <w:pPr>
        <w:spacing w:line="500" w:lineRule="exact"/>
        <w:jc w:val="center"/>
        <w:rPr>
          <w:rFonts w:hAnsi="宋体"/>
          <w:b/>
          <w:color w:val="auto"/>
          <w:sz w:val="40"/>
          <w:szCs w:val="32"/>
          <w:highlight w:val="none"/>
        </w:rPr>
        <w:sectPr>
          <w:pgSz w:w="11906" w:h="16838"/>
          <w:pgMar w:top="1304" w:right="1304" w:bottom="1304" w:left="1304" w:header="720" w:footer="720" w:gutter="0"/>
          <w:cols w:space="720" w:num="1"/>
          <w:docGrid w:type="lines" w:linePitch="312" w:charSpace="0"/>
        </w:sectPr>
      </w:pPr>
    </w:p>
    <w:p w14:paraId="5652702F">
      <w:pPr>
        <w:spacing w:line="500" w:lineRule="exact"/>
        <w:jc w:val="center"/>
        <w:rPr>
          <w:rFonts w:hAnsi="宋体"/>
          <w:b/>
          <w:color w:val="auto"/>
          <w:sz w:val="40"/>
          <w:szCs w:val="32"/>
          <w:highlight w:val="none"/>
        </w:rPr>
      </w:pPr>
    </w:p>
    <w:p w14:paraId="4386B4B0">
      <w:pPr>
        <w:spacing w:line="500" w:lineRule="exact"/>
        <w:jc w:val="center"/>
        <w:rPr>
          <w:rFonts w:hAnsi="宋体"/>
          <w:b/>
          <w:color w:val="auto"/>
          <w:sz w:val="44"/>
          <w:szCs w:val="44"/>
          <w:highlight w:val="none"/>
        </w:rPr>
      </w:pPr>
      <w:r>
        <w:rPr>
          <w:rFonts w:hint="eastAsia" w:hAnsi="宋体"/>
          <w:b/>
          <w:color w:val="auto"/>
          <w:sz w:val="44"/>
          <w:szCs w:val="44"/>
          <w:highlight w:val="none"/>
        </w:rPr>
        <w:t>磋商响应文件</w:t>
      </w:r>
    </w:p>
    <w:p w14:paraId="55AD3085">
      <w:pPr>
        <w:spacing w:line="500" w:lineRule="exact"/>
        <w:jc w:val="center"/>
        <w:rPr>
          <w:rFonts w:hAnsi="宋体"/>
          <w:color w:val="auto"/>
          <w:sz w:val="28"/>
          <w:szCs w:val="28"/>
          <w:highlight w:val="none"/>
        </w:rPr>
      </w:pPr>
    </w:p>
    <w:p w14:paraId="190E40F0">
      <w:pPr>
        <w:spacing w:line="500" w:lineRule="exact"/>
        <w:jc w:val="center"/>
        <w:rPr>
          <w:rFonts w:hAnsi="宋体"/>
          <w:color w:val="auto"/>
          <w:sz w:val="28"/>
          <w:szCs w:val="28"/>
          <w:highlight w:val="none"/>
        </w:rPr>
      </w:pPr>
    </w:p>
    <w:p w14:paraId="20F81B72">
      <w:pPr>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447BB60E">
      <w:pPr>
        <w:tabs>
          <w:tab w:val="left" w:pos="3240"/>
        </w:tabs>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179E664C">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33A5B65D">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2DF3D4C3">
      <w:pPr>
        <w:tabs>
          <w:tab w:val="left" w:pos="2625"/>
        </w:tabs>
        <w:spacing w:line="500" w:lineRule="exact"/>
        <w:jc w:val="center"/>
        <w:rPr>
          <w:rFonts w:hAnsi="宋体"/>
          <w:color w:val="auto"/>
          <w:sz w:val="28"/>
          <w:szCs w:val="28"/>
          <w:highlight w:val="none"/>
        </w:rPr>
      </w:pPr>
    </w:p>
    <w:p w14:paraId="289211A1">
      <w:pPr>
        <w:tabs>
          <w:tab w:val="left" w:pos="2625"/>
        </w:tabs>
        <w:spacing w:line="500" w:lineRule="exact"/>
        <w:jc w:val="center"/>
        <w:rPr>
          <w:rFonts w:hAnsi="宋体"/>
          <w:color w:val="auto"/>
          <w:sz w:val="28"/>
          <w:szCs w:val="28"/>
          <w:highlight w:val="none"/>
        </w:rPr>
      </w:pPr>
    </w:p>
    <w:p w14:paraId="0FCD2A49">
      <w:pPr>
        <w:tabs>
          <w:tab w:val="left" w:pos="2625"/>
        </w:tabs>
        <w:spacing w:line="500" w:lineRule="exact"/>
        <w:jc w:val="center"/>
        <w:rPr>
          <w:rFonts w:hAnsi="宋体"/>
          <w:color w:val="auto"/>
          <w:sz w:val="28"/>
          <w:szCs w:val="28"/>
          <w:highlight w:val="none"/>
        </w:rPr>
      </w:pPr>
      <w:r>
        <w:rPr>
          <w:rFonts w:hint="eastAsia" w:hAnsi="宋体"/>
          <w:color w:val="auto"/>
          <w:sz w:val="28"/>
          <w:szCs w:val="28"/>
          <w:highlight w:val="none"/>
        </w:rPr>
        <w:t>首次响应文件提交截止时间前不得解密</w:t>
      </w:r>
    </w:p>
    <w:p w14:paraId="4695DA52">
      <w:pPr>
        <w:spacing w:line="500" w:lineRule="exact"/>
        <w:jc w:val="center"/>
        <w:rPr>
          <w:rFonts w:hAnsi="宋体"/>
          <w:color w:val="auto"/>
          <w:sz w:val="28"/>
          <w:szCs w:val="28"/>
          <w:highlight w:val="none"/>
        </w:rPr>
      </w:pPr>
      <w:r>
        <w:rPr>
          <w:rFonts w:hint="eastAsia" w:hAnsi="宋体"/>
          <w:color w:val="auto"/>
          <w:sz w:val="28"/>
          <w:szCs w:val="28"/>
          <w:highlight w:val="none"/>
        </w:rPr>
        <w:t xml:space="preserve">                                    </w:t>
      </w:r>
    </w:p>
    <w:p w14:paraId="164BCBE5">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14345ED0">
      <w:pPr>
        <w:spacing w:line="500" w:lineRule="exact"/>
        <w:jc w:val="center"/>
        <w:rPr>
          <w:rFonts w:hAnsi="宋体"/>
          <w:b/>
          <w:color w:val="auto"/>
          <w:sz w:val="32"/>
          <w:szCs w:val="32"/>
          <w:highlight w:val="none"/>
        </w:rPr>
      </w:pPr>
    </w:p>
    <w:p w14:paraId="48F29BE5">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7EA0B57A">
      <w:pPr>
        <w:spacing w:line="500" w:lineRule="exact"/>
        <w:jc w:val="center"/>
        <w:rPr>
          <w:rFonts w:hAnsi="宋体"/>
          <w:color w:val="auto"/>
          <w:sz w:val="28"/>
          <w:szCs w:val="28"/>
          <w:highlight w:val="none"/>
        </w:rPr>
      </w:pPr>
    </w:p>
    <w:p w14:paraId="01D6AE23">
      <w:pPr>
        <w:spacing w:line="500" w:lineRule="exact"/>
        <w:jc w:val="center"/>
        <w:rPr>
          <w:rFonts w:hAnsi="宋体"/>
          <w:color w:val="auto"/>
          <w:sz w:val="28"/>
          <w:szCs w:val="28"/>
          <w:highlight w:val="none"/>
        </w:rPr>
      </w:pPr>
    </w:p>
    <w:p w14:paraId="2DB07A4A">
      <w:pPr>
        <w:spacing w:line="0" w:lineRule="atLeast"/>
        <w:rPr>
          <w:rFonts w:ascii="Times New Roman" w:hAnsi="Times New Roman"/>
          <w:color w:val="auto"/>
          <w:sz w:val="30"/>
          <w:highlight w:val="none"/>
        </w:rPr>
      </w:pPr>
    </w:p>
    <w:p w14:paraId="18067BC4">
      <w:pPr>
        <w:spacing w:line="0" w:lineRule="atLeast"/>
        <w:rPr>
          <w:rFonts w:ascii="Times New Roman" w:hAnsi="Times New Roman"/>
          <w:color w:val="auto"/>
          <w:sz w:val="30"/>
          <w:highlight w:val="none"/>
        </w:rPr>
      </w:pPr>
    </w:p>
    <w:p w14:paraId="323F8442">
      <w:pPr>
        <w:spacing w:line="500" w:lineRule="exact"/>
        <w:jc w:val="center"/>
        <w:rPr>
          <w:rFonts w:hAnsi="宋体"/>
          <w:color w:val="auto"/>
          <w:sz w:val="28"/>
          <w:szCs w:val="28"/>
          <w:highlight w:val="none"/>
        </w:rPr>
      </w:pPr>
    </w:p>
    <w:p w14:paraId="693AEADF">
      <w:pPr>
        <w:spacing w:line="500" w:lineRule="exact"/>
        <w:jc w:val="center"/>
        <w:rPr>
          <w:rFonts w:hAnsi="宋体"/>
          <w:color w:val="auto"/>
          <w:sz w:val="28"/>
          <w:szCs w:val="28"/>
          <w:highlight w:val="none"/>
        </w:rPr>
      </w:pPr>
    </w:p>
    <w:p w14:paraId="3E5BDD8E">
      <w:pPr>
        <w:spacing w:line="500" w:lineRule="exact"/>
        <w:jc w:val="center"/>
        <w:outlineLvl w:val="1"/>
        <w:rPr>
          <w:rFonts w:hAnsi="宋体"/>
          <w:b/>
          <w:color w:val="auto"/>
          <w:sz w:val="44"/>
          <w:szCs w:val="32"/>
          <w:highlight w:val="none"/>
        </w:rPr>
      </w:pPr>
      <w:bookmarkStart w:id="1761" w:name="_Toc6637"/>
      <w:r>
        <w:rPr>
          <w:rFonts w:hint="eastAsia" w:hAnsi="宋体"/>
          <w:b/>
          <w:color w:val="auto"/>
          <w:sz w:val="44"/>
          <w:szCs w:val="32"/>
          <w:highlight w:val="none"/>
        </w:rPr>
        <w:t>资格文件（封面）</w:t>
      </w:r>
      <w:bookmarkEnd w:id="1761"/>
    </w:p>
    <w:p w14:paraId="27948A0F">
      <w:pPr>
        <w:spacing w:line="500" w:lineRule="exact"/>
        <w:jc w:val="center"/>
        <w:rPr>
          <w:rFonts w:hAnsi="宋体"/>
          <w:color w:val="auto"/>
          <w:sz w:val="28"/>
          <w:szCs w:val="28"/>
          <w:highlight w:val="none"/>
        </w:rPr>
      </w:pPr>
    </w:p>
    <w:p w14:paraId="60BDC0DE">
      <w:pPr>
        <w:spacing w:line="500" w:lineRule="exact"/>
        <w:jc w:val="center"/>
        <w:rPr>
          <w:rFonts w:hAnsi="宋体"/>
          <w:color w:val="auto"/>
          <w:sz w:val="28"/>
          <w:szCs w:val="28"/>
          <w:highlight w:val="none"/>
        </w:rPr>
      </w:pPr>
    </w:p>
    <w:p w14:paraId="5DE2B674">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33054A3A">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3EE3E6CB">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00629556">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4E4B9B90">
      <w:pPr>
        <w:spacing w:line="500" w:lineRule="exact"/>
        <w:rPr>
          <w:rFonts w:hAnsi="宋体"/>
          <w:color w:val="auto"/>
          <w:sz w:val="28"/>
          <w:szCs w:val="28"/>
          <w:highlight w:val="none"/>
        </w:rPr>
      </w:pPr>
    </w:p>
    <w:p w14:paraId="1DA1502D">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629158B1">
      <w:pPr>
        <w:spacing w:line="320" w:lineRule="exact"/>
        <w:jc w:val="center"/>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331EF266">
      <w:pPr>
        <w:spacing w:line="440" w:lineRule="exact"/>
        <w:ind w:left="-27" w:leftChars="-13" w:firstLine="420" w:firstLineChars="200"/>
        <w:jc w:val="center"/>
        <w:rPr>
          <w:rFonts w:hAnsi="宋体"/>
          <w:color w:val="auto"/>
          <w:szCs w:val="21"/>
          <w:highlight w:val="none"/>
        </w:rPr>
      </w:pPr>
      <w:r>
        <w:rPr>
          <w:rFonts w:hint="eastAsia" w:hAnsi="宋体"/>
          <w:color w:val="auto"/>
          <w:szCs w:val="21"/>
          <w:highlight w:val="none"/>
        </w:rPr>
        <w:t>目录（页码自行编制）</w:t>
      </w:r>
    </w:p>
    <w:p w14:paraId="65F67FB2">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（必须提供，并加盖电子公章，否则磋商无效。）</w:t>
      </w:r>
    </w:p>
    <w:p w14:paraId="57E3A238">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①具有建筑工程施工总承包叁级以上(含叁级)资质或建筑装修装饰工程专业承包二级（含）及以上资质，并在人员、设备、资金等方面具有相应能力的施工企业。</w:t>
      </w:r>
      <w:r>
        <w:rPr>
          <w:rFonts w:hint="default" w:hAnsi="宋体" w:cs="宋体"/>
          <w:color w:val="auto"/>
          <w:szCs w:val="21"/>
          <w:highlight w:val="none"/>
        </w:rPr>
        <w:t>②</w:t>
      </w:r>
      <w:r>
        <w:rPr>
          <w:rFonts w:hint="eastAsia" w:hAnsi="宋体" w:cs="宋体"/>
          <w:color w:val="auto"/>
          <w:szCs w:val="21"/>
          <w:highlight w:val="none"/>
        </w:rPr>
        <w:t>拟投入本项目的项目经理必须是具备[建筑工程专业贰级]及以上专业注册建造师执业资格，具备有效的安全生产考核合格证书（B类），并为本单位员工。本项目不接受有在建、已中标未开工或已列为其他项目中标候选人第一名的建造师作为项目经理。</w:t>
      </w:r>
      <w:r>
        <w:rPr>
          <w:rFonts w:hint="eastAsia" w:hAnsi="宋体"/>
          <w:color w:val="auto"/>
          <w:szCs w:val="21"/>
          <w:highlight w:val="none"/>
        </w:rPr>
        <w:t>（</w:t>
      </w:r>
      <w:r>
        <w:rPr>
          <w:rFonts w:hint="eastAsia" w:ascii="Calibri" w:hAnsi="宋体"/>
          <w:b/>
          <w:color w:val="auto"/>
          <w:szCs w:val="21"/>
          <w:highlight w:val="none"/>
        </w:rPr>
        <w:t>必须提供相关资质证明材料，并加盖电子公章，否则磋商无效。）</w:t>
      </w:r>
    </w:p>
    <w:p w14:paraId="637B7863">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3、防城港市政府采购供应商信用承诺函（格式）。</w:t>
      </w:r>
      <w:r>
        <w:rPr>
          <w:rFonts w:hint="eastAsia" w:hAnsi="宋体"/>
          <w:b/>
          <w:color w:val="auto"/>
          <w:szCs w:val="21"/>
          <w:highlight w:val="none"/>
        </w:rPr>
        <w:t>（必须提供，</w:t>
      </w:r>
      <w:r>
        <w:rPr>
          <w:rFonts w:hint="eastAsia" w:ascii="Calibri" w:hAnsi="宋体"/>
          <w:b/>
          <w:color w:val="auto"/>
          <w:szCs w:val="21"/>
          <w:highlight w:val="none"/>
        </w:rPr>
        <w:t>并加盖电子公章，</w:t>
      </w:r>
      <w:r>
        <w:rPr>
          <w:rFonts w:hint="eastAsia" w:hAnsi="宋体"/>
          <w:b/>
          <w:color w:val="auto"/>
          <w:szCs w:val="21"/>
          <w:highlight w:val="none"/>
        </w:rPr>
        <w:t>否则</w:t>
      </w:r>
      <w:r>
        <w:rPr>
          <w:rFonts w:hint="eastAsia" w:ascii="Calibri" w:hAnsi="宋体"/>
          <w:b/>
          <w:color w:val="auto"/>
          <w:szCs w:val="21"/>
          <w:highlight w:val="none"/>
        </w:rPr>
        <w:t>磋商</w:t>
      </w:r>
      <w:r>
        <w:rPr>
          <w:rFonts w:hint="eastAsia" w:hAnsi="宋体"/>
          <w:b/>
          <w:color w:val="auto"/>
          <w:szCs w:val="21"/>
          <w:highlight w:val="none"/>
        </w:rPr>
        <w:t>无效）</w:t>
      </w:r>
    </w:p>
    <w:p w14:paraId="27059C55">
      <w:pPr>
        <w:spacing w:line="440" w:lineRule="exact"/>
        <w:ind w:firstLine="420" w:firstLineChars="200"/>
        <w:rPr>
          <w:rFonts w:hAnsi="宋体"/>
          <w:color w:val="auto"/>
          <w:szCs w:val="21"/>
          <w:highlight w:val="none"/>
        </w:rPr>
      </w:pPr>
      <w:r>
        <w:rPr>
          <w:rFonts w:hint="eastAsia" w:hAnsi="宋体"/>
          <w:color w:val="auto"/>
          <w:szCs w:val="21"/>
          <w:highlight w:val="none"/>
          <w:lang w:val="en-US" w:eastAsia="zh-CN"/>
        </w:rPr>
        <w:t>4</w:t>
      </w:r>
      <w:r>
        <w:rPr>
          <w:rFonts w:hint="eastAsia" w:hAnsi="宋体"/>
          <w:color w:val="auto"/>
          <w:szCs w:val="21"/>
          <w:highlight w:val="none"/>
        </w:rPr>
        <w:t>、供应商直接控股股东信息（格式见第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（必须提供，并加盖电子公章，否则磋商无效。）</w:t>
      </w:r>
    </w:p>
    <w:p w14:paraId="290FFC74">
      <w:pPr>
        <w:spacing w:line="440" w:lineRule="exact"/>
        <w:ind w:firstLine="420" w:firstLineChars="200"/>
        <w:rPr>
          <w:rFonts w:hAnsi="宋体"/>
          <w:color w:val="auto"/>
          <w:szCs w:val="21"/>
          <w:highlight w:val="none"/>
        </w:rPr>
      </w:pPr>
      <w:r>
        <w:rPr>
          <w:rFonts w:hint="eastAsia" w:hAnsi="宋体"/>
          <w:color w:val="auto"/>
          <w:szCs w:val="21"/>
          <w:highlight w:val="none"/>
          <w:lang w:val="en-US" w:eastAsia="zh-CN"/>
        </w:rPr>
        <w:t>5</w:t>
      </w:r>
      <w:r>
        <w:rPr>
          <w:rFonts w:hint="eastAsia" w:hAnsi="宋体"/>
          <w:color w:val="auto"/>
          <w:szCs w:val="21"/>
          <w:highlight w:val="none"/>
        </w:rPr>
        <w:t>、供应商直接管理关系信息表（格式见第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（必须提供，并加盖电子公章，否则磋商无效。）</w:t>
      </w:r>
    </w:p>
    <w:p w14:paraId="5678FC05">
      <w:pPr>
        <w:spacing w:line="400" w:lineRule="exact"/>
        <w:ind w:firstLine="420" w:firstLineChars="200"/>
        <w:rPr>
          <w:rFonts w:ascii="Calibri" w:hAnsi="宋体"/>
          <w:b/>
          <w:color w:val="auto"/>
          <w:szCs w:val="21"/>
          <w:highlight w:val="none"/>
        </w:rPr>
      </w:pPr>
      <w:r>
        <w:rPr>
          <w:rFonts w:hint="eastAsia" w:hAnsi="宋体"/>
          <w:color w:val="auto"/>
          <w:szCs w:val="21"/>
          <w:highlight w:val="none"/>
          <w:lang w:val="en-US" w:eastAsia="zh-CN"/>
        </w:rPr>
        <w:t>6</w:t>
      </w:r>
      <w:r>
        <w:rPr>
          <w:rFonts w:hint="eastAsia" w:hAnsi="宋体"/>
          <w:color w:val="auto"/>
          <w:szCs w:val="21"/>
          <w:highlight w:val="none"/>
        </w:rPr>
        <w:t>、资格声明函（格式见第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（必须提供，并加盖电子公章，否则磋商无效。）</w:t>
      </w:r>
    </w:p>
    <w:p w14:paraId="70880573">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lang w:val="en-US" w:eastAsia="zh-CN"/>
        </w:rPr>
        <w:t>7</w:t>
      </w:r>
      <w:r>
        <w:rPr>
          <w:rFonts w:hint="eastAsia" w:hAnsi="宋体"/>
          <w:color w:val="auto"/>
          <w:szCs w:val="21"/>
          <w:highlight w:val="none"/>
        </w:rPr>
        <w:t>、中小</w:t>
      </w:r>
      <w:r>
        <w:rPr>
          <w:rFonts w:hint="eastAsia" w:hAnsi="宋体"/>
          <w:color w:val="auto"/>
          <w:szCs w:val="21"/>
          <w:highlight w:val="none"/>
          <w:lang w:val="en-US" w:eastAsia="zh-CN"/>
        </w:rPr>
        <w:t>微</w:t>
      </w:r>
      <w:r>
        <w:rPr>
          <w:rFonts w:hint="eastAsia" w:hAnsi="宋体"/>
          <w:color w:val="auto"/>
          <w:szCs w:val="21"/>
          <w:highlight w:val="none"/>
        </w:rPr>
        <w:t>企业声明函或监狱企业证明文件或残疾人福利性单位声明函。</w:t>
      </w:r>
      <w:r>
        <w:rPr>
          <w:rFonts w:hint="eastAsia" w:hAnsi="宋体"/>
          <w:b/>
          <w:color w:val="auto"/>
          <w:szCs w:val="21"/>
          <w:highlight w:val="none"/>
        </w:rPr>
        <w:t>（必须提供，并加盖电子公章，否则磋商无效。）</w:t>
      </w:r>
    </w:p>
    <w:p w14:paraId="4CCAE80F">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154F2DEC">
      <w:pPr>
        <w:spacing w:line="440" w:lineRule="exact"/>
        <w:ind w:left="-27" w:leftChars="-13" w:firstLine="420" w:firstLineChars="200"/>
        <w:jc w:val="left"/>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6361AF80">
      <w:pPr>
        <w:spacing w:line="440" w:lineRule="exact"/>
        <w:ind w:firstLine="420" w:firstLineChars="200"/>
        <w:jc w:val="left"/>
        <w:rPr>
          <w:rFonts w:hAnsi="宋体"/>
          <w:color w:val="auto"/>
          <w:szCs w:val="21"/>
          <w:highlight w:val="none"/>
        </w:rPr>
      </w:pPr>
      <w:r>
        <w:rPr>
          <w:rFonts w:hint="eastAsia" w:hAnsi="宋体"/>
          <w:color w:val="auto"/>
          <w:szCs w:val="21"/>
          <w:highlight w:val="none"/>
        </w:rPr>
        <w:t>供应商自行提供，格式自拟</w:t>
      </w:r>
    </w:p>
    <w:p w14:paraId="2F1B1803">
      <w:pPr>
        <w:spacing w:after="120"/>
        <w:jc w:val="left"/>
        <w:rPr>
          <w:rFonts w:hAnsi="宋体"/>
          <w:color w:val="auto"/>
          <w:szCs w:val="21"/>
          <w:highlight w:val="none"/>
        </w:rPr>
      </w:pPr>
    </w:p>
    <w:p w14:paraId="61136120">
      <w:pPr>
        <w:spacing w:after="120"/>
        <w:jc w:val="left"/>
        <w:rPr>
          <w:rFonts w:hAnsi="宋体"/>
          <w:color w:val="auto"/>
          <w:szCs w:val="21"/>
          <w:highlight w:val="none"/>
        </w:rPr>
      </w:pPr>
    </w:p>
    <w:p w14:paraId="7422EA50">
      <w:pPr>
        <w:spacing w:after="120"/>
        <w:jc w:val="left"/>
        <w:rPr>
          <w:rFonts w:hAnsi="宋体"/>
          <w:color w:val="auto"/>
          <w:szCs w:val="21"/>
          <w:highlight w:val="none"/>
        </w:rPr>
      </w:pPr>
    </w:p>
    <w:p w14:paraId="06DF0EAD">
      <w:pPr>
        <w:pStyle w:val="68"/>
        <w:rPr>
          <w:rFonts w:hAnsi="宋体"/>
          <w:color w:val="auto"/>
          <w:szCs w:val="21"/>
          <w:highlight w:val="none"/>
        </w:rPr>
      </w:pPr>
    </w:p>
    <w:p w14:paraId="528A8492">
      <w:pPr>
        <w:pStyle w:val="68"/>
        <w:rPr>
          <w:rFonts w:hAnsi="宋体"/>
          <w:color w:val="auto"/>
          <w:szCs w:val="21"/>
          <w:highlight w:val="none"/>
        </w:rPr>
      </w:pPr>
    </w:p>
    <w:p w14:paraId="485CF9CC">
      <w:pPr>
        <w:pStyle w:val="68"/>
        <w:rPr>
          <w:rFonts w:hAnsi="宋体"/>
          <w:color w:val="auto"/>
          <w:szCs w:val="21"/>
          <w:highlight w:val="none"/>
        </w:rPr>
      </w:pPr>
    </w:p>
    <w:p w14:paraId="0620E4C0">
      <w:pPr>
        <w:pStyle w:val="68"/>
        <w:rPr>
          <w:rFonts w:hAnsi="宋体"/>
          <w:color w:val="auto"/>
          <w:szCs w:val="21"/>
          <w:highlight w:val="none"/>
        </w:rPr>
      </w:pPr>
    </w:p>
    <w:p w14:paraId="43E7499B">
      <w:pPr>
        <w:spacing w:after="120"/>
        <w:jc w:val="left"/>
        <w:rPr>
          <w:rFonts w:ascii="Calibri" w:hAnsi="Calibri"/>
          <w:color w:val="auto"/>
          <w:szCs w:val="24"/>
          <w:highlight w:val="none"/>
        </w:rPr>
      </w:pPr>
    </w:p>
    <w:p w14:paraId="1078B708">
      <w:pPr>
        <w:spacing w:line="440" w:lineRule="exact"/>
        <w:ind w:firstLine="420" w:firstLineChars="200"/>
        <w:jc w:val="left"/>
        <w:rPr>
          <w:rFonts w:hint="eastAsia" w:hAnsi="宋体" w:eastAsia="宋体"/>
          <w:color w:val="auto"/>
          <w:szCs w:val="21"/>
          <w:highlight w:val="none"/>
          <w:lang w:eastAsia="zh-CN"/>
        </w:rPr>
      </w:pPr>
      <w:r>
        <w:rPr>
          <w:rFonts w:hint="eastAsia" w:hAnsi="宋体"/>
          <w:color w:val="auto"/>
          <w:szCs w:val="21"/>
          <w:highlight w:val="none"/>
        </w:rPr>
        <w:t>2、</w:t>
      </w:r>
      <w:r>
        <w:rPr>
          <w:rFonts w:hint="eastAsia" w:hAnsi="宋体" w:cs="宋体"/>
          <w:color w:val="auto"/>
          <w:szCs w:val="21"/>
          <w:highlight w:val="none"/>
        </w:rPr>
        <w:t>①具有建筑工程施工总承包叁级以上(含叁级)资质或建筑装修装饰工程专业承包二级（含）及以上资质，并在人员、设备、资金等方面具有相应能力的施工企业。</w:t>
      </w:r>
      <w:r>
        <w:rPr>
          <w:rFonts w:hint="default" w:hAnsi="宋体" w:cs="宋体"/>
          <w:color w:val="auto"/>
          <w:szCs w:val="21"/>
          <w:highlight w:val="none"/>
        </w:rPr>
        <w:t>②</w:t>
      </w:r>
      <w:r>
        <w:rPr>
          <w:rFonts w:hint="eastAsia" w:hAnsi="宋体" w:cs="宋体"/>
          <w:color w:val="auto"/>
          <w:szCs w:val="21"/>
          <w:highlight w:val="none"/>
        </w:rPr>
        <w:t>拟投入本项目的项目经理必须是具备[建筑工程专业贰级]及以上专业注册建造师执业资格，具备有效的安全生产考核合格证书（B类），并为本单位员工。本项目不接受有在建、已中标未开工或已列为其他项目中标候选人第一名的建造师作为项目经理。</w:t>
      </w:r>
    </w:p>
    <w:p w14:paraId="17B37B24">
      <w:pPr>
        <w:spacing w:line="440" w:lineRule="exact"/>
        <w:ind w:firstLine="420" w:firstLineChars="200"/>
        <w:jc w:val="left"/>
        <w:rPr>
          <w:rFonts w:ascii="Calibri" w:hAnsi="Calibri"/>
          <w:color w:val="auto"/>
          <w:kern w:val="0"/>
          <w:sz w:val="34"/>
          <w:highlight w:val="none"/>
        </w:rPr>
      </w:pPr>
      <w:r>
        <w:rPr>
          <w:rFonts w:hint="eastAsia" w:hAnsi="宋体"/>
          <w:color w:val="auto"/>
          <w:szCs w:val="21"/>
          <w:highlight w:val="none"/>
        </w:rPr>
        <w:t>供应商自行提供相关资质证明材料，格式自拟</w:t>
      </w:r>
    </w:p>
    <w:p w14:paraId="3966DA6B">
      <w:pPr>
        <w:jc w:val="left"/>
        <w:rPr>
          <w:rFonts w:ascii="Calibri" w:hAnsi="Calibri"/>
          <w:color w:val="auto"/>
          <w:szCs w:val="24"/>
          <w:highlight w:val="none"/>
        </w:rPr>
      </w:pPr>
    </w:p>
    <w:p w14:paraId="6FB23E45">
      <w:pPr>
        <w:pStyle w:val="68"/>
        <w:rPr>
          <w:rFonts w:ascii="Calibri" w:hAnsi="Calibri"/>
          <w:color w:val="auto"/>
          <w:szCs w:val="24"/>
          <w:highlight w:val="none"/>
        </w:rPr>
      </w:pPr>
    </w:p>
    <w:p w14:paraId="28572D20">
      <w:pPr>
        <w:pStyle w:val="68"/>
        <w:rPr>
          <w:rFonts w:ascii="Calibri" w:hAnsi="Calibri"/>
          <w:color w:val="auto"/>
          <w:szCs w:val="24"/>
          <w:highlight w:val="none"/>
        </w:rPr>
      </w:pPr>
    </w:p>
    <w:p w14:paraId="0987544E">
      <w:pPr>
        <w:pStyle w:val="68"/>
        <w:rPr>
          <w:rFonts w:ascii="Calibri" w:hAnsi="Calibri"/>
          <w:color w:val="auto"/>
          <w:szCs w:val="24"/>
          <w:highlight w:val="none"/>
        </w:rPr>
      </w:pPr>
    </w:p>
    <w:p w14:paraId="79468AC2">
      <w:pPr>
        <w:pStyle w:val="68"/>
        <w:rPr>
          <w:rFonts w:ascii="Calibri" w:hAnsi="Calibri"/>
          <w:color w:val="auto"/>
          <w:szCs w:val="24"/>
          <w:highlight w:val="none"/>
        </w:rPr>
      </w:pPr>
    </w:p>
    <w:p w14:paraId="14F5B62E">
      <w:pPr>
        <w:pStyle w:val="68"/>
        <w:rPr>
          <w:rFonts w:ascii="Calibri" w:hAnsi="Calibri"/>
          <w:color w:val="auto"/>
          <w:szCs w:val="24"/>
          <w:highlight w:val="none"/>
        </w:rPr>
      </w:pPr>
    </w:p>
    <w:p w14:paraId="65088C74">
      <w:pPr>
        <w:pStyle w:val="68"/>
        <w:rPr>
          <w:rFonts w:ascii="Calibri" w:hAnsi="Calibri"/>
          <w:color w:val="auto"/>
          <w:szCs w:val="24"/>
          <w:highlight w:val="none"/>
        </w:rPr>
      </w:pPr>
    </w:p>
    <w:p w14:paraId="14F03F3F">
      <w:pPr>
        <w:pStyle w:val="68"/>
        <w:rPr>
          <w:rFonts w:ascii="Calibri" w:hAnsi="Calibri"/>
          <w:color w:val="auto"/>
          <w:szCs w:val="24"/>
          <w:highlight w:val="none"/>
        </w:rPr>
      </w:pPr>
    </w:p>
    <w:p w14:paraId="0E5A74D3">
      <w:pPr>
        <w:pStyle w:val="68"/>
        <w:rPr>
          <w:rFonts w:ascii="Calibri" w:hAnsi="Calibri"/>
          <w:color w:val="auto"/>
          <w:szCs w:val="24"/>
          <w:highlight w:val="none"/>
        </w:rPr>
      </w:pPr>
    </w:p>
    <w:p w14:paraId="26C28658">
      <w:pPr>
        <w:pStyle w:val="68"/>
        <w:rPr>
          <w:rFonts w:ascii="Calibri" w:hAnsi="Calibri"/>
          <w:color w:val="auto"/>
          <w:szCs w:val="24"/>
          <w:highlight w:val="none"/>
        </w:rPr>
      </w:pPr>
    </w:p>
    <w:p w14:paraId="09824957">
      <w:pPr>
        <w:pStyle w:val="68"/>
        <w:rPr>
          <w:rFonts w:ascii="Calibri" w:hAnsi="Calibri"/>
          <w:color w:val="auto"/>
          <w:szCs w:val="24"/>
          <w:highlight w:val="none"/>
        </w:rPr>
      </w:pPr>
    </w:p>
    <w:p w14:paraId="189EB270">
      <w:pPr>
        <w:pStyle w:val="68"/>
        <w:rPr>
          <w:rFonts w:ascii="Calibri" w:hAnsi="Calibri"/>
          <w:color w:val="auto"/>
          <w:szCs w:val="24"/>
          <w:highlight w:val="none"/>
        </w:rPr>
      </w:pPr>
    </w:p>
    <w:p w14:paraId="08BF9F52">
      <w:pPr>
        <w:pStyle w:val="68"/>
        <w:rPr>
          <w:rFonts w:ascii="Calibri" w:hAnsi="Calibri"/>
          <w:color w:val="auto"/>
          <w:szCs w:val="24"/>
          <w:highlight w:val="none"/>
        </w:rPr>
      </w:pPr>
    </w:p>
    <w:p w14:paraId="33ED9C93">
      <w:pPr>
        <w:pStyle w:val="68"/>
        <w:rPr>
          <w:rFonts w:ascii="Calibri" w:hAnsi="Calibri"/>
          <w:color w:val="auto"/>
          <w:szCs w:val="24"/>
          <w:highlight w:val="none"/>
        </w:rPr>
      </w:pPr>
    </w:p>
    <w:p w14:paraId="5E0D3BFF">
      <w:pPr>
        <w:spacing w:line="440" w:lineRule="exact"/>
        <w:ind w:firstLine="420" w:firstLineChars="200"/>
        <w:jc w:val="left"/>
        <w:rPr>
          <w:rFonts w:hint="eastAsia" w:hAnsi="宋体"/>
          <w:color w:val="auto"/>
          <w:szCs w:val="21"/>
          <w:highlight w:val="none"/>
          <w:lang w:eastAsia="zh-CN"/>
        </w:rPr>
      </w:pPr>
      <w:r>
        <w:rPr>
          <w:rFonts w:hint="eastAsia" w:hAnsi="宋体"/>
          <w:color w:val="auto"/>
          <w:szCs w:val="21"/>
          <w:highlight w:val="none"/>
        </w:rPr>
        <w:t>3、</w:t>
      </w:r>
      <w:r>
        <w:rPr>
          <w:rFonts w:hint="eastAsia" w:hAnsi="宋体"/>
          <w:color w:val="auto"/>
          <w:szCs w:val="21"/>
          <w:highlight w:val="none"/>
          <w:lang w:eastAsia="zh-CN"/>
        </w:rPr>
        <w:t>防城港市政府采购供应商信用承诺函（格式）</w:t>
      </w:r>
    </w:p>
    <w:p w14:paraId="0F2F05A9">
      <w:pPr>
        <w:spacing w:line="440" w:lineRule="exact"/>
        <w:ind w:firstLine="640" w:firstLineChars="200"/>
        <w:jc w:val="left"/>
        <w:rPr>
          <w:rFonts w:hint="eastAsia" w:ascii="宋体" w:hAnsi="宋体" w:eastAsia="宋体" w:cs="宋体"/>
          <w:color w:val="auto"/>
          <w:sz w:val="32"/>
          <w:szCs w:val="32"/>
          <w:highlight w:val="none"/>
        </w:rPr>
      </w:pPr>
    </w:p>
    <w:p w14:paraId="15494D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致（采购人或采购代理机构） ：</w:t>
      </w:r>
    </w:p>
    <w:p w14:paraId="5863AE1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我方自愿参加</w:t>
      </w:r>
      <w:r>
        <w:rPr>
          <w:rFonts w:hint="eastAsia" w:ascii="宋体" w:hAnsi="宋体" w:eastAsia="宋体" w:cs="宋体"/>
          <w:color w:val="auto"/>
          <w:sz w:val="21"/>
          <w:szCs w:val="21"/>
          <w:highlight w:val="none"/>
          <w:u w:val="single"/>
          <w:lang w:val="en-US" w:eastAsia="zh-CN"/>
        </w:rPr>
        <w:t xml:space="preserve"> （项目名称） </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项目编号：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的政府采购活动，严格遵守《中华人民共和国政府采购法》及相关法律法规，依法诚信经营，无条件遵守本次政府采购活动的各项规定，并郑重承诺： </w:t>
      </w:r>
    </w:p>
    <w:p w14:paraId="3888246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1.我方具有符合采购文件资格要求的财务状况报告。 </w:t>
      </w:r>
    </w:p>
    <w:p w14:paraId="0E3A39B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2.我方具有符合采购文件资格要求的依法缴纳税收和社会保障资金的良好记录。 </w:t>
      </w:r>
    </w:p>
    <w:p w14:paraId="470418F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3.我方参加政府采购活动前三年内在经营活动中没有重大违法记录。 </w:t>
      </w:r>
    </w:p>
    <w:p w14:paraId="304A76C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我方对以上承诺内容的真实性负责。如有虚假，将依法承担相应责任。</w:t>
      </w:r>
    </w:p>
    <w:p w14:paraId="573D093D">
      <w:pPr>
        <w:keepNext w:val="0"/>
        <w:keepLines w:val="0"/>
        <w:pageBreakBefore w:val="0"/>
        <w:widowControl w:val="0"/>
        <w:kinsoku/>
        <w:wordWrap/>
        <w:overflowPunct/>
        <w:topLinePunct w:val="0"/>
        <w:autoSpaceDE/>
        <w:autoSpaceDN/>
        <w:bidi w:val="0"/>
        <w:adjustRightInd/>
        <w:snapToGrid/>
        <w:spacing w:line="520" w:lineRule="exact"/>
        <w:ind w:firstLine="2415" w:firstLineChars="1150"/>
        <w:textAlignment w:val="auto"/>
        <w:rPr>
          <w:rFonts w:hint="eastAsia" w:ascii="宋体" w:hAnsi="宋体" w:eastAsia="宋体" w:cs="宋体"/>
          <w:color w:val="auto"/>
          <w:sz w:val="21"/>
          <w:szCs w:val="21"/>
          <w:highlight w:val="none"/>
        </w:rPr>
      </w:pPr>
    </w:p>
    <w:p w14:paraId="7F9C3A06">
      <w:pPr>
        <w:keepNext w:val="0"/>
        <w:keepLines w:val="0"/>
        <w:pageBreakBefore w:val="0"/>
        <w:widowControl w:val="0"/>
        <w:kinsoku/>
        <w:wordWrap/>
        <w:overflowPunct/>
        <w:topLinePunct w:val="0"/>
        <w:autoSpaceDE/>
        <w:autoSpaceDN/>
        <w:bidi w:val="0"/>
        <w:adjustRightInd/>
        <w:snapToGrid/>
        <w:spacing w:line="520" w:lineRule="exact"/>
        <w:ind w:firstLine="2415" w:firstLineChars="1150"/>
        <w:textAlignment w:val="auto"/>
        <w:rPr>
          <w:rFonts w:hint="eastAsia" w:ascii="宋体" w:hAnsi="宋体" w:eastAsia="宋体" w:cs="宋体"/>
          <w:color w:val="auto"/>
          <w:sz w:val="21"/>
          <w:szCs w:val="21"/>
          <w:highlight w:val="none"/>
        </w:rPr>
      </w:pPr>
    </w:p>
    <w:p w14:paraId="10E9F93E">
      <w:pPr>
        <w:keepNext w:val="0"/>
        <w:keepLines w:val="0"/>
        <w:pageBreakBefore w:val="0"/>
        <w:widowControl w:val="0"/>
        <w:kinsoku/>
        <w:wordWrap/>
        <w:overflowPunct/>
        <w:topLinePunct w:val="0"/>
        <w:autoSpaceDE/>
        <w:autoSpaceDN/>
        <w:bidi w:val="0"/>
        <w:adjustRightInd/>
        <w:snapToGrid/>
        <w:spacing w:line="520" w:lineRule="exact"/>
        <w:ind w:firstLine="2415" w:firstLineChars="1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w:t>
      </w:r>
    </w:p>
    <w:p w14:paraId="70960339">
      <w:pPr>
        <w:keepNext w:val="0"/>
        <w:keepLines w:val="0"/>
        <w:pageBreakBefore w:val="0"/>
        <w:widowControl w:val="0"/>
        <w:kinsoku/>
        <w:wordWrap/>
        <w:overflowPunct/>
        <w:topLinePunct w:val="0"/>
        <w:autoSpaceDE/>
        <w:autoSpaceDN/>
        <w:bidi w:val="0"/>
        <w:adjustRightInd/>
        <w:snapToGrid/>
        <w:spacing w:line="600" w:lineRule="exact"/>
        <w:ind w:firstLine="2310" w:firstLineChars="1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23A0D67">
      <w:pPr>
        <w:keepNext w:val="0"/>
        <w:keepLines w:val="0"/>
        <w:pageBreakBefore w:val="0"/>
        <w:widowControl w:val="0"/>
        <w:kinsoku/>
        <w:wordWrap/>
        <w:overflowPunct/>
        <w:topLinePunct w:val="0"/>
        <w:autoSpaceDE/>
        <w:autoSpaceDN/>
        <w:bidi w:val="0"/>
        <w:adjustRightInd/>
        <w:snapToGrid/>
        <w:spacing w:line="520" w:lineRule="exact"/>
        <w:ind w:firstLine="1470" w:firstLineChars="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法定代表人或授权代表(签名)：</w:t>
      </w:r>
    </w:p>
    <w:p w14:paraId="45F75993">
      <w:pPr>
        <w:keepNext w:val="0"/>
        <w:keepLines w:val="0"/>
        <w:pageBreakBefore w:val="0"/>
        <w:widowControl w:val="0"/>
        <w:kinsoku/>
        <w:wordWrap/>
        <w:overflowPunct/>
        <w:topLinePunct w:val="0"/>
        <w:autoSpaceDE/>
        <w:autoSpaceDN/>
        <w:bidi w:val="0"/>
        <w:adjustRightInd/>
        <w:snapToGrid/>
        <w:spacing w:line="520" w:lineRule="exact"/>
        <w:ind w:firstLine="2730" w:firstLineChars="1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EDDF78D">
      <w:pPr>
        <w:pStyle w:val="35"/>
        <w:rPr>
          <w:rFonts w:hint="eastAsia" w:ascii="宋体" w:hAnsi="宋体" w:eastAsia="宋体" w:cs="宋体"/>
          <w:color w:val="auto"/>
          <w:sz w:val="21"/>
          <w:szCs w:val="21"/>
          <w:highlight w:val="none"/>
        </w:rPr>
      </w:pPr>
    </w:p>
    <w:p w14:paraId="31C1F520">
      <w:pPr>
        <w:pStyle w:val="35"/>
        <w:rPr>
          <w:rFonts w:hint="eastAsia" w:ascii="宋体" w:hAnsi="宋体" w:eastAsia="宋体" w:cs="宋体"/>
          <w:color w:val="auto"/>
          <w:sz w:val="21"/>
          <w:szCs w:val="21"/>
          <w:highlight w:val="none"/>
        </w:rPr>
      </w:pPr>
    </w:p>
    <w:p w14:paraId="46381825">
      <w:pPr>
        <w:pStyle w:val="35"/>
        <w:rPr>
          <w:rFonts w:hint="eastAsia" w:ascii="宋体" w:hAnsi="宋体" w:eastAsia="宋体" w:cs="宋体"/>
          <w:color w:val="auto"/>
          <w:sz w:val="21"/>
          <w:szCs w:val="21"/>
          <w:highlight w:val="none"/>
        </w:rPr>
      </w:pPr>
    </w:p>
    <w:p w14:paraId="3771BF9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注：1.供应商须在</w:t>
      </w: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文件中按此模板提供承诺函，未提供视为未实质性响应招标（采购）文件要求，按无效</w:t>
      </w: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处理。</w:t>
      </w:r>
    </w:p>
    <w:p w14:paraId="4C8797A7">
      <w:pPr>
        <w:spacing w:line="440" w:lineRule="exact"/>
        <w:ind w:firstLine="420" w:firstLineChars="200"/>
        <w:jc w:val="left"/>
        <w:rPr>
          <w:rFonts w:hAnsi="宋体"/>
          <w:color w:val="auto"/>
          <w:sz w:val="21"/>
          <w:szCs w:val="21"/>
          <w:highlight w:val="none"/>
        </w:rPr>
      </w:pPr>
      <w:r>
        <w:rPr>
          <w:rFonts w:hint="eastAsia" w:ascii="宋体" w:hAnsi="宋体" w:eastAsia="宋体" w:cs="宋体"/>
          <w:color w:val="auto"/>
          <w:sz w:val="21"/>
          <w:szCs w:val="21"/>
          <w:highlight w:val="none"/>
        </w:rPr>
        <w:t>供应商的法定代表人（其他组织的为负责人）或者授权代表的签名或盖章应真实、有效，如由授权代表签名或盖章的，应提供“法定代表人授权书”。</w:t>
      </w:r>
    </w:p>
    <w:p w14:paraId="1C2D61F4">
      <w:pPr>
        <w:spacing w:line="440" w:lineRule="exact"/>
        <w:ind w:left="-27" w:leftChars="-13" w:firstLine="420" w:firstLineChars="200"/>
        <w:rPr>
          <w:rFonts w:hAnsi="宋体"/>
          <w:color w:val="auto"/>
          <w:szCs w:val="21"/>
          <w:highlight w:val="none"/>
        </w:rPr>
      </w:pPr>
    </w:p>
    <w:p w14:paraId="48C9E548">
      <w:pPr>
        <w:pStyle w:val="2"/>
        <w:rPr>
          <w:color w:val="auto"/>
          <w:highlight w:val="none"/>
        </w:rPr>
      </w:pPr>
    </w:p>
    <w:p w14:paraId="29D0A7F2">
      <w:pPr>
        <w:pStyle w:val="2"/>
        <w:rPr>
          <w:color w:val="auto"/>
          <w:highlight w:val="none"/>
        </w:rPr>
      </w:pPr>
    </w:p>
    <w:p w14:paraId="5673CE1E">
      <w:pPr>
        <w:pStyle w:val="56"/>
        <w:rPr>
          <w:color w:val="auto"/>
          <w:highlight w:val="none"/>
        </w:rPr>
      </w:pPr>
    </w:p>
    <w:p w14:paraId="1BBA84CC">
      <w:pPr>
        <w:pStyle w:val="56"/>
        <w:rPr>
          <w:color w:val="auto"/>
          <w:highlight w:val="none"/>
        </w:rPr>
      </w:pPr>
    </w:p>
    <w:p w14:paraId="78A9B856">
      <w:pPr>
        <w:pStyle w:val="2"/>
        <w:rPr>
          <w:color w:val="auto"/>
          <w:highlight w:val="none"/>
        </w:rPr>
      </w:pPr>
    </w:p>
    <w:p w14:paraId="0358156A">
      <w:pPr>
        <w:spacing w:line="440" w:lineRule="exact"/>
        <w:ind w:left="-27" w:leftChars="-13" w:firstLine="420" w:firstLineChars="200"/>
        <w:rPr>
          <w:rFonts w:hAnsi="宋体"/>
          <w:color w:val="auto"/>
          <w:szCs w:val="21"/>
          <w:highlight w:val="none"/>
        </w:rPr>
      </w:pPr>
      <w:r>
        <w:rPr>
          <w:rFonts w:hint="eastAsia" w:hAnsi="宋体"/>
          <w:color w:val="auto"/>
          <w:szCs w:val="21"/>
          <w:highlight w:val="none"/>
          <w:lang w:val="en-US" w:eastAsia="zh-CN"/>
        </w:rPr>
        <w:t>4</w:t>
      </w:r>
      <w:r>
        <w:rPr>
          <w:rFonts w:hint="eastAsia" w:hAnsi="宋体"/>
          <w:color w:val="auto"/>
          <w:szCs w:val="21"/>
          <w:highlight w:val="none"/>
        </w:rPr>
        <w:t>、供应商直接控股股东信息。</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5E89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0D0AA74F">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415C9ADC">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直接控股股东名称</w:t>
            </w:r>
          </w:p>
        </w:tc>
        <w:tc>
          <w:tcPr>
            <w:tcW w:w="1576" w:type="dxa"/>
            <w:vAlign w:val="center"/>
          </w:tcPr>
          <w:p w14:paraId="209C5D86">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00B42837">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身份证号码或者统一社会信用代码</w:t>
            </w:r>
          </w:p>
        </w:tc>
        <w:tc>
          <w:tcPr>
            <w:tcW w:w="1077" w:type="dxa"/>
            <w:vAlign w:val="center"/>
          </w:tcPr>
          <w:p w14:paraId="3E643F5A">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05B3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53BA922">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3E891C55">
            <w:pPr>
              <w:autoSpaceDE w:val="0"/>
              <w:autoSpaceDN w:val="0"/>
              <w:adjustRightInd w:val="0"/>
              <w:jc w:val="left"/>
              <w:rPr>
                <w:rFonts w:hAnsi="Calibri" w:cs="宋体"/>
                <w:color w:val="auto"/>
                <w:kern w:val="0"/>
                <w:szCs w:val="24"/>
                <w:highlight w:val="none"/>
              </w:rPr>
            </w:pPr>
          </w:p>
        </w:tc>
        <w:tc>
          <w:tcPr>
            <w:tcW w:w="1576" w:type="dxa"/>
          </w:tcPr>
          <w:p w14:paraId="62312739">
            <w:pPr>
              <w:autoSpaceDE w:val="0"/>
              <w:autoSpaceDN w:val="0"/>
              <w:adjustRightInd w:val="0"/>
              <w:jc w:val="left"/>
              <w:rPr>
                <w:rFonts w:hAnsi="Calibri" w:cs="宋体"/>
                <w:color w:val="auto"/>
                <w:kern w:val="0"/>
                <w:szCs w:val="24"/>
                <w:highlight w:val="none"/>
              </w:rPr>
            </w:pPr>
          </w:p>
        </w:tc>
        <w:tc>
          <w:tcPr>
            <w:tcW w:w="2369" w:type="dxa"/>
          </w:tcPr>
          <w:p w14:paraId="279F235A">
            <w:pPr>
              <w:autoSpaceDE w:val="0"/>
              <w:autoSpaceDN w:val="0"/>
              <w:adjustRightInd w:val="0"/>
              <w:jc w:val="left"/>
              <w:rPr>
                <w:rFonts w:hAnsi="Calibri" w:cs="宋体"/>
                <w:color w:val="auto"/>
                <w:kern w:val="0"/>
                <w:szCs w:val="24"/>
                <w:highlight w:val="none"/>
              </w:rPr>
            </w:pPr>
          </w:p>
        </w:tc>
        <w:tc>
          <w:tcPr>
            <w:tcW w:w="1077" w:type="dxa"/>
          </w:tcPr>
          <w:p w14:paraId="3004C7C6">
            <w:pPr>
              <w:autoSpaceDE w:val="0"/>
              <w:autoSpaceDN w:val="0"/>
              <w:adjustRightInd w:val="0"/>
              <w:jc w:val="left"/>
              <w:rPr>
                <w:rFonts w:hAnsi="Calibri" w:cs="宋体"/>
                <w:color w:val="auto"/>
                <w:kern w:val="0"/>
                <w:szCs w:val="24"/>
                <w:highlight w:val="none"/>
              </w:rPr>
            </w:pPr>
          </w:p>
        </w:tc>
      </w:tr>
      <w:tr w14:paraId="6360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B9CA995">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48A9EA84">
            <w:pPr>
              <w:autoSpaceDE w:val="0"/>
              <w:autoSpaceDN w:val="0"/>
              <w:adjustRightInd w:val="0"/>
              <w:jc w:val="left"/>
              <w:rPr>
                <w:rFonts w:hAnsi="Calibri" w:cs="宋体"/>
                <w:color w:val="auto"/>
                <w:kern w:val="0"/>
                <w:szCs w:val="24"/>
                <w:highlight w:val="none"/>
              </w:rPr>
            </w:pPr>
          </w:p>
        </w:tc>
        <w:tc>
          <w:tcPr>
            <w:tcW w:w="1576" w:type="dxa"/>
          </w:tcPr>
          <w:p w14:paraId="75494B58">
            <w:pPr>
              <w:autoSpaceDE w:val="0"/>
              <w:autoSpaceDN w:val="0"/>
              <w:adjustRightInd w:val="0"/>
              <w:jc w:val="left"/>
              <w:rPr>
                <w:rFonts w:hAnsi="Calibri" w:cs="宋体"/>
                <w:color w:val="auto"/>
                <w:kern w:val="0"/>
                <w:szCs w:val="24"/>
                <w:highlight w:val="none"/>
              </w:rPr>
            </w:pPr>
          </w:p>
        </w:tc>
        <w:tc>
          <w:tcPr>
            <w:tcW w:w="2369" w:type="dxa"/>
          </w:tcPr>
          <w:p w14:paraId="50636011">
            <w:pPr>
              <w:autoSpaceDE w:val="0"/>
              <w:autoSpaceDN w:val="0"/>
              <w:adjustRightInd w:val="0"/>
              <w:jc w:val="left"/>
              <w:rPr>
                <w:rFonts w:hAnsi="Calibri" w:cs="宋体"/>
                <w:color w:val="auto"/>
                <w:kern w:val="0"/>
                <w:szCs w:val="24"/>
                <w:highlight w:val="none"/>
              </w:rPr>
            </w:pPr>
          </w:p>
        </w:tc>
        <w:tc>
          <w:tcPr>
            <w:tcW w:w="1077" w:type="dxa"/>
          </w:tcPr>
          <w:p w14:paraId="22879CA6">
            <w:pPr>
              <w:autoSpaceDE w:val="0"/>
              <w:autoSpaceDN w:val="0"/>
              <w:adjustRightInd w:val="0"/>
              <w:jc w:val="left"/>
              <w:rPr>
                <w:rFonts w:hAnsi="Calibri" w:cs="宋体"/>
                <w:color w:val="auto"/>
                <w:kern w:val="0"/>
                <w:szCs w:val="24"/>
                <w:highlight w:val="none"/>
              </w:rPr>
            </w:pPr>
          </w:p>
        </w:tc>
      </w:tr>
      <w:tr w14:paraId="349B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184466D2">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436F0D6A">
            <w:pPr>
              <w:autoSpaceDE w:val="0"/>
              <w:autoSpaceDN w:val="0"/>
              <w:adjustRightInd w:val="0"/>
              <w:jc w:val="left"/>
              <w:rPr>
                <w:rFonts w:hAnsi="Calibri" w:cs="宋体"/>
                <w:color w:val="auto"/>
                <w:kern w:val="0"/>
                <w:szCs w:val="24"/>
                <w:highlight w:val="none"/>
              </w:rPr>
            </w:pPr>
          </w:p>
        </w:tc>
        <w:tc>
          <w:tcPr>
            <w:tcW w:w="1576" w:type="dxa"/>
          </w:tcPr>
          <w:p w14:paraId="50EC21F5">
            <w:pPr>
              <w:autoSpaceDE w:val="0"/>
              <w:autoSpaceDN w:val="0"/>
              <w:adjustRightInd w:val="0"/>
              <w:jc w:val="left"/>
              <w:rPr>
                <w:rFonts w:hAnsi="Calibri" w:cs="宋体"/>
                <w:color w:val="auto"/>
                <w:kern w:val="0"/>
                <w:szCs w:val="24"/>
                <w:highlight w:val="none"/>
              </w:rPr>
            </w:pPr>
          </w:p>
        </w:tc>
        <w:tc>
          <w:tcPr>
            <w:tcW w:w="2369" w:type="dxa"/>
          </w:tcPr>
          <w:p w14:paraId="383223C5">
            <w:pPr>
              <w:autoSpaceDE w:val="0"/>
              <w:autoSpaceDN w:val="0"/>
              <w:adjustRightInd w:val="0"/>
              <w:jc w:val="left"/>
              <w:rPr>
                <w:rFonts w:hAnsi="Calibri" w:cs="宋体"/>
                <w:color w:val="auto"/>
                <w:kern w:val="0"/>
                <w:szCs w:val="24"/>
                <w:highlight w:val="none"/>
              </w:rPr>
            </w:pPr>
          </w:p>
        </w:tc>
        <w:tc>
          <w:tcPr>
            <w:tcW w:w="1077" w:type="dxa"/>
          </w:tcPr>
          <w:p w14:paraId="3C736418">
            <w:pPr>
              <w:autoSpaceDE w:val="0"/>
              <w:autoSpaceDN w:val="0"/>
              <w:adjustRightInd w:val="0"/>
              <w:jc w:val="left"/>
              <w:rPr>
                <w:rFonts w:hAnsi="Calibri" w:cs="宋体"/>
                <w:color w:val="auto"/>
                <w:kern w:val="0"/>
                <w:szCs w:val="24"/>
                <w:highlight w:val="none"/>
              </w:rPr>
            </w:pPr>
          </w:p>
        </w:tc>
      </w:tr>
      <w:tr w14:paraId="7ED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4AE2177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57F59BAA">
            <w:pPr>
              <w:autoSpaceDE w:val="0"/>
              <w:autoSpaceDN w:val="0"/>
              <w:adjustRightInd w:val="0"/>
              <w:jc w:val="left"/>
              <w:rPr>
                <w:rFonts w:hAnsi="Calibri" w:cs="宋体"/>
                <w:color w:val="auto"/>
                <w:kern w:val="0"/>
                <w:szCs w:val="24"/>
                <w:highlight w:val="none"/>
              </w:rPr>
            </w:pPr>
          </w:p>
        </w:tc>
        <w:tc>
          <w:tcPr>
            <w:tcW w:w="1576" w:type="dxa"/>
          </w:tcPr>
          <w:p w14:paraId="2BF3C7FC">
            <w:pPr>
              <w:autoSpaceDE w:val="0"/>
              <w:autoSpaceDN w:val="0"/>
              <w:adjustRightInd w:val="0"/>
              <w:jc w:val="left"/>
              <w:rPr>
                <w:rFonts w:hAnsi="Calibri" w:cs="宋体"/>
                <w:color w:val="auto"/>
                <w:kern w:val="0"/>
                <w:szCs w:val="24"/>
                <w:highlight w:val="none"/>
              </w:rPr>
            </w:pPr>
          </w:p>
        </w:tc>
        <w:tc>
          <w:tcPr>
            <w:tcW w:w="2369" w:type="dxa"/>
          </w:tcPr>
          <w:p w14:paraId="04DF4799">
            <w:pPr>
              <w:autoSpaceDE w:val="0"/>
              <w:autoSpaceDN w:val="0"/>
              <w:adjustRightInd w:val="0"/>
              <w:jc w:val="left"/>
              <w:rPr>
                <w:rFonts w:hAnsi="Calibri" w:cs="宋体"/>
                <w:color w:val="auto"/>
                <w:kern w:val="0"/>
                <w:szCs w:val="24"/>
                <w:highlight w:val="none"/>
              </w:rPr>
            </w:pPr>
          </w:p>
        </w:tc>
        <w:tc>
          <w:tcPr>
            <w:tcW w:w="1077" w:type="dxa"/>
          </w:tcPr>
          <w:p w14:paraId="1B94FA69">
            <w:pPr>
              <w:autoSpaceDE w:val="0"/>
              <w:autoSpaceDN w:val="0"/>
              <w:adjustRightInd w:val="0"/>
              <w:jc w:val="left"/>
              <w:rPr>
                <w:rFonts w:hAnsi="Calibri" w:cs="宋体"/>
                <w:color w:val="auto"/>
                <w:kern w:val="0"/>
                <w:szCs w:val="24"/>
                <w:highlight w:val="none"/>
              </w:rPr>
            </w:pPr>
          </w:p>
        </w:tc>
      </w:tr>
    </w:tbl>
    <w:p w14:paraId="298E0F39">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793B29DE">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1.</w:t>
      </w:r>
      <w:r>
        <w:rPr>
          <w:rFonts w:hint="eastAsia" w:hAnsi="宋体" w:cs="宋体"/>
          <w:color w:val="auto"/>
          <w:kern w:val="0"/>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01F5B3">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2.</w:t>
      </w:r>
      <w:r>
        <w:rPr>
          <w:rFonts w:hint="eastAsia" w:hAnsi="宋体" w:cs="宋体"/>
          <w:color w:val="auto"/>
          <w:kern w:val="0"/>
          <w:szCs w:val="21"/>
          <w:highlight w:val="none"/>
        </w:rPr>
        <w:t>本表所指的控股关系仅限于直接控股关系，不包括间接的控股关系。公司实际控制人与公司之间的关系不属于本表所指的直接控股关系。</w:t>
      </w:r>
    </w:p>
    <w:p w14:paraId="0B933415">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3.</w:t>
      </w:r>
      <w:r>
        <w:rPr>
          <w:rFonts w:hint="eastAsia" w:hAnsi="宋体" w:cs="宋体"/>
          <w:color w:val="auto"/>
          <w:kern w:val="0"/>
          <w:szCs w:val="21"/>
          <w:highlight w:val="none"/>
        </w:rPr>
        <w:t>供应商不存在直接控股股东的，则填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39059FB0">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632018BF">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6191A732">
      <w:pPr>
        <w:spacing w:line="440" w:lineRule="exact"/>
        <w:ind w:firstLine="420" w:firstLineChars="200"/>
        <w:rPr>
          <w:rFonts w:hAnsi="宋体"/>
          <w:color w:val="auto"/>
          <w:szCs w:val="21"/>
          <w:highlight w:val="none"/>
        </w:rPr>
      </w:pPr>
    </w:p>
    <w:p w14:paraId="72D822C2">
      <w:pPr>
        <w:spacing w:line="440" w:lineRule="exact"/>
        <w:ind w:left="-27" w:leftChars="-13"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AEC4883">
      <w:pPr>
        <w:spacing w:line="440" w:lineRule="exact"/>
        <w:ind w:left="-27" w:leftChars="-13" w:firstLine="420" w:firstLineChars="200"/>
        <w:rPr>
          <w:rFonts w:hAnsi="宋体"/>
          <w:b/>
          <w:color w:val="auto"/>
          <w:szCs w:val="21"/>
          <w:highlight w:val="none"/>
        </w:rPr>
      </w:pPr>
      <w:r>
        <w:rPr>
          <w:rFonts w:hint="eastAsia" w:hAnsi="宋体"/>
          <w:color w:val="auto"/>
          <w:szCs w:val="21"/>
          <w:highlight w:val="none"/>
          <w:lang w:val="en-US" w:eastAsia="zh-CN"/>
        </w:rPr>
        <w:t>5</w:t>
      </w:r>
      <w:r>
        <w:rPr>
          <w:rFonts w:hint="eastAsia" w:hAnsi="宋体"/>
          <w:color w:val="auto"/>
          <w:szCs w:val="21"/>
          <w:highlight w:val="none"/>
        </w:rPr>
        <w:t>、供应商直接管理关系信息表。</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6371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6545EE3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705B05AA">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直接管理关系单位名称</w:t>
            </w:r>
          </w:p>
        </w:tc>
        <w:tc>
          <w:tcPr>
            <w:tcW w:w="1576" w:type="dxa"/>
            <w:vAlign w:val="center"/>
          </w:tcPr>
          <w:p w14:paraId="5D16C2DF">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01D89E7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统一社会信用代码</w:t>
            </w:r>
          </w:p>
        </w:tc>
        <w:tc>
          <w:tcPr>
            <w:tcW w:w="1077" w:type="dxa"/>
            <w:vAlign w:val="center"/>
          </w:tcPr>
          <w:p w14:paraId="7D1E8EC0">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68FA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6C58BD89">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4C7CA859">
            <w:pPr>
              <w:autoSpaceDE w:val="0"/>
              <w:autoSpaceDN w:val="0"/>
              <w:adjustRightInd w:val="0"/>
              <w:jc w:val="left"/>
              <w:rPr>
                <w:rFonts w:hAnsi="Calibri" w:cs="宋体"/>
                <w:color w:val="auto"/>
                <w:kern w:val="0"/>
                <w:szCs w:val="24"/>
                <w:highlight w:val="none"/>
              </w:rPr>
            </w:pPr>
          </w:p>
        </w:tc>
        <w:tc>
          <w:tcPr>
            <w:tcW w:w="1576" w:type="dxa"/>
          </w:tcPr>
          <w:p w14:paraId="17E0B27D">
            <w:pPr>
              <w:autoSpaceDE w:val="0"/>
              <w:autoSpaceDN w:val="0"/>
              <w:adjustRightInd w:val="0"/>
              <w:jc w:val="left"/>
              <w:rPr>
                <w:rFonts w:hAnsi="Calibri" w:cs="宋体"/>
                <w:color w:val="auto"/>
                <w:kern w:val="0"/>
                <w:szCs w:val="24"/>
                <w:highlight w:val="none"/>
              </w:rPr>
            </w:pPr>
          </w:p>
        </w:tc>
        <w:tc>
          <w:tcPr>
            <w:tcW w:w="2369" w:type="dxa"/>
          </w:tcPr>
          <w:p w14:paraId="402960F6">
            <w:pPr>
              <w:autoSpaceDE w:val="0"/>
              <w:autoSpaceDN w:val="0"/>
              <w:adjustRightInd w:val="0"/>
              <w:jc w:val="left"/>
              <w:rPr>
                <w:rFonts w:hAnsi="Calibri" w:cs="宋体"/>
                <w:color w:val="auto"/>
                <w:kern w:val="0"/>
                <w:szCs w:val="24"/>
                <w:highlight w:val="none"/>
              </w:rPr>
            </w:pPr>
          </w:p>
        </w:tc>
        <w:tc>
          <w:tcPr>
            <w:tcW w:w="1077" w:type="dxa"/>
          </w:tcPr>
          <w:p w14:paraId="6CEFCD9D">
            <w:pPr>
              <w:autoSpaceDE w:val="0"/>
              <w:autoSpaceDN w:val="0"/>
              <w:adjustRightInd w:val="0"/>
              <w:jc w:val="left"/>
              <w:rPr>
                <w:rFonts w:hAnsi="Calibri" w:cs="宋体"/>
                <w:color w:val="auto"/>
                <w:kern w:val="0"/>
                <w:szCs w:val="24"/>
                <w:highlight w:val="none"/>
              </w:rPr>
            </w:pPr>
          </w:p>
        </w:tc>
      </w:tr>
      <w:tr w14:paraId="7A64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7F7698D">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59E1A889">
            <w:pPr>
              <w:autoSpaceDE w:val="0"/>
              <w:autoSpaceDN w:val="0"/>
              <w:adjustRightInd w:val="0"/>
              <w:jc w:val="left"/>
              <w:rPr>
                <w:rFonts w:hAnsi="Calibri" w:cs="宋体"/>
                <w:color w:val="auto"/>
                <w:kern w:val="0"/>
                <w:szCs w:val="24"/>
                <w:highlight w:val="none"/>
              </w:rPr>
            </w:pPr>
          </w:p>
        </w:tc>
        <w:tc>
          <w:tcPr>
            <w:tcW w:w="1576" w:type="dxa"/>
          </w:tcPr>
          <w:p w14:paraId="6C89646B">
            <w:pPr>
              <w:autoSpaceDE w:val="0"/>
              <w:autoSpaceDN w:val="0"/>
              <w:adjustRightInd w:val="0"/>
              <w:jc w:val="left"/>
              <w:rPr>
                <w:rFonts w:hAnsi="Calibri" w:cs="宋体"/>
                <w:color w:val="auto"/>
                <w:kern w:val="0"/>
                <w:szCs w:val="24"/>
                <w:highlight w:val="none"/>
              </w:rPr>
            </w:pPr>
          </w:p>
        </w:tc>
        <w:tc>
          <w:tcPr>
            <w:tcW w:w="2369" w:type="dxa"/>
          </w:tcPr>
          <w:p w14:paraId="176B2264">
            <w:pPr>
              <w:autoSpaceDE w:val="0"/>
              <w:autoSpaceDN w:val="0"/>
              <w:adjustRightInd w:val="0"/>
              <w:jc w:val="left"/>
              <w:rPr>
                <w:rFonts w:hAnsi="Calibri" w:cs="宋体"/>
                <w:color w:val="auto"/>
                <w:kern w:val="0"/>
                <w:szCs w:val="24"/>
                <w:highlight w:val="none"/>
              </w:rPr>
            </w:pPr>
          </w:p>
        </w:tc>
        <w:tc>
          <w:tcPr>
            <w:tcW w:w="1077" w:type="dxa"/>
          </w:tcPr>
          <w:p w14:paraId="49B8545F">
            <w:pPr>
              <w:autoSpaceDE w:val="0"/>
              <w:autoSpaceDN w:val="0"/>
              <w:adjustRightInd w:val="0"/>
              <w:jc w:val="left"/>
              <w:rPr>
                <w:rFonts w:hAnsi="Calibri" w:cs="宋体"/>
                <w:color w:val="auto"/>
                <w:kern w:val="0"/>
                <w:szCs w:val="24"/>
                <w:highlight w:val="none"/>
              </w:rPr>
            </w:pPr>
          </w:p>
        </w:tc>
      </w:tr>
      <w:tr w14:paraId="1958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61BFD9A4">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3CD1C166">
            <w:pPr>
              <w:autoSpaceDE w:val="0"/>
              <w:autoSpaceDN w:val="0"/>
              <w:adjustRightInd w:val="0"/>
              <w:jc w:val="left"/>
              <w:rPr>
                <w:rFonts w:hAnsi="Calibri" w:cs="宋体"/>
                <w:color w:val="auto"/>
                <w:kern w:val="0"/>
                <w:szCs w:val="24"/>
                <w:highlight w:val="none"/>
              </w:rPr>
            </w:pPr>
          </w:p>
        </w:tc>
        <w:tc>
          <w:tcPr>
            <w:tcW w:w="1576" w:type="dxa"/>
          </w:tcPr>
          <w:p w14:paraId="31EEB66C">
            <w:pPr>
              <w:autoSpaceDE w:val="0"/>
              <w:autoSpaceDN w:val="0"/>
              <w:adjustRightInd w:val="0"/>
              <w:jc w:val="left"/>
              <w:rPr>
                <w:rFonts w:hAnsi="Calibri" w:cs="宋体"/>
                <w:color w:val="auto"/>
                <w:kern w:val="0"/>
                <w:szCs w:val="24"/>
                <w:highlight w:val="none"/>
              </w:rPr>
            </w:pPr>
          </w:p>
        </w:tc>
        <w:tc>
          <w:tcPr>
            <w:tcW w:w="2369" w:type="dxa"/>
          </w:tcPr>
          <w:p w14:paraId="3F963F91">
            <w:pPr>
              <w:autoSpaceDE w:val="0"/>
              <w:autoSpaceDN w:val="0"/>
              <w:adjustRightInd w:val="0"/>
              <w:jc w:val="left"/>
              <w:rPr>
                <w:rFonts w:hAnsi="Calibri" w:cs="宋体"/>
                <w:color w:val="auto"/>
                <w:kern w:val="0"/>
                <w:szCs w:val="24"/>
                <w:highlight w:val="none"/>
              </w:rPr>
            </w:pPr>
          </w:p>
        </w:tc>
        <w:tc>
          <w:tcPr>
            <w:tcW w:w="1077" w:type="dxa"/>
          </w:tcPr>
          <w:p w14:paraId="39A3EA88">
            <w:pPr>
              <w:autoSpaceDE w:val="0"/>
              <w:autoSpaceDN w:val="0"/>
              <w:adjustRightInd w:val="0"/>
              <w:jc w:val="left"/>
              <w:rPr>
                <w:rFonts w:hAnsi="Calibri" w:cs="宋体"/>
                <w:color w:val="auto"/>
                <w:kern w:val="0"/>
                <w:szCs w:val="24"/>
                <w:highlight w:val="none"/>
              </w:rPr>
            </w:pPr>
          </w:p>
        </w:tc>
      </w:tr>
      <w:tr w14:paraId="02EE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10F11766">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241ACCA0">
            <w:pPr>
              <w:autoSpaceDE w:val="0"/>
              <w:autoSpaceDN w:val="0"/>
              <w:adjustRightInd w:val="0"/>
              <w:jc w:val="left"/>
              <w:rPr>
                <w:rFonts w:hAnsi="Calibri" w:cs="宋体"/>
                <w:color w:val="auto"/>
                <w:kern w:val="0"/>
                <w:szCs w:val="24"/>
                <w:highlight w:val="none"/>
              </w:rPr>
            </w:pPr>
          </w:p>
        </w:tc>
        <w:tc>
          <w:tcPr>
            <w:tcW w:w="1576" w:type="dxa"/>
          </w:tcPr>
          <w:p w14:paraId="61FED016">
            <w:pPr>
              <w:autoSpaceDE w:val="0"/>
              <w:autoSpaceDN w:val="0"/>
              <w:adjustRightInd w:val="0"/>
              <w:jc w:val="left"/>
              <w:rPr>
                <w:rFonts w:hAnsi="Calibri" w:cs="宋体"/>
                <w:color w:val="auto"/>
                <w:kern w:val="0"/>
                <w:szCs w:val="24"/>
                <w:highlight w:val="none"/>
              </w:rPr>
            </w:pPr>
          </w:p>
        </w:tc>
        <w:tc>
          <w:tcPr>
            <w:tcW w:w="2369" w:type="dxa"/>
          </w:tcPr>
          <w:p w14:paraId="75272BB8">
            <w:pPr>
              <w:autoSpaceDE w:val="0"/>
              <w:autoSpaceDN w:val="0"/>
              <w:adjustRightInd w:val="0"/>
              <w:jc w:val="left"/>
              <w:rPr>
                <w:rFonts w:hAnsi="Calibri" w:cs="宋体"/>
                <w:color w:val="auto"/>
                <w:kern w:val="0"/>
                <w:szCs w:val="24"/>
                <w:highlight w:val="none"/>
              </w:rPr>
            </w:pPr>
          </w:p>
        </w:tc>
        <w:tc>
          <w:tcPr>
            <w:tcW w:w="1077" w:type="dxa"/>
          </w:tcPr>
          <w:p w14:paraId="2E088741">
            <w:pPr>
              <w:autoSpaceDE w:val="0"/>
              <w:autoSpaceDN w:val="0"/>
              <w:adjustRightInd w:val="0"/>
              <w:jc w:val="left"/>
              <w:rPr>
                <w:rFonts w:hAnsi="Calibri" w:cs="宋体"/>
                <w:color w:val="auto"/>
                <w:kern w:val="0"/>
                <w:szCs w:val="24"/>
                <w:highlight w:val="none"/>
              </w:rPr>
            </w:pPr>
          </w:p>
        </w:tc>
      </w:tr>
    </w:tbl>
    <w:p w14:paraId="469643BD">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728617A9">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1.</w:t>
      </w:r>
      <w:r>
        <w:rPr>
          <w:rFonts w:hint="eastAsia" w:hAnsi="宋体" w:cs="宋体"/>
          <w:color w:val="auto"/>
          <w:kern w:val="0"/>
          <w:szCs w:val="21"/>
          <w:highlight w:val="none"/>
        </w:rPr>
        <w:t>管理关系：是指不具有出资持股关系的其他单位之间存在的管理与被管理关系，如一些上下级关系的事业单位和团体组织。</w:t>
      </w:r>
    </w:p>
    <w:p w14:paraId="0D1D052C">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2.</w:t>
      </w:r>
      <w:r>
        <w:rPr>
          <w:rFonts w:hint="eastAsia" w:hAnsi="宋体" w:cs="宋体"/>
          <w:color w:val="auto"/>
          <w:kern w:val="0"/>
          <w:szCs w:val="21"/>
          <w:highlight w:val="none"/>
        </w:rPr>
        <w:t>本表所指的管理关系仅限于直接管理关系，不包括间接的管理关系。</w:t>
      </w:r>
    </w:p>
    <w:p w14:paraId="0CA23B3C">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3.</w:t>
      </w:r>
      <w:r>
        <w:rPr>
          <w:rFonts w:hint="eastAsia" w:hAnsi="宋体" w:cs="宋体"/>
          <w:color w:val="auto"/>
          <w:kern w:val="0"/>
          <w:szCs w:val="21"/>
          <w:highlight w:val="none"/>
        </w:rPr>
        <w:t>供应商不存在直接管理关系的，则填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03CD28B7">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7C490AF1">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350645FD">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D917411">
      <w:pPr>
        <w:spacing w:line="440" w:lineRule="exact"/>
        <w:ind w:firstLine="420" w:firstLineChars="200"/>
        <w:rPr>
          <w:rFonts w:ascii="Calibri" w:hAnsi="宋体"/>
          <w:b/>
          <w:color w:val="auto"/>
          <w:szCs w:val="21"/>
          <w:highlight w:val="none"/>
        </w:rPr>
      </w:pPr>
      <w:r>
        <w:rPr>
          <w:rFonts w:hint="eastAsia" w:hAnsi="宋体"/>
          <w:color w:val="auto"/>
          <w:szCs w:val="21"/>
          <w:highlight w:val="none"/>
          <w:lang w:val="en-US" w:eastAsia="zh-CN"/>
        </w:rPr>
        <w:t>6</w:t>
      </w:r>
      <w:r>
        <w:rPr>
          <w:rFonts w:hint="eastAsia" w:hAnsi="宋体"/>
          <w:color w:val="auto"/>
          <w:szCs w:val="21"/>
          <w:highlight w:val="none"/>
        </w:rPr>
        <w:t>、资格声明函</w:t>
      </w:r>
    </w:p>
    <w:p w14:paraId="66F617A8">
      <w:pPr>
        <w:spacing w:line="440" w:lineRule="exact"/>
        <w:ind w:firstLine="420" w:firstLineChars="200"/>
        <w:jc w:val="center"/>
        <w:rPr>
          <w:rFonts w:hAnsi="宋体"/>
          <w:color w:val="auto"/>
          <w:szCs w:val="21"/>
          <w:highlight w:val="none"/>
        </w:rPr>
      </w:pPr>
      <w:r>
        <w:rPr>
          <w:rFonts w:hint="eastAsia" w:hAnsi="宋体"/>
          <w:color w:val="auto"/>
          <w:szCs w:val="21"/>
          <w:highlight w:val="none"/>
        </w:rPr>
        <w:t>资格声明函</w:t>
      </w:r>
    </w:p>
    <w:p w14:paraId="281128FD">
      <w:pPr>
        <w:spacing w:line="340" w:lineRule="exact"/>
        <w:jc w:val="left"/>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 xml:space="preserve">  </w:t>
      </w:r>
      <w:r>
        <w:rPr>
          <w:rFonts w:cs="Arial" w:asciiTheme="minorEastAsia" w:hAnsiTheme="minorEastAsia" w:eastAsiaTheme="minorEastAsia"/>
          <w:color w:val="auto"/>
          <w:szCs w:val="21"/>
          <w:highlight w:val="none"/>
          <w:u w:val="single"/>
        </w:rPr>
        <w:t>（采购人名称）</w:t>
      </w:r>
      <w:r>
        <w:rPr>
          <w:rFonts w:hint="eastAsia" w:hAnsi="宋体"/>
          <w:color w:val="auto"/>
          <w:szCs w:val="21"/>
          <w:highlight w:val="none"/>
          <w:u w:val="single"/>
        </w:rPr>
        <w:t xml:space="preserve">     </w:t>
      </w:r>
      <w:r>
        <w:rPr>
          <w:rFonts w:hint="eastAsia" w:hAnsi="宋体"/>
          <w:color w:val="auto"/>
          <w:szCs w:val="21"/>
          <w:highlight w:val="none"/>
        </w:rPr>
        <w:t>：</w:t>
      </w:r>
    </w:p>
    <w:p w14:paraId="5483DF84">
      <w:pPr>
        <w:spacing w:line="340" w:lineRule="exact"/>
        <w:ind w:firstLine="420" w:firstLineChars="200"/>
        <w:rPr>
          <w:rFonts w:hAnsi="宋体"/>
          <w:color w:val="auto"/>
          <w:szCs w:val="21"/>
          <w:highlight w:val="none"/>
        </w:rPr>
      </w:pPr>
      <w:r>
        <w:rPr>
          <w:rFonts w:hint="eastAsia" w:hAnsi="宋体"/>
          <w:color w:val="auto"/>
          <w:szCs w:val="21"/>
          <w:highlight w:val="none"/>
          <w:u w:val="single"/>
        </w:rPr>
        <w:t xml:space="preserve">   （供应商名称）   </w:t>
      </w:r>
      <w:r>
        <w:rPr>
          <w:rFonts w:hint="eastAsia" w:hAnsi="宋体"/>
          <w:color w:val="auto"/>
          <w:szCs w:val="21"/>
          <w:highlight w:val="none"/>
        </w:rPr>
        <w:t>系中华人民共和国合法供应商， 经营地址</w:t>
      </w:r>
      <w:r>
        <w:rPr>
          <w:rFonts w:hint="eastAsia" w:hAnsi="宋体"/>
          <w:color w:val="auto"/>
          <w:szCs w:val="21"/>
          <w:highlight w:val="none"/>
          <w:u w:val="single"/>
        </w:rPr>
        <w:t xml:space="preserve">               </w:t>
      </w:r>
      <w:r>
        <w:rPr>
          <w:rFonts w:hint="eastAsia" w:hAnsi="宋体"/>
          <w:color w:val="auto"/>
          <w:szCs w:val="21"/>
          <w:highlight w:val="none"/>
        </w:rPr>
        <w:t>。</w:t>
      </w:r>
    </w:p>
    <w:p w14:paraId="617A410E">
      <w:pPr>
        <w:spacing w:line="340" w:lineRule="exact"/>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hAnsi="宋体"/>
          <w:color w:val="auto"/>
          <w:szCs w:val="21"/>
          <w:highlight w:val="none"/>
          <w:u w:val="single"/>
        </w:rPr>
        <w:t xml:space="preserve">  （项目名称）  </w:t>
      </w:r>
      <w:r>
        <w:rPr>
          <w:rFonts w:hint="eastAsia" w:hAnsi="宋体"/>
          <w:color w:val="auto"/>
          <w:szCs w:val="21"/>
          <w:highlight w:val="none"/>
        </w:rPr>
        <w:t>项目的磋商，为便于贵方公正、择优地确定成交供应商及其磋商产品和服务，我方就本次磋商有关事项郑重声明如下：</w:t>
      </w:r>
    </w:p>
    <w:p w14:paraId="03247594">
      <w:pPr>
        <w:spacing w:line="340" w:lineRule="exact"/>
        <w:ind w:firstLine="420" w:firstLineChars="200"/>
        <w:rPr>
          <w:rFonts w:hAnsi="宋体"/>
          <w:color w:val="auto"/>
          <w:szCs w:val="21"/>
          <w:highlight w:val="none"/>
        </w:rPr>
      </w:pPr>
      <w:r>
        <w:rPr>
          <w:rFonts w:hint="eastAsia" w:hAnsi="宋体"/>
          <w:color w:val="auto"/>
          <w:szCs w:val="21"/>
          <w:highlight w:val="none"/>
        </w:rPr>
        <w:t>1.我方向贵方提交的所有响应文件、资料都是准确的和真实的。</w:t>
      </w:r>
    </w:p>
    <w:p w14:paraId="2F4E8119">
      <w:pPr>
        <w:spacing w:line="340" w:lineRule="exact"/>
        <w:ind w:firstLine="420" w:firstLineChars="200"/>
        <w:rPr>
          <w:rFonts w:hAnsi="宋体"/>
          <w:color w:val="auto"/>
          <w:szCs w:val="21"/>
          <w:highlight w:val="none"/>
        </w:rPr>
      </w:pPr>
      <w:r>
        <w:rPr>
          <w:rFonts w:hint="eastAsia"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970EB29">
      <w:pPr>
        <w:spacing w:line="340" w:lineRule="exact"/>
        <w:ind w:firstLine="420" w:firstLineChars="200"/>
        <w:rPr>
          <w:rFonts w:hAnsi="宋体"/>
          <w:color w:val="auto"/>
          <w:szCs w:val="21"/>
          <w:highlight w:val="none"/>
        </w:rPr>
      </w:pPr>
      <w:r>
        <w:rPr>
          <w:rFonts w:hint="eastAsia" w:hAnsi="宋体"/>
          <w:color w:val="auto"/>
          <w:szCs w:val="21"/>
          <w:highlight w:val="none"/>
        </w:rPr>
        <w:t>3.在此，我方宣布同意如下：</w:t>
      </w:r>
    </w:p>
    <w:p w14:paraId="5DE71031">
      <w:pPr>
        <w:spacing w:line="340" w:lineRule="exact"/>
        <w:ind w:firstLine="420" w:firstLineChars="200"/>
        <w:rPr>
          <w:rFonts w:hAnsi="宋体"/>
          <w:color w:val="auto"/>
          <w:szCs w:val="21"/>
          <w:highlight w:val="none"/>
        </w:rPr>
      </w:pPr>
      <w:r>
        <w:rPr>
          <w:rFonts w:hint="eastAsia" w:hAnsi="宋体"/>
          <w:color w:val="auto"/>
          <w:szCs w:val="21"/>
          <w:highlight w:val="none"/>
        </w:rPr>
        <w:t>（1）将按竞争性磋商文件的约定履行合同责任和义务；</w:t>
      </w:r>
    </w:p>
    <w:p w14:paraId="6616804A">
      <w:pPr>
        <w:spacing w:line="340" w:lineRule="exact"/>
        <w:ind w:firstLine="420" w:firstLineChars="200"/>
        <w:rPr>
          <w:rFonts w:hAnsi="宋体"/>
          <w:color w:val="auto"/>
          <w:szCs w:val="21"/>
          <w:highlight w:val="none"/>
        </w:rPr>
      </w:pPr>
      <w:r>
        <w:rPr>
          <w:rFonts w:hint="eastAsia" w:hAnsi="宋体"/>
          <w:color w:val="auto"/>
          <w:szCs w:val="21"/>
          <w:highlight w:val="none"/>
        </w:rPr>
        <w:t>（2）已详细审查全部竞争性磋商文件，包括澄清或者更正公告（如有）；</w:t>
      </w:r>
    </w:p>
    <w:p w14:paraId="49BF5720">
      <w:pPr>
        <w:spacing w:line="340" w:lineRule="exact"/>
        <w:ind w:firstLine="420" w:firstLineChars="200"/>
        <w:rPr>
          <w:rFonts w:hAnsi="宋体"/>
          <w:color w:val="auto"/>
          <w:szCs w:val="21"/>
          <w:highlight w:val="none"/>
        </w:rPr>
      </w:pPr>
      <w:r>
        <w:rPr>
          <w:rFonts w:hint="eastAsia" w:hAnsi="宋体"/>
          <w:color w:val="auto"/>
          <w:szCs w:val="21"/>
          <w:highlight w:val="none"/>
        </w:rPr>
        <w:t>（3）同意提供按照贵方可能要求的与磋商有关的一切数据或者资料；</w:t>
      </w:r>
    </w:p>
    <w:p w14:paraId="7A735F6E">
      <w:pPr>
        <w:spacing w:line="340" w:lineRule="exact"/>
        <w:ind w:firstLine="420" w:firstLineChars="200"/>
        <w:rPr>
          <w:rFonts w:hAnsi="宋体"/>
          <w:color w:val="auto"/>
          <w:szCs w:val="21"/>
          <w:highlight w:val="none"/>
        </w:rPr>
      </w:pPr>
      <w:r>
        <w:rPr>
          <w:rFonts w:hint="eastAsia" w:hAnsi="宋体"/>
          <w:color w:val="auto"/>
          <w:szCs w:val="21"/>
          <w:highlight w:val="none"/>
        </w:rPr>
        <w:t>（4）响应竞争性磋商文件规定的磋商有效期。</w:t>
      </w:r>
    </w:p>
    <w:p w14:paraId="7272E927">
      <w:pPr>
        <w:spacing w:line="340" w:lineRule="exact"/>
        <w:ind w:firstLine="420" w:firstLineChars="200"/>
        <w:rPr>
          <w:rFonts w:hAnsi="宋体"/>
          <w:color w:val="auto"/>
          <w:szCs w:val="21"/>
          <w:highlight w:val="none"/>
        </w:rPr>
      </w:pPr>
      <w:r>
        <w:rPr>
          <w:rFonts w:hint="eastAsia" w:hAnsi="宋体"/>
          <w:color w:val="auto"/>
          <w:szCs w:val="21"/>
          <w:highlight w:val="none"/>
        </w:rPr>
        <w:t>4.我方承诺符合《中华人民共和国政府采购法》第二十二条规定：</w:t>
      </w:r>
    </w:p>
    <w:p w14:paraId="046FCB78">
      <w:pPr>
        <w:spacing w:line="3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52CDBC44">
      <w:pPr>
        <w:spacing w:line="3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6D319EA0">
      <w:pPr>
        <w:spacing w:line="3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4E4035BA">
      <w:pPr>
        <w:spacing w:line="3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5C4AD87D">
      <w:pPr>
        <w:spacing w:line="3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0998C31D">
      <w:pPr>
        <w:spacing w:line="3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4B28D6D1">
      <w:pPr>
        <w:spacing w:line="340" w:lineRule="exact"/>
        <w:ind w:firstLine="420" w:firstLineChars="200"/>
        <w:rPr>
          <w:rFonts w:hAnsi="宋体"/>
          <w:color w:val="auto"/>
          <w:szCs w:val="21"/>
          <w:highlight w:val="none"/>
        </w:rPr>
      </w:pPr>
      <w:r>
        <w:rPr>
          <w:rFonts w:hint="eastAsia"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8D6BA13">
      <w:pPr>
        <w:spacing w:line="340" w:lineRule="exact"/>
        <w:ind w:firstLine="420" w:firstLineChars="200"/>
        <w:rPr>
          <w:rFonts w:hAnsi="宋体"/>
          <w:color w:val="auto"/>
          <w:szCs w:val="21"/>
          <w:highlight w:val="none"/>
        </w:rPr>
      </w:pPr>
      <w:r>
        <w:rPr>
          <w:rFonts w:hint="eastAsia"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38E25D4">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□我方本次响应文件内容中未涉及商业秘密；</w:t>
      </w:r>
    </w:p>
    <w:p w14:paraId="582B1625">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□我方本次响应文件涉及商业秘密的内容有：</w:t>
      </w:r>
      <w:r>
        <w:rPr>
          <w:rFonts w:hint="eastAsia" w:hAnsi="宋体"/>
          <w:color w:val="auto"/>
          <w:szCs w:val="21"/>
          <w:highlight w:val="none"/>
          <w:u w:val="single"/>
        </w:rPr>
        <w:t xml:space="preserve">                 </w:t>
      </w:r>
      <w:r>
        <w:rPr>
          <w:rFonts w:hint="eastAsia" w:hAnsi="宋体"/>
          <w:color w:val="auto"/>
          <w:szCs w:val="21"/>
          <w:highlight w:val="none"/>
        </w:rPr>
        <w:t>；</w:t>
      </w:r>
    </w:p>
    <w:p w14:paraId="5C3C05B8">
      <w:pPr>
        <w:wordWrap w:val="0"/>
        <w:spacing w:line="340" w:lineRule="exact"/>
        <w:ind w:firstLine="420" w:firstLineChars="200"/>
        <w:rPr>
          <w:rFonts w:hAnsi="宋体"/>
          <w:color w:val="auto"/>
          <w:szCs w:val="21"/>
          <w:highlight w:val="none"/>
        </w:rPr>
      </w:pPr>
      <w:r>
        <w:rPr>
          <w:rFonts w:hint="eastAsia" w:hAnsi="宋体"/>
          <w:color w:val="auto"/>
          <w:szCs w:val="21"/>
          <w:highlight w:val="none"/>
        </w:rPr>
        <w:t>7.与本磋商有关的一切正式往来信函请寄：</w:t>
      </w:r>
      <w:r>
        <w:rPr>
          <w:rFonts w:hint="eastAsia" w:hAnsi="宋体"/>
          <w:color w:val="auto"/>
          <w:szCs w:val="21"/>
          <w:highlight w:val="none"/>
          <w:u w:val="single"/>
        </w:rPr>
        <w:t xml:space="preserve">          </w:t>
      </w:r>
      <w:r>
        <w:rPr>
          <w:rFonts w:hint="eastAsia" w:hAnsi="宋体"/>
          <w:color w:val="auto"/>
          <w:szCs w:val="21"/>
          <w:highlight w:val="none"/>
        </w:rPr>
        <w:t>邮政编号：</w:t>
      </w:r>
      <w:r>
        <w:rPr>
          <w:rFonts w:hint="eastAsia" w:hAnsi="宋体"/>
          <w:color w:val="auto"/>
          <w:szCs w:val="21"/>
          <w:highlight w:val="none"/>
          <w:u w:val="single"/>
        </w:rPr>
        <w:t xml:space="preserve">         </w:t>
      </w:r>
    </w:p>
    <w:p w14:paraId="0BDFC0F4">
      <w:pPr>
        <w:wordWrap w:val="0"/>
        <w:spacing w:line="340" w:lineRule="exact"/>
        <w:ind w:firstLine="420" w:firstLineChars="200"/>
        <w:rPr>
          <w:rFonts w:hAnsi="宋体"/>
          <w:color w:val="auto"/>
          <w:szCs w:val="21"/>
          <w:highlight w:val="none"/>
        </w:rPr>
      </w:pPr>
      <w:r>
        <w:rPr>
          <w:rFonts w:hint="eastAsia" w:hAnsi="宋体"/>
          <w:color w:val="auto"/>
          <w:szCs w:val="21"/>
          <w:highlight w:val="none"/>
        </w:rPr>
        <w:t>电话/传真：</w:t>
      </w:r>
      <w:r>
        <w:rPr>
          <w:rFonts w:hint="eastAsia" w:hAnsi="宋体"/>
          <w:color w:val="auto"/>
          <w:szCs w:val="21"/>
          <w:highlight w:val="none"/>
          <w:u w:val="single"/>
        </w:rPr>
        <w:t xml:space="preserve">          </w:t>
      </w:r>
      <w:r>
        <w:rPr>
          <w:rFonts w:hint="eastAsia" w:hAnsi="宋体"/>
          <w:color w:val="auto"/>
          <w:szCs w:val="21"/>
          <w:highlight w:val="none"/>
        </w:rPr>
        <w:t>电子函件：</w:t>
      </w:r>
      <w:r>
        <w:rPr>
          <w:rFonts w:hint="eastAsia" w:hAnsi="宋体"/>
          <w:color w:val="auto"/>
          <w:szCs w:val="21"/>
          <w:highlight w:val="none"/>
          <w:u w:val="single"/>
        </w:rPr>
        <w:t xml:space="preserve">          </w:t>
      </w:r>
    </w:p>
    <w:p w14:paraId="288A6ECE">
      <w:pPr>
        <w:wordWrap w:val="0"/>
        <w:spacing w:line="3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lang w:eastAsia="zh-CN"/>
        </w:rPr>
        <w:t>账号</w:t>
      </w:r>
      <w:r>
        <w:rPr>
          <w:rFonts w:hint="eastAsia" w:hAnsi="宋体"/>
          <w:color w:val="auto"/>
          <w:szCs w:val="21"/>
          <w:highlight w:val="none"/>
        </w:rPr>
        <w:t>：</w:t>
      </w:r>
      <w:r>
        <w:rPr>
          <w:rFonts w:hint="eastAsia" w:hAnsi="宋体"/>
          <w:color w:val="auto"/>
          <w:szCs w:val="21"/>
          <w:highlight w:val="none"/>
          <w:u w:val="single"/>
        </w:rPr>
        <w:t xml:space="preserve">          </w:t>
      </w:r>
    </w:p>
    <w:p w14:paraId="2672BBF8">
      <w:pPr>
        <w:spacing w:line="340" w:lineRule="exact"/>
        <w:ind w:firstLine="420" w:firstLineChars="200"/>
        <w:rPr>
          <w:rFonts w:hAnsi="宋体"/>
          <w:color w:val="auto"/>
          <w:szCs w:val="21"/>
          <w:highlight w:val="none"/>
        </w:rPr>
      </w:pPr>
      <w:r>
        <w:rPr>
          <w:rFonts w:hint="eastAsia" w:hAnsi="宋体"/>
          <w:color w:val="auto"/>
          <w:szCs w:val="21"/>
          <w:highlight w:val="none"/>
        </w:rPr>
        <w:t>8.以上事项如有虚假或者隐瞒，我方愿意承担一切后果，并不再寻求任何旨在减轻或者免除法律责任的辩解。</w:t>
      </w:r>
    </w:p>
    <w:p w14:paraId="6A78BBCE">
      <w:pPr>
        <w:spacing w:line="340" w:lineRule="exact"/>
        <w:ind w:firstLine="420" w:firstLineChars="200"/>
        <w:rPr>
          <w:rFonts w:hAnsi="宋体"/>
          <w:color w:val="auto"/>
          <w:szCs w:val="21"/>
          <w:highlight w:val="none"/>
        </w:rPr>
      </w:pPr>
      <w:r>
        <w:rPr>
          <w:rFonts w:hint="eastAsia" w:hAnsi="宋体"/>
          <w:color w:val="auto"/>
          <w:szCs w:val="21"/>
          <w:highlight w:val="none"/>
        </w:rPr>
        <w:t>特此承诺。</w:t>
      </w:r>
    </w:p>
    <w:p w14:paraId="4DDFDB0C">
      <w:pPr>
        <w:wordWrap w:val="0"/>
        <w:spacing w:line="340" w:lineRule="exact"/>
        <w:ind w:firstLine="5953" w:firstLineChars="2835"/>
        <w:rPr>
          <w:rFonts w:hAnsi="宋体"/>
          <w:color w:val="auto"/>
          <w:szCs w:val="21"/>
          <w:highlight w:val="none"/>
        </w:rPr>
      </w:pPr>
      <w:r>
        <w:rPr>
          <w:rFonts w:hint="eastAsia" w:hAnsi="宋体"/>
          <w:color w:val="auto"/>
          <w:szCs w:val="21"/>
          <w:highlight w:val="none"/>
        </w:rPr>
        <w:t>供应商名称（</w:t>
      </w:r>
      <w:r>
        <w:rPr>
          <w:rFonts w:hint="eastAsia" w:hAnsi="宋体" w:cs="宋体"/>
          <w:color w:val="auto"/>
          <w:kern w:val="0"/>
          <w:szCs w:val="21"/>
          <w:highlight w:val="none"/>
        </w:rPr>
        <w:t>盖章</w:t>
      </w:r>
      <w:r>
        <w:rPr>
          <w:rFonts w:hint="eastAsia" w:hAnsi="宋体"/>
          <w:color w:val="auto"/>
          <w:szCs w:val="21"/>
          <w:highlight w:val="none"/>
        </w:rPr>
        <w:t>）：</w:t>
      </w:r>
      <w:r>
        <w:rPr>
          <w:rFonts w:hint="eastAsia" w:hAnsi="宋体"/>
          <w:color w:val="auto"/>
          <w:szCs w:val="21"/>
          <w:highlight w:val="none"/>
          <w:u w:val="single"/>
        </w:rPr>
        <w:t xml:space="preserve">          </w:t>
      </w:r>
    </w:p>
    <w:p w14:paraId="2F1AE044">
      <w:pPr>
        <w:spacing w:line="3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06F1AAC8">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318C164D">
      <w:pPr>
        <w:spacing w:line="440" w:lineRule="exact"/>
        <w:ind w:firstLine="420" w:firstLineChars="200"/>
        <w:jc w:val="left"/>
        <w:rPr>
          <w:rFonts w:hAnsi="宋体"/>
          <w:color w:val="auto"/>
          <w:szCs w:val="21"/>
          <w:highlight w:val="none"/>
        </w:rPr>
      </w:pPr>
      <w:r>
        <w:rPr>
          <w:rFonts w:hint="eastAsia" w:hAnsi="宋体"/>
          <w:color w:val="auto"/>
          <w:szCs w:val="21"/>
          <w:highlight w:val="none"/>
          <w:lang w:val="en-US" w:eastAsia="zh-CN"/>
        </w:rPr>
        <w:t>7</w:t>
      </w:r>
      <w:r>
        <w:rPr>
          <w:rFonts w:hint="eastAsia" w:hAnsi="宋体"/>
          <w:color w:val="auto"/>
          <w:szCs w:val="21"/>
          <w:highlight w:val="none"/>
        </w:rPr>
        <w:t>、中小企业声明函或监狱企业证明文件或残疾人福利性单位声明函</w:t>
      </w:r>
    </w:p>
    <w:p w14:paraId="6AD15046">
      <w:pPr>
        <w:spacing w:line="500" w:lineRule="exact"/>
        <w:jc w:val="center"/>
        <w:rPr>
          <w:b/>
          <w:color w:val="auto"/>
          <w:highlight w:val="none"/>
        </w:rPr>
      </w:pPr>
      <w:r>
        <w:rPr>
          <w:b/>
          <w:color w:val="auto"/>
          <w:sz w:val="24"/>
          <w:highlight w:val="none"/>
        </w:rPr>
        <w:t>中小企业声明函</w:t>
      </w:r>
    </w:p>
    <w:p w14:paraId="6EE072C9">
      <w:pPr>
        <w:spacing w:line="500" w:lineRule="exact"/>
        <w:ind w:firstLine="420" w:firstLineChars="20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w:t>
      </w:r>
      <w:r>
        <w:rPr>
          <w:rFonts w:hint="eastAsia"/>
          <w:color w:val="auto"/>
          <w:highlight w:val="none"/>
        </w:rPr>
        <w:t>（单位名称）的</w:t>
      </w:r>
      <w:r>
        <w:rPr>
          <w:rFonts w:hint="eastAsia"/>
          <w:color w:val="auto"/>
          <w:highlight w:val="none"/>
          <w:u w:val="single"/>
        </w:rPr>
        <w:t xml:space="preserve">            </w:t>
      </w:r>
      <w:r>
        <w:rPr>
          <w:rFonts w:hint="eastAsia"/>
          <w:color w:val="auto"/>
          <w:highlight w:val="none"/>
        </w:rPr>
        <w:t>（项目名称）采购活动，服务全部由符合政策要求的中小企业承接。相关企业（含联合体中的中小企业、签订分包意向协议的中小企业）的具体情况如下：</w:t>
      </w:r>
    </w:p>
    <w:p w14:paraId="727DA74F">
      <w:pPr>
        <w:spacing w:line="500" w:lineRule="exact"/>
        <w:ind w:firstLine="420" w:firstLineChars="200"/>
        <w:rPr>
          <w:color w:val="auto"/>
          <w:highlight w:val="none"/>
        </w:rPr>
      </w:pPr>
      <w:r>
        <w:rPr>
          <w:rFonts w:hint="eastAsia"/>
          <w:color w:val="auto"/>
          <w:highlight w:val="none"/>
        </w:rPr>
        <w:t xml:space="preserve">1. </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0ED64515">
      <w:pPr>
        <w:spacing w:line="500" w:lineRule="exact"/>
        <w:ind w:firstLine="420" w:firstLineChars="200"/>
        <w:rPr>
          <w:color w:val="auto"/>
          <w:highlight w:val="none"/>
        </w:rPr>
      </w:pPr>
      <w:r>
        <w:rPr>
          <w:rFonts w:hint="eastAsia"/>
          <w:color w:val="auto"/>
          <w:highlight w:val="none"/>
        </w:rPr>
        <w:t>2.</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3503C511">
      <w:pPr>
        <w:spacing w:line="500" w:lineRule="exact"/>
        <w:ind w:left="210" w:leftChars="100" w:firstLine="210" w:firstLineChars="100"/>
        <w:rPr>
          <w:color w:val="auto"/>
          <w:highlight w:val="none"/>
        </w:rPr>
      </w:pPr>
      <w:r>
        <w:rPr>
          <w:color w:val="auto"/>
          <w:highlight w:val="none"/>
        </w:rPr>
        <w:t xml:space="preserve"> ……</w:t>
      </w:r>
    </w:p>
    <w:p w14:paraId="7A14E348">
      <w:pPr>
        <w:spacing w:line="500" w:lineRule="exact"/>
        <w:ind w:left="210" w:leftChars="100" w:firstLine="210" w:firstLineChars="100"/>
        <w:rPr>
          <w:color w:val="auto"/>
          <w:highlight w:val="none"/>
        </w:rPr>
      </w:pPr>
      <w:r>
        <w:rPr>
          <w:color w:val="auto"/>
          <w:highlight w:val="none"/>
        </w:rPr>
        <w:t xml:space="preserve"> </w:t>
      </w:r>
      <w:r>
        <w:rPr>
          <w:rFonts w:hint="eastAsia"/>
          <w:color w:val="auto"/>
          <w:highlight w:val="none"/>
        </w:rPr>
        <w:t>以上企业，不属于大企业的分支机构，不存在控股股东为大企业的情形，也不存在与大企业的负责人为同一人的情形。</w:t>
      </w:r>
    </w:p>
    <w:p w14:paraId="714A84DA">
      <w:pPr>
        <w:spacing w:line="500" w:lineRule="exact"/>
        <w:ind w:left="210" w:leftChars="100" w:firstLine="210" w:firstLineChars="100"/>
        <w:rPr>
          <w:color w:val="auto"/>
          <w:highlight w:val="none"/>
        </w:rPr>
      </w:pPr>
      <w:r>
        <w:rPr>
          <w:rFonts w:hint="eastAsia"/>
          <w:color w:val="auto"/>
          <w:highlight w:val="none"/>
        </w:rPr>
        <w:t>本企业对上述声明内容的真实性负责。如有虚假，将依法承担相应责任。</w:t>
      </w:r>
      <w:r>
        <w:rPr>
          <w:color w:val="auto"/>
          <w:highlight w:val="none"/>
        </w:rPr>
        <w:t xml:space="preserve"> </w:t>
      </w:r>
    </w:p>
    <w:p w14:paraId="3D281E6D">
      <w:pPr>
        <w:wordWrap w:val="0"/>
        <w:spacing w:line="500" w:lineRule="exact"/>
        <w:jc w:val="right"/>
        <w:rPr>
          <w:color w:val="auto"/>
          <w:highlight w:val="none"/>
        </w:rPr>
      </w:pPr>
      <w:r>
        <w:rPr>
          <w:color w:val="auto"/>
          <w:highlight w:val="none"/>
        </w:rPr>
        <w:t>企业名称（</w:t>
      </w:r>
      <w:r>
        <w:rPr>
          <w:rFonts w:hint="eastAsia" w:hAnsi="宋体"/>
          <w:color w:val="auto"/>
          <w:szCs w:val="21"/>
          <w:highlight w:val="none"/>
        </w:rPr>
        <w:t>盖</w:t>
      </w:r>
      <w:r>
        <w:rPr>
          <w:color w:val="auto"/>
          <w:highlight w:val="none"/>
        </w:rPr>
        <w:t>章）：</w:t>
      </w:r>
      <w:r>
        <w:rPr>
          <w:color w:val="auto"/>
          <w:highlight w:val="none"/>
          <w:u w:val="single"/>
        </w:rPr>
        <w:t xml:space="preserve">         </w:t>
      </w:r>
      <w:r>
        <w:rPr>
          <w:color w:val="auto"/>
          <w:highlight w:val="none"/>
        </w:rPr>
        <w:t xml:space="preserve"> </w:t>
      </w:r>
    </w:p>
    <w:p w14:paraId="36F96301">
      <w:pPr>
        <w:wordWrap w:val="0"/>
        <w:spacing w:line="500" w:lineRule="exact"/>
        <w:jc w:val="right"/>
        <w:rPr>
          <w:rFonts w:hAnsi="宋体"/>
          <w:color w:val="auto"/>
          <w:highlight w:val="none"/>
        </w:rPr>
      </w:pPr>
      <w:r>
        <w:rPr>
          <w:color w:val="auto"/>
          <w:highlight w:val="none"/>
        </w:rPr>
        <w:t>日 期：</w:t>
      </w:r>
      <w:r>
        <w:rPr>
          <w:color w:val="auto"/>
          <w:highlight w:val="none"/>
          <w:u w:val="single"/>
        </w:rPr>
        <w:t xml:space="preserve">          </w:t>
      </w:r>
    </w:p>
    <w:p w14:paraId="47291CD9">
      <w:pPr>
        <w:spacing w:line="500" w:lineRule="exact"/>
        <w:jc w:val="right"/>
        <w:rPr>
          <w:rFonts w:hAnsi="宋体"/>
          <w:color w:val="auto"/>
          <w:szCs w:val="21"/>
          <w:highlight w:val="none"/>
        </w:rPr>
      </w:pPr>
    </w:p>
    <w:p w14:paraId="6DCBC68A">
      <w:pPr>
        <w:tabs>
          <w:tab w:val="left" w:pos="3870"/>
          <w:tab w:val="left" w:pos="4085"/>
        </w:tabs>
        <w:snapToGrid w:val="0"/>
        <w:spacing w:line="420" w:lineRule="exact"/>
        <w:ind w:firstLine="420" w:firstLineChars="200"/>
        <w:jc w:val="left"/>
        <w:rPr>
          <w:rFonts w:hAnsi="宋体"/>
          <w:color w:val="auto"/>
          <w:szCs w:val="21"/>
          <w:highlight w:val="none"/>
        </w:rPr>
      </w:pPr>
      <w:r>
        <w:rPr>
          <w:rFonts w:hint="eastAsia" w:hAnsi="宋体"/>
          <w:color w:val="auto"/>
          <w:szCs w:val="21"/>
          <w:highlight w:val="none"/>
        </w:rPr>
        <w:t>备注：1、依据《工业和信息化部、国家统计局、国家发展和改革委员会、财政部关于印发中小企业划型标准规定的通知》（ 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61AB8BDB">
      <w:pPr>
        <w:tabs>
          <w:tab w:val="left" w:pos="3870"/>
          <w:tab w:val="left" w:pos="4085"/>
        </w:tabs>
        <w:wordWrap w:val="0"/>
        <w:snapToGrid w:val="0"/>
        <w:spacing w:line="420" w:lineRule="exact"/>
        <w:ind w:firstLine="420" w:firstLineChars="200"/>
        <w:jc w:val="left"/>
        <w:rPr>
          <w:rFonts w:hAnsi="宋体"/>
          <w:color w:val="auto"/>
          <w:szCs w:val="21"/>
          <w:highlight w:val="none"/>
          <w:u w:val="singl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38A96296">
      <w:pPr>
        <w:tabs>
          <w:tab w:val="left" w:pos="3870"/>
          <w:tab w:val="left" w:pos="4085"/>
        </w:tabs>
        <w:snapToGrid w:val="0"/>
        <w:spacing w:line="420" w:lineRule="exact"/>
        <w:ind w:firstLine="360" w:firstLineChars="200"/>
        <w:jc w:val="left"/>
        <w:rPr>
          <w:rFonts w:hAnsi="宋体"/>
          <w:color w:val="auto"/>
          <w:szCs w:val="21"/>
          <w:highlight w:val="none"/>
        </w:rPr>
      </w:pPr>
      <w:r>
        <w:rPr>
          <w:color w:val="auto"/>
          <w:sz w:val="18"/>
          <w:highlight w:val="none"/>
        </w:rPr>
        <w:t>1从业人员、营业收入、资产总额填报上一年度数据，无上一年度数据的新成立企业可不填报。</w:t>
      </w:r>
    </w:p>
    <w:p w14:paraId="311329FA">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DA19097">
      <w:pPr>
        <w:spacing w:line="440" w:lineRule="exact"/>
        <w:ind w:firstLine="420" w:firstLineChars="200"/>
        <w:rPr>
          <w:rFonts w:hAnsi="宋体"/>
          <w:color w:val="auto"/>
          <w:szCs w:val="21"/>
          <w:highlight w:val="none"/>
        </w:rPr>
      </w:pPr>
      <w:r>
        <w:rPr>
          <w:rFonts w:hint="eastAsia" w:hAnsi="宋体"/>
          <w:color w:val="auto"/>
          <w:szCs w:val="21"/>
          <w:highlight w:val="none"/>
        </w:rPr>
        <w:t>监狱企业证明文件</w:t>
      </w:r>
    </w:p>
    <w:p w14:paraId="0969A2E4">
      <w:pPr>
        <w:spacing w:line="440" w:lineRule="exact"/>
        <w:ind w:firstLine="420" w:firstLineChars="200"/>
        <w:jc w:val="center"/>
        <w:rPr>
          <w:rFonts w:hAnsi="宋体"/>
          <w:color w:val="auto"/>
          <w:szCs w:val="21"/>
          <w:highlight w:val="none"/>
        </w:rPr>
      </w:pPr>
      <w:r>
        <w:rPr>
          <w:rFonts w:hint="eastAsia" w:hAnsi="宋体"/>
          <w:color w:val="auto"/>
          <w:szCs w:val="21"/>
          <w:highlight w:val="none"/>
        </w:rPr>
        <w:t>格式自拟</w:t>
      </w:r>
    </w:p>
    <w:p w14:paraId="4E1502DA">
      <w:pPr>
        <w:spacing w:line="440" w:lineRule="exact"/>
        <w:ind w:firstLine="420" w:firstLineChars="200"/>
        <w:rPr>
          <w:rFonts w:hAnsi="宋体"/>
          <w:color w:val="auto"/>
          <w:szCs w:val="21"/>
          <w:highlight w:val="none"/>
        </w:rPr>
      </w:pPr>
    </w:p>
    <w:p w14:paraId="753CC955">
      <w:pPr>
        <w:spacing w:line="440" w:lineRule="exact"/>
        <w:ind w:firstLine="420" w:firstLineChars="200"/>
        <w:rPr>
          <w:rFonts w:hAnsi="宋体"/>
          <w:color w:val="auto"/>
          <w:szCs w:val="21"/>
          <w:highlight w:val="none"/>
        </w:rPr>
      </w:pPr>
    </w:p>
    <w:p w14:paraId="3A9FF4C1">
      <w:pPr>
        <w:spacing w:line="440" w:lineRule="exact"/>
        <w:ind w:firstLine="420" w:firstLineChars="200"/>
        <w:rPr>
          <w:rFonts w:hAnsi="宋体"/>
          <w:color w:val="auto"/>
          <w:szCs w:val="21"/>
          <w:highlight w:val="none"/>
        </w:rPr>
      </w:pPr>
    </w:p>
    <w:p w14:paraId="08D0850C">
      <w:pPr>
        <w:spacing w:line="588" w:lineRule="exact"/>
        <w:jc w:val="center"/>
        <w:rPr>
          <w:rFonts w:hAnsi="宋体"/>
          <w:b/>
          <w:color w:val="auto"/>
          <w:sz w:val="28"/>
          <w:szCs w:val="28"/>
          <w:highlight w:val="none"/>
        </w:rPr>
      </w:pPr>
      <w:r>
        <w:rPr>
          <w:rFonts w:hint="eastAsia" w:hAnsi="宋体"/>
          <w:b/>
          <w:color w:val="auto"/>
          <w:sz w:val="28"/>
          <w:szCs w:val="28"/>
          <w:highlight w:val="none"/>
        </w:rPr>
        <w:t>残疾人福利性单位声明函</w:t>
      </w:r>
    </w:p>
    <w:p w14:paraId="763C2412">
      <w:pPr>
        <w:spacing w:line="588" w:lineRule="exact"/>
        <w:rPr>
          <w:rFonts w:ascii="仿宋_GB2312" w:hAnsi="Calibri" w:eastAsia="仿宋_GB2312"/>
          <w:b/>
          <w:color w:val="auto"/>
          <w:spacing w:val="6"/>
          <w:sz w:val="28"/>
          <w:szCs w:val="28"/>
          <w:highlight w:val="none"/>
        </w:rPr>
      </w:pPr>
    </w:p>
    <w:p w14:paraId="146E03A2">
      <w:pPr>
        <w:spacing w:line="588" w:lineRule="exact"/>
        <w:ind w:firstLine="420" w:firstLineChars="200"/>
        <w:rPr>
          <w:rFonts w:hAnsi="宋体"/>
          <w:color w:val="auto"/>
          <w:szCs w:val="21"/>
          <w:highlight w:val="none"/>
        </w:rPr>
      </w:pPr>
      <w:r>
        <w:rPr>
          <w:rFonts w:hint="eastAsia"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58C9E4">
      <w:pPr>
        <w:spacing w:line="588" w:lineRule="exact"/>
        <w:ind w:firstLine="420" w:firstLineChars="200"/>
        <w:rPr>
          <w:rFonts w:hAnsi="宋体"/>
          <w:color w:val="auto"/>
          <w:szCs w:val="21"/>
          <w:highlight w:val="none"/>
        </w:rPr>
      </w:pPr>
      <w:r>
        <w:rPr>
          <w:rFonts w:hint="eastAsia" w:hAnsi="宋体"/>
          <w:color w:val="auto"/>
          <w:szCs w:val="21"/>
          <w:highlight w:val="none"/>
        </w:rPr>
        <w:t>本单位对上述声明的真实性负责。如有虚假，将依法承担相应责任。</w:t>
      </w:r>
    </w:p>
    <w:p w14:paraId="60819A73">
      <w:pPr>
        <w:spacing w:line="440" w:lineRule="exact"/>
        <w:ind w:firstLine="5953" w:firstLineChars="2835"/>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7511C6D3">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727C1D8">
      <w:pPr>
        <w:spacing w:line="440" w:lineRule="exact"/>
        <w:ind w:firstLine="317" w:firstLineChars="151"/>
        <w:rPr>
          <w:rFonts w:hAnsi="宋体"/>
          <w:color w:val="auto"/>
          <w:szCs w:val="21"/>
          <w:highlight w:val="none"/>
        </w:rPr>
      </w:pPr>
    </w:p>
    <w:p w14:paraId="2ADFC7DF">
      <w:pPr>
        <w:spacing w:line="440" w:lineRule="exact"/>
        <w:ind w:firstLine="420" w:firstLineChars="200"/>
        <w:rPr>
          <w:rFonts w:hAnsi="宋体"/>
          <w:color w:val="auto"/>
          <w:szCs w:val="21"/>
          <w:highlight w:val="none"/>
        </w:rPr>
      </w:pPr>
      <w:r>
        <w:rPr>
          <w:rFonts w:hint="eastAsia" w:hAnsi="宋体"/>
          <w:color w:val="auto"/>
          <w:szCs w:val="21"/>
          <w:highlight w:val="none"/>
        </w:rPr>
        <w:t>备注：招标采购单位将在成交公告中公布成交人《残疾人福利性单位声明函》中的声明信息，接受社会监督，投标人如有虚假，将依法承担相应责任。</w:t>
      </w:r>
    </w:p>
    <w:p w14:paraId="38D007CF">
      <w:pPr>
        <w:spacing w:line="520" w:lineRule="exact"/>
        <w:rPr>
          <w:rFonts w:hAnsi="宋体"/>
          <w:color w:val="auto"/>
          <w:szCs w:val="21"/>
          <w:highlight w:val="none"/>
        </w:rPr>
      </w:pPr>
    </w:p>
    <w:p w14:paraId="26206C60">
      <w:pPr>
        <w:autoSpaceDE w:val="0"/>
        <w:autoSpaceDN w:val="0"/>
        <w:adjustRightInd w:val="0"/>
        <w:spacing w:after="120"/>
        <w:jc w:val="left"/>
        <w:rPr>
          <w:rFonts w:ascii="Calibri" w:hAnsi="Calibri"/>
          <w:color w:val="auto"/>
          <w:kern w:val="0"/>
          <w:sz w:val="34"/>
          <w:highlight w:val="none"/>
        </w:rPr>
        <w:sectPr>
          <w:pgSz w:w="11906" w:h="16838"/>
          <w:pgMar w:top="1304" w:right="1304" w:bottom="1304" w:left="1304" w:header="720" w:footer="720" w:gutter="0"/>
          <w:cols w:space="720" w:num="1"/>
          <w:docGrid w:type="lines" w:linePitch="312" w:charSpace="0"/>
        </w:sectPr>
      </w:pPr>
    </w:p>
    <w:p w14:paraId="3DFEA4F5">
      <w:pPr>
        <w:spacing w:line="500" w:lineRule="exact"/>
        <w:jc w:val="center"/>
        <w:rPr>
          <w:rFonts w:hAnsi="宋体"/>
          <w:b/>
          <w:color w:val="auto"/>
          <w:sz w:val="44"/>
          <w:szCs w:val="32"/>
          <w:highlight w:val="none"/>
        </w:rPr>
      </w:pPr>
    </w:p>
    <w:p w14:paraId="77E2C237">
      <w:pPr>
        <w:spacing w:line="500" w:lineRule="exact"/>
        <w:jc w:val="center"/>
        <w:rPr>
          <w:rFonts w:hAnsi="宋体"/>
          <w:b/>
          <w:color w:val="auto"/>
          <w:sz w:val="44"/>
          <w:szCs w:val="32"/>
          <w:highlight w:val="none"/>
        </w:rPr>
      </w:pPr>
    </w:p>
    <w:p w14:paraId="66E96CC9">
      <w:pPr>
        <w:spacing w:line="500" w:lineRule="exact"/>
        <w:jc w:val="center"/>
        <w:rPr>
          <w:rFonts w:hAnsi="宋体"/>
          <w:b/>
          <w:color w:val="auto"/>
          <w:sz w:val="44"/>
          <w:szCs w:val="32"/>
          <w:highlight w:val="none"/>
        </w:rPr>
      </w:pPr>
    </w:p>
    <w:p w14:paraId="67171DAB">
      <w:pPr>
        <w:spacing w:line="0" w:lineRule="atLeast"/>
        <w:rPr>
          <w:rFonts w:ascii="Times New Roman" w:hAnsi="Times New Roman"/>
          <w:color w:val="auto"/>
          <w:sz w:val="30"/>
          <w:highlight w:val="none"/>
        </w:rPr>
      </w:pPr>
    </w:p>
    <w:p w14:paraId="0F5E38C0">
      <w:pPr>
        <w:spacing w:line="0" w:lineRule="atLeast"/>
        <w:rPr>
          <w:rFonts w:ascii="Times New Roman" w:hAnsi="Times New Roman"/>
          <w:color w:val="auto"/>
          <w:sz w:val="30"/>
          <w:highlight w:val="none"/>
        </w:rPr>
      </w:pPr>
    </w:p>
    <w:p w14:paraId="778AC1DF">
      <w:pPr>
        <w:spacing w:line="0" w:lineRule="atLeast"/>
        <w:rPr>
          <w:rFonts w:ascii="Times New Roman" w:hAnsi="Times New Roman"/>
          <w:color w:val="auto"/>
          <w:sz w:val="30"/>
          <w:highlight w:val="none"/>
        </w:rPr>
      </w:pPr>
    </w:p>
    <w:p w14:paraId="5348F434">
      <w:pPr>
        <w:spacing w:line="500" w:lineRule="exact"/>
        <w:jc w:val="center"/>
        <w:outlineLvl w:val="1"/>
        <w:rPr>
          <w:rFonts w:hAnsi="宋体"/>
          <w:b/>
          <w:color w:val="auto"/>
          <w:sz w:val="44"/>
          <w:szCs w:val="32"/>
          <w:highlight w:val="none"/>
        </w:rPr>
      </w:pPr>
      <w:bookmarkStart w:id="1762" w:name="_Toc18898"/>
      <w:r>
        <w:rPr>
          <w:rFonts w:hint="eastAsia" w:hAnsi="宋体"/>
          <w:b/>
          <w:color w:val="auto"/>
          <w:sz w:val="44"/>
          <w:szCs w:val="32"/>
          <w:highlight w:val="none"/>
        </w:rPr>
        <w:t>商务和技术文件（封面）</w:t>
      </w:r>
      <w:bookmarkEnd w:id="1762"/>
    </w:p>
    <w:p w14:paraId="2DEE990B">
      <w:pPr>
        <w:spacing w:line="500" w:lineRule="exact"/>
        <w:jc w:val="center"/>
        <w:rPr>
          <w:rFonts w:hAnsi="宋体"/>
          <w:color w:val="auto"/>
          <w:sz w:val="28"/>
          <w:szCs w:val="28"/>
          <w:highlight w:val="none"/>
        </w:rPr>
      </w:pPr>
    </w:p>
    <w:p w14:paraId="2190B9EB">
      <w:pPr>
        <w:spacing w:line="500" w:lineRule="exact"/>
        <w:jc w:val="center"/>
        <w:rPr>
          <w:rFonts w:hAnsi="宋体"/>
          <w:color w:val="auto"/>
          <w:sz w:val="28"/>
          <w:szCs w:val="28"/>
          <w:highlight w:val="none"/>
        </w:rPr>
      </w:pPr>
    </w:p>
    <w:p w14:paraId="7DAB3064">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6041FC7E">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566E58EA">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F0A9741">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77E765A7">
      <w:pPr>
        <w:spacing w:line="500" w:lineRule="exact"/>
        <w:rPr>
          <w:rFonts w:hAnsi="宋体"/>
          <w:color w:val="auto"/>
          <w:sz w:val="28"/>
          <w:szCs w:val="28"/>
          <w:highlight w:val="none"/>
        </w:rPr>
      </w:pPr>
    </w:p>
    <w:p w14:paraId="30EA4DAA">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753A0B73">
      <w:pPr>
        <w:ind w:right="384" w:rightChars="183"/>
        <w:jc w:val="left"/>
        <w:rPr>
          <w:rFonts w:hAnsi="宋体"/>
          <w:bCs/>
          <w:color w:val="auto"/>
          <w:szCs w:val="21"/>
          <w:highlight w:val="none"/>
        </w:rPr>
        <w:sectPr>
          <w:pgSz w:w="11907" w:h="16840"/>
          <w:pgMar w:top="1440" w:right="1440" w:bottom="1440" w:left="1418" w:header="851" w:footer="851" w:gutter="0"/>
          <w:cols w:space="720" w:num="1"/>
          <w:docGrid w:linePitch="312" w:charSpace="0"/>
        </w:sectPr>
      </w:pPr>
    </w:p>
    <w:p w14:paraId="074B887A">
      <w:pPr>
        <w:spacing w:line="400" w:lineRule="exact"/>
        <w:ind w:left="-27" w:leftChars="-13" w:firstLine="317" w:firstLineChars="151"/>
        <w:rPr>
          <w:rFonts w:hAnsi="宋体"/>
          <w:color w:val="auto"/>
          <w:szCs w:val="21"/>
          <w:highlight w:val="none"/>
        </w:rPr>
      </w:pPr>
    </w:p>
    <w:p w14:paraId="5B979893">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0CB949E1">
      <w:pPr>
        <w:spacing w:line="400" w:lineRule="exact"/>
        <w:ind w:left="-27" w:leftChars="-13" w:firstLine="317" w:firstLineChars="151"/>
        <w:rPr>
          <w:rFonts w:hAnsi="宋体"/>
          <w:color w:val="auto"/>
          <w:szCs w:val="21"/>
          <w:highlight w:val="none"/>
        </w:rPr>
      </w:pPr>
    </w:p>
    <w:p w14:paraId="37966E0C">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w:t>
      </w:r>
      <w:r>
        <w:rPr>
          <w:rFonts w:hint="eastAsia" w:hAnsi="宋体"/>
          <w:b/>
          <w:color w:val="auto"/>
          <w:szCs w:val="21"/>
          <w:highlight w:val="none"/>
        </w:rPr>
        <w:t>（</w:t>
      </w:r>
      <w:r>
        <w:rPr>
          <w:rFonts w:hint="eastAsia" w:ascii="Calibri" w:hAnsi="宋体"/>
          <w:b/>
          <w:color w:val="auto"/>
          <w:szCs w:val="21"/>
          <w:highlight w:val="none"/>
        </w:rPr>
        <w:t>必须提供，并加盖电子公章，否则磋商无效。</w:t>
      </w:r>
      <w:r>
        <w:rPr>
          <w:rFonts w:hint="eastAsia" w:hAnsi="宋体"/>
          <w:b/>
          <w:color w:val="auto"/>
          <w:szCs w:val="21"/>
          <w:highlight w:val="none"/>
        </w:rPr>
        <w:t>）</w:t>
      </w:r>
    </w:p>
    <w:p w14:paraId="72677597">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必须提供，并加盖电子公章，否则磋商无效。</w:t>
      </w:r>
      <w:r>
        <w:rPr>
          <w:rFonts w:hint="eastAsia" w:hAnsi="宋体"/>
          <w:b/>
          <w:color w:val="auto"/>
          <w:szCs w:val="21"/>
          <w:highlight w:val="none"/>
        </w:rPr>
        <w:t>）</w:t>
      </w:r>
    </w:p>
    <w:p w14:paraId="723C9222">
      <w:pPr>
        <w:spacing w:line="400" w:lineRule="exact"/>
        <w:ind w:left="-27" w:leftChars="-13" w:firstLine="420" w:firstLineChars="200"/>
        <w:rPr>
          <w:rFonts w:hAnsi="宋体" w:cs="宋体"/>
          <w:color w:val="auto"/>
          <w:highlight w:val="none"/>
        </w:rPr>
      </w:pPr>
      <w:r>
        <w:rPr>
          <w:rFonts w:hint="eastAsia" w:hAnsi="宋体" w:cs="宋体"/>
          <w:color w:val="auto"/>
          <w:highlight w:val="none"/>
        </w:rPr>
        <w:t>3、农民工工资保证金的交纳与使用承诺书（格式见第七章）；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4A0F4B47">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72894544">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79805A62">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并加盖电子公章，</w:t>
      </w:r>
      <w:r>
        <w:rPr>
          <w:rFonts w:hint="eastAsia" w:hAnsi="宋体" w:cs="宋体"/>
          <w:b/>
          <w:color w:val="auto"/>
          <w:highlight w:val="none"/>
        </w:rPr>
        <w:t>否则磋商无效）</w:t>
      </w:r>
    </w:p>
    <w:p w14:paraId="63801F04">
      <w:pPr>
        <w:spacing w:line="400" w:lineRule="exact"/>
        <w:ind w:firstLine="420" w:firstLineChars="200"/>
        <w:rPr>
          <w:rFonts w:hAnsi="宋体"/>
          <w:color w:val="auto"/>
          <w:szCs w:val="21"/>
          <w:highlight w:val="none"/>
        </w:rPr>
      </w:pPr>
      <w:r>
        <w:rPr>
          <w:rFonts w:hint="eastAsia" w:hAnsi="宋体"/>
          <w:color w:val="auto"/>
          <w:szCs w:val="21"/>
          <w:highlight w:val="none"/>
        </w:rPr>
        <w:t>7、主要施工管理人员表（格式见第七章）；</w:t>
      </w:r>
      <w:r>
        <w:rPr>
          <w:rFonts w:hint="eastAsia" w:hAnsi="宋体"/>
          <w:b/>
          <w:color w:val="auto"/>
          <w:szCs w:val="21"/>
          <w:highlight w:val="none"/>
        </w:rPr>
        <w:t>（必须提供，并加盖电子公章，否则磋商无效）</w:t>
      </w:r>
    </w:p>
    <w:p w14:paraId="564CC215">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asciiTheme="minorEastAsia" w:hAnsiTheme="minorEastAsia" w:eastAsiaTheme="minorEastAsia"/>
          <w:color w:val="auto"/>
          <w:highlight w:val="none"/>
        </w:rPr>
        <w:t>施工组织设计；</w:t>
      </w:r>
      <w:r>
        <w:rPr>
          <w:rFonts w:hint="eastAsia" w:hAnsi="宋体"/>
          <w:color w:val="auto"/>
          <w:szCs w:val="21"/>
          <w:highlight w:val="none"/>
        </w:rPr>
        <w:t>（格式自拟，内容要求详见第三章评审方法中评分标准第2点）</w:t>
      </w:r>
    </w:p>
    <w:p w14:paraId="4F484B83">
      <w:pPr>
        <w:spacing w:line="40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3BC37418">
      <w:pPr>
        <w:spacing w:line="40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2F1B7DDF">
      <w:pPr>
        <w:spacing w:line="400" w:lineRule="exact"/>
        <w:ind w:left="-27" w:leftChars="-13" w:firstLine="317" w:firstLineChars="151"/>
        <w:rPr>
          <w:rFonts w:hAnsi="宋体" w:cs="宋体"/>
          <w:color w:val="auto"/>
          <w:highlight w:val="none"/>
        </w:rPr>
      </w:pPr>
      <w:r>
        <w:rPr>
          <w:rFonts w:hint="eastAsia" w:hAnsi="宋体" w:cs="宋体"/>
          <w:color w:val="auto"/>
          <w:highlight w:val="none"/>
        </w:rPr>
        <w:t>1、无串通磋商行为的承诺函</w:t>
      </w:r>
    </w:p>
    <w:p w14:paraId="134CA990">
      <w:pPr>
        <w:spacing w:line="400" w:lineRule="exact"/>
        <w:ind w:left="-27" w:leftChars="-13" w:firstLine="333" w:firstLineChars="151"/>
        <w:jc w:val="center"/>
        <w:rPr>
          <w:rFonts w:hAnsi="宋体" w:cs="宋体"/>
          <w:b/>
          <w:color w:val="auto"/>
          <w:sz w:val="22"/>
          <w:highlight w:val="none"/>
        </w:rPr>
      </w:pPr>
      <w:r>
        <w:rPr>
          <w:rFonts w:hint="eastAsia" w:hAnsi="宋体" w:cs="宋体"/>
          <w:b/>
          <w:color w:val="auto"/>
          <w:sz w:val="22"/>
          <w:highlight w:val="none"/>
        </w:rPr>
        <w:t>无串通磋商行为的承诺函</w:t>
      </w:r>
    </w:p>
    <w:p w14:paraId="0C95EB91">
      <w:pPr>
        <w:spacing w:line="400" w:lineRule="exact"/>
        <w:ind w:left="-27" w:leftChars="-13" w:firstLine="420" w:firstLineChars="200"/>
        <w:rPr>
          <w:rFonts w:hAnsi="宋体" w:cs="宋体"/>
          <w:color w:val="auto"/>
          <w:highlight w:val="none"/>
        </w:rPr>
      </w:pPr>
    </w:p>
    <w:p w14:paraId="4954EF9E">
      <w:pPr>
        <w:spacing w:line="400" w:lineRule="exact"/>
        <w:ind w:left="-27" w:leftChars="-13" w:firstLine="420" w:firstLineChars="200"/>
        <w:rPr>
          <w:rFonts w:hAnsi="宋体" w:cs="宋体"/>
          <w:color w:val="auto"/>
          <w:highlight w:val="none"/>
        </w:rPr>
      </w:pPr>
      <w:r>
        <w:rPr>
          <w:rFonts w:hint="eastAsia" w:hAnsi="宋体" w:cs="宋体"/>
          <w:color w:val="auto"/>
          <w:highlight w:val="none"/>
        </w:rPr>
        <w:t>一、我方承诺无下列相互串通磋商的情形：</w:t>
      </w:r>
    </w:p>
    <w:p w14:paraId="1059351E">
      <w:pPr>
        <w:spacing w:line="400" w:lineRule="exact"/>
        <w:ind w:left="-27" w:leftChars="-13" w:firstLine="420" w:firstLineChars="200"/>
        <w:rPr>
          <w:rFonts w:hAnsi="宋体" w:cs="宋体"/>
          <w:color w:val="auto"/>
          <w:highlight w:val="none"/>
        </w:rPr>
      </w:pPr>
      <w:r>
        <w:rPr>
          <w:rFonts w:hint="eastAsia" w:hAnsi="宋体" w:cs="宋体"/>
          <w:color w:val="auto"/>
          <w:highlight w:val="none"/>
        </w:rPr>
        <w:t>1.不同供应商的响应文件由同一单位或者个人编制；</w:t>
      </w:r>
    </w:p>
    <w:p w14:paraId="748F56D7">
      <w:pPr>
        <w:spacing w:line="400" w:lineRule="exact"/>
        <w:ind w:left="-27" w:leftChars="-13" w:firstLine="420" w:firstLineChars="200"/>
        <w:rPr>
          <w:rFonts w:hAnsi="宋体" w:cs="宋体"/>
          <w:color w:val="auto"/>
          <w:highlight w:val="none"/>
        </w:rPr>
      </w:pPr>
      <w:r>
        <w:rPr>
          <w:rFonts w:hint="eastAsia" w:hAnsi="宋体" w:cs="宋体"/>
          <w:color w:val="auto"/>
          <w:highlight w:val="none"/>
        </w:rPr>
        <w:t>2.不同供应商委托同一单位或者个人办理磋商事宜；</w:t>
      </w:r>
    </w:p>
    <w:p w14:paraId="571F225B">
      <w:pPr>
        <w:spacing w:line="400" w:lineRule="exact"/>
        <w:ind w:left="-27" w:leftChars="-13" w:firstLine="420" w:firstLineChars="200"/>
        <w:rPr>
          <w:rFonts w:hAnsi="宋体" w:cs="宋体"/>
          <w:color w:val="auto"/>
          <w:highlight w:val="none"/>
        </w:rPr>
      </w:pPr>
      <w:r>
        <w:rPr>
          <w:rFonts w:hint="eastAsia" w:hAnsi="宋体" w:cs="宋体"/>
          <w:color w:val="auto"/>
          <w:highlight w:val="none"/>
        </w:rPr>
        <w:t>3.不同供应商的响应文件载明的项目管理员为同一个人；</w:t>
      </w:r>
    </w:p>
    <w:p w14:paraId="49A49DA3">
      <w:pPr>
        <w:spacing w:line="400" w:lineRule="exact"/>
        <w:ind w:left="-27" w:leftChars="-13" w:firstLine="420" w:firstLineChars="200"/>
        <w:rPr>
          <w:rFonts w:hAnsi="宋体" w:cs="宋体"/>
          <w:color w:val="auto"/>
          <w:highlight w:val="none"/>
        </w:rPr>
      </w:pPr>
      <w:r>
        <w:rPr>
          <w:rFonts w:hint="eastAsia" w:hAnsi="宋体" w:cs="宋体"/>
          <w:color w:val="auto"/>
          <w:highlight w:val="none"/>
        </w:rPr>
        <w:t>4.不同供应商的响应文件异常一致或者响应报价呈规律性差异；</w:t>
      </w:r>
    </w:p>
    <w:p w14:paraId="0BF202F0">
      <w:pPr>
        <w:spacing w:line="400" w:lineRule="exact"/>
        <w:ind w:left="-27" w:leftChars="-13" w:firstLine="420" w:firstLineChars="200"/>
        <w:rPr>
          <w:rFonts w:hAnsi="宋体" w:cs="宋体"/>
          <w:color w:val="auto"/>
          <w:highlight w:val="none"/>
        </w:rPr>
      </w:pPr>
      <w:r>
        <w:rPr>
          <w:rFonts w:hint="eastAsia" w:hAnsi="宋体" w:cs="宋体"/>
          <w:color w:val="auto"/>
          <w:highlight w:val="none"/>
        </w:rPr>
        <w:t>5.不同供应商的响应文件相互混装；</w:t>
      </w:r>
    </w:p>
    <w:p w14:paraId="329522AE">
      <w:pPr>
        <w:spacing w:line="400" w:lineRule="exact"/>
        <w:ind w:left="-27" w:leftChars="-13" w:firstLine="420" w:firstLineChars="200"/>
        <w:rPr>
          <w:rFonts w:hAnsi="宋体" w:cs="宋体"/>
          <w:color w:val="auto"/>
          <w:highlight w:val="none"/>
        </w:rPr>
      </w:pPr>
      <w:r>
        <w:rPr>
          <w:rFonts w:hint="eastAsia" w:hAnsi="宋体" w:cs="宋体"/>
          <w:color w:val="auto"/>
          <w:highlight w:val="none"/>
        </w:rPr>
        <w:t>6.不同供应商的磋商保证金从同一单位或者个人账户转出。</w:t>
      </w:r>
    </w:p>
    <w:p w14:paraId="1590289E">
      <w:pPr>
        <w:spacing w:line="400" w:lineRule="exact"/>
        <w:ind w:left="-27" w:leftChars="-13" w:firstLine="420" w:firstLineChars="200"/>
        <w:rPr>
          <w:rFonts w:hAnsi="宋体" w:cs="宋体"/>
          <w:color w:val="auto"/>
          <w:highlight w:val="none"/>
        </w:rPr>
      </w:pPr>
      <w:r>
        <w:rPr>
          <w:rFonts w:hint="eastAsia" w:hAnsi="宋体" w:cs="宋体"/>
          <w:color w:val="auto"/>
          <w:highlight w:val="none"/>
        </w:rPr>
        <w:t>二、我方承诺无下列恶意串通的情形：</w:t>
      </w:r>
    </w:p>
    <w:p w14:paraId="20F60894">
      <w:pPr>
        <w:spacing w:line="400" w:lineRule="exact"/>
        <w:ind w:left="-27" w:leftChars="-13" w:firstLine="420" w:firstLineChars="200"/>
        <w:rPr>
          <w:rFonts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1.供应商直接或者间接从采购人或者采购代理机构处获得其他供应商的相关信息并修改其响应文件；</w:t>
      </w:r>
    </w:p>
    <w:p w14:paraId="48BC7666">
      <w:pPr>
        <w:spacing w:line="400" w:lineRule="exact"/>
        <w:ind w:left="-27" w:leftChars="-13" w:firstLine="420" w:firstLineChars="200"/>
        <w:rPr>
          <w:rFonts w:hAnsi="宋体" w:cs="宋体"/>
          <w:color w:val="auto"/>
          <w:highlight w:val="none"/>
        </w:rPr>
      </w:pPr>
      <w:r>
        <w:rPr>
          <w:rFonts w:hint="eastAsia" w:hAnsi="宋体" w:cs="宋体"/>
          <w:color w:val="auto"/>
          <w:highlight w:val="none"/>
        </w:rPr>
        <w:t>2.供应商按照采购人或者采购代理机构的授意撤换、修改响应文件；</w:t>
      </w:r>
    </w:p>
    <w:p w14:paraId="2EF951DD">
      <w:pPr>
        <w:spacing w:line="400" w:lineRule="exact"/>
        <w:ind w:left="-27" w:leftChars="-13" w:firstLine="420" w:firstLineChars="200"/>
        <w:rPr>
          <w:rFonts w:hAnsi="宋体" w:cs="宋体"/>
          <w:color w:val="auto"/>
          <w:highlight w:val="none"/>
        </w:rPr>
      </w:pPr>
      <w:r>
        <w:rPr>
          <w:rFonts w:hint="eastAsia" w:hAnsi="宋体" w:cs="宋体"/>
          <w:color w:val="auto"/>
          <w:highlight w:val="none"/>
        </w:rPr>
        <w:t>3.供应商之间协商报价、技术方案等响应文件的实质性内容；</w:t>
      </w:r>
    </w:p>
    <w:p w14:paraId="28C88166">
      <w:pPr>
        <w:spacing w:line="400" w:lineRule="exact"/>
        <w:ind w:left="-27" w:leftChars="-13" w:firstLine="420" w:firstLineChars="200"/>
        <w:rPr>
          <w:rFonts w:hAnsi="宋体" w:cs="宋体"/>
          <w:color w:val="auto"/>
          <w:highlight w:val="none"/>
        </w:rPr>
      </w:pPr>
      <w:r>
        <w:rPr>
          <w:rFonts w:hint="eastAsia" w:hAnsi="宋体" w:cs="宋体"/>
          <w:color w:val="auto"/>
          <w:highlight w:val="none"/>
        </w:rPr>
        <w:t>4.属于同一集团、协会、商会等组织成员的供应商按照该组织要求协同参加政府采购活动；</w:t>
      </w:r>
    </w:p>
    <w:p w14:paraId="4BD49368">
      <w:pPr>
        <w:spacing w:line="400" w:lineRule="exact"/>
        <w:ind w:left="-27" w:leftChars="-13" w:firstLine="420" w:firstLineChars="200"/>
        <w:rPr>
          <w:rFonts w:hAnsi="宋体" w:cs="宋体"/>
          <w:color w:val="auto"/>
          <w:highlight w:val="none"/>
        </w:rPr>
      </w:pPr>
      <w:r>
        <w:rPr>
          <w:rFonts w:hint="eastAsia" w:hAnsi="宋体" w:cs="宋体"/>
          <w:color w:val="auto"/>
          <w:highlight w:val="none"/>
        </w:rPr>
        <w:t>5.供应商之间事先约定一致抬高或者压低响应报价，或者在竞争性磋商项目中事先约定轮流以高价位或者低价位成交，或者事先约定由某一特定供应商成交，然后再参加磋商；</w:t>
      </w:r>
    </w:p>
    <w:p w14:paraId="6BBC359B">
      <w:pPr>
        <w:spacing w:line="400" w:lineRule="exact"/>
        <w:ind w:left="-27" w:leftChars="-13" w:firstLine="420" w:firstLineChars="200"/>
        <w:rPr>
          <w:rFonts w:hAnsi="宋体" w:cs="宋体"/>
          <w:color w:val="auto"/>
          <w:highlight w:val="none"/>
        </w:rPr>
      </w:pPr>
      <w:r>
        <w:rPr>
          <w:rFonts w:hint="eastAsia" w:hAnsi="宋体" w:cs="宋体"/>
          <w:color w:val="auto"/>
          <w:highlight w:val="none"/>
        </w:rPr>
        <w:t>6.供应商之间商定部分供应商放弃参加政府采购活动或者放弃成交；</w:t>
      </w:r>
    </w:p>
    <w:p w14:paraId="35263C7F">
      <w:pPr>
        <w:spacing w:line="400" w:lineRule="exact"/>
        <w:ind w:left="-27" w:leftChars="-13" w:firstLine="420" w:firstLineChars="200"/>
        <w:rPr>
          <w:rFonts w:hAnsi="宋体" w:cs="宋体"/>
          <w:color w:val="auto"/>
          <w:highlight w:val="none"/>
        </w:rPr>
      </w:pPr>
      <w:r>
        <w:rPr>
          <w:rFonts w:hint="eastAsia" w:hAnsi="宋体" w:cs="宋体"/>
          <w:color w:val="auto"/>
          <w:highlight w:val="none"/>
        </w:rPr>
        <w:t>7.供应商与采购人或者采购代理机构之间、供应商相互之间，为谋求特定供应商成交或者排斥其他供应商的其他串通行为。</w:t>
      </w:r>
    </w:p>
    <w:p w14:paraId="154293B5">
      <w:pPr>
        <w:spacing w:line="400" w:lineRule="exact"/>
        <w:ind w:left="-27" w:leftChars="-13" w:firstLine="420" w:firstLineChars="200"/>
        <w:rPr>
          <w:rFonts w:hAnsi="宋体" w:cs="宋体"/>
          <w:color w:val="auto"/>
          <w:highlight w:val="none"/>
        </w:rPr>
      </w:pPr>
      <w:r>
        <w:rPr>
          <w:rFonts w:hint="eastAsia" w:hAnsi="宋体" w:cs="宋体"/>
          <w:color w:val="auto"/>
          <w:highlight w:val="none"/>
        </w:rPr>
        <w:t>以上情形一经核查属实，我方愿意承担一切后果，并不再寻求任何旨在减轻或者免除法律责任的辩解。</w:t>
      </w:r>
    </w:p>
    <w:p w14:paraId="4B884A8D">
      <w:pPr>
        <w:wordWrap w:val="0"/>
        <w:spacing w:line="400" w:lineRule="exact"/>
        <w:ind w:left="-27" w:leftChars="-13"/>
        <w:jc w:val="right"/>
        <w:rPr>
          <w:rFonts w:hAnsi="宋体" w:cs="宋体"/>
          <w:color w:val="auto"/>
          <w:highlight w:val="none"/>
        </w:rPr>
      </w:pPr>
      <w:r>
        <w:rPr>
          <w:rFonts w:hint="eastAsia" w:ascii="Times New Roman" w:hAnsi="宋体"/>
          <w:color w:val="auto"/>
          <w:szCs w:val="21"/>
          <w:highlight w:val="none"/>
        </w:rPr>
        <w:t>供应商名称（盖章）：</w:t>
      </w:r>
      <w:r>
        <w:rPr>
          <w:rFonts w:hint="eastAsia" w:ascii="Times New Roman" w:hAnsi="宋体"/>
          <w:color w:val="auto"/>
          <w:szCs w:val="21"/>
          <w:highlight w:val="none"/>
          <w:u w:val="single"/>
        </w:rPr>
        <w:t xml:space="preserve">               </w:t>
      </w:r>
    </w:p>
    <w:p w14:paraId="29920429">
      <w:pPr>
        <w:spacing w:line="400" w:lineRule="exact"/>
        <w:ind w:left="-27" w:leftChars="-13" w:firstLine="5838" w:firstLineChars="2780"/>
        <w:rPr>
          <w:rFonts w:hAnsi="宋体" w:cs="宋体"/>
          <w:color w:val="auto"/>
          <w:highlight w:val="none"/>
        </w:rPr>
      </w:pPr>
      <w:r>
        <w:rPr>
          <w:rFonts w:hint="eastAsia" w:hAnsi="宋体" w:cs="宋体"/>
          <w:color w:val="auto"/>
          <w:highlight w:val="none"/>
        </w:rPr>
        <w:t>日期：    年    月   日</w:t>
      </w:r>
    </w:p>
    <w:p w14:paraId="44822D44">
      <w:pPr>
        <w:spacing w:after="120"/>
        <w:ind w:firstLine="210" w:firstLineChars="100"/>
        <w:rPr>
          <w:rFonts w:ascii="Calibri" w:hAnsi="Calibri"/>
          <w:color w:val="auto"/>
          <w:szCs w:val="24"/>
          <w:highlight w:val="none"/>
        </w:rPr>
        <w:sectPr>
          <w:pgSz w:w="11907" w:h="16840"/>
          <w:pgMar w:top="1440" w:right="1440" w:bottom="1440" w:left="1418" w:header="851" w:footer="851" w:gutter="0"/>
          <w:cols w:space="720" w:num="1"/>
          <w:docGrid w:linePitch="312" w:charSpace="0"/>
        </w:sectPr>
      </w:pPr>
    </w:p>
    <w:p w14:paraId="5DED5751">
      <w:pPr>
        <w:spacing w:line="400" w:lineRule="exact"/>
        <w:ind w:left="-27" w:leftChars="-13" w:firstLine="317" w:firstLineChars="151"/>
        <w:rPr>
          <w:rFonts w:hAnsi="宋体" w:cs="宋体"/>
          <w:color w:val="auto"/>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4F95BE1F">
      <w:pPr>
        <w:ind w:right="384" w:rightChars="183"/>
        <w:jc w:val="center"/>
        <w:rPr>
          <w:rFonts w:hAnsi="宋体"/>
          <w:b/>
          <w:bCs/>
          <w:color w:val="auto"/>
          <w:sz w:val="28"/>
          <w:highlight w:val="none"/>
        </w:rPr>
      </w:pPr>
    </w:p>
    <w:p w14:paraId="1D0AF0D3">
      <w:pPr>
        <w:spacing w:line="0" w:lineRule="atLeast"/>
        <w:rPr>
          <w:rFonts w:ascii="Times New Roman" w:hAnsi="Times New Roman"/>
          <w:color w:val="auto"/>
          <w:sz w:val="30"/>
          <w:highlight w:val="none"/>
        </w:rPr>
      </w:pPr>
    </w:p>
    <w:p w14:paraId="1FD3C437">
      <w:pPr>
        <w:jc w:val="center"/>
        <w:rPr>
          <w:rFonts w:hAnsi="宋体"/>
          <w:b/>
          <w:color w:val="auto"/>
          <w:sz w:val="28"/>
          <w:szCs w:val="28"/>
          <w:highlight w:val="none"/>
        </w:rPr>
      </w:pPr>
      <w:r>
        <w:rPr>
          <w:rFonts w:hint="eastAsia" w:hAnsi="宋体"/>
          <w:b/>
          <w:color w:val="auto"/>
          <w:sz w:val="28"/>
          <w:szCs w:val="28"/>
          <w:highlight w:val="none"/>
        </w:rPr>
        <w:t>法定代表人（负责人）身份证明</w:t>
      </w:r>
    </w:p>
    <w:p w14:paraId="0E503830">
      <w:pPr>
        <w:autoSpaceDE w:val="0"/>
        <w:autoSpaceDN w:val="0"/>
        <w:adjustRightInd w:val="0"/>
        <w:spacing w:line="480" w:lineRule="exact"/>
        <w:rPr>
          <w:rFonts w:hAnsi="宋体"/>
          <w:color w:val="auto"/>
          <w:kern w:val="0"/>
          <w:szCs w:val="21"/>
          <w:highlight w:val="none"/>
        </w:rPr>
      </w:pPr>
    </w:p>
    <w:p w14:paraId="3CE9A51C">
      <w:pPr>
        <w:wordWrap w:val="0"/>
        <w:autoSpaceDE w:val="0"/>
        <w:autoSpaceDN w:val="0"/>
        <w:adjustRightInd w:val="0"/>
        <w:ind w:firstLine="1365" w:firstLineChars="650"/>
        <w:rPr>
          <w:rFonts w:hAnsi="宋体"/>
          <w:bCs/>
          <w:color w:val="auto"/>
          <w:kern w:val="0"/>
          <w:szCs w:val="21"/>
          <w:highlight w:val="none"/>
          <w:u w:val="single"/>
        </w:rPr>
      </w:pPr>
      <w:r>
        <w:rPr>
          <w:rFonts w:hint="eastAsia" w:hAnsi="宋体"/>
          <w:bCs/>
          <w:color w:val="auto"/>
          <w:kern w:val="0"/>
          <w:szCs w:val="21"/>
          <w:highlight w:val="none"/>
        </w:rPr>
        <w:t>供应商名称</w:t>
      </w:r>
      <w:r>
        <w:rPr>
          <w:rFonts w:hAnsi="宋体"/>
          <w:bCs/>
          <w:color w:val="auto"/>
          <w:kern w:val="0"/>
          <w:szCs w:val="21"/>
          <w:highlight w:val="none"/>
        </w:rPr>
        <w:t>：</w:t>
      </w:r>
      <w:r>
        <w:rPr>
          <w:rFonts w:hAnsi="宋体"/>
          <w:bCs/>
          <w:color w:val="auto"/>
          <w:kern w:val="0"/>
          <w:szCs w:val="21"/>
          <w:highlight w:val="none"/>
          <w:u w:val="single"/>
        </w:rPr>
        <w:t xml:space="preserve">                                             </w:t>
      </w:r>
    </w:p>
    <w:p w14:paraId="6ED9EF80">
      <w:pPr>
        <w:autoSpaceDE w:val="0"/>
        <w:autoSpaceDN w:val="0"/>
        <w:adjustRightInd w:val="0"/>
        <w:ind w:firstLine="1365" w:firstLineChars="650"/>
        <w:rPr>
          <w:rFonts w:hAnsi="宋体"/>
          <w:bCs/>
          <w:color w:val="auto"/>
          <w:kern w:val="0"/>
          <w:szCs w:val="21"/>
          <w:highlight w:val="none"/>
        </w:rPr>
      </w:pPr>
    </w:p>
    <w:p w14:paraId="6E185DBC">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单位性质：</w:t>
      </w:r>
      <w:r>
        <w:rPr>
          <w:rFonts w:hAnsi="宋体"/>
          <w:bCs/>
          <w:color w:val="auto"/>
          <w:kern w:val="0"/>
          <w:szCs w:val="21"/>
          <w:highlight w:val="none"/>
          <w:u w:val="single"/>
        </w:rPr>
        <w:t xml:space="preserve">                                             </w:t>
      </w:r>
    </w:p>
    <w:p w14:paraId="097A6D68">
      <w:pPr>
        <w:autoSpaceDE w:val="0"/>
        <w:autoSpaceDN w:val="0"/>
        <w:adjustRightInd w:val="0"/>
        <w:ind w:firstLine="1365" w:firstLineChars="650"/>
        <w:rPr>
          <w:rFonts w:hAnsi="宋体"/>
          <w:bCs/>
          <w:color w:val="auto"/>
          <w:kern w:val="0"/>
          <w:szCs w:val="21"/>
          <w:highlight w:val="none"/>
        </w:rPr>
      </w:pPr>
    </w:p>
    <w:p w14:paraId="31DCA1F2">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地 址：</w:t>
      </w:r>
      <w:r>
        <w:rPr>
          <w:rFonts w:hAnsi="宋体"/>
          <w:bCs/>
          <w:color w:val="auto"/>
          <w:kern w:val="0"/>
          <w:szCs w:val="21"/>
          <w:highlight w:val="none"/>
          <w:u w:val="single"/>
        </w:rPr>
        <w:t xml:space="preserve">                                                </w:t>
      </w:r>
    </w:p>
    <w:p w14:paraId="4E33A921">
      <w:pPr>
        <w:autoSpaceDE w:val="0"/>
        <w:autoSpaceDN w:val="0"/>
        <w:adjustRightInd w:val="0"/>
        <w:ind w:firstLine="1365" w:firstLineChars="650"/>
        <w:rPr>
          <w:rFonts w:hAnsi="宋体"/>
          <w:bCs/>
          <w:color w:val="auto"/>
          <w:kern w:val="0"/>
          <w:szCs w:val="21"/>
          <w:highlight w:val="none"/>
        </w:rPr>
      </w:pPr>
    </w:p>
    <w:p w14:paraId="47B4C471">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成立时间： </w:t>
      </w:r>
      <w:r>
        <w:rPr>
          <w:rFonts w:hAnsi="宋体"/>
          <w:bCs/>
          <w:color w:val="auto"/>
          <w:kern w:val="0"/>
          <w:szCs w:val="21"/>
          <w:highlight w:val="none"/>
          <w:u w:val="single"/>
        </w:rPr>
        <w:t xml:space="preserve">       </w:t>
      </w:r>
      <w:r>
        <w:rPr>
          <w:rFonts w:hAnsi="宋体"/>
          <w:bCs/>
          <w:color w:val="auto"/>
          <w:kern w:val="0"/>
          <w:szCs w:val="21"/>
          <w:highlight w:val="none"/>
        </w:rPr>
        <w:t>年</w:t>
      </w:r>
      <w:r>
        <w:rPr>
          <w:rFonts w:hAnsi="宋体"/>
          <w:bCs/>
          <w:color w:val="auto"/>
          <w:kern w:val="0"/>
          <w:szCs w:val="21"/>
          <w:highlight w:val="none"/>
          <w:u w:val="single"/>
        </w:rPr>
        <w:t xml:space="preserve">       </w:t>
      </w:r>
      <w:r>
        <w:rPr>
          <w:rFonts w:hAnsi="宋体"/>
          <w:bCs/>
          <w:color w:val="auto"/>
          <w:kern w:val="0"/>
          <w:szCs w:val="21"/>
          <w:highlight w:val="none"/>
        </w:rPr>
        <w:t>月</w:t>
      </w:r>
      <w:r>
        <w:rPr>
          <w:rFonts w:hAnsi="宋体"/>
          <w:bCs/>
          <w:color w:val="auto"/>
          <w:kern w:val="0"/>
          <w:szCs w:val="21"/>
          <w:highlight w:val="none"/>
          <w:u w:val="single"/>
        </w:rPr>
        <w:t xml:space="preserve">       </w:t>
      </w:r>
      <w:r>
        <w:rPr>
          <w:rFonts w:hAnsi="宋体"/>
          <w:bCs/>
          <w:color w:val="auto"/>
          <w:kern w:val="0"/>
          <w:szCs w:val="21"/>
          <w:highlight w:val="none"/>
        </w:rPr>
        <w:t>日</w:t>
      </w:r>
    </w:p>
    <w:p w14:paraId="0B2E2F31">
      <w:pPr>
        <w:autoSpaceDE w:val="0"/>
        <w:autoSpaceDN w:val="0"/>
        <w:adjustRightInd w:val="0"/>
        <w:ind w:firstLine="1365" w:firstLineChars="650"/>
        <w:rPr>
          <w:rFonts w:hAnsi="宋体"/>
          <w:bCs/>
          <w:color w:val="auto"/>
          <w:kern w:val="0"/>
          <w:szCs w:val="21"/>
          <w:highlight w:val="none"/>
        </w:rPr>
      </w:pPr>
    </w:p>
    <w:p w14:paraId="50D95CD9">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经营期限：</w:t>
      </w:r>
      <w:r>
        <w:rPr>
          <w:rFonts w:hAnsi="宋体"/>
          <w:bCs/>
          <w:color w:val="auto"/>
          <w:kern w:val="0"/>
          <w:szCs w:val="21"/>
          <w:highlight w:val="none"/>
          <w:u w:val="single"/>
        </w:rPr>
        <w:t xml:space="preserve">                                             </w:t>
      </w:r>
    </w:p>
    <w:p w14:paraId="03DA63C4">
      <w:pPr>
        <w:autoSpaceDE w:val="0"/>
        <w:autoSpaceDN w:val="0"/>
        <w:adjustRightInd w:val="0"/>
        <w:ind w:firstLine="1365" w:firstLineChars="650"/>
        <w:rPr>
          <w:rFonts w:hAnsi="宋体"/>
          <w:bCs/>
          <w:color w:val="auto"/>
          <w:kern w:val="0"/>
          <w:szCs w:val="21"/>
          <w:highlight w:val="none"/>
        </w:rPr>
      </w:pPr>
    </w:p>
    <w:p w14:paraId="19CF3636">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姓 名：</w:t>
      </w:r>
      <w:r>
        <w:rPr>
          <w:rFonts w:hAnsi="宋体"/>
          <w:bCs/>
          <w:color w:val="auto"/>
          <w:kern w:val="0"/>
          <w:szCs w:val="21"/>
          <w:highlight w:val="none"/>
          <w:u w:val="single"/>
        </w:rPr>
        <w:t xml:space="preserve">       </w:t>
      </w:r>
      <w:r>
        <w:rPr>
          <w:rFonts w:hAnsi="宋体"/>
          <w:bCs/>
          <w:color w:val="auto"/>
          <w:kern w:val="0"/>
          <w:szCs w:val="21"/>
          <w:highlight w:val="none"/>
        </w:rPr>
        <w:t xml:space="preserve"> 性 别：</w:t>
      </w:r>
      <w:r>
        <w:rPr>
          <w:rFonts w:hAnsi="宋体"/>
          <w:bCs/>
          <w:color w:val="auto"/>
          <w:kern w:val="0"/>
          <w:szCs w:val="21"/>
          <w:highlight w:val="none"/>
          <w:u w:val="single"/>
        </w:rPr>
        <w:t xml:space="preserve">       </w:t>
      </w:r>
      <w:r>
        <w:rPr>
          <w:rFonts w:hAnsi="宋体"/>
          <w:bCs/>
          <w:color w:val="auto"/>
          <w:kern w:val="0"/>
          <w:szCs w:val="21"/>
          <w:highlight w:val="none"/>
        </w:rPr>
        <w:t>年 龄：</w:t>
      </w:r>
      <w:r>
        <w:rPr>
          <w:rFonts w:hAnsi="宋体"/>
          <w:bCs/>
          <w:color w:val="auto"/>
          <w:kern w:val="0"/>
          <w:szCs w:val="21"/>
          <w:highlight w:val="none"/>
          <w:u w:val="single"/>
        </w:rPr>
        <w:t xml:space="preserve">      </w:t>
      </w:r>
      <w:r>
        <w:rPr>
          <w:rFonts w:hAnsi="宋体"/>
          <w:bCs/>
          <w:color w:val="auto"/>
          <w:kern w:val="0"/>
          <w:szCs w:val="21"/>
          <w:highlight w:val="none"/>
        </w:rPr>
        <w:t>职 务：</w:t>
      </w:r>
      <w:r>
        <w:rPr>
          <w:rFonts w:hAnsi="宋体"/>
          <w:bCs/>
          <w:color w:val="auto"/>
          <w:kern w:val="0"/>
          <w:szCs w:val="21"/>
          <w:highlight w:val="none"/>
          <w:u w:val="single"/>
        </w:rPr>
        <w:t xml:space="preserve">      </w:t>
      </w:r>
    </w:p>
    <w:p w14:paraId="51DFD5D7">
      <w:pPr>
        <w:autoSpaceDE w:val="0"/>
        <w:autoSpaceDN w:val="0"/>
        <w:adjustRightInd w:val="0"/>
        <w:ind w:firstLine="1365" w:firstLineChars="650"/>
        <w:rPr>
          <w:rFonts w:hAnsi="宋体"/>
          <w:bCs/>
          <w:color w:val="auto"/>
          <w:kern w:val="0"/>
          <w:szCs w:val="21"/>
          <w:highlight w:val="none"/>
        </w:rPr>
      </w:pPr>
    </w:p>
    <w:p w14:paraId="549FA8E4">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系 </w:t>
      </w:r>
      <w:r>
        <w:rPr>
          <w:rFonts w:hAnsi="宋体"/>
          <w:bCs/>
          <w:color w:val="auto"/>
          <w:kern w:val="0"/>
          <w:szCs w:val="21"/>
          <w:highlight w:val="none"/>
          <w:u w:val="single"/>
        </w:rPr>
        <w:t xml:space="preserve">                      </w:t>
      </w:r>
      <w:r>
        <w:rPr>
          <w:rFonts w:hAnsi="宋体"/>
          <w:bCs/>
          <w:color w:val="auto"/>
          <w:kern w:val="0"/>
          <w:szCs w:val="21"/>
          <w:highlight w:val="none"/>
        </w:rPr>
        <w:t>（</w:t>
      </w:r>
      <w:r>
        <w:rPr>
          <w:rFonts w:hint="eastAsia" w:hAnsi="宋体"/>
          <w:bCs/>
          <w:color w:val="auto"/>
          <w:kern w:val="0"/>
          <w:szCs w:val="21"/>
          <w:highlight w:val="none"/>
        </w:rPr>
        <w:t>供应商</w:t>
      </w:r>
      <w:r>
        <w:rPr>
          <w:rFonts w:hAnsi="宋体"/>
          <w:bCs/>
          <w:color w:val="auto"/>
          <w:kern w:val="0"/>
          <w:szCs w:val="21"/>
          <w:highlight w:val="none"/>
        </w:rPr>
        <w:t>名称）的法定代表人（负责人）。</w:t>
      </w:r>
    </w:p>
    <w:p w14:paraId="301E55B8">
      <w:pPr>
        <w:autoSpaceDE w:val="0"/>
        <w:autoSpaceDN w:val="0"/>
        <w:adjustRightInd w:val="0"/>
        <w:ind w:firstLine="1365" w:firstLineChars="650"/>
        <w:rPr>
          <w:rFonts w:hAnsi="宋体"/>
          <w:bCs/>
          <w:color w:val="auto"/>
          <w:kern w:val="0"/>
          <w:szCs w:val="21"/>
          <w:highlight w:val="none"/>
        </w:rPr>
      </w:pPr>
    </w:p>
    <w:p w14:paraId="230D247C">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特此证明。</w:t>
      </w:r>
    </w:p>
    <w:p w14:paraId="5391137B">
      <w:pPr>
        <w:autoSpaceDE w:val="0"/>
        <w:autoSpaceDN w:val="0"/>
        <w:adjustRightInd w:val="0"/>
        <w:rPr>
          <w:rFonts w:hAnsi="宋体"/>
          <w:bCs/>
          <w:color w:val="auto"/>
          <w:kern w:val="0"/>
          <w:szCs w:val="21"/>
          <w:highlight w:val="none"/>
        </w:rPr>
      </w:pPr>
    </w:p>
    <w:p w14:paraId="4155CCEB">
      <w:pPr>
        <w:autoSpaceDE w:val="0"/>
        <w:autoSpaceDN w:val="0"/>
        <w:adjustRightInd w:val="0"/>
        <w:ind w:firstLine="1365" w:firstLineChars="650"/>
        <w:rPr>
          <w:rFonts w:hAnsi="宋体"/>
          <w:bCs/>
          <w:color w:val="auto"/>
          <w:kern w:val="0"/>
          <w:szCs w:val="21"/>
          <w:highlight w:val="none"/>
        </w:rPr>
      </w:pPr>
    </w:p>
    <w:p w14:paraId="635E4406">
      <w:pPr>
        <w:autoSpaceDE w:val="0"/>
        <w:autoSpaceDN w:val="0"/>
        <w:adjustRightInd w:val="0"/>
        <w:ind w:firstLine="3360" w:firstLineChars="1600"/>
        <w:rPr>
          <w:rFonts w:hAnsi="宋体"/>
          <w:bCs/>
          <w:color w:val="auto"/>
          <w:kern w:val="0"/>
          <w:szCs w:val="21"/>
          <w:highlight w:val="none"/>
        </w:rPr>
      </w:pPr>
      <w:r>
        <w:rPr>
          <w:rFonts w:hint="eastAsia" w:hAnsi="宋体"/>
          <w:bCs/>
          <w:color w:val="auto"/>
          <w:kern w:val="0"/>
          <w:szCs w:val="21"/>
          <w:highlight w:val="none"/>
        </w:rPr>
        <w:t>供应商</w:t>
      </w:r>
      <w:r>
        <w:rPr>
          <w:rFonts w:hAnsi="宋体"/>
          <w:bCs/>
          <w:color w:val="auto"/>
          <w:kern w:val="0"/>
          <w:szCs w:val="21"/>
          <w:highlight w:val="none"/>
        </w:rPr>
        <w:t>名称：</w:t>
      </w:r>
      <w:r>
        <w:rPr>
          <w:rFonts w:hAnsi="宋体"/>
          <w:bCs/>
          <w:color w:val="auto"/>
          <w:kern w:val="0"/>
          <w:szCs w:val="21"/>
          <w:highlight w:val="none"/>
          <w:u w:val="single"/>
        </w:rPr>
        <w:t xml:space="preserve">                       </w:t>
      </w:r>
      <w:r>
        <w:rPr>
          <w:rFonts w:hAnsi="宋体"/>
          <w:bCs/>
          <w:color w:val="auto"/>
          <w:kern w:val="0"/>
          <w:szCs w:val="21"/>
          <w:highlight w:val="none"/>
        </w:rPr>
        <w:t>（盖章）</w:t>
      </w:r>
    </w:p>
    <w:p w14:paraId="67FCC3EA">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                        </w:t>
      </w:r>
    </w:p>
    <w:p w14:paraId="5EE3D98C">
      <w:pPr>
        <w:ind w:firstLine="3885" w:firstLineChars="1850"/>
        <w:rPr>
          <w:rFonts w:hAnsi="宋体"/>
          <w:color w:val="auto"/>
          <w:kern w:val="0"/>
          <w:szCs w:val="21"/>
          <w:highlight w:val="none"/>
        </w:rPr>
      </w:pPr>
      <w:r>
        <w:rPr>
          <w:rFonts w:hAnsi="宋体"/>
          <w:color w:val="auto"/>
          <w:kern w:val="0"/>
          <w:szCs w:val="21"/>
          <w:highlight w:val="none"/>
        </w:rPr>
        <w:t>日期：</w:t>
      </w:r>
      <w:r>
        <w:rPr>
          <w:rFonts w:hAnsi="宋体"/>
          <w:color w:val="auto"/>
          <w:kern w:val="0"/>
          <w:szCs w:val="21"/>
          <w:highlight w:val="none"/>
          <w:u w:val="single"/>
        </w:rPr>
        <w:t xml:space="preserve">  </w:t>
      </w:r>
      <w:r>
        <w:rPr>
          <w:rFonts w:hint="eastAsia" w:hAnsi="宋体"/>
          <w:color w:val="auto"/>
          <w:kern w:val="0"/>
          <w:szCs w:val="21"/>
          <w:highlight w:val="none"/>
          <w:u w:val="single"/>
        </w:rPr>
        <w:t xml:space="preserve">    </w:t>
      </w:r>
      <w:r>
        <w:rPr>
          <w:rFonts w:hAnsi="宋体"/>
          <w:color w:val="auto"/>
          <w:kern w:val="0"/>
          <w:szCs w:val="21"/>
          <w:highlight w:val="none"/>
          <w:u w:val="single"/>
        </w:rPr>
        <w:t xml:space="preserve">  </w:t>
      </w:r>
      <w:r>
        <w:rPr>
          <w:rFonts w:hAnsi="宋体"/>
          <w:color w:val="auto"/>
          <w:kern w:val="0"/>
          <w:szCs w:val="21"/>
          <w:highlight w:val="none"/>
        </w:rPr>
        <w:t>年</w:t>
      </w:r>
      <w:r>
        <w:rPr>
          <w:rFonts w:hAnsi="宋体"/>
          <w:color w:val="auto"/>
          <w:kern w:val="0"/>
          <w:szCs w:val="21"/>
          <w:highlight w:val="none"/>
          <w:u w:val="single"/>
        </w:rPr>
        <w:t xml:space="preserve">    </w:t>
      </w:r>
      <w:r>
        <w:rPr>
          <w:rFonts w:hAnsi="宋体"/>
          <w:color w:val="auto"/>
          <w:kern w:val="0"/>
          <w:szCs w:val="21"/>
          <w:highlight w:val="none"/>
        </w:rPr>
        <w:t>月</w:t>
      </w:r>
      <w:r>
        <w:rPr>
          <w:rFonts w:hAnsi="宋体"/>
          <w:color w:val="auto"/>
          <w:kern w:val="0"/>
          <w:szCs w:val="21"/>
          <w:highlight w:val="none"/>
          <w:u w:val="single"/>
        </w:rPr>
        <w:t xml:space="preserve">    </w:t>
      </w:r>
      <w:r>
        <w:rPr>
          <w:rFonts w:hAnsi="宋体"/>
          <w:color w:val="auto"/>
          <w:kern w:val="0"/>
          <w:szCs w:val="21"/>
          <w:highlight w:val="none"/>
        </w:rPr>
        <w:t>日</w:t>
      </w:r>
    </w:p>
    <w:p w14:paraId="299C9B65">
      <w:pPr>
        <w:spacing w:line="480" w:lineRule="exact"/>
        <w:ind w:firstLine="3885" w:firstLineChars="1850"/>
        <w:rPr>
          <w:rFonts w:hAnsi="宋体"/>
          <w:color w:val="auto"/>
          <w:kern w:val="0"/>
          <w:szCs w:val="21"/>
          <w:highlight w:val="none"/>
        </w:rPr>
      </w:pPr>
    </w:p>
    <w:tbl>
      <w:tblPr>
        <w:tblStyle w:val="57"/>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60AB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7AF83D79">
            <w:pPr>
              <w:spacing w:line="300" w:lineRule="auto"/>
              <w:ind w:left="86"/>
              <w:rPr>
                <w:rFonts w:hAnsi="宋体"/>
                <w:color w:val="auto"/>
                <w:szCs w:val="21"/>
                <w:highlight w:val="none"/>
              </w:rPr>
            </w:pPr>
            <w:r>
              <w:rPr>
                <w:rFonts w:hint="eastAsia" w:hAnsi="宋体"/>
                <w:color w:val="auto"/>
                <w:szCs w:val="21"/>
                <w:highlight w:val="none"/>
              </w:rPr>
              <w:t>粘贴法定代表人（负责人）身份证（复印件）</w:t>
            </w:r>
          </w:p>
          <w:p w14:paraId="26073ABF">
            <w:pPr>
              <w:spacing w:line="480" w:lineRule="exact"/>
              <w:ind w:left="86" w:firstLine="3885" w:firstLineChars="1850"/>
              <w:rPr>
                <w:rFonts w:hAnsi="宋体"/>
                <w:color w:val="auto"/>
                <w:kern w:val="0"/>
                <w:szCs w:val="21"/>
                <w:highlight w:val="none"/>
              </w:rPr>
            </w:pPr>
          </w:p>
          <w:p w14:paraId="21BE88AB">
            <w:pPr>
              <w:adjustRightInd w:val="0"/>
              <w:snapToGrid w:val="0"/>
              <w:spacing w:line="300" w:lineRule="auto"/>
              <w:jc w:val="center"/>
              <w:rPr>
                <w:rFonts w:hAnsi="宋体"/>
                <w:b/>
                <w:color w:val="auto"/>
                <w:sz w:val="28"/>
                <w:szCs w:val="28"/>
                <w:highlight w:val="none"/>
              </w:rPr>
            </w:pPr>
          </w:p>
          <w:p w14:paraId="64F3A23D">
            <w:pPr>
              <w:adjustRightInd w:val="0"/>
              <w:snapToGrid w:val="0"/>
              <w:spacing w:line="300" w:lineRule="auto"/>
              <w:jc w:val="center"/>
              <w:rPr>
                <w:rFonts w:hAnsi="宋体"/>
                <w:b/>
                <w:color w:val="auto"/>
                <w:sz w:val="28"/>
                <w:szCs w:val="28"/>
                <w:highlight w:val="none"/>
              </w:rPr>
            </w:pPr>
          </w:p>
          <w:p w14:paraId="7749F654">
            <w:pPr>
              <w:adjustRightInd w:val="0"/>
              <w:snapToGrid w:val="0"/>
              <w:spacing w:line="300" w:lineRule="auto"/>
              <w:jc w:val="center"/>
              <w:rPr>
                <w:rFonts w:hAnsi="宋体"/>
                <w:b/>
                <w:color w:val="auto"/>
                <w:sz w:val="28"/>
                <w:szCs w:val="28"/>
                <w:highlight w:val="none"/>
              </w:rPr>
            </w:pPr>
          </w:p>
          <w:p w14:paraId="1DEAADA3">
            <w:pPr>
              <w:adjustRightInd w:val="0"/>
              <w:snapToGrid w:val="0"/>
              <w:spacing w:line="300" w:lineRule="auto"/>
              <w:jc w:val="center"/>
              <w:rPr>
                <w:rFonts w:hAnsi="宋体"/>
                <w:b/>
                <w:color w:val="auto"/>
                <w:sz w:val="28"/>
                <w:szCs w:val="28"/>
                <w:highlight w:val="none"/>
              </w:rPr>
            </w:pPr>
          </w:p>
          <w:p w14:paraId="3A1F9594">
            <w:pPr>
              <w:adjustRightInd w:val="0"/>
              <w:snapToGrid w:val="0"/>
              <w:spacing w:line="300" w:lineRule="auto"/>
              <w:jc w:val="center"/>
              <w:rPr>
                <w:rFonts w:hAnsi="宋体"/>
                <w:color w:val="auto"/>
                <w:szCs w:val="21"/>
                <w:highlight w:val="none"/>
              </w:rPr>
            </w:pPr>
          </w:p>
        </w:tc>
      </w:tr>
    </w:tbl>
    <w:p w14:paraId="6366181A">
      <w:pPr>
        <w:wordWrap w:val="0"/>
        <w:spacing w:line="500" w:lineRule="exact"/>
        <w:jc w:val="right"/>
        <w:rPr>
          <w:rFonts w:hAnsi="宋体"/>
          <w:color w:val="auto"/>
          <w:szCs w:val="21"/>
          <w:highlight w:val="none"/>
        </w:rPr>
      </w:pPr>
    </w:p>
    <w:p w14:paraId="2250808A">
      <w:pPr>
        <w:adjustRightInd w:val="0"/>
        <w:snapToGrid w:val="0"/>
        <w:spacing w:line="300" w:lineRule="auto"/>
        <w:jc w:val="center"/>
        <w:rPr>
          <w:rFonts w:hAnsi="宋体"/>
          <w:b/>
          <w:color w:val="auto"/>
          <w:sz w:val="28"/>
          <w:szCs w:val="28"/>
          <w:highlight w:val="none"/>
        </w:rPr>
        <w:sectPr>
          <w:pgSz w:w="11907" w:h="16840"/>
          <w:pgMar w:top="1440" w:right="1440" w:bottom="1440" w:left="1418" w:header="851" w:footer="851" w:gutter="0"/>
          <w:cols w:space="720" w:num="1"/>
          <w:docGrid w:linePitch="312" w:charSpace="0"/>
        </w:sectPr>
      </w:pPr>
    </w:p>
    <w:p w14:paraId="22A9904C">
      <w:pPr>
        <w:adjustRightInd w:val="0"/>
        <w:snapToGrid w:val="0"/>
        <w:spacing w:line="300" w:lineRule="auto"/>
        <w:jc w:val="center"/>
        <w:rPr>
          <w:rFonts w:hAnsi="宋体"/>
          <w:b/>
          <w:color w:val="auto"/>
          <w:sz w:val="28"/>
          <w:szCs w:val="28"/>
          <w:highlight w:val="none"/>
        </w:rPr>
      </w:pPr>
      <w:r>
        <w:rPr>
          <w:rFonts w:hint="eastAsia" w:hAnsi="宋体"/>
          <w:b/>
          <w:color w:val="auto"/>
          <w:sz w:val="28"/>
          <w:szCs w:val="28"/>
          <w:highlight w:val="none"/>
        </w:rPr>
        <w:t>法定代表人（负责人）授权书</w:t>
      </w:r>
    </w:p>
    <w:p w14:paraId="230DB60A">
      <w:pPr>
        <w:adjustRightInd w:val="0"/>
        <w:snapToGrid w:val="0"/>
        <w:spacing w:line="520" w:lineRule="exact"/>
        <w:rPr>
          <w:rFonts w:hAnsi="宋体"/>
          <w:color w:val="auto"/>
          <w:sz w:val="28"/>
          <w:szCs w:val="28"/>
          <w:highlight w:val="none"/>
        </w:rPr>
      </w:pPr>
    </w:p>
    <w:p w14:paraId="533C3E1B">
      <w:pPr>
        <w:spacing w:line="520" w:lineRule="exact"/>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 xml:space="preserve"> </w:t>
      </w:r>
      <w:r>
        <w:rPr>
          <w:rFonts w:cs="Arial" w:asciiTheme="minorEastAsia" w:hAnsiTheme="minorEastAsia" w:eastAsiaTheme="minorEastAsia"/>
          <w:color w:val="auto"/>
          <w:szCs w:val="21"/>
          <w:highlight w:val="none"/>
          <w:u w:val="single"/>
        </w:rPr>
        <w:t>（采购人名称）</w:t>
      </w:r>
      <w:r>
        <w:rPr>
          <w:rFonts w:hint="eastAsia" w:hAnsi="宋体"/>
          <w:color w:val="auto"/>
          <w:szCs w:val="21"/>
          <w:highlight w:val="none"/>
          <w:u w:val="single"/>
        </w:rPr>
        <w:t xml:space="preserve">   </w:t>
      </w:r>
      <w:r>
        <w:rPr>
          <w:rFonts w:hint="eastAsia" w:hAnsi="宋体"/>
          <w:color w:val="auto"/>
          <w:szCs w:val="21"/>
          <w:highlight w:val="none"/>
        </w:rPr>
        <w:t>：</w:t>
      </w:r>
    </w:p>
    <w:p w14:paraId="3C4BDAD8">
      <w:pPr>
        <w:spacing w:line="520" w:lineRule="exact"/>
        <w:ind w:firstLine="420" w:firstLineChars="200"/>
        <w:rPr>
          <w:rFonts w:hAnsi="宋体"/>
          <w:color w:val="auto"/>
          <w:szCs w:val="21"/>
          <w:highlight w:val="none"/>
        </w:rPr>
      </w:pPr>
      <w:r>
        <w:rPr>
          <w:rFonts w:hint="eastAsia" w:hAnsi="宋体"/>
          <w:color w:val="auto"/>
          <w:szCs w:val="21"/>
          <w:highlight w:val="none"/>
        </w:rPr>
        <w:t>兹授权</w:t>
      </w:r>
      <w:r>
        <w:rPr>
          <w:rFonts w:hint="eastAsia" w:hAnsi="宋体"/>
          <w:color w:val="auto"/>
          <w:szCs w:val="21"/>
          <w:highlight w:val="none"/>
          <w:u w:val="single"/>
        </w:rPr>
        <w:t xml:space="preserve">      </w:t>
      </w:r>
      <w:r>
        <w:rPr>
          <w:rFonts w:hint="eastAsia" w:hAnsi="宋体"/>
          <w:color w:val="auto"/>
          <w:szCs w:val="21"/>
          <w:highlight w:val="none"/>
        </w:rPr>
        <w:t>同志为我公司参加贵单位组织的</w:t>
      </w:r>
      <w:r>
        <w:rPr>
          <w:rFonts w:hint="eastAsia" w:hAnsi="宋体"/>
          <w:color w:val="auto"/>
          <w:szCs w:val="21"/>
          <w:highlight w:val="none"/>
          <w:u w:val="single"/>
        </w:rPr>
        <w:t>（项目名称、编号：    ）</w:t>
      </w:r>
      <w:r>
        <w:rPr>
          <w:rFonts w:hint="eastAsia" w:hAnsi="宋体"/>
          <w:color w:val="auto"/>
          <w:szCs w:val="21"/>
          <w:highlight w:val="none"/>
        </w:rPr>
        <w:t>采购活动的磋商代表人，全权代表我公司处理在该项目活动中的一切事宜。代理期限从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日起至</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 xml:space="preserve">日止。 </w:t>
      </w:r>
    </w:p>
    <w:p w14:paraId="6DEF3E46">
      <w:pPr>
        <w:spacing w:line="520" w:lineRule="exact"/>
        <w:rPr>
          <w:rFonts w:hAnsi="宋体"/>
          <w:color w:val="auto"/>
          <w:szCs w:val="21"/>
          <w:highlight w:val="none"/>
        </w:rPr>
      </w:pPr>
    </w:p>
    <w:p w14:paraId="1F7C8A6A">
      <w:pPr>
        <w:wordWrap w:val="0"/>
        <w:spacing w:line="520" w:lineRule="exact"/>
        <w:rPr>
          <w:rFonts w:hAnsi="宋体"/>
          <w:color w:val="auto"/>
          <w:szCs w:val="21"/>
          <w:highlight w:val="none"/>
        </w:rPr>
      </w:pPr>
      <w:r>
        <w:rPr>
          <w:rFonts w:hint="eastAsia" w:hAnsi="宋体"/>
          <w:color w:val="auto"/>
          <w:szCs w:val="21"/>
          <w:highlight w:val="none"/>
        </w:rPr>
        <w:t>磋商供应商（盖章）：</w:t>
      </w:r>
      <w:r>
        <w:rPr>
          <w:rFonts w:hint="eastAsia" w:hAnsi="宋体"/>
          <w:color w:val="auto"/>
          <w:szCs w:val="21"/>
          <w:highlight w:val="none"/>
          <w:u w:val="single"/>
        </w:rPr>
        <w:t xml:space="preserve">               </w:t>
      </w:r>
    </w:p>
    <w:p w14:paraId="70291104">
      <w:pPr>
        <w:wordWrap w:val="0"/>
        <w:spacing w:line="520" w:lineRule="exact"/>
        <w:rPr>
          <w:rFonts w:hAnsi="宋体"/>
          <w:color w:val="auto"/>
          <w:szCs w:val="21"/>
          <w:highlight w:val="none"/>
        </w:rPr>
      </w:pPr>
      <w:r>
        <w:rPr>
          <w:rFonts w:hint="eastAsia" w:hAnsi="宋体"/>
          <w:color w:val="auto"/>
          <w:szCs w:val="21"/>
          <w:highlight w:val="none"/>
        </w:rPr>
        <w:t>法定代表人（负责人）（签字）：</w:t>
      </w:r>
      <w:r>
        <w:rPr>
          <w:rFonts w:hint="eastAsia" w:hAnsi="宋体"/>
          <w:color w:val="auto"/>
          <w:szCs w:val="21"/>
          <w:highlight w:val="none"/>
          <w:u w:val="single"/>
        </w:rPr>
        <w:t xml:space="preserve">       </w:t>
      </w:r>
    </w:p>
    <w:p w14:paraId="2CB00A2F">
      <w:pPr>
        <w:spacing w:line="520" w:lineRule="exact"/>
        <w:rPr>
          <w:rFonts w:hAnsi="宋体"/>
          <w:color w:val="auto"/>
          <w:szCs w:val="21"/>
          <w:highlight w:val="none"/>
        </w:rPr>
      </w:pPr>
      <w:r>
        <w:rPr>
          <w:rFonts w:hint="eastAsia" w:hAnsi="宋体"/>
          <w:color w:val="auto"/>
          <w:szCs w:val="21"/>
          <w:highlight w:val="none"/>
        </w:rPr>
        <w:t>签发日期：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013B8172">
      <w:pPr>
        <w:spacing w:line="520" w:lineRule="exact"/>
        <w:rPr>
          <w:rFonts w:hAnsi="宋体"/>
          <w:color w:val="auto"/>
          <w:szCs w:val="21"/>
          <w:highlight w:val="none"/>
        </w:rPr>
      </w:pPr>
    </w:p>
    <w:p w14:paraId="1C0E74D1">
      <w:pPr>
        <w:wordWrap w:val="0"/>
        <w:spacing w:line="520" w:lineRule="exact"/>
        <w:ind w:firstLine="420" w:firstLineChars="200"/>
        <w:rPr>
          <w:rFonts w:hAnsi="宋体"/>
          <w:color w:val="auto"/>
          <w:szCs w:val="21"/>
          <w:highlight w:val="none"/>
        </w:rPr>
      </w:pPr>
      <w:r>
        <w:rPr>
          <w:rFonts w:hint="eastAsia" w:hAnsi="宋体"/>
          <w:color w:val="auto"/>
          <w:szCs w:val="21"/>
          <w:highlight w:val="none"/>
        </w:rPr>
        <w:t>附：磋商代表人：       年龄：</w:t>
      </w:r>
      <w:r>
        <w:rPr>
          <w:rFonts w:hint="eastAsia" w:hAnsi="宋体"/>
          <w:color w:val="auto"/>
          <w:szCs w:val="21"/>
          <w:highlight w:val="none"/>
          <w:u w:val="single"/>
        </w:rPr>
        <w:t xml:space="preserve">       </w:t>
      </w:r>
      <w:r>
        <w:rPr>
          <w:rFonts w:hint="eastAsia" w:hAnsi="宋体"/>
          <w:color w:val="auto"/>
          <w:szCs w:val="21"/>
          <w:highlight w:val="none"/>
        </w:rPr>
        <w:t xml:space="preserve">    </w:t>
      </w:r>
      <w:r>
        <w:rPr>
          <w:rFonts w:hint="eastAsia" w:hAnsi="宋体"/>
          <w:color w:val="auto"/>
          <w:szCs w:val="21"/>
          <w:highlight w:val="none"/>
          <w:u w:val="single"/>
        </w:rPr>
        <w:t xml:space="preserve">           </w:t>
      </w:r>
    </w:p>
    <w:p w14:paraId="4F1FCA52">
      <w:pPr>
        <w:wordWrap w:val="0"/>
        <w:spacing w:line="520" w:lineRule="exact"/>
        <w:ind w:firstLine="420" w:firstLineChars="200"/>
        <w:rPr>
          <w:rFonts w:hAnsi="宋体"/>
          <w:color w:val="auto"/>
          <w:szCs w:val="21"/>
          <w:highlight w:val="none"/>
        </w:rPr>
      </w:pPr>
      <w:r>
        <w:rPr>
          <w:rFonts w:hint="eastAsia" w:hAnsi="宋体"/>
          <w:color w:val="auto"/>
          <w:szCs w:val="21"/>
          <w:highlight w:val="none"/>
        </w:rPr>
        <w:t>职务：                 性别：</w:t>
      </w:r>
      <w:r>
        <w:rPr>
          <w:rFonts w:hint="eastAsia" w:hAnsi="宋体"/>
          <w:color w:val="auto"/>
          <w:szCs w:val="21"/>
          <w:highlight w:val="none"/>
          <w:u w:val="single"/>
        </w:rPr>
        <w:t xml:space="preserve">             </w:t>
      </w:r>
    </w:p>
    <w:p w14:paraId="1BB7575B">
      <w:pPr>
        <w:wordWrap w:val="0"/>
        <w:adjustRightInd w:val="0"/>
        <w:snapToGrid w:val="0"/>
        <w:spacing w:line="520" w:lineRule="exact"/>
        <w:ind w:firstLine="420" w:firstLineChars="200"/>
        <w:rPr>
          <w:rFonts w:hAnsi="宋体"/>
          <w:color w:val="auto"/>
          <w:szCs w:val="21"/>
          <w:highlight w:val="none"/>
          <w:u w:val="single"/>
        </w:rPr>
      </w:pPr>
      <w:r>
        <w:rPr>
          <w:rFonts w:hint="eastAsia" w:hAnsi="宋体"/>
          <w:color w:val="auto"/>
          <w:szCs w:val="21"/>
          <w:highlight w:val="none"/>
        </w:rPr>
        <w:t>身份证号码：</w:t>
      </w:r>
      <w:r>
        <w:rPr>
          <w:rFonts w:hint="eastAsia" w:hAnsi="宋体"/>
          <w:color w:val="auto"/>
          <w:szCs w:val="21"/>
          <w:highlight w:val="none"/>
          <w:u w:val="single"/>
        </w:rPr>
        <w:t xml:space="preserve">                              </w:t>
      </w:r>
    </w:p>
    <w:p w14:paraId="308E6594">
      <w:pPr>
        <w:adjustRightInd w:val="0"/>
        <w:snapToGrid w:val="0"/>
        <w:spacing w:line="520" w:lineRule="exact"/>
        <w:ind w:firstLine="420" w:firstLineChars="200"/>
        <w:rPr>
          <w:rFonts w:hAnsi="宋体"/>
          <w:color w:val="auto"/>
          <w:szCs w:val="21"/>
          <w:highlight w:val="none"/>
          <w:u w:val="single"/>
        </w:rPr>
      </w:pPr>
    </w:p>
    <w:tbl>
      <w:tblPr>
        <w:tblStyle w:val="5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31A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8350" w:type="dxa"/>
          </w:tcPr>
          <w:p w14:paraId="134E6289">
            <w:pPr>
              <w:spacing w:line="300" w:lineRule="auto"/>
              <w:rPr>
                <w:rFonts w:hAnsi="宋体"/>
                <w:color w:val="auto"/>
                <w:szCs w:val="21"/>
                <w:highlight w:val="none"/>
              </w:rPr>
            </w:pPr>
            <w:r>
              <w:rPr>
                <w:rFonts w:hint="eastAsia" w:hAnsi="宋体"/>
                <w:color w:val="auto"/>
                <w:szCs w:val="21"/>
                <w:highlight w:val="none"/>
              </w:rPr>
              <w:t>粘贴被授权人身份证及法定代表人（负责人）身份证（复印件）</w:t>
            </w:r>
          </w:p>
        </w:tc>
      </w:tr>
    </w:tbl>
    <w:p w14:paraId="450D6B46">
      <w:pPr>
        <w:spacing w:line="300" w:lineRule="auto"/>
        <w:jc w:val="center"/>
        <w:rPr>
          <w:rFonts w:hAnsi="宋体"/>
          <w:b/>
          <w:color w:val="auto"/>
          <w:sz w:val="32"/>
          <w:szCs w:val="32"/>
          <w:highlight w:val="none"/>
        </w:rPr>
      </w:pPr>
    </w:p>
    <w:p w14:paraId="6FC5E183">
      <w:pPr>
        <w:ind w:right="384" w:rightChars="183"/>
        <w:jc w:val="center"/>
        <w:rPr>
          <w:rFonts w:hAnsi="宋体"/>
          <w:b/>
          <w:color w:val="auto"/>
          <w:szCs w:val="21"/>
          <w:highlight w:val="none"/>
        </w:rPr>
      </w:pPr>
    </w:p>
    <w:p w14:paraId="6ED18B34">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13CB3B63">
      <w:pPr>
        <w:spacing w:line="500" w:lineRule="exact"/>
        <w:rPr>
          <w:rFonts w:hAnsi="宋体"/>
          <w:color w:val="auto"/>
          <w:szCs w:val="21"/>
          <w:highlight w:val="none"/>
        </w:rPr>
      </w:pPr>
      <w:r>
        <w:rPr>
          <w:rFonts w:hint="eastAsia" w:hAnsi="宋体"/>
          <w:color w:val="auto"/>
          <w:szCs w:val="21"/>
          <w:highlight w:val="none"/>
        </w:rPr>
        <w:t>3、农民工工资保证金的交纳与使用承诺书</w:t>
      </w:r>
    </w:p>
    <w:p w14:paraId="6F68426F">
      <w:pPr>
        <w:spacing w:after="120"/>
        <w:ind w:firstLine="210" w:firstLineChars="100"/>
        <w:rPr>
          <w:rFonts w:ascii="Calibri" w:hAnsi="Calibri"/>
          <w:color w:val="auto"/>
          <w:szCs w:val="24"/>
          <w:highlight w:val="none"/>
        </w:rPr>
      </w:pPr>
    </w:p>
    <w:p w14:paraId="15CA761F">
      <w:pPr>
        <w:spacing w:after="120"/>
        <w:ind w:firstLine="210" w:firstLineChars="100"/>
        <w:rPr>
          <w:rFonts w:ascii="Calibri" w:hAnsi="Calibri"/>
          <w:color w:val="auto"/>
          <w:szCs w:val="24"/>
          <w:highlight w:val="none"/>
        </w:rPr>
      </w:pPr>
    </w:p>
    <w:p w14:paraId="2D96ACB2">
      <w:pPr>
        <w:autoSpaceDE w:val="0"/>
        <w:autoSpaceDN w:val="0"/>
        <w:adjustRightInd w:val="0"/>
        <w:spacing w:line="360" w:lineRule="auto"/>
        <w:ind w:right="384" w:rightChars="183" w:firstLine="562" w:firstLineChars="200"/>
        <w:jc w:val="center"/>
        <w:rPr>
          <w:rFonts w:cs="Arial" w:asciiTheme="minorEastAsia" w:hAnsiTheme="minorEastAsia" w:eastAsiaTheme="minorEastAsia"/>
          <w:b/>
          <w:color w:val="auto"/>
          <w:sz w:val="28"/>
          <w:highlight w:val="none"/>
        </w:rPr>
      </w:pPr>
      <w:r>
        <w:rPr>
          <w:rFonts w:cs="Arial" w:asciiTheme="minorEastAsia" w:hAnsiTheme="minorEastAsia" w:eastAsiaTheme="minorEastAsia"/>
          <w:b/>
          <w:color w:val="auto"/>
          <w:sz w:val="28"/>
          <w:highlight w:val="none"/>
        </w:rPr>
        <w:t>农民工工资保证金的交纳与使用承诺书</w:t>
      </w:r>
    </w:p>
    <w:p w14:paraId="189EB648">
      <w:pPr>
        <w:ind w:right="384" w:rightChars="183"/>
        <w:rPr>
          <w:rFonts w:cs="Arial" w:asciiTheme="minorEastAsia" w:hAnsiTheme="minorEastAsia" w:eastAsiaTheme="minorEastAsia"/>
          <w:color w:val="auto"/>
          <w:sz w:val="28"/>
          <w:highlight w:val="none"/>
        </w:rPr>
      </w:pPr>
    </w:p>
    <w:p w14:paraId="2E74AB85">
      <w:pPr>
        <w:spacing w:line="360" w:lineRule="auto"/>
        <w:ind w:right="384" w:rightChars="183"/>
        <w:rPr>
          <w:rFonts w:cs="Arial" w:asciiTheme="minorEastAsia" w:hAnsiTheme="minorEastAsia" w:eastAsiaTheme="minorEastAsia"/>
          <w:b/>
          <w:color w:val="auto"/>
          <w:szCs w:val="21"/>
          <w:highlight w:val="none"/>
          <w:u w:val="single"/>
        </w:rPr>
      </w:pPr>
      <w:r>
        <w:rPr>
          <w:rFonts w:cs="Arial" w:asciiTheme="minorEastAsia" w:hAnsiTheme="minorEastAsia" w:eastAsiaTheme="minorEastAsia"/>
          <w:color w:val="auto"/>
          <w:szCs w:val="21"/>
          <w:highlight w:val="none"/>
        </w:rPr>
        <w:t>致：</w:t>
      </w:r>
      <w:r>
        <w:rPr>
          <w:rFonts w:cs="Arial" w:asciiTheme="minorEastAsia" w:hAnsiTheme="minorEastAsia" w:eastAsiaTheme="minorEastAsia"/>
          <w:b/>
          <w:color w:val="auto"/>
          <w:szCs w:val="21"/>
          <w:highlight w:val="none"/>
          <w:u w:val="single"/>
        </w:rPr>
        <w:t xml:space="preserve">          </w:t>
      </w:r>
      <w:r>
        <w:rPr>
          <w:rFonts w:cs="Arial" w:asciiTheme="minorEastAsia" w:hAnsiTheme="minorEastAsia" w:eastAsiaTheme="minorEastAsia"/>
          <w:color w:val="auto"/>
          <w:szCs w:val="21"/>
          <w:highlight w:val="none"/>
          <w:u w:val="single"/>
        </w:rPr>
        <w:t>（采购人名称）</w:t>
      </w:r>
      <w:r>
        <w:rPr>
          <w:rFonts w:cs="Arial" w:asciiTheme="minorEastAsia" w:hAnsiTheme="minorEastAsia" w:eastAsiaTheme="minorEastAsia"/>
          <w:b/>
          <w:color w:val="auto"/>
          <w:szCs w:val="21"/>
          <w:highlight w:val="none"/>
          <w:u w:val="single"/>
        </w:rPr>
        <w:t xml:space="preserve">        </w:t>
      </w:r>
    </w:p>
    <w:p w14:paraId="07C3D651">
      <w:pPr>
        <w:spacing w:line="360" w:lineRule="auto"/>
        <w:ind w:right="384" w:rightChars="183"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一、我方对农民工工资保证金的交纳与使用作出以下承诺：</w:t>
      </w:r>
    </w:p>
    <w:p w14:paraId="725B55D7">
      <w:pPr>
        <w:adjustRightInd w:val="0"/>
        <w:spacing w:line="360" w:lineRule="auto"/>
        <w:ind w:right="384" w:rightChars="183" w:firstLine="420" w:firstLineChars="200"/>
        <w:jc w:val="left"/>
        <w:textAlignment w:val="baseline"/>
        <w:rPr>
          <w:rFonts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1、</w:t>
      </w:r>
      <w:r>
        <w:rPr>
          <w:rFonts w:cs="Arial" w:asciiTheme="minorEastAsia" w:hAnsiTheme="minorEastAsia" w:eastAsiaTheme="minorEastAsia"/>
          <w:color w:val="auto"/>
          <w:szCs w:val="21"/>
          <w:highlight w:val="none"/>
        </w:rPr>
        <w:t>一旦我方在</w:t>
      </w:r>
      <w:r>
        <w:rPr>
          <w:rFonts w:hint="eastAsia" w:cs="Arial" w:asciiTheme="minorEastAsia" w:hAnsiTheme="minorEastAsia" w:eastAsiaTheme="minorEastAsia"/>
          <w:color w:val="auto"/>
          <w:szCs w:val="21"/>
          <w:highlight w:val="none"/>
          <w:u w:val="single"/>
        </w:rPr>
        <w:t xml:space="preserve">               </w:t>
      </w:r>
      <w:r>
        <w:rPr>
          <w:rFonts w:cs="Arial" w:asciiTheme="minorEastAsia" w:hAnsiTheme="minorEastAsia" w:eastAsiaTheme="minorEastAsia"/>
          <w:color w:val="auto"/>
          <w:szCs w:val="21"/>
          <w:highlight w:val="none"/>
        </w:rPr>
        <w:t>（工程项目名称）成交，</w:t>
      </w:r>
      <w:r>
        <w:rPr>
          <w:rFonts w:cs="Arial" w:asciiTheme="minorEastAsia" w:hAnsiTheme="minorEastAsia" w:eastAsiaTheme="minorEastAsia"/>
          <w:color w:val="auto"/>
          <w:kern w:val="0"/>
          <w:szCs w:val="21"/>
          <w:highlight w:val="none"/>
        </w:rPr>
        <w:t>在收到成交通知书后7个工作日内，按照相关规定将农民工工资保证金足额存入</w:t>
      </w:r>
      <w:r>
        <w:rPr>
          <w:rFonts w:hint="eastAsia" w:cs="Arial" w:asciiTheme="minorEastAsia" w:hAnsiTheme="minorEastAsia" w:eastAsiaTheme="minorEastAsia"/>
          <w:color w:val="auto"/>
          <w:kern w:val="0"/>
          <w:szCs w:val="21"/>
          <w:highlight w:val="none"/>
        </w:rPr>
        <w:t>建设</w:t>
      </w:r>
      <w:r>
        <w:rPr>
          <w:rFonts w:cs="Arial" w:asciiTheme="minorEastAsia" w:hAnsiTheme="minorEastAsia" w:eastAsiaTheme="minorEastAsia"/>
          <w:color w:val="auto"/>
          <w:kern w:val="0"/>
          <w:szCs w:val="21"/>
          <w:highlight w:val="none"/>
        </w:rPr>
        <w:t>部门指定的账户。</w:t>
      </w:r>
    </w:p>
    <w:p w14:paraId="2E4F5C49">
      <w:pPr>
        <w:adjustRightInd w:val="0"/>
        <w:spacing w:line="360" w:lineRule="auto"/>
        <w:ind w:right="384" w:rightChars="183" w:firstLine="420" w:firstLineChars="200"/>
        <w:jc w:val="left"/>
        <w:textAlignment w:val="baseline"/>
        <w:rPr>
          <w:rFonts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2、一旦承包的建设工程项目中出项拖欠农民工工资情况的，由有关部门按规定在成交企业的农民工工资保证金中先予支取。</w:t>
      </w:r>
    </w:p>
    <w:p w14:paraId="75430DCE">
      <w:pPr>
        <w:spacing w:line="360" w:lineRule="auto"/>
        <w:ind w:right="384" w:rightChars="183"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3、我方在成交后如不按时足额存入农民工工资保证金的，采购人有权取消我方成交资格。</w:t>
      </w:r>
    </w:p>
    <w:p w14:paraId="59F8C34E">
      <w:pPr>
        <w:spacing w:line="360" w:lineRule="auto"/>
        <w:ind w:right="384" w:rightChars="183" w:firstLine="495"/>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二、工资支付情况：</w:t>
      </w:r>
    </w:p>
    <w:p w14:paraId="3C6728BA">
      <w:pPr>
        <w:spacing w:line="360" w:lineRule="auto"/>
        <w:ind w:right="384" w:rightChars="183" w:firstLine="495"/>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根据《广西壮族自治区劳动和社会保障厅建设厅关于进一步完善建筑行业农民工工资保证金制度的通知》(桂劳社发[2009]50号)的规定，磋商供应商必须如实反映以前所承建工程中工资支付情况，须特别注明截止磋商之日止是否存在拖欠或克扣农民工工资的行为。否则响应文件按废标处理。</w:t>
      </w:r>
    </w:p>
    <w:p w14:paraId="4708E74B">
      <w:pPr>
        <w:spacing w:line="360" w:lineRule="auto"/>
        <w:ind w:right="384" w:rightChars="183" w:firstLine="495"/>
        <w:rPr>
          <w:rFonts w:cs="Arial" w:asciiTheme="minorEastAsia" w:hAnsiTheme="minorEastAsia" w:eastAsiaTheme="minorEastAsia"/>
          <w:color w:val="auto"/>
          <w:szCs w:val="21"/>
          <w:highlight w:val="none"/>
        </w:rPr>
      </w:pPr>
    </w:p>
    <w:p w14:paraId="31567F66">
      <w:pPr>
        <w:spacing w:line="480" w:lineRule="auto"/>
        <w:ind w:right="384" w:rightChars="183"/>
        <w:rPr>
          <w:rFonts w:cs="Arial" w:asciiTheme="minorEastAsia" w:hAnsiTheme="minorEastAsia" w:eastAsiaTheme="minorEastAsia"/>
          <w:color w:val="auto"/>
          <w:szCs w:val="21"/>
          <w:highlight w:val="none"/>
        </w:rPr>
      </w:pPr>
    </w:p>
    <w:p w14:paraId="65CD34AD">
      <w:pPr>
        <w:wordWrap w:val="0"/>
        <w:spacing w:line="360" w:lineRule="auto"/>
        <w:ind w:right="384" w:rightChars="183" w:firstLine="3255" w:firstLineChars="1550"/>
        <w:jc w:val="right"/>
        <w:rPr>
          <w:rFonts w:cs="Arial" w:asciiTheme="minorEastAsia" w:hAnsiTheme="minorEastAsia" w:eastAsiaTheme="minorEastAsia"/>
          <w:color w:val="auto"/>
          <w:szCs w:val="21"/>
          <w:highlight w:val="none"/>
          <w:u w:val="single"/>
        </w:rPr>
      </w:pPr>
      <w:r>
        <w:rPr>
          <w:rFonts w:hint="eastAsia" w:cs="Arial" w:asciiTheme="minorEastAsia" w:hAnsiTheme="minorEastAsia" w:eastAsiaTheme="minorEastAsia"/>
          <w:color w:val="auto"/>
          <w:szCs w:val="21"/>
          <w:highlight w:val="none"/>
        </w:rPr>
        <w:t>供应商名称</w:t>
      </w:r>
      <w:r>
        <w:rPr>
          <w:rFonts w:hint="eastAsia" w:asciiTheme="minorEastAsia" w:hAnsiTheme="minorEastAsia" w:eastAsiaTheme="minorEastAsia"/>
          <w:color w:val="auto"/>
          <w:szCs w:val="21"/>
          <w:highlight w:val="none"/>
        </w:rPr>
        <w:t>（盖章）</w:t>
      </w:r>
      <w:r>
        <w:rPr>
          <w:rFonts w:hint="eastAsia"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u w:val="single"/>
        </w:rPr>
        <w:t xml:space="preserve">                        </w:t>
      </w:r>
    </w:p>
    <w:p w14:paraId="20833176">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681E8C3C">
      <w:pPr>
        <w:wordWrap w:val="0"/>
        <w:spacing w:line="360" w:lineRule="auto"/>
        <w:ind w:right="420" w:firstLine="5460" w:firstLineChars="2600"/>
        <w:rPr>
          <w:rFonts w:ascii="Calibri" w:hAnsi="Calibri"/>
          <w:color w:val="auto"/>
          <w:szCs w:val="24"/>
          <w:highlight w:val="none"/>
        </w:rPr>
      </w:pPr>
    </w:p>
    <w:p w14:paraId="7267062C">
      <w:pPr>
        <w:spacing w:after="120"/>
        <w:ind w:firstLine="210" w:firstLineChars="100"/>
        <w:rPr>
          <w:rFonts w:ascii="Calibri" w:hAnsi="Calibri"/>
          <w:color w:val="auto"/>
          <w:szCs w:val="24"/>
          <w:highlight w:val="none"/>
        </w:rPr>
      </w:pPr>
    </w:p>
    <w:p w14:paraId="564636C3">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7F7C7562">
      <w:pPr>
        <w:spacing w:after="120"/>
        <w:ind w:firstLine="210" w:firstLineChars="100"/>
        <w:rPr>
          <w:rFonts w:hAnsi="宋体"/>
          <w:color w:val="auto"/>
          <w:szCs w:val="21"/>
          <w:highlight w:val="none"/>
        </w:rPr>
      </w:pPr>
      <w:r>
        <w:rPr>
          <w:rFonts w:hint="eastAsia" w:hAnsi="宋体"/>
          <w:color w:val="auto"/>
          <w:szCs w:val="21"/>
          <w:highlight w:val="none"/>
        </w:rPr>
        <w:t>4、</w:t>
      </w:r>
      <w:r>
        <w:rPr>
          <w:rFonts w:hint="eastAsia" w:hAnsi="宋体" w:cs="宋体"/>
          <w:color w:val="auto"/>
          <w:szCs w:val="21"/>
          <w:highlight w:val="none"/>
        </w:rPr>
        <w:t>安全防护、文明施工措施方案及费用专用的承诺书（按桂建质[2015]16号文执行）</w:t>
      </w:r>
    </w:p>
    <w:p w14:paraId="10053D3C">
      <w:pPr>
        <w:autoSpaceDE w:val="0"/>
        <w:autoSpaceDN w:val="0"/>
        <w:adjustRightInd w:val="0"/>
        <w:spacing w:line="360" w:lineRule="auto"/>
        <w:ind w:right="384" w:rightChars="183" w:firstLine="562" w:firstLineChars="200"/>
        <w:jc w:val="center"/>
        <w:rPr>
          <w:rFonts w:cs="Arial" w:asciiTheme="minorEastAsia" w:hAnsiTheme="minorEastAsia" w:eastAsiaTheme="minorEastAsia"/>
          <w:b/>
          <w:color w:val="auto"/>
          <w:sz w:val="28"/>
          <w:highlight w:val="none"/>
        </w:rPr>
      </w:pPr>
      <w:r>
        <w:rPr>
          <w:rFonts w:hint="eastAsia" w:cs="Arial" w:asciiTheme="minorEastAsia" w:hAnsiTheme="minorEastAsia" w:eastAsiaTheme="minorEastAsia"/>
          <w:b/>
          <w:color w:val="auto"/>
          <w:sz w:val="28"/>
          <w:highlight w:val="none"/>
        </w:rPr>
        <w:t>安全防护、文明施工措施方案及费用专用的承诺书</w:t>
      </w:r>
    </w:p>
    <w:p w14:paraId="183A2C10">
      <w:pPr>
        <w:autoSpaceDE w:val="0"/>
        <w:autoSpaceDN w:val="0"/>
        <w:adjustRightInd w:val="0"/>
        <w:jc w:val="left"/>
        <w:rPr>
          <w:rFonts w:hAnsi="宋体" w:cs="宋体"/>
          <w:color w:val="auto"/>
          <w:kern w:val="0"/>
          <w:sz w:val="24"/>
          <w:szCs w:val="24"/>
          <w:highlight w:val="none"/>
        </w:rPr>
      </w:pPr>
    </w:p>
    <w:p w14:paraId="4F9ACEBC">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致：</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（建设单位）</w:t>
      </w:r>
    </w:p>
    <w:p w14:paraId="78E2268A">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根据桂建质[2015]16文件规定，我方在此向建设单位承诺：</w:t>
      </w:r>
    </w:p>
    <w:p w14:paraId="30FD9D77">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1、我方参与磋商的</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14:paraId="0336C8F1">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2、如我方在承包的</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（工程名称） 项目中出现未按桂建质[2015]16文附件一规定执行的情形，我方意愿意按照相关规定接受建设单位及有关主管部门的处罚。</w:t>
      </w:r>
    </w:p>
    <w:p w14:paraId="516E3CDE">
      <w:pPr>
        <w:autoSpaceDE w:val="0"/>
        <w:autoSpaceDN w:val="0"/>
        <w:adjustRightInd w:val="0"/>
        <w:spacing w:line="360" w:lineRule="auto"/>
        <w:ind w:firstLine="480" w:firstLineChars="200"/>
        <w:jc w:val="left"/>
        <w:rPr>
          <w:rFonts w:hAnsi="宋体" w:cs="宋体"/>
          <w:color w:val="auto"/>
          <w:kern w:val="0"/>
          <w:sz w:val="24"/>
          <w:szCs w:val="24"/>
          <w:highlight w:val="none"/>
        </w:rPr>
      </w:pPr>
    </w:p>
    <w:p w14:paraId="2703CAB2">
      <w:pPr>
        <w:spacing w:line="520" w:lineRule="exact"/>
        <w:ind w:left="-10" w:firstLine="455" w:firstLineChars="217"/>
        <w:jc w:val="left"/>
        <w:rPr>
          <w:rFonts w:asciiTheme="minorEastAsia" w:hAnsiTheme="minorEastAsia" w:eastAsiaTheme="minorEastAsia"/>
          <w:color w:val="auto"/>
          <w:highlight w:val="none"/>
        </w:rPr>
      </w:pPr>
    </w:p>
    <w:p w14:paraId="47D1BC2E">
      <w:pPr>
        <w:spacing w:after="120"/>
        <w:ind w:firstLine="210" w:firstLineChars="100"/>
        <w:jc w:val="center"/>
        <w:rPr>
          <w:rFonts w:hAnsi="宋体"/>
          <w:color w:val="auto"/>
          <w:szCs w:val="21"/>
          <w:highlight w:val="none"/>
        </w:rPr>
      </w:pPr>
    </w:p>
    <w:p w14:paraId="4D564CF3">
      <w:pPr>
        <w:wordWrap w:val="0"/>
        <w:spacing w:line="360" w:lineRule="auto"/>
        <w:ind w:right="384" w:rightChars="183" w:firstLine="3255" w:firstLineChars="1550"/>
        <w:jc w:val="right"/>
        <w:rPr>
          <w:rFonts w:cs="Arial" w:asciiTheme="minorEastAsia" w:hAnsiTheme="minorEastAsia" w:eastAsiaTheme="minorEastAsia"/>
          <w:color w:val="auto"/>
          <w:szCs w:val="21"/>
          <w:highlight w:val="none"/>
          <w:u w:val="single"/>
        </w:rPr>
      </w:pPr>
      <w:r>
        <w:rPr>
          <w:rFonts w:hint="eastAsia" w:cs="Arial" w:asciiTheme="minorEastAsia" w:hAnsiTheme="minorEastAsia" w:eastAsiaTheme="minorEastAsia"/>
          <w:color w:val="auto"/>
          <w:szCs w:val="21"/>
          <w:highlight w:val="none"/>
        </w:rPr>
        <w:t>供应商名称</w:t>
      </w:r>
      <w:r>
        <w:rPr>
          <w:rFonts w:hint="eastAsia" w:asciiTheme="minorEastAsia" w:hAnsiTheme="minorEastAsia" w:eastAsiaTheme="minorEastAsia"/>
          <w:color w:val="auto"/>
          <w:szCs w:val="21"/>
          <w:highlight w:val="none"/>
        </w:rPr>
        <w:t>（盖章）</w:t>
      </w:r>
      <w:r>
        <w:rPr>
          <w:rFonts w:hint="eastAsia"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u w:val="single"/>
        </w:rPr>
        <w:t xml:space="preserve">                        </w:t>
      </w:r>
    </w:p>
    <w:p w14:paraId="44BC60A6">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71E47601">
      <w:pPr>
        <w:wordWrap w:val="0"/>
        <w:spacing w:line="360" w:lineRule="auto"/>
        <w:jc w:val="right"/>
        <w:rPr>
          <w:rFonts w:hAnsi="宋体"/>
          <w:color w:val="auto"/>
          <w:szCs w:val="21"/>
          <w:highlight w:val="none"/>
        </w:rPr>
      </w:pPr>
    </w:p>
    <w:p w14:paraId="7EBAC032">
      <w:pPr>
        <w:rPr>
          <w:rFonts w:ascii="Calibri" w:hAnsi="Calibri"/>
          <w:color w:val="auto"/>
          <w:szCs w:val="24"/>
          <w:highlight w:val="none"/>
        </w:rPr>
      </w:pPr>
    </w:p>
    <w:p w14:paraId="677187DE">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2015751">
      <w:pPr>
        <w:spacing w:line="440" w:lineRule="exact"/>
        <w:ind w:firstLine="420" w:firstLineChars="200"/>
        <w:rPr>
          <w:rFonts w:hAnsi="宋体"/>
          <w:color w:val="auto"/>
          <w:szCs w:val="21"/>
          <w:highlight w:val="none"/>
        </w:rPr>
      </w:pPr>
      <w:r>
        <w:rPr>
          <w:rFonts w:hint="eastAsia" w:hAnsi="宋体"/>
          <w:color w:val="auto"/>
          <w:szCs w:val="21"/>
          <w:highlight w:val="none"/>
        </w:rPr>
        <w:t>5、项目经理简历表</w:t>
      </w:r>
    </w:p>
    <w:p w14:paraId="18DB6137">
      <w:pPr>
        <w:spacing w:line="480" w:lineRule="exact"/>
        <w:jc w:val="center"/>
        <w:rPr>
          <w:rFonts w:hAnsi="宋体"/>
          <w:b/>
          <w:color w:val="auto"/>
          <w:sz w:val="24"/>
          <w:szCs w:val="28"/>
          <w:highlight w:val="none"/>
        </w:rPr>
      </w:pPr>
      <w:r>
        <w:rPr>
          <w:rFonts w:hint="eastAsia" w:hAnsi="宋体"/>
          <w:b/>
          <w:color w:val="auto"/>
          <w:sz w:val="24"/>
          <w:szCs w:val="28"/>
          <w:highlight w:val="none"/>
        </w:rPr>
        <w:t>项目经理（注册建造师）简历表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75"/>
        <w:gridCol w:w="405"/>
        <w:gridCol w:w="1065"/>
        <w:gridCol w:w="105"/>
        <w:gridCol w:w="1170"/>
        <w:gridCol w:w="405"/>
        <w:gridCol w:w="1155"/>
        <w:gridCol w:w="420"/>
        <w:gridCol w:w="420"/>
        <w:gridCol w:w="1155"/>
        <w:gridCol w:w="1575"/>
      </w:tblGrid>
      <w:tr w14:paraId="591070E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62686298">
            <w:pPr>
              <w:autoSpaceDE w:val="0"/>
              <w:autoSpaceDN w:val="0"/>
              <w:spacing w:line="480" w:lineRule="exact"/>
              <w:jc w:val="center"/>
              <w:rPr>
                <w:rFonts w:hAnsi="宋体"/>
                <w:color w:val="auto"/>
                <w:sz w:val="24"/>
                <w:highlight w:val="none"/>
              </w:rPr>
            </w:pPr>
            <w:r>
              <w:rPr>
                <w:rFonts w:hint="eastAsia" w:hAnsi="宋体"/>
                <w:color w:val="auto"/>
                <w:sz w:val="24"/>
                <w:highlight w:val="none"/>
              </w:rPr>
              <w:t>姓 名</w:t>
            </w:r>
          </w:p>
        </w:tc>
        <w:tc>
          <w:tcPr>
            <w:tcW w:w="1065" w:type="dxa"/>
            <w:tcBorders>
              <w:bottom w:val="single" w:color="000000" w:sz="4" w:space="0"/>
              <w:right w:val="single" w:color="000000" w:sz="4" w:space="0"/>
            </w:tcBorders>
            <w:vAlign w:val="center"/>
          </w:tcPr>
          <w:p w14:paraId="0B9BAB15">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42BABA00">
            <w:pPr>
              <w:autoSpaceDE w:val="0"/>
              <w:autoSpaceDN w:val="0"/>
              <w:spacing w:line="480" w:lineRule="exact"/>
              <w:jc w:val="center"/>
              <w:rPr>
                <w:rFonts w:hAnsi="宋体"/>
                <w:color w:val="auto"/>
                <w:sz w:val="24"/>
                <w:highlight w:val="none"/>
              </w:rPr>
            </w:pPr>
            <w:r>
              <w:rPr>
                <w:rFonts w:hint="eastAsia" w:hAnsi="宋体"/>
                <w:color w:val="auto"/>
                <w:sz w:val="24"/>
                <w:highlight w:val="none"/>
              </w:rPr>
              <w:t>性别</w:t>
            </w:r>
          </w:p>
        </w:tc>
        <w:tc>
          <w:tcPr>
            <w:tcW w:w="1560" w:type="dxa"/>
            <w:gridSpan w:val="2"/>
            <w:tcBorders>
              <w:bottom w:val="single" w:color="000000" w:sz="4" w:space="0"/>
              <w:right w:val="single" w:color="000000" w:sz="4" w:space="0"/>
            </w:tcBorders>
            <w:vAlign w:val="center"/>
          </w:tcPr>
          <w:p w14:paraId="3C45F892">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4D510FC2">
            <w:pPr>
              <w:autoSpaceDE w:val="0"/>
              <w:autoSpaceDN w:val="0"/>
              <w:spacing w:line="480" w:lineRule="exact"/>
              <w:jc w:val="center"/>
              <w:rPr>
                <w:rFonts w:hAnsi="宋体"/>
                <w:color w:val="auto"/>
                <w:sz w:val="24"/>
                <w:highlight w:val="none"/>
              </w:rPr>
            </w:pPr>
            <w:r>
              <w:rPr>
                <w:rFonts w:hint="eastAsia" w:hAnsi="宋体"/>
                <w:color w:val="auto"/>
                <w:sz w:val="24"/>
                <w:highlight w:val="none"/>
              </w:rPr>
              <w:t>年龄</w:t>
            </w:r>
          </w:p>
        </w:tc>
        <w:tc>
          <w:tcPr>
            <w:tcW w:w="2730" w:type="dxa"/>
            <w:gridSpan w:val="2"/>
            <w:tcBorders>
              <w:bottom w:val="single" w:color="000000" w:sz="4" w:space="0"/>
              <w:right w:val="single" w:color="000000" w:sz="4" w:space="0"/>
            </w:tcBorders>
            <w:vAlign w:val="center"/>
          </w:tcPr>
          <w:p w14:paraId="6BF13FE2">
            <w:pPr>
              <w:autoSpaceDE w:val="0"/>
              <w:autoSpaceDN w:val="0"/>
              <w:spacing w:line="480" w:lineRule="exact"/>
              <w:jc w:val="center"/>
              <w:rPr>
                <w:rFonts w:hAnsi="宋体"/>
                <w:color w:val="auto"/>
                <w:sz w:val="24"/>
                <w:highlight w:val="none"/>
              </w:rPr>
            </w:pPr>
          </w:p>
        </w:tc>
      </w:tr>
      <w:tr w14:paraId="615B027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4D71D0F4">
            <w:pPr>
              <w:autoSpaceDE w:val="0"/>
              <w:autoSpaceDN w:val="0"/>
              <w:spacing w:line="480" w:lineRule="exact"/>
              <w:jc w:val="center"/>
              <w:rPr>
                <w:rFonts w:hAnsi="宋体"/>
                <w:color w:val="auto"/>
                <w:sz w:val="24"/>
                <w:highlight w:val="none"/>
              </w:rPr>
            </w:pPr>
            <w:r>
              <w:rPr>
                <w:rFonts w:hint="eastAsia" w:hAnsi="宋体"/>
                <w:color w:val="auto"/>
                <w:sz w:val="24"/>
                <w:highlight w:val="none"/>
              </w:rPr>
              <w:t>职 务</w:t>
            </w:r>
          </w:p>
        </w:tc>
        <w:tc>
          <w:tcPr>
            <w:tcW w:w="1065" w:type="dxa"/>
            <w:tcBorders>
              <w:bottom w:val="single" w:color="000000" w:sz="4" w:space="0"/>
              <w:right w:val="single" w:color="000000" w:sz="4" w:space="0"/>
            </w:tcBorders>
            <w:vAlign w:val="center"/>
          </w:tcPr>
          <w:p w14:paraId="5DD99C44">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3F32290D">
            <w:pPr>
              <w:autoSpaceDE w:val="0"/>
              <w:autoSpaceDN w:val="0"/>
              <w:spacing w:line="480" w:lineRule="exact"/>
              <w:jc w:val="center"/>
              <w:rPr>
                <w:rFonts w:hAnsi="宋体"/>
                <w:color w:val="auto"/>
                <w:sz w:val="24"/>
                <w:highlight w:val="none"/>
              </w:rPr>
            </w:pPr>
            <w:r>
              <w:rPr>
                <w:rFonts w:hint="eastAsia" w:hAnsi="宋体"/>
                <w:color w:val="auto"/>
                <w:sz w:val="24"/>
                <w:highlight w:val="none"/>
              </w:rPr>
              <w:t>职称</w:t>
            </w:r>
          </w:p>
        </w:tc>
        <w:tc>
          <w:tcPr>
            <w:tcW w:w="1560" w:type="dxa"/>
            <w:gridSpan w:val="2"/>
            <w:tcBorders>
              <w:bottom w:val="single" w:color="000000" w:sz="4" w:space="0"/>
              <w:right w:val="single" w:color="000000" w:sz="4" w:space="0"/>
            </w:tcBorders>
            <w:vAlign w:val="center"/>
          </w:tcPr>
          <w:p w14:paraId="060D695A">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362727C8">
            <w:pPr>
              <w:autoSpaceDE w:val="0"/>
              <w:autoSpaceDN w:val="0"/>
              <w:spacing w:line="480" w:lineRule="exact"/>
              <w:jc w:val="center"/>
              <w:rPr>
                <w:rFonts w:hAnsi="宋体"/>
                <w:color w:val="auto"/>
                <w:sz w:val="24"/>
                <w:highlight w:val="none"/>
              </w:rPr>
            </w:pPr>
            <w:r>
              <w:rPr>
                <w:rFonts w:hint="eastAsia" w:hAnsi="宋体"/>
                <w:color w:val="auto"/>
                <w:sz w:val="24"/>
                <w:highlight w:val="none"/>
              </w:rPr>
              <w:t>学历</w:t>
            </w:r>
          </w:p>
        </w:tc>
        <w:tc>
          <w:tcPr>
            <w:tcW w:w="2730" w:type="dxa"/>
            <w:gridSpan w:val="2"/>
            <w:tcBorders>
              <w:bottom w:val="single" w:color="000000" w:sz="4" w:space="0"/>
              <w:right w:val="single" w:color="000000" w:sz="4" w:space="0"/>
            </w:tcBorders>
            <w:vAlign w:val="center"/>
          </w:tcPr>
          <w:p w14:paraId="0DFD405A">
            <w:pPr>
              <w:autoSpaceDE w:val="0"/>
              <w:autoSpaceDN w:val="0"/>
              <w:spacing w:line="480" w:lineRule="exact"/>
              <w:jc w:val="center"/>
              <w:rPr>
                <w:rFonts w:hAnsi="宋体"/>
                <w:color w:val="auto"/>
                <w:sz w:val="24"/>
                <w:highlight w:val="none"/>
              </w:rPr>
            </w:pPr>
          </w:p>
        </w:tc>
      </w:tr>
      <w:tr w14:paraId="2E1A977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tcPr>
          <w:p w14:paraId="33981882">
            <w:pPr>
              <w:autoSpaceDE w:val="0"/>
              <w:autoSpaceDN w:val="0"/>
              <w:spacing w:line="480" w:lineRule="exact"/>
              <w:jc w:val="center"/>
              <w:rPr>
                <w:rFonts w:hAnsi="宋体"/>
                <w:color w:val="auto"/>
                <w:sz w:val="24"/>
                <w:highlight w:val="none"/>
              </w:rPr>
            </w:pPr>
            <w:r>
              <w:rPr>
                <w:rFonts w:hint="eastAsia" w:hAnsi="宋体"/>
                <w:color w:val="auto"/>
                <w:sz w:val="24"/>
                <w:highlight w:val="none"/>
              </w:rPr>
              <w:t>参加工作时间</w:t>
            </w:r>
          </w:p>
        </w:tc>
        <w:tc>
          <w:tcPr>
            <w:tcW w:w="1065" w:type="dxa"/>
            <w:tcBorders>
              <w:bottom w:val="single" w:color="000000" w:sz="4" w:space="0"/>
              <w:right w:val="single" w:color="000000" w:sz="4" w:space="0"/>
            </w:tcBorders>
          </w:tcPr>
          <w:p w14:paraId="25D50B72">
            <w:pPr>
              <w:autoSpaceDE w:val="0"/>
              <w:autoSpaceDN w:val="0"/>
              <w:spacing w:line="480" w:lineRule="exact"/>
              <w:jc w:val="center"/>
              <w:rPr>
                <w:rFonts w:hAnsi="宋体"/>
                <w:color w:val="auto"/>
                <w:sz w:val="24"/>
                <w:highlight w:val="none"/>
              </w:rPr>
            </w:pPr>
          </w:p>
        </w:tc>
        <w:tc>
          <w:tcPr>
            <w:tcW w:w="2835" w:type="dxa"/>
            <w:gridSpan w:val="4"/>
            <w:tcBorders>
              <w:bottom w:val="single" w:color="000000" w:sz="4" w:space="0"/>
              <w:right w:val="single" w:color="000000" w:sz="4" w:space="0"/>
            </w:tcBorders>
          </w:tcPr>
          <w:p w14:paraId="683EE80D">
            <w:pPr>
              <w:autoSpaceDE w:val="0"/>
              <w:autoSpaceDN w:val="0"/>
              <w:spacing w:line="480" w:lineRule="exact"/>
              <w:jc w:val="center"/>
              <w:rPr>
                <w:rFonts w:hAnsi="宋体"/>
                <w:color w:val="auto"/>
                <w:sz w:val="24"/>
                <w:highlight w:val="none"/>
              </w:rPr>
            </w:pPr>
            <w:r>
              <w:rPr>
                <w:rFonts w:hint="eastAsia" w:hAnsi="宋体"/>
                <w:color w:val="auto"/>
                <w:sz w:val="24"/>
                <w:highlight w:val="none"/>
              </w:rPr>
              <w:t>从事项目经理年限</w:t>
            </w:r>
          </w:p>
        </w:tc>
        <w:tc>
          <w:tcPr>
            <w:tcW w:w="840" w:type="dxa"/>
            <w:gridSpan w:val="2"/>
            <w:tcBorders>
              <w:bottom w:val="single" w:color="000000" w:sz="4" w:space="0"/>
              <w:right w:val="single" w:color="000000" w:sz="4" w:space="0"/>
            </w:tcBorders>
          </w:tcPr>
          <w:p w14:paraId="6C31E338">
            <w:pPr>
              <w:autoSpaceDE w:val="0"/>
              <w:autoSpaceDN w:val="0"/>
              <w:spacing w:line="480" w:lineRule="exact"/>
              <w:jc w:val="center"/>
              <w:rPr>
                <w:rFonts w:hAnsi="宋体"/>
                <w:color w:val="auto"/>
                <w:sz w:val="24"/>
                <w:highlight w:val="none"/>
              </w:rPr>
            </w:pPr>
          </w:p>
        </w:tc>
        <w:tc>
          <w:tcPr>
            <w:tcW w:w="1155" w:type="dxa"/>
            <w:tcBorders>
              <w:bottom w:val="single" w:color="000000" w:sz="4" w:space="0"/>
              <w:right w:val="single" w:color="000000" w:sz="4" w:space="0"/>
            </w:tcBorders>
          </w:tcPr>
          <w:p w14:paraId="07A50725">
            <w:pPr>
              <w:autoSpaceDE w:val="0"/>
              <w:autoSpaceDN w:val="0"/>
              <w:spacing w:line="480" w:lineRule="exact"/>
              <w:jc w:val="center"/>
              <w:rPr>
                <w:rFonts w:hAnsi="宋体"/>
                <w:color w:val="auto"/>
                <w:sz w:val="24"/>
                <w:highlight w:val="none"/>
              </w:rPr>
            </w:pPr>
            <w:r>
              <w:rPr>
                <w:rFonts w:hint="eastAsia" w:hAnsi="宋体"/>
                <w:color w:val="auto"/>
                <w:sz w:val="24"/>
                <w:highlight w:val="none"/>
              </w:rPr>
              <w:t>证书号</w:t>
            </w:r>
          </w:p>
        </w:tc>
        <w:tc>
          <w:tcPr>
            <w:tcW w:w="1575" w:type="dxa"/>
            <w:tcBorders>
              <w:bottom w:val="single" w:color="000000" w:sz="4" w:space="0"/>
              <w:right w:val="single" w:color="000000" w:sz="4" w:space="0"/>
            </w:tcBorders>
          </w:tcPr>
          <w:p w14:paraId="63002560">
            <w:pPr>
              <w:autoSpaceDE w:val="0"/>
              <w:autoSpaceDN w:val="0"/>
              <w:spacing w:line="480" w:lineRule="exact"/>
              <w:jc w:val="center"/>
              <w:rPr>
                <w:rFonts w:hAnsi="宋体"/>
                <w:color w:val="auto"/>
                <w:sz w:val="24"/>
                <w:highlight w:val="none"/>
              </w:rPr>
            </w:pPr>
          </w:p>
        </w:tc>
      </w:tr>
      <w:tr w14:paraId="0C1083A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450" w:type="dxa"/>
            <w:gridSpan w:val="11"/>
            <w:tcBorders>
              <w:bottom w:val="single" w:color="000000" w:sz="4" w:space="0"/>
              <w:right w:val="single" w:color="000000" w:sz="4" w:space="0"/>
            </w:tcBorders>
          </w:tcPr>
          <w:p w14:paraId="0351F509">
            <w:pPr>
              <w:autoSpaceDE w:val="0"/>
              <w:autoSpaceDN w:val="0"/>
              <w:spacing w:line="480" w:lineRule="exact"/>
              <w:jc w:val="center"/>
              <w:rPr>
                <w:rFonts w:hAnsi="宋体"/>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33D6918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575" w:type="dxa"/>
            <w:tcBorders>
              <w:bottom w:val="single" w:color="000000" w:sz="4" w:space="0"/>
              <w:right w:val="single" w:color="000000" w:sz="4" w:space="0"/>
            </w:tcBorders>
          </w:tcPr>
          <w:p w14:paraId="3362FA26">
            <w:pPr>
              <w:autoSpaceDE w:val="0"/>
              <w:autoSpaceDN w:val="0"/>
              <w:spacing w:line="480" w:lineRule="exact"/>
              <w:jc w:val="center"/>
              <w:rPr>
                <w:rFonts w:hAnsi="宋体"/>
                <w:color w:val="auto"/>
                <w:sz w:val="24"/>
                <w:highlight w:val="none"/>
              </w:rPr>
            </w:pPr>
            <w:r>
              <w:rPr>
                <w:rFonts w:hint="eastAsia" w:hAnsi="宋体"/>
                <w:color w:val="auto"/>
                <w:sz w:val="24"/>
                <w:highlight w:val="none"/>
              </w:rPr>
              <w:t>建设单位</w:t>
            </w:r>
          </w:p>
        </w:tc>
        <w:tc>
          <w:tcPr>
            <w:tcW w:w="1575" w:type="dxa"/>
            <w:gridSpan w:val="3"/>
            <w:tcBorders>
              <w:bottom w:val="single" w:color="000000" w:sz="4" w:space="0"/>
              <w:right w:val="single" w:color="000000" w:sz="4" w:space="0"/>
            </w:tcBorders>
          </w:tcPr>
          <w:p w14:paraId="0F78CE9B">
            <w:pPr>
              <w:autoSpaceDE w:val="0"/>
              <w:autoSpaceDN w:val="0"/>
              <w:spacing w:line="480" w:lineRule="exact"/>
              <w:jc w:val="center"/>
              <w:rPr>
                <w:rFonts w:hAnsi="宋体"/>
                <w:color w:val="auto"/>
                <w:sz w:val="24"/>
                <w:highlight w:val="none"/>
              </w:rPr>
            </w:pPr>
            <w:r>
              <w:rPr>
                <w:rFonts w:hint="eastAsia" w:hAnsi="宋体"/>
                <w:color w:val="auto"/>
                <w:sz w:val="24"/>
                <w:highlight w:val="none"/>
              </w:rPr>
              <w:t>项目名称</w:t>
            </w:r>
          </w:p>
        </w:tc>
        <w:tc>
          <w:tcPr>
            <w:tcW w:w="1575" w:type="dxa"/>
            <w:gridSpan w:val="2"/>
            <w:tcBorders>
              <w:bottom w:val="single" w:color="000000" w:sz="4" w:space="0"/>
              <w:right w:val="single" w:color="000000" w:sz="4" w:space="0"/>
            </w:tcBorders>
          </w:tcPr>
          <w:p w14:paraId="6610FB04">
            <w:pPr>
              <w:autoSpaceDE w:val="0"/>
              <w:autoSpaceDN w:val="0"/>
              <w:spacing w:line="480" w:lineRule="exact"/>
              <w:jc w:val="center"/>
              <w:rPr>
                <w:rFonts w:hAnsi="宋体"/>
                <w:color w:val="auto"/>
                <w:sz w:val="24"/>
                <w:highlight w:val="none"/>
              </w:rPr>
            </w:pPr>
            <w:r>
              <w:rPr>
                <w:rFonts w:hint="eastAsia" w:hAnsi="宋体"/>
                <w:color w:val="auto"/>
                <w:sz w:val="24"/>
                <w:highlight w:val="none"/>
              </w:rPr>
              <w:t>建设规模</w:t>
            </w:r>
          </w:p>
        </w:tc>
        <w:tc>
          <w:tcPr>
            <w:tcW w:w="1575" w:type="dxa"/>
            <w:gridSpan w:val="2"/>
            <w:tcBorders>
              <w:bottom w:val="single" w:color="000000" w:sz="4" w:space="0"/>
              <w:right w:val="single" w:color="auto" w:sz="4" w:space="0"/>
            </w:tcBorders>
          </w:tcPr>
          <w:p w14:paraId="291807DE">
            <w:pPr>
              <w:autoSpaceDE w:val="0"/>
              <w:autoSpaceDN w:val="0"/>
              <w:spacing w:line="480" w:lineRule="exact"/>
              <w:jc w:val="center"/>
              <w:rPr>
                <w:rFonts w:hAnsi="宋体"/>
                <w:color w:val="auto"/>
                <w:sz w:val="24"/>
                <w:highlight w:val="none"/>
              </w:rPr>
            </w:pPr>
            <w:r>
              <w:rPr>
                <w:rFonts w:hint="eastAsia" w:hAnsi="宋体"/>
                <w:color w:val="auto"/>
                <w:sz w:val="24"/>
                <w:highlight w:val="none"/>
              </w:rPr>
              <w:t>结构类型</w:t>
            </w:r>
          </w:p>
        </w:tc>
        <w:tc>
          <w:tcPr>
            <w:tcW w:w="1575" w:type="dxa"/>
            <w:gridSpan w:val="2"/>
            <w:tcBorders>
              <w:left w:val="single" w:color="auto" w:sz="4" w:space="0"/>
              <w:bottom w:val="single" w:color="000000" w:sz="4" w:space="0"/>
              <w:right w:val="single" w:color="000000" w:sz="4" w:space="0"/>
            </w:tcBorders>
          </w:tcPr>
          <w:p w14:paraId="1A6758FD">
            <w:pPr>
              <w:autoSpaceDE w:val="0"/>
              <w:autoSpaceDN w:val="0"/>
              <w:spacing w:line="480" w:lineRule="exact"/>
              <w:jc w:val="center"/>
              <w:rPr>
                <w:rFonts w:hAnsi="宋体"/>
                <w:color w:val="auto"/>
                <w:sz w:val="24"/>
                <w:highlight w:val="none"/>
              </w:rPr>
            </w:pPr>
            <w:r>
              <w:rPr>
                <w:rFonts w:hint="eastAsia" w:hAnsi="宋体"/>
                <w:color w:val="auto"/>
                <w:sz w:val="24"/>
                <w:highlight w:val="none"/>
              </w:rPr>
              <w:t>开、竣工日期</w:t>
            </w:r>
          </w:p>
        </w:tc>
        <w:tc>
          <w:tcPr>
            <w:tcW w:w="1575" w:type="dxa"/>
            <w:tcBorders>
              <w:bottom w:val="single" w:color="000000" w:sz="4" w:space="0"/>
              <w:right w:val="single" w:color="000000" w:sz="4" w:space="0"/>
            </w:tcBorders>
          </w:tcPr>
          <w:p w14:paraId="59187688">
            <w:pPr>
              <w:autoSpaceDE w:val="0"/>
              <w:autoSpaceDN w:val="0"/>
              <w:spacing w:line="480" w:lineRule="exact"/>
              <w:jc w:val="center"/>
              <w:rPr>
                <w:rFonts w:hAnsi="宋体"/>
                <w:color w:val="auto"/>
                <w:sz w:val="24"/>
                <w:highlight w:val="none"/>
              </w:rPr>
            </w:pPr>
            <w:r>
              <w:rPr>
                <w:rFonts w:hint="eastAsia" w:hAnsi="宋体"/>
                <w:color w:val="auto"/>
                <w:sz w:val="24"/>
                <w:highlight w:val="none"/>
              </w:rPr>
              <w:t>工程质量</w:t>
            </w:r>
          </w:p>
        </w:tc>
      </w:tr>
      <w:tr w14:paraId="0F0F4F0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575" w:type="dxa"/>
            <w:tcBorders>
              <w:bottom w:val="single" w:color="000000" w:sz="4" w:space="0"/>
              <w:right w:val="single" w:color="000000" w:sz="4" w:space="0"/>
            </w:tcBorders>
          </w:tcPr>
          <w:p w14:paraId="6C0D3E0E">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24FBCFF1">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33E1A623">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33DAD6FE">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2DAEBCDA">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20F71FAB">
            <w:pPr>
              <w:autoSpaceDE w:val="0"/>
              <w:autoSpaceDN w:val="0"/>
              <w:spacing w:line="480" w:lineRule="exact"/>
              <w:rPr>
                <w:rFonts w:hAnsi="宋体"/>
                <w:color w:val="auto"/>
                <w:sz w:val="24"/>
                <w:highlight w:val="none"/>
              </w:rPr>
            </w:pPr>
          </w:p>
        </w:tc>
      </w:tr>
      <w:tr w14:paraId="3212A27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1575" w:type="dxa"/>
            <w:tcBorders>
              <w:bottom w:val="single" w:color="000000" w:sz="4" w:space="0"/>
              <w:right w:val="single" w:color="000000" w:sz="4" w:space="0"/>
            </w:tcBorders>
          </w:tcPr>
          <w:p w14:paraId="2DC5B149">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4BA32FE9">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3969A851">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3A66EE5E">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21C115F9">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0D251910">
            <w:pPr>
              <w:autoSpaceDE w:val="0"/>
              <w:autoSpaceDN w:val="0"/>
              <w:spacing w:line="480" w:lineRule="exact"/>
              <w:rPr>
                <w:rFonts w:hAnsi="宋体"/>
                <w:color w:val="auto"/>
                <w:sz w:val="24"/>
                <w:highlight w:val="none"/>
              </w:rPr>
            </w:pPr>
          </w:p>
        </w:tc>
      </w:tr>
      <w:tr w14:paraId="0D542AA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2783C6A1">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019B79E9">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17176162">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EF0E4A4">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77DBE1A2">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36B185B5">
            <w:pPr>
              <w:autoSpaceDE w:val="0"/>
              <w:autoSpaceDN w:val="0"/>
              <w:spacing w:line="480" w:lineRule="exact"/>
              <w:rPr>
                <w:rFonts w:hAnsi="宋体"/>
                <w:color w:val="auto"/>
                <w:sz w:val="24"/>
                <w:highlight w:val="none"/>
              </w:rPr>
            </w:pPr>
          </w:p>
        </w:tc>
      </w:tr>
      <w:tr w14:paraId="39B7119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73D11ECF">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3BCE8D4A">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10A05C6C">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352BA278">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4C704A84">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6A2A1A61">
            <w:pPr>
              <w:autoSpaceDE w:val="0"/>
              <w:autoSpaceDN w:val="0"/>
              <w:spacing w:line="480" w:lineRule="exact"/>
              <w:rPr>
                <w:rFonts w:hAnsi="宋体"/>
                <w:color w:val="auto"/>
                <w:sz w:val="24"/>
                <w:highlight w:val="none"/>
              </w:rPr>
            </w:pPr>
          </w:p>
        </w:tc>
      </w:tr>
    </w:tbl>
    <w:p w14:paraId="46EDE985">
      <w:pPr>
        <w:autoSpaceDE w:val="0"/>
        <w:autoSpaceDN w:val="0"/>
        <w:adjustRightInd w:val="0"/>
        <w:spacing w:line="480" w:lineRule="exact"/>
        <w:rPr>
          <w:rFonts w:ascii="Arial" w:hAnsi="Arial" w:cs="Arial"/>
          <w:color w:val="auto"/>
          <w:szCs w:val="21"/>
          <w:highlight w:val="none"/>
        </w:rPr>
      </w:pPr>
      <w:r>
        <w:rPr>
          <w:rFonts w:ascii="Arial" w:hAnsi="宋体" w:cs="Arial"/>
          <w:color w:val="auto"/>
          <w:szCs w:val="21"/>
          <w:highlight w:val="none"/>
        </w:rPr>
        <w:t>附：</w:t>
      </w:r>
      <w:r>
        <w:rPr>
          <w:rFonts w:ascii="Arial" w:hAnsi="Arial" w:cs="Arial"/>
          <w:color w:val="auto"/>
          <w:szCs w:val="21"/>
          <w:highlight w:val="none"/>
        </w:rPr>
        <w:t>1</w:t>
      </w:r>
      <w:r>
        <w:rPr>
          <w:rFonts w:ascii="Arial" w:hAnsi="宋体" w:cs="Arial"/>
          <w:color w:val="auto"/>
          <w:szCs w:val="21"/>
          <w:highlight w:val="none"/>
        </w:rPr>
        <w:t>、附项目经理注册建造师证、职称证、安全生产考核证复印件，并加盖法人单位公章。</w:t>
      </w:r>
    </w:p>
    <w:p w14:paraId="4C35D7FD">
      <w:pPr>
        <w:spacing w:line="440" w:lineRule="exact"/>
        <w:ind w:firstLine="420" w:firstLineChars="200"/>
        <w:rPr>
          <w:rFonts w:ascii="Arial" w:hAnsi="宋体" w:cs="Arial"/>
          <w:color w:val="auto"/>
          <w:szCs w:val="21"/>
          <w:highlight w:val="none"/>
        </w:rPr>
      </w:pPr>
      <w:r>
        <w:rPr>
          <w:rFonts w:ascii="Arial" w:hAnsi="Arial" w:cs="Arial"/>
          <w:color w:val="auto"/>
          <w:szCs w:val="21"/>
          <w:highlight w:val="none"/>
        </w:rPr>
        <w:t xml:space="preserve">    2</w:t>
      </w:r>
      <w:r>
        <w:rPr>
          <w:rFonts w:ascii="Arial" w:hAnsi="宋体" w:cs="Arial"/>
          <w:color w:val="auto"/>
          <w:szCs w:val="21"/>
          <w:highlight w:val="none"/>
        </w:rPr>
        <w:t>、类似工程</w:t>
      </w:r>
      <w:r>
        <w:rPr>
          <w:rFonts w:hint="eastAsia" w:ascii="Arial" w:hAnsi="宋体" w:cs="Arial"/>
          <w:color w:val="auto"/>
          <w:szCs w:val="21"/>
          <w:highlight w:val="none"/>
        </w:rPr>
        <w:t>（如有）</w:t>
      </w:r>
      <w:r>
        <w:rPr>
          <w:rFonts w:ascii="Arial" w:hAnsi="宋体" w:cs="Arial"/>
          <w:color w:val="auto"/>
          <w:szCs w:val="21"/>
          <w:highlight w:val="none"/>
        </w:rPr>
        <w:t>指近</w:t>
      </w:r>
      <w:r>
        <w:rPr>
          <w:rFonts w:ascii="Arial" w:hAnsi="Arial" w:cs="Arial"/>
          <w:color w:val="auto"/>
          <w:szCs w:val="21"/>
          <w:highlight w:val="none"/>
        </w:rPr>
        <w:t>3</w:t>
      </w:r>
      <w:r>
        <w:rPr>
          <w:rFonts w:ascii="Arial" w:hAnsi="宋体" w:cs="Arial"/>
          <w:color w:val="auto"/>
          <w:szCs w:val="21"/>
          <w:highlight w:val="none"/>
        </w:rPr>
        <w:t>年来承建的工程。</w:t>
      </w:r>
    </w:p>
    <w:p w14:paraId="730CEB3F">
      <w:pPr>
        <w:spacing w:line="440" w:lineRule="exact"/>
        <w:ind w:firstLine="420" w:firstLineChars="200"/>
        <w:rPr>
          <w:rFonts w:ascii="Arial" w:hAnsi="宋体" w:cs="Arial"/>
          <w:color w:val="auto"/>
          <w:szCs w:val="21"/>
          <w:highlight w:val="none"/>
        </w:rPr>
      </w:pPr>
    </w:p>
    <w:p w14:paraId="41B772A2">
      <w:pPr>
        <w:spacing w:line="440" w:lineRule="exact"/>
        <w:ind w:firstLine="420" w:firstLineChars="200"/>
        <w:rPr>
          <w:rFonts w:ascii="Arial" w:hAnsi="宋体" w:cs="Arial"/>
          <w:color w:val="auto"/>
          <w:szCs w:val="21"/>
          <w:highlight w:val="none"/>
        </w:rPr>
      </w:pPr>
    </w:p>
    <w:p w14:paraId="6AEC7304">
      <w:pPr>
        <w:spacing w:line="44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44EF4AC2">
      <w:pPr>
        <w:spacing w:line="440" w:lineRule="exact"/>
        <w:ind w:firstLine="420" w:firstLineChars="200"/>
        <w:rPr>
          <w:rFonts w:hAnsi="宋体"/>
          <w:color w:val="auto"/>
          <w:szCs w:val="21"/>
          <w:highlight w:val="none"/>
        </w:rPr>
      </w:pPr>
      <w:r>
        <w:rPr>
          <w:rFonts w:hint="eastAsia" w:hAnsi="宋体"/>
          <w:color w:val="auto"/>
          <w:szCs w:val="21"/>
          <w:highlight w:val="none"/>
        </w:rPr>
        <w:t>6、项目技术负责人简历表</w:t>
      </w:r>
    </w:p>
    <w:p w14:paraId="45E62BFD">
      <w:pPr>
        <w:spacing w:line="360" w:lineRule="auto"/>
        <w:jc w:val="center"/>
        <w:rPr>
          <w:rFonts w:hAnsi="宋体"/>
          <w:b/>
          <w:color w:val="auto"/>
          <w:sz w:val="24"/>
          <w:szCs w:val="28"/>
          <w:highlight w:val="none"/>
        </w:rPr>
      </w:pPr>
      <w:r>
        <w:rPr>
          <w:rFonts w:hint="eastAsia" w:hAnsi="宋体"/>
          <w:b/>
          <w:color w:val="auto"/>
          <w:sz w:val="24"/>
          <w:szCs w:val="28"/>
          <w:highlight w:val="none"/>
        </w:rPr>
        <w:t>项目技术负责人简历表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686"/>
        <w:gridCol w:w="1530"/>
      </w:tblGrid>
      <w:tr w14:paraId="17EF2A2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5924E986">
            <w:pPr>
              <w:autoSpaceDE w:val="0"/>
              <w:autoSpaceDN w:val="0"/>
              <w:jc w:val="center"/>
              <w:rPr>
                <w:rFonts w:hAnsi="宋体"/>
                <w:color w:val="auto"/>
                <w:sz w:val="24"/>
                <w:highlight w:val="none"/>
              </w:rPr>
            </w:pPr>
            <w:r>
              <w:rPr>
                <w:rFonts w:hint="eastAsia" w:hAnsi="宋体"/>
                <w:color w:val="auto"/>
                <w:sz w:val="24"/>
                <w:highlight w:val="none"/>
              </w:rPr>
              <w:t>姓名</w:t>
            </w:r>
          </w:p>
        </w:tc>
        <w:tc>
          <w:tcPr>
            <w:tcW w:w="1980" w:type="dxa"/>
            <w:gridSpan w:val="3"/>
            <w:tcBorders>
              <w:bottom w:val="single" w:color="000000" w:sz="4" w:space="0"/>
              <w:right w:val="single" w:color="000000" w:sz="4" w:space="0"/>
            </w:tcBorders>
            <w:vAlign w:val="center"/>
          </w:tcPr>
          <w:p w14:paraId="09EE1F54">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5B2F6D6D">
            <w:pPr>
              <w:autoSpaceDE w:val="0"/>
              <w:autoSpaceDN w:val="0"/>
              <w:jc w:val="center"/>
              <w:rPr>
                <w:rFonts w:hAnsi="宋体"/>
                <w:color w:val="auto"/>
                <w:sz w:val="24"/>
                <w:highlight w:val="none"/>
              </w:rPr>
            </w:pPr>
            <w:r>
              <w:rPr>
                <w:rFonts w:hint="eastAsia" w:hAnsi="宋体"/>
                <w:color w:val="auto"/>
                <w:sz w:val="24"/>
                <w:highlight w:val="none"/>
              </w:rPr>
              <w:t>性别</w:t>
            </w:r>
          </w:p>
        </w:tc>
        <w:tc>
          <w:tcPr>
            <w:tcW w:w="1980" w:type="dxa"/>
            <w:gridSpan w:val="3"/>
            <w:tcBorders>
              <w:bottom w:val="single" w:color="000000" w:sz="4" w:space="0"/>
              <w:right w:val="single" w:color="000000" w:sz="4" w:space="0"/>
            </w:tcBorders>
            <w:vAlign w:val="center"/>
          </w:tcPr>
          <w:p w14:paraId="4F5E44C0">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279AAF7B">
            <w:pPr>
              <w:autoSpaceDE w:val="0"/>
              <w:autoSpaceDN w:val="0"/>
              <w:jc w:val="center"/>
              <w:rPr>
                <w:rFonts w:hAnsi="宋体"/>
                <w:color w:val="auto"/>
                <w:sz w:val="24"/>
                <w:highlight w:val="none"/>
              </w:rPr>
            </w:pPr>
            <w:r>
              <w:rPr>
                <w:rFonts w:hint="eastAsia" w:hAnsi="宋体"/>
                <w:color w:val="auto"/>
                <w:sz w:val="24"/>
                <w:highlight w:val="none"/>
              </w:rPr>
              <w:t>年龄</w:t>
            </w:r>
          </w:p>
        </w:tc>
        <w:tc>
          <w:tcPr>
            <w:tcW w:w="2216" w:type="dxa"/>
            <w:gridSpan w:val="2"/>
            <w:tcBorders>
              <w:left w:val="single" w:color="auto" w:sz="4" w:space="0"/>
              <w:bottom w:val="single" w:color="000000" w:sz="4" w:space="0"/>
              <w:right w:val="single" w:color="000000" w:sz="4" w:space="0"/>
            </w:tcBorders>
            <w:vAlign w:val="center"/>
          </w:tcPr>
          <w:p w14:paraId="51D899EB">
            <w:pPr>
              <w:autoSpaceDE w:val="0"/>
              <w:autoSpaceDN w:val="0"/>
              <w:jc w:val="center"/>
              <w:rPr>
                <w:rFonts w:hAnsi="宋体"/>
                <w:color w:val="auto"/>
                <w:sz w:val="24"/>
                <w:highlight w:val="none"/>
              </w:rPr>
            </w:pPr>
          </w:p>
        </w:tc>
      </w:tr>
      <w:tr w14:paraId="6BD02AC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5454F89D">
            <w:pPr>
              <w:autoSpaceDE w:val="0"/>
              <w:autoSpaceDN w:val="0"/>
              <w:jc w:val="center"/>
              <w:rPr>
                <w:rFonts w:hAnsi="宋体"/>
                <w:color w:val="auto"/>
                <w:sz w:val="24"/>
                <w:highlight w:val="none"/>
              </w:rPr>
            </w:pPr>
            <w:r>
              <w:rPr>
                <w:rFonts w:hint="eastAsia" w:hAnsi="宋体"/>
                <w:color w:val="auto"/>
                <w:sz w:val="24"/>
                <w:highlight w:val="none"/>
              </w:rPr>
              <w:t>职务</w:t>
            </w:r>
          </w:p>
        </w:tc>
        <w:tc>
          <w:tcPr>
            <w:tcW w:w="1980" w:type="dxa"/>
            <w:gridSpan w:val="3"/>
            <w:tcBorders>
              <w:bottom w:val="single" w:color="000000" w:sz="4" w:space="0"/>
              <w:right w:val="single" w:color="000000" w:sz="4" w:space="0"/>
            </w:tcBorders>
            <w:vAlign w:val="center"/>
          </w:tcPr>
          <w:p w14:paraId="61150DFE">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5D25E5F2">
            <w:pPr>
              <w:autoSpaceDE w:val="0"/>
              <w:autoSpaceDN w:val="0"/>
              <w:jc w:val="center"/>
              <w:rPr>
                <w:rFonts w:hAnsi="宋体"/>
                <w:color w:val="auto"/>
                <w:sz w:val="24"/>
                <w:highlight w:val="none"/>
              </w:rPr>
            </w:pPr>
            <w:r>
              <w:rPr>
                <w:rFonts w:hint="eastAsia" w:hAnsi="宋体"/>
                <w:color w:val="auto"/>
                <w:sz w:val="24"/>
                <w:highlight w:val="none"/>
              </w:rPr>
              <w:t>职称</w:t>
            </w:r>
          </w:p>
        </w:tc>
        <w:tc>
          <w:tcPr>
            <w:tcW w:w="1980" w:type="dxa"/>
            <w:gridSpan w:val="3"/>
            <w:tcBorders>
              <w:bottom w:val="single" w:color="000000" w:sz="4" w:space="0"/>
              <w:right w:val="single" w:color="000000" w:sz="4" w:space="0"/>
            </w:tcBorders>
            <w:vAlign w:val="center"/>
          </w:tcPr>
          <w:p w14:paraId="7B20B247">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6DADA21D">
            <w:pPr>
              <w:autoSpaceDE w:val="0"/>
              <w:autoSpaceDN w:val="0"/>
              <w:jc w:val="center"/>
              <w:rPr>
                <w:rFonts w:hAnsi="宋体"/>
                <w:color w:val="auto"/>
                <w:sz w:val="24"/>
                <w:highlight w:val="none"/>
              </w:rPr>
            </w:pPr>
            <w:r>
              <w:rPr>
                <w:rFonts w:hint="eastAsia" w:hAnsi="宋体"/>
                <w:color w:val="auto"/>
                <w:sz w:val="24"/>
                <w:highlight w:val="none"/>
              </w:rPr>
              <w:t>学历</w:t>
            </w:r>
          </w:p>
        </w:tc>
        <w:tc>
          <w:tcPr>
            <w:tcW w:w="2216" w:type="dxa"/>
            <w:gridSpan w:val="2"/>
            <w:tcBorders>
              <w:left w:val="single" w:color="auto" w:sz="4" w:space="0"/>
              <w:bottom w:val="single" w:color="000000" w:sz="4" w:space="0"/>
              <w:right w:val="single" w:color="000000" w:sz="4" w:space="0"/>
            </w:tcBorders>
            <w:vAlign w:val="center"/>
          </w:tcPr>
          <w:p w14:paraId="7EC14D6A">
            <w:pPr>
              <w:autoSpaceDE w:val="0"/>
              <w:autoSpaceDN w:val="0"/>
              <w:jc w:val="center"/>
              <w:rPr>
                <w:rFonts w:hAnsi="宋体"/>
                <w:color w:val="auto"/>
                <w:sz w:val="24"/>
                <w:highlight w:val="none"/>
              </w:rPr>
            </w:pPr>
          </w:p>
        </w:tc>
      </w:tr>
      <w:tr w14:paraId="2B8044C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578AA303">
            <w:pPr>
              <w:autoSpaceDE w:val="0"/>
              <w:autoSpaceDN w:val="0"/>
              <w:jc w:val="center"/>
              <w:rPr>
                <w:rFonts w:hAnsi="宋体"/>
                <w:color w:val="auto"/>
                <w:sz w:val="24"/>
                <w:highlight w:val="none"/>
              </w:rPr>
            </w:pPr>
            <w:r>
              <w:rPr>
                <w:rFonts w:hint="eastAsia" w:hAnsi="宋体"/>
                <w:color w:val="auto"/>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3D3722F3">
            <w:pPr>
              <w:autoSpaceDE w:val="0"/>
              <w:autoSpaceDN w:val="0"/>
              <w:rPr>
                <w:rFonts w:hAnsi="宋体"/>
                <w:color w:val="auto"/>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20EF8389">
            <w:pPr>
              <w:autoSpaceDE w:val="0"/>
              <w:autoSpaceDN w:val="0"/>
              <w:jc w:val="center"/>
              <w:rPr>
                <w:rFonts w:hAnsi="宋体"/>
                <w:color w:val="auto"/>
                <w:sz w:val="24"/>
                <w:highlight w:val="none"/>
              </w:rPr>
            </w:pPr>
            <w:r>
              <w:rPr>
                <w:rFonts w:hint="eastAsia" w:hAnsi="宋体"/>
                <w:color w:val="auto"/>
                <w:sz w:val="24"/>
                <w:highlight w:val="none"/>
              </w:rPr>
              <w:t>担任技术负责人年限</w:t>
            </w:r>
          </w:p>
        </w:tc>
        <w:tc>
          <w:tcPr>
            <w:tcW w:w="2216" w:type="dxa"/>
            <w:gridSpan w:val="2"/>
            <w:tcBorders>
              <w:left w:val="single" w:color="auto" w:sz="4" w:space="0"/>
              <w:bottom w:val="single" w:color="auto" w:sz="4" w:space="0"/>
              <w:right w:val="single" w:color="000000" w:sz="4" w:space="0"/>
            </w:tcBorders>
          </w:tcPr>
          <w:p w14:paraId="61A9FAD0">
            <w:pPr>
              <w:autoSpaceDE w:val="0"/>
              <w:autoSpaceDN w:val="0"/>
              <w:rPr>
                <w:rFonts w:hAnsi="宋体"/>
                <w:color w:val="auto"/>
                <w:sz w:val="24"/>
                <w:highlight w:val="none"/>
              </w:rPr>
            </w:pPr>
          </w:p>
        </w:tc>
      </w:tr>
      <w:tr w14:paraId="2DCBF7C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16" w:type="dxa"/>
            <w:gridSpan w:val="11"/>
            <w:tcBorders>
              <w:bottom w:val="single" w:color="000000" w:sz="4" w:space="0"/>
              <w:right w:val="single" w:color="000000" w:sz="4" w:space="0"/>
            </w:tcBorders>
            <w:vAlign w:val="center"/>
          </w:tcPr>
          <w:p w14:paraId="50001B7F">
            <w:pPr>
              <w:autoSpaceDE w:val="0"/>
              <w:autoSpaceDN w:val="0"/>
              <w:jc w:val="center"/>
              <w:rPr>
                <w:rFonts w:hAnsi="宋体"/>
                <w:b/>
                <w:bCs/>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13F5783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05A07D8B">
            <w:pPr>
              <w:autoSpaceDE w:val="0"/>
              <w:autoSpaceDN w:val="0"/>
              <w:jc w:val="center"/>
              <w:rPr>
                <w:rFonts w:hAnsi="宋体"/>
                <w:color w:val="auto"/>
                <w:sz w:val="24"/>
                <w:highlight w:val="none"/>
              </w:rPr>
            </w:pPr>
            <w:r>
              <w:rPr>
                <w:rFonts w:hint="eastAsia" w:hAnsi="宋体"/>
                <w:color w:val="auto"/>
                <w:sz w:val="24"/>
                <w:highlight w:val="none"/>
              </w:rPr>
              <w:t>建设单位</w:t>
            </w:r>
          </w:p>
        </w:tc>
        <w:tc>
          <w:tcPr>
            <w:tcW w:w="1800" w:type="dxa"/>
            <w:gridSpan w:val="2"/>
            <w:tcBorders>
              <w:bottom w:val="single" w:color="000000" w:sz="4" w:space="0"/>
              <w:right w:val="single" w:color="000000" w:sz="4" w:space="0"/>
            </w:tcBorders>
            <w:vAlign w:val="center"/>
          </w:tcPr>
          <w:p w14:paraId="4FA24F9D">
            <w:pPr>
              <w:autoSpaceDE w:val="0"/>
              <w:autoSpaceDN w:val="0"/>
              <w:jc w:val="center"/>
              <w:rPr>
                <w:rFonts w:hAnsi="宋体"/>
                <w:color w:val="auto"/>
                <w:sz w:val="24"/>
                <w:highlight w:val="none"/>
              </w:rPr>
            </w:pPr>
            <w:r>
              <w:rPr>
                <w:rFonts w:hint="eastAsia" w:hAnsi="宋体"/>
                <w:color w:val="auto"/>
                <w:sz w:val="24"/>
                <w:highlight w:val="none"/>
              </w:rPr>
              <w:t>项目名称</w:t>
            </w:r>
          </w:p>
        </w:tc>
        <w:tc>
          <w:tcPr>
            <w:tcW w:w="1530" w:type="dxa"/>
            <w:gridSpan w:val="3"/>
            <w:tcBorders>
              <w:bottom w:val="single" w:color="000000" w:sz="4" w:space="0"/>
              <w:right w:val="single" w:color="000000" w:sz="4" w:space="0"/>
            </w:tcBorders>
            <w:vAlign w:val="center"/>
          </w:tcPr>
          <w:p w14:paraId="7D16D1A3">
            <w:pPr>
              <w:autoSpaceDE w:val="0"/>
              <w:autoSpaceDN w:val="0"/>
              <w:jc w:val="center"/>
              <w:rPr>
                <w:rFonts w:hAnsi="宋体"/>
                <w:color w:val="auto"/>
                <w:sz w:val="24"/>
                <w:highlight w:val="none"/>
              </w:rPr>
            </w:pPr>
            <w:r>
              <w:rPr>
                <w:rFonts w:hint="eastAsia" w:hAnsi="宋体"/>
                <w:color w:val="auto"/>
                <w:sz w:val="24"/>
                <w:highlight w:val="none"/>
              </w:rPr>
              <w:t>建设规模</w:t>
            </w:r>
          </w:p>
        </w:tc>
        <w:tc>
          <w:tcPr>
            <w:tcW w:w="1530" w:type="dxa"/>
            <w:tcBorders>
              <w:bottom w:val="single" w:color="000000" w:sz="4" w:space="0"/>
              <w:right w:val="single" w:color="auto" w:sz="4" w:space="0"/>
            </w:tcBorders>
            <w:vAlign w:val="center"/>
          </w:tcPr>
          <w:p w14:paraId="45F6126E">
            <w:pPr>
              <w:autoSpaceDE w:val="0"/>
              <w:autoSpaceDN w:val="0"/>
              <w:jc w:val="center"/>
              <w:rPr>
                <w:rFonts w:hAnsi="宋体"/>
                <w:color w:val="auto"/>
                <w:sz w:val="24"/>
                <w:highlight w:val="none"/>
              </w:rPr>
            </w:pPr>
            <w:r>
              <w:rPr>
                <w:rFonts w:hint="eastAsia" w:hAnsi="宋体"/>
                <w:color w:val="auto"/>
                <w:sz w:val="24"/>
                <w:highlight w:val="none"/>
              </w:rPr>
              <w:t>结构类型</w:t>
            </w:r>
          </w:p>
        </w:tc>
        <w:tc>
          <w:tcPr>
            <w:tcW w:w="1766" w:type="dxa"/>
            <w:gridSpan w:val="2"/>
            <w:tcBorders>
              <w:left w:val="single" w:color="auto" w:sz="4" w:space="0"/>
              <w:bottom w:val="single" w:color="000000" w:sz="4" w:space="0"/>
              <w:right w:val="single" w:color="000000" w:sz="4" w:space="0"/>
            </w:tcBorders>
            <w:vAlign w:val="center"/>
          </w:tcPr>
          <w:p w14:paraId="69E52CD8">
            <w:pPr>
              <w:autoSpaceDE w:val="0"/>
              <w:autoSpaceDN w:val="0"/>
              <w:jc w:val="center"/>
              <w:rPr>
                <w:rFonts w:hAnsi="宋体"/>
                <w:color w:val="auto"/>
                <w:sz w:val="24"/>
                <w:highlight w:val="none"/>
              </w:rPr>
            </w:pPr>
            <w:r>
              <w:rPr>
                <w:rFonts w:hint="eastAsia" w:hAnsi="宋体"/>
                <w:color w:val="auto"/>
                <w:sz w:val="24"/>
                <w:highlight w:val="none"/>
              </w:rPr>
              <w:t>开、竣工日期</w:t>
            </w:r>
          </w:p>
        </w:tc>
        <w:tc>
          <w:tcPr>
            <w:tcW w:w="1530" w:type="dxa"/>
            <w:tcBorders>
              <w:bottom w:val="single" w:color="000000" w:sz="4" w:space="0"/>
              <w:right w:val="single" w:color="000000" w:sz="4" w:space="0"/>
            </w:tcBorders>
            <w:vAlign w:val="center"/>
          </w:tcPr>
          <w:p w14:paraId="38FE6E46">
            <w:pPr>
              <w:autoSpaceDE w:val="0"/>
              <w:autoSpaceDN w:val="0"/>
              <w:jc w:val="center"/>
              <w:rPr>
                <w:rFonts w:hAnsi="宋体"/>
                <w:color w:val="auto"/>
                <w:sz w:val="24"/>
                <w:highlight w:val="none"/>
              </w:rPr>
            </w:pPr>
            <w:r>
              <w:rPr>
                <w:rFonts w:hint="eastAsia" w:hAnsi="宋体"/>
                <w:color w:val="auto"/>
                <w:sz w:val="24"/>
                <w:highlight w:val="none"/>
              </w:rPr>
              <w:t>工程质量</w:t>
            </w:r>
          </w:p>
        </w:tc>
      </w:tr>
      <w:tr w14:paraId="2CF7750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9109E29">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6EA2B34C">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2B41462A">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7D6174E5">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34538DC4">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31517998">
            <w:pPr>
              <w:autoSpaceDE w:val="0"/>
              <w:autoSpaceDN w:val="0"/>
              <w:rPr>
                <w:rFonts w:hAnsi="宋体"/>
                <w:color w:val="auto"/>
                <w:sz w:val="24"/>
                <w:highlight w:val="none"/>
              </w:rPr>
            </w:pPr>
          </w:p>
        </w:tc>
      </w:tr>
      <w:tr w14:paraId="20DE746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294C54B5">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6F548049">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01209B4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6372E4E">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29A8D7C6">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63F7563F">
            <w:pPr>
              <w:autoSpaceDE w:val="0"/>
              <w:autoSpaceDN w:val="0"/>
              <w:rPr>
                <w:rFonts w:hAnsi="宋体"/>
                <w:color w:val="auto"/>
                <w:sz w:val="24"/>
                <w:highlight w:val="none"/>
              </w:rPr>
            </w:pPr>
          </w:p>
        </w:tc>
      </w:tr>
      <w:tr w14:paraId="499903C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21AD3CCA">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47ECF5EC">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46424A25">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4FFABF50">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66B43D6">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09BF0FB3">
            <w:pPr>
              <w:autoSpaceDE w:val="0"/>
              <w:autoSpaceDN w:val="0"/>
              <w:rPr>
                <w:rFonts w:hAnsi="宋体"/>
                <w:color w:val="auto"/>
                <w:sz w:val="24"/>
                <w:highlight w:val="none"/>
              </w:rPr>
            </w:pPr>
          </w:p>
        </w:tc>
      </w:tr>
      <w:tr w14:paraId="310CDD5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2854F6F6">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4A52E95A">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460A6C8">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3FAA05B5">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273F7B79">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3F7D40FD">
            <w:pPr>
              <w:autoSpaceDE w:val="0"/>
              <w:autoSpaceDN w:val="0"/>
              <w:rPr>
                <w:rFonts w:hAnsi="宋体"/>
                <w:color w:val="auto"/>
                <w:sz w:val="24"/>
                <w:highlight w:val="none"/>
              </w:rPr>
            </w:pPr>
          </w:p>
        </w:tc>
      </w:tr>
    </w:tbl>
    <w:p w14:paraId="69415D70">
      <w:pPr>
        <w:spacing w:after="120"/>
        <w:ind w:firstLine="210" w:firstLineChars="100"/>
        <w:rPr>
          <w:rFonts w:ascii="Calibri" w:hAnsi="Calibri"/>
          <w:color w:val="auto"/>
          <w:szCs w:val="24"/>
          <w:highlight w:val="none"/>
        </w:rPr>
      </w:pPr>
      <w:r>
        <w:rPr>
          <w:rFonts w:hint="eastAsia" w:hAnsi="宋体"/>
          <w:color w:val="auto"/>
          <w:szCs w:val="21"/>
          <w:highlight w:val="none"/>
        </w:rPr>
        <w:t>附：职称证书复印件，并加盖单位公章。</w:t>
      </w:r>
    </w:p>
    <w:p w14:paraId="3A466C75">
      <w:pPr>
        <w:spacing w:line="440" w:lineRule="exact"/>
        <w:ind w:firstLine="420" w:firstLineChars="200"/>
        <w:rPr>
          <w:rFonts w:hAnsi="宋体"/>
          <w:color w:val="auto"/>
          <w:szCs w:val="21"/>
          <w:highlight w:val="none"/>
        </w:rPr>
      </w:pPr>
    </w:p>
    <w:p w14:paraId="66E5E853">
      <w:pPr>
        <w:spacing w:line="440" w:lineRule="exact"/>
        <w:ind w:firstLine="420" w:firstLineChars="200"/>
        <w:rPr>
          <w:rFonts w:hAnsi="宋体"/>
          <w:color w:val="auto"/>
          <w:szCs w:val="21"/>
          <w:highlight w:val="none"/>
        </w:rPr>
      </w:pPr>
    </w:p>
    <w:p w14:paraId="0B59E986">
      <w:pPr>
        <w:spacing w:line="440" w:lineRule="exact"/>
        <w:ind w:firstLine="420" w:firstLineChars="200"/>
        <w:rPr>
          <w:rFonts w:hAnsi="宋体"/>
          <w:color w:val="auto"/>
          <w:szCs w:val="21"/>
          <w:highlight w:val="none"/>
        </w:rPr>
      </w:pPr>
    </w:p>
    <w:p w14:paraId="6987FE90">
      <w:pPr>
        <w:spacing w:line="440" w:lineRule="exact"/>
        <w:ind w:firstLine="420" w:firstLineChars="200"/>
        <w:rPr>
          <w:rFonts w:hAnsi="宋体"/>
          <w:color w:val="auto"/>
          <w:szCs w:val="21"/>
          <w:highlight w:val="none"/>
        </w:rPr>
      </w:pPr>
      <w:r>
        <w:rPr>
          <w:rFonts w:hint="eastAsia" w:hAnsi="宋体"/>
          <w:color w:val="auto"/>
          <w:szCs w:val="21"/>
          <w:highlight w:val="none"/>
        </w:rPr>
        <w:t>7、主要施工管理人员表</w:t>
      </w:r>
    </w:p>
    <w:p w14:paraId="0614A995">
      <w:pPr>
        <w:spacing w:line="480" w:lineRule="exact"/>
        <w:jc w:val="center"/>
        <w:rPr>
          <w:rFonts w:hAnsi="宋体"/>
          <w:b/>
          <w:color w:val="auto"/>
          <w:sz w:val="28"/>
          <w:szCs w:val="28"/>
          <w:highlight w:val="none"/>
        </w:rPr>
      </w:pPr>
      <w:r>
        <w:rPr>
          <w:rFonts w:hint="eastAsia" w:hAnsi="宋体"/>
          <w:b/>
          <w:color w:val="auto"/>
          <w:sz w:val="28"/>
          <w:szCs w:val="28"/>
          <w:highlight w:val="none"/>
        </w:rPr>
        <w:t>主要施工管理人员表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58"/>
        <w:gridCol w:w="1231"/>
        <w:gridCol w:w="1951"/>
        <w:gridCol w:w="1701"/>
        <w:gridCol w:w="1789"/>
      </w:tblGrid>
      <w:tr w14:paraId="21EFFCB5">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2258" w:type="dxa"/>
            <w:tcBorders>
              <w:bottom w:val="single" w:color="000000" w:sz="4" w:space="0"/>
              <w:right w:val="single" w:color="000000" w:sz="4" w:space="0"/>
            </w:tcBorders>
          </w:tcPr>
          <w:p w14:paraId="3DDB355D">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名</w:t>
            </w:r>
            <w:r>
              <w:rPr>
                <w:rFonts w:ascii="Arial" w:hAnsi="Arial" w:cs="Arial"/>
                <w:color w:val="auto"/>
                <w:sz w:val="24"/>
                <w:highlight w:val="none"/>
              </w:rPr>
              <w:t xml:space="preserve">    </w:t>
            </w:r>
            <w:r>
              <w:rPr>
                <w:rFonts w:ascii="Arial" w:hAnsi="宋体" w:cs="Arial"/>
                <w:color w:val="auto"/>
                <w:sz w:val="24"/>
                <w:highlight w:val="none"/>
              </w:rPr>
              <w:t>称</w:t>
            </w:r>
          </w:p>
        </w:tc>
        <w:tc>
          <w:tcPr>
            <w:tcW w:w="1231" w:type="dxa"/>
            <w:tcBorders>
              <w:bottom w:val="single" w:color="000000" w:sz="4" w:space="0"/>
              <w:right w:val="single" w:color="000000" w:sz="4" w:space="0"/>
            </w:tcBorders>
          </w:tcPr>
          <w:p w14:paraId="0268490F">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姓</w:t>
            </w:r>
            <w:r>
              <w:rPr>
                <w:rFonts w:ascii="Arial" w:hAnsi="Arial" w:cs="Arial"/>
                <w:color w:val="auto"/>
                <w:sz w:val="24"/>
                <w:highlight w:val="none"/>
              </w:rPr>
              <w:t xml:space="preserve"> </w:t>
            </w:r>
            <w:r>
              <w:rPr>
                <w:rFonts w:ascii="Arial" w:hAnsi="宋体" w:cs="Arial"/>
                <w:color w:val="auto"/>
                <w:sz w:val="24"/>
                <w:highlight w:val="none"/>
              </w:rPr>
              <w:t>名</w:t>
            </w:r>
          </w:p>
        </w:tc>
        <w:tc>
          <w:tcPr>
            <w:tcW w:w="1951" w:type="dxa"/>
            <w:tcBorders>
              <w:bottom w:val="single" w:color="000000" w:sz="4" w:space="0"/>
              <w:right w:val="single" w:color="000000" w:sz="4" w:space="0"/>
            </w:tcBorders>
          </w:tcPr>
          <w:p w14:paraId="06AC7217">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职称或职务</w:t>
            </w:r>
          </w:p>
        </w:tc>
        <w:tc>
          <w:tcPr>
            <w:tcW w:w="1701" w:type="dxa"/>
            <w:tcBorders>
              <w:bottom w:val="single" w:color="000000" w:sz="4" w:space="0"/>
              <w:right w:val="single" w:color="auto" w:sz="4" w:space="0"/>
            </w:tcBorders>
          </w:tcPr>
          <w:p w14:paraId="4AEA9E2E">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管理内容</w:t>
            </w:r>
          </w:p>
        </w:tc>
        <w:tc>
          <w:tcPr>
            <w:tcW w:w="1789" w:type="dxa"/>
            <w:tcBorders>
              <w:left w:val="single" w:color="auto" w:sz="4" w:space="0"/>
              <w:bottom w:val="single" w:color="000000" w:sz="4" w:space="0"/>
              <w:right w:val="single" w:color="000000" w:sz="4" w:space="0"/>
            </w:tcBorders>
          </w:tcPr>
          <w:p w14:paraId="69826605">
            <w:pPr>
              <w:spacing w:line="480" w:lineRule="exact"/>
              <w:jc w:val="center"/>
              <w:rPr>
                <w:rFonts w:ascii="Arial" w:hAnsi="Arial" w:cs="Arial"/>
                <w:color w:val="auto"/>
                <w:sz w:val="24"/>
                <w:highlight w:val="none"/>
              </w:rPr>
            </w:pPr>
            <w:r>
              <w:rPr>
                <w:rFonts w:ascii="Arial" w:hAnsi="宋体" w:cs="Arial"/>
                <w:color w:val="auto"/>
                <w:sz w:val="24"/>
                <w:highlight w:val="none"/>
              </w:rPr>
              <w:t>岗位证书</w:t>
            </w:r>
          </w:p>
        </w:tc>
      </w:tr>
      <w:tr w14:paraId="1426D3A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1998DBA5">
            <w:pPr>
              <w:autoSpaceDE w:val="0"/>
              <w:autoSpaceDN w:val="0"/>
              <w:spacing w:line="480" w:lineRule="exact"/>
              <w:rPr>
                <w:rFonts w:ascii="Arial" w:hAnsi="Arial" w:cs="Arial"/>
                <w:color w:val="auto"/>
                <w:sz w:val="24"/>
                <w:highlight w:val="none"/>
              </w:rPr>
            </w:pPr>
            <w:r>
              <w:rPr>
                <w:rFonts w:ascii="Arial" w:hAnsi="Arial" w:cs="Arial"/>
                <w:color w:val="auto"/>
                <w:sz w:val="24"/>
                <w:highlight w:val="none"/>
              </w:rPr>
              <w:t>1</w:t>
            </w:r>
            <w:r>
              <w:rPr>
                <w:rFonts w:ascii="Arial" w:hAnsi="宋体" w:cs="Arial"/>
                <w:color w:val="auto"/>
                <w:sz w:val="24"/>
                <w:highlight w:val="none"/>
              </w:rPr>
              <w:t>、项目经理</w:t>
            </w:r>
          </w:p>
        </w:tc>
        <w:tc>
          <w:tcPr>
            <w:tcW w:w="1231" w:type="dxa"/>
            <w:tcBorders>
              <w:bottom w:val="single" w:color="000000" w:sz="4" w:space="0"/>
              <w:right w:val="single" w:color="000000" w:sz="4" w:space="0"/>
            </w:tcBorders>
          </w:tcPr>
          <w:p w14:paraId="5E093722">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7BE03D8">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3B286E2">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4ADA3878">
            <w:pPr>
              <w:autoSpaceDE w:val="0"/>
              <w:autoSpaceDN w:val="0"/>
              <w:spacing w:line="480" w:lineRule="exact"/>
              <w:rPr>
                <w:rFonts w:ascii="Arial" w:hAnsi="Arial" w:cs="Arial"/>
                <w:color w:val="auto"/>
                <w:sz w:val="24"/>
                <w:highlight w:val="none"/>
              </w:rPr>
            </w:pPr>
          </w:p>
        </w:tc>
      </w:tr>
      <w:tr w14:paraId="2D8CDAC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FF9B26D">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2</w:t>
            </w:r>
            <w:r>
              <w:rPr>
                <w:rFonts w:ascii="Arial" w:hAnsi="宋体" w:cs="Arial"/>
                <w:color w:val="auto"/>
                <w:sz w:val="24"/>
                <w:highlight w:val="none"/>
              </w:rPr>
              <w:t>、项目技术负责人</w:t>
            </w:r>
          </w:p>
        </w:tc>
        <w:tc>
          <w:tcPr>
            <w:tcW w:w="1231" w:type="dxa"/>
            <w:tcBorders>
              <w:bottom w:val="single" w:color="000000" w:sz="4" w:space="0"/>
              <w:right w:val="single" w:color="000000" w:sz="4" w:space="0"/>
            </w:tcBorders>
          </w:tcPr>
          <w:p w14:paraId="44960483">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8529406">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69ED12BA">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67D1CCB9">
            <w:pPr>
              <w:autoSpaceDE w:val="0"/>
              <w:autoSpaceDN w:val="0"/>
              <w:spacing w:line="480" w:lineRule="exact"/>
              <w:rPr>
                <w:rFonts w:ascii="Arial" w:hAnsi="Arial" w:cs="Arial"/>
                <w:color w:val="auto"/>
                <w:sz w:val="24"/>
                <w:highlight w:val="none"/>
              </w:rPr>
            </w:pPr>
          </w:p>
        </w:tc>
      </w:tr>
      <w:tr w14:paraId="7251FB7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171FF20D">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3</w:t>
            </w:r>
            <w:r>
              <w:rPr>
                <w:rFonts w:ascii="Arial" w:hAnsi="宋体" w:cs="Arial"/>
                <w:color w:val="auto"/>
                <w:sz w:val="24"/>
                <w:highlight w:val="none"/>
              </w:rPr>
              <w:t>、质量管理</w:t>
            </w:r>
          </w:p>
        </w:tc>
        <w:tc>
          <w:tcPr>
            <w:tcW w:w="1231" w:type="dxa"/>
            <w:tcBorders>
              <w:bottom w:val="single" w:color="000000" w:sz="4" w:space="0"/>
              <w:right w:val="single" w:color="000000" w:sz="4" w:space="0"/>
            </w:tcBorders>
          </w:tcPr>
          <w:p w14:paraId="449017A4">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231B72A4">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6090A461">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55B6EDAD">
            <w:pPr>
              <w:autoSpaceDE w:val="0"/>
              <w:autoSpaceDN w:val="0"/>
              <w:spacing w:line="480" w:lineRule="exact"/>
              <w:rPr>
                <w:rFonts w:ascii="Arial" w:hAnsi="Arial" w:cs="Arial"/>
                <w:color w:val="auto"/>
                <w:sz w:val="24"/>
                <w:highlight w:val="none"/>
              </w:rPr>
            </w:pPr>
          </w:p>
        </w:tc>
      </w:tr>
      <w:tr w14:paraId="5F246AC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2B08D01">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4</w:t>
            </w:r>
            <w:r>
              <w:rPr>
                <w:rFonts w:ascii="Arial" w:hAnsi="宋体" w:cs="Arial"/>
                <w:color w:val="auto"/>
                <w:sz w:val="24"/>
                <w:highlight w:val="none"/>
              </w:rPr>
              <w:t>、材料管理</w:t>
            </w:r>
          </w:p>
        </w:tc>
        <w:tc>
          <w:tcPr>
            <w:tcW w:w="1231" w:type="dxa"/>
            <w:tcBorders>
              <w:bottom w:val="single" w:color="000000" w:sz="4" w:space="0"/>
              <w:right w:val="single" w:color="000000" w:sz="4" w:space="0"/>
            </w:tcBorders>
          </w:tcPr>
          <w:p w14:paraId="03B13346">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1034D68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C3C44FD">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4619250E">
            <w:pPr>
              <w:autoSpaceDE w:val="0"/>
              <w:autoSpaceDN w:val="0"/>
              <w:spacing w:line="480" w:lineRule="exact"/>
              <w:rPr>
                <w:rFonts w:ascii="Arial" w:hAnsi="Arial" w:cs="Arial"/>
                <w:color w:val="auto"/>
                <w:sz w:val="24"/>
                <w:highlight w:val="none"/>
              </w:rPr>
            </w:pPr>
          </w:p>
        </w:tc>
      </w:tr>
      <w:tr w14:paraId="43EBD12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176092E">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5</w:t>
            </w:r>
            <w:r>
              <w:rPr>
                <w:rFonts w:ascii="Arial" w:hAnsi="宋体" w:cs="Arial"/>
                <w:color w:val="auto"/>
                <w:sz w:val="24"/>
                <w:highlight w:val="none"/>
              </w:rPr>
              <w:t>、安全管理</w:t>
            </w:r>
          </w:p>
        </w:tc>
        <w:tc>
          <w:tcPr>
            <w:tcW w:w="1231" w:type="dxa"/>
            <w:tcBorders>
              <w:bottom w:val="single" w:color="000000" w:sz="4" w:space="0"/>
              <w:right w:val="single" w:color="000000" w:sz="4" w:space="0"/>
            </w:tcBorders>
          </w:tcPr>
          <w:p w14:paraId="1488F7FF">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7EBC3CAA">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196A9DB7">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0B5114B1">
            <w:pPr>
              <w:autoSpaceDE w:val="0"/>
              <w:autoSpaceDN w:val="0"/>
              <w:spacing w:line="480" w:lineRule="exact"/>
              <w:rPr>
                <w:rFonts w:ascii="Arial" w:hAnsi="Arial" w:cs="Arial"/>
                <w:color w:val="auto"/>
                <w:sz w:val="24"/>
                <w:highlight w:val="none"/>
              </w:rPr>
            </w:pPr>
          </w:p>
        </w:tc>
      </w:tr>
      <w:tr w14:paraId="39E96CB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F941D03">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6</w:t>
            </w:r>
            <w:r>
              <w:rPr>
                <w:rFonts w:ascii="Arial" w:hAnsi="宋体" w:cs="Arial"/>
                <w:color w:val="auto"/>
                <w:sz w:val="24"/>
                <w:highlight w:val="none"/>
              </w:rPr>
              <w:t>、施工管理</w:t>
            </w:r>
          </w:p>
        </w:tc>
        <w:tc>
          <w:tcPr>
            <w:tcW w:w="1231" w:type="dxa"/>
            <w:tcBorders>
              <w:bottom w:val="single" w:color="000000" w:sz="4" w:space="0"/>
              <w:right w:val="single" w:color="000000" w:sz="4" w:space="0"/>
            </w:tcBorders>
          </w:tcPr>
          <w:p w14:paraId="49A0FA60">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244AB1B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F926D13">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69945431">
            <w:pPr>
              <w:autoSpaceDE w:val="0"/>
              <w:autoSpaceDN w:val="0"/>
              <w:spacing w:line="480" w:lineRule="exact"/>
              <w:rPr>
                <w:rFonts w:ascii="Arial" w:hAnsi="Arial" w:cs="Arial"/>
                <w:color w:val="auto"/>
                <w:sz w:val="24"/>
                <w:highlight w:val="none"/>
              </w:rPr>
            </w:pPr>
          </w:p>
        </w:tc>
      </w:tr>
      <w:tr w14:paraId="174FD170">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754A4212">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7</w:t>
            </w:r>
            <w:r>
              <w:rPr>
                <w:rFonts w:ascii="Arial" w:hAnsi="宋体" w:cs="Arial"/>
                <w:color w:val="auto"/>
                <w:sz w:val="24"/>
                <w:highlight w:val="none"/>
              </w:rPr>
              <w:t>、</w:t>
            </w:r>
          </w:p>
        </w:tc>
        <w:tc>
          <w:tcPr>
            <w:tcW w:w="1231" w:type="dxa"/>
            <w:tcBorders>
              <w:bottom w:val="single" w:color="000000" w:sz="4" w:space="0"/>
              <w:right w:val="single" w:color="000000" w:sz="4" w:space="0"/>
            </w:tcBorders>
          </w:tcPr>
          <w:p w14:paraId="207AB041">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4BEEED2F">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0164E0E3">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05B1EF6C">
            <w:pPr>
              <w:autoSpaceDE w:val="0"/>
              <w:autoSpaceDN w:val="0"/>
              <w:spacing w:line="480" w:lineRule="exact"/>
              <w:rPr>
                <w:rFonts w:ascii="Arial" w:hAnsi="Arial" w:cs="Arial"/>
                <w:color w:val="auto"/>
                <w:sz w:val="24"/>
                <w:highlight w:val="none"/>
              </w:rPr>
            </w:pPr>
          </w:p>
        </w:tc>
      </w:tr>
    </w:tbl>
    <w:p w14:paraId="3AB41974">
      <w:pPr>
        <w:spacing w:after="120"/>
        <w:ind w:firstLine="210" w:firstLineChars="100"/>
        <w:jc w:val="center"/>
        <w:rPr>
          <w:rFonts w:hAnsi="宋体"/>
          <w:color w:val="auto"/>
          <w:szCs w:val="21"/>
          <w:highlight w:val="none"/>
        </w:rPr>
      </w:pPr>
      <w:r>
        <w:rPr>
          <w:rFonts w:hint="eastAsia" w:hAnsi="宋体"/>
          <w:color w:val="auto"/>
          <w:szCs w:val="21"/>
          <w:highlight w:val="none"/>
        </w:rPr>
        <w:t>附：质检员、安全员、材料员、施工员应出具其上岗证书及身份证的复印件并加盖单位公章。</w:t>
      </w:r>
    </w:p>
    <w:p w14:paraId="2FD6DAF9">
      <w:pPr>
        <w:pStyle w:val="2"/>
        <w:rPr>
          <w:color w:val="auto"/>
          <w:highlight w:val="none"/>
        </w:rPr>
      </w:pPr>
    </w:p>
    <w:p w14:paraId="287D50FE">
      <w:pPr>
        <w:pStyle w:val="2"/>
        <w:rPr>
          <w:color w:val="auto"/>
          <w:highlight w:val="none"/>
        </w:rPr>
      </w:pPr>
    </w:p>
    <w:p w14:paraId="7633FC82">
      <w:pPr>
        <w:spacing w:line="44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51CF7B24">
      <w:pPr>
        <w:spacing w:line="440" w:lineRule="exact"/>
        <w:ind w:firstLine="420" w:firstLineChars="200"/>
        <w:rPr>
          <w:rFonts w:hAnsi="宋体"/>
          <w:color w:val="auto"/>
          <w:szCs w:val="21"/>
          <w:highlight w:val="none"/>
        </w:rPr>
      </w:pPr>
      <w:r>
        <w:rPr>
          <w:rFonts w:hint="eastAsia" w:hAnsi="宋体"/>
          <w:color w:val="auto"/>
          <w:szCs w:val="21"/>
          <w:highlight w:val="none"/>
        </w:rPr>
        <w:t>8、施工组织设计</w:t>
      </w:r>
    </w:p>
    <w:p w14:paraId="6797F482">
      <w:pPr>
        <w:spacing w:line="460" w:lineRule="exact"/>
        <w:ind w:firstLine="482" w:firstLineChars="200"/>
        <w:jc w:val="center"/>
        <w:rPr>
          <w:rFonts w:asciiTheme="minorEastAsia" w:hAnsiTheme="minorEastAsia" w:eastAsiaTheme="minorEastAsia"/>
          <w:color w:val="auto"/>
          <w:sz w:val="20"/>
          <w:szCs w:val="21"/>
          <w:highlight w:val="none"/>
        </w:rPr>
      </w:pPr>
      <w:bookmarkStart w:id="1763" w:name="_Toc453681067"/>
      <w:bookmarkStart w:id="1764" w:name="_Toc453681540"/>
      <w:bookmarkStart w:id="1765" w:name="_Toc389065360"/>
      <w:r>
        <w:rPr>
          <w:rFonts w:asciiTheme="minorEastAsia" w:hAnsiTheme="minorEastAsia" w:eastAsiaTheme="minorEastAsia"/>
          <w:b/>
          <w:color w:val="auto"/>
          <w:sz w:val="24"/>
          <w:szCs w:val="28"/>
          <w:highlight w:val="none"/>
        </w:rPr>
        <w:t>施工组织设计</w:t>
      </w:r>
      <w:bookmarkEnd w:id="1763"/>
      <w:bookmarkEnd w:id="1764"/>
      <w:bookmarkEnd w:id="1765"/>
    </w:p>
    <w:p w14:paraId="011CDA71">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磋商供应商</w:t>
      </w:r>
      <w:r>
        <w:rPr>
          <w:rFonts w:asciiTheme="minorEastAsia" w:hAnsiTheme="minorEastAsia" w:eastAsiaTheme="minorEastAsia"/>
          <w:color w:val="auto"/>
          <w:szCs w:val="21"/>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3DAC713">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施工组织设计除采用文字表述外可附下列图表，图表及格式要求附后。</w:t>
      </w:r>
    </w:p>
    <w:p w14:paraId="59A7511B">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附表一</w:t>
      </w:r>
      <w:r>
        <w:rPr>
          <w:rFonts w:hint="eastAsia" w:asciiTheme="minorEastAsia" w:hAnsiTheme="minorEastAsia" w:eastAsiaTheme="minorEastAsia"/>
          <w:color w:val="auto"/>
          <w:szCs w:val="21"/>
          <w:highlight w:val="none"/>
        </w:rPr>
        <w:t xml:space="preserve"> 项目管理机构配备情况表</w:t>
      </w:r>
      <w:r>
        <w:rPr>
          <w:rFonts w:asciiTheme="minorEastAsia" w:hAnsiTheme="minorEastAsia" w:eastAsiaTheme="minorEastAsia"/>
          <w:color w:val="auto"/>
          <w:szCs w:val="21"/>
          <w:highlight w:val="none"/>
        </w:rPr>
        <w:t xml:space="preserve">  </w:t>
      </w:r>
    </w:p>
    <w:p w14:paraId="3EE36AEB">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附表二</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拟投入</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本工程的主要施工设备表</w:t>
      </w:r>
    </w:p>
    <w:p w14:paraId="0E63231A">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三</w:t>
      </w:r>
      <w:r>
        <w:rPr>
          <w:rFonts w:asciiTheme="minorEastAsia" w:hAnsiTheme="minorEastAsia" w:eastAsiaTheme="minorEastAsia"/>
          <w:color w:val="auto"/>
          <w:szCs w:val="21"/>
          <w:highlight w:val="none"/>
        </w:rPr>
        <w:t xml:space="preserve">  拟配备本工程的试验和检测仪器设备表</w:t>
      </w:r>
    </w:p>
    <w:p w14:paraId="0AEC227F">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 xml:space="preserve">  劳动力计划表</w:t>
      </w:r>
    </w:p>
    <w:p w14:paraId="0D4A870F">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五</w:t>
      </w:r>
      <w:r>
        <w:rPr>
          <w:rFonts w:asciiTheme="minorEastAsia" w:hAnsiTheme="minorEastAsia" w:eastAsiaTheme="minorEastAsia"/>
          <w:color w:val="auto"/>
          <w:szCs w:val="21"/>
          <w:highlight w:val="none"/>
        </w:rPr>
        <w:t xml:space="preserve">  计划开、竣工日期和施工进度网络图</w:t>
      </w:r>
    </w:p>
    <w:p w14:paraId="6443D9ED">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六</w:t>
      </w:r>
      <w:r>
        <w:rPr>
          <w:rFonts w:asciiTheme="minorEastAsia" w:hAnsiTheme="minorEastAsia" w:eastAsiaTheme="minorEastAsia"/>
          <w:color w:val="auto"/>
          <w:szCs w:val="21"/>
          <w:highlight w:val="none"/>
        </w:rPr>
        <w:t xml:space="preserve">  施工总平面图</w:t>
      </w:r>
    </w:p>
    <w:p w14:paraId="62EAAA5F">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七</w:t>
      </w:r>
      <w:r>
        <w:rPr>
          <w:rFonts w:asciiTheme="minorEastAsia" w:hAnsiTheme="minorEastAsia" w:eastAsiaTheme="minorEastAsia"/>
          <w:color w:val="auto"/>
          <w:szCs w:val="21"/>
          <w:highlight w:val="none"/>
        </w:rPr>
        <w:t xml:space="preserve">  临时用地表</w:t>
      </w:r>
    </w:p>
    <w:p w14:paraId="04EDE61D">
      <w:pPr>
        <w:spacing w:line="4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附表八  拟分包情况表</w:t>
      </w:r>
    </w:p>
    <w:p w14:paraId="0BB36F25">
      <w:pPr>
        <w:spacing w:line="460" w:lineRule="exact"/>
        <w:ind w:firstLine="420" w:firstLineChars="200"/>
        <w:rPr>
          <w:rFonts w:asciiTheme="minorEastAsia" w:hAnsiTheme="minorEastAsia" w:eastAsiaTheme="minorEastAsia"/>
          <w:color w:val="auto"/>
          <w:szCs w:val="21"/>
          <w:highlight w:val="none"/>
        </w:rPr>
        <w:sectPr>
          <w:pgSz w:w="11907" w:h="16840"/>
          <w:pgMar w:top="1440" w:right="1440" w:bottom="1440" w:left="1418" w:header="851" w:footer="851" w:gutter="0"/>
          <w:cols w:space="720" w:num="1"/>
          <w:docGrid w:linePitch="312" w:charSpace="0"/>
        </w:sectPr>
      </w:pPr>
    </w:p>
    <w:p w14:paraId="155FA035">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附表一：</w:t>
      </w:r>
      <w:r>
        <w:rPr>
          <w:rFonts w:hint="eastAsia" w:asciiTheme="minorEastAsia" w:hAnsiTheme="minorEastAsia" w:eastAsiaTheme="minorEastAsia"/>
          <w:color w:val="auto"/>
          <w:szCs w:val="21"/>
          <w:highlight w:val="none"/>
        </w:rPr>
        <w:t>项目管理机构配备情况表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9E0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6E1BF40D">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岗位</w:t>
            </w:r>
          </w:p>
        </w:tc>
        <w:tc>
          <w:tcPr>
            <w:tcW w:w="829" w:type="dxa"/>
            <w:vMerge w:val="restart"/>
            <w:vAlign w:val="center"/>
          </w:tcPr>
          <w:p w14:paraId="7C01AF05">
            <w:pPr>
              <w:ind w:left="223" w:hanging="222" w:hangingChars="106"/>
              <w:jc w:val="center"/>
              <w:rPr>
                <w:rFonts w:asciiTheme="minorEastAsia" w:hAnsiTheme="minorEastAsia" w:eastAsiaTheme="minorEastAsia"/>
                <w:color w:val="auto"/>
                <w:highlight w:val="none"/>
              </w:rPr>
            </w:pPr>
            <w:bookmarkStart w:id="1766" w:name="_Toc251052187"/>
            <w:r>
              <w:rPr>
                <w:rFonts w:asciiTheme="minorEastAsia" w:hAnsiTheme="minorEastAsia" w:eastAsiaTheme="minorEastAsia"/>
                <w:color w:val="auto"/>
                <w:highlight w:val="none"/>
              </w:rPr>
              <w:t>姓名</w:t>
            </w:r>
            <w:bookmarkEnd w:id="1766"/>
          </w:p>
        </w:tc>
        <w:tc>
          <w:tcPr>
            <w:tcW w:w="816" w:type="dxa"/>
            <w:vMerge w:val="restart"/>
            <w:vAlign w:val="center"/>
          </w:tcPr>
          <w:p w14:paraId="134FAC9B">
            <w:pPr>
              <w:ind w:left="223" w:hanging="222" w:hangingChars="106"/>
              <w:jc w:val="center"/>
              <w:rPr>
                <w:rFonts w:asciiTheme="minorEastAsia" w:hAnsiTheme="minorEastAsia" w:eastAsiaTheme="minorEastAsia"/>
                <w:color w:val="auto"/>
                <w:highlight w:val="none"/>
              </w:rPr>
            </w:pPr>
            <w:bookmarkStart w:id="1767" w:name="_Toc251052188"/>
            <w:r>
              <w:rPr>
                <w:rFonts w:asciiTheme="minorEastAsia" w:hAnsiTheme="minorEastAsia" w:eastAsiaTheme="minorEastAsia"/>
                <w:color w:val="auto"/>
                <w:highlight w:val="none"/>
              </w:rPr>
              <w:t>职称</w:t>
            </w:r>
            <w:bookmarkEnd w:id="1767"/>
          </w:p>
        </w:tc>
        <w:tc>
          <w:tcPr>
            <w:tcW w:w="4592" w:type="dxa"/>
            <w:gridSpan w:val="4"/>
            <w:vAlign w:val="center"/>
          </w:tcPr>
          <w:p w14:paraId="412D013D">
            <w:pPr>
              <w:ind w:left="223" w:hanging="222" w:hangingChars="106"/>
              <w:jc w:val="center"/>
              <w:rPr>
                <w:rFonts w:asciiTheme="minorEastAsia" w:hAnsiTheme="minorEastAsia" w:eastAsiaTheme="minorEastAsia"/>
                <w:color w:val="auto"/>
                <w:highlight w:val="none"/>
              </w:rPr>
            </w:pPr>
            <w:bookmarkStart w:id="1768" w:name="_Toc251052189"/>
            <w:r>
              <w:rPr>
                <w:rFonts w:asciiTheme="minorEastAsia" w:hAnsiTheme="minorEastAsia" w:eastAsiaTheme="minorEastAsia"/>
                <w:color w:val="auto"/>
                <w:highlight w:val="none"/>
              </w:rPr>
              <w:t>执业或职业资格证明</w:t>
            </w:r>
            <w:bookmarkEnd w:id="1768"/>
          </w:p>
        </w:tc>
        <w:tc>
          <w:tcPr>
            <w:tcW w:w="2126" w:type="dxa"/>
            <w:gridSpan w:val="2"/>
            <w:vAlign w:val="center"/>
          </w:tcPr>
          <w:p w14:paraId="0EF2802C">
            <w:pPr>
              <w:ind w:left="223" w:hanging="222" w:hangingChars="106"/>
              <w:jc w:val="center"/>
              <w:rPr>
                <w:rFonts w:asciiTheme="minorEastAsia" w:hAnsiTheme="minorEastAsia" w:eastAsiaTheme="minorEastAsia"/>
                <w:color w:val="auto"/>
                <w:highlight w:val="none"/>
              </w:rPr>
            </w:pPr>
            <w:bookmarkStart w:id="1769" w:name="_Toc251052190"/>
            <w:r>
              <w:rPr>
                <w:rFonts w:asciiTheme="minorEastAsia" w:hAnsiTheme="minorEastAsia" w:eastAsiaTheme="minorEastAsia"/>
                <w:color w:val="auto"/>
                <w:highlight w:val="none"/>
              </w:rPr>
              <w:t>承担完工</w:t>
            </w:r>
            <w:bookmarkEnd w:id="1769"/>
            <w:bookmarkStart w:id="1770" w:name="_Toc251052191"/>
            <w:r>
              <w:rPr>
                <w:rFonts w:asciiTheme="minorEastAsia" w:hAnsiTheme="minorEastAsia" w:eastAsiaTheme="minorEastAsia"/>
                <w:color w:val="auto"/>
                <w:highlight w:val="none"/>
              </w:rPr>
              <w:t>工程情况</w:t>
            </w:r>
            <w:bookmarkEnd w:id="1770"/>
          </w:p>
        </w:tc>
      </w:tr>
      <w:tr w14:paraId="2562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50D69E1A">
            <w:pPr>
              <w:ind w:left="223" w:hanging="222" w:hangingChars="106"/>
              <w:jc w:val="center"/>
              <w:rPr>
                <w:rFonts w:asciiTheme="minorEastAsia" w:hAnsiTheme="minorEastAsia" w:eastAsiaTheme="minorEastAsia"/>
                <w:color w:val="auto"/>
                <w:highlight w:val="none"/>
              </w:rPr>
            </w:pPr>
          </w:p>
        </w:tc>
        <w:tc>
          <w:tcPr>
            <w:tcW w:w="829" w:type="dxa"/>
            <w:vMerge w:val="continue"/>
            <w:vAlign w:val="center"/>
          </w:tcPr>
          <w:p w14:paraId="14645EC1">
            <w:pPr>
              <w:ind w:left="223" w:hanging="222" w:hangingChars="106"/>
              <w:jc w:val="center"/>
              <w:rPr>
                <w:rFonts w:asciiTheme="minorEastAsia" w:hAnsiTheme="minorEastAsia" w:eastAsiaTheme="minorEastAsia"/>
                <w:color w:val="auto"/>
                <w:highlight w:val="none"/>
              </w:rPr>
            </w:pPr>
          </w:p>
        </w:tc>
        <w:tc>
          <w:tcPr>
            <w:tcW w:w="816" w:type="dxa"/>
            <w:vMerge w:val="continue"/>
            <w:vAlign w:val="center"/>
          </w:tcPr>
          <w:p w14:paraId="4884925C">
            <w:pPr>
              <w:ind w:left="223" w:hanging="222" w:hangingChars="106"/>
              <w:jc w:val="center"/>
              <w:rPr>
                <w:rFonts w:asciiTheme="minorEastAsia" w:hAnsiTheme="minorEastAsia" w:eastAsiaTheme="minorEastAsia"/>
                <w:color w:val="auto"/>
                <w:highlight w:val="none"/>
              </w:rPr>
            </w:pPr>
          </w:p>
        </w:tc>
        <w:tc>
          <w:tcPr>
            <w:tcW w:w="1148" w:type="dxa"/>
            <w:vAlign w:val="center"/>
          </w:tcPr>
          <w:p w14:paraId="329346E2">
            <w:pPr>
              <w:ind w:left="223" w:hanging="222" w:hangingChars="106"/>
              <w:jc w:val="center"/>
              <w:rPr>
                <w:rFonts w:asciiTheme="minorEastAsia" w:hAnsiTheme="minorEastAsia" w:eastAsiaTheme="minorEastAsia"/>
                <w:color w:val="auto"/>
                <w:highlight w:val="none"/>
              </w:rPr>
            </w:pPr>
            <w:bookmarkStart w:id="1771" w:name="_Toc251052192"/>
            <w:r>
              <w:rPr>
                <w:rFonts w:asciiTheme="minorEastAsia" w:hAnsiTheme="minorEastAsia" w:eastAsiaTheme="minorEastAsia"/>
                <w:color w:val="auto"/>
                <w:highlight w:val="none"/>
              </w:rPr>
              <w:t>证书名称</w:t>
            </w:r>
            <w:bookmarkEnd w:id="1771"/>
          </w:p>
        </w:tc>
        <w:tc>
          <w:tcPr>
            <w:tcW w:w="1148" w:type="dxa"/>
            <w:vAlign w:val="center"/>
          </w:tcPr>
          <w:p w14:paraId="5D28113E">
            <w:pPr>
              <w:ind w:left="223" w:hanging="222" w:hangingChars="106"/>
              <w:jc w:val="center"/>
              <w:rPr>
                <w:rFonts w:asciiTheme="minorEastAsia" w:hAnsiTheme="minorEastAsia" w:eastAsiaTheme="minorEastAsia"/>
                <w:color w:val="auto"/>
                <w:highlight w:val="none"/>
              </w:rPr>
            </w:pPr>
            <w:bookmarkStart w:id="1772" w:name="_Toc251052193"/>
            <w:r>
              <w:rPr>
                <w:rFonts w:asciiTheme="minorEastAsia" w:hAnsiTheme="minorEastAsia" w:eastAsiaTheme="minorEastAsia"/>
                <w:color w:val="auto"/>
                <w:highlight w:val="none"/>
              </w:rPr>
              <w:t>级别</w:t>
            </w:r>
            <w:bookmarkEnd w:id="1772"/>
          </w:p>
        </w:tc>
        <w:tc>
          <w:tcPr>
            <w:tcW w:w="1148" w:type="dxa"/>
            <w:vAlign w:val="center"/>
          </w:tcPr>
          <w:p w14:paraId="63F996BE">
            <w:pPr>
              <w:ind w:left="223" w:hanging="222" w:hangingChars="106"/>
              <w:jc w:val="center"/>
              <w:rPr>
                <w:rFonts w:asciiTheme="minorEastAsia" w:hAnsiTheme="minorEastAsia" w:eastAsiaTheme="minorEastAsia"/>
                <w:color w:val="auto"/>
                <w:highlight w:val="none"/>
              </w:rPr>
            </w:pPr>
            <w:bookmarkStart w:id="1773" w:name="_Toc251052194"/>
            <w:r>
              <w:rPr>
                <w:rFonts w:asciiTheme="minorEastAsia" w:hAnsiTheme="minorEastAsia" w:eastAsiaTheme="minorEastAsia"/>
                <w:color w:val="auto"/>
                <w:highlight w:val="none"/>
              </w:rPr>
              <w:t>证号</w:t>
            </w:r>
            <w:bookmarkEnd w:id="1773"/>
          </w:p>
        </w:tc>
        <w:tc>
          <w:tcPr>
            <w:tcW w:w="1148" w:type="dxa"/>
            <w:vAlign w:val="center"/>
          </w:tcPr>
          <w:p w14:paraId="7B49D0F8">
            <w:pPr>
              <w:ind w:left="223" w:hanging="222" w:hangingChars="106"/>
              <w:jc w:val="center"/>
              <w:rPr>
                <w:rFonts w:asciiTheme="minorEastAsia" w:hAnsiTheme="minorEastAsia" w:eastAsiaTheme="minorEastAsia"/>
                <w:color w:val="auto"/>
                <w:highlight w:val="none"/>
              </w:rPr>
            </w:pPr>
            <w:bookmarkStart w:id="1774" w:name="_Toc251052195"/>
            <w:r>
              <w:rPr>
                <w:rFonts w:asciiTheme="minorEastAsia" w:hAnsiTheme="minorEastAsia" w:eastAsiaTheme="minorEastAsia"/>
                <w:color w:val="auto"/>
                <w:highlight w:val="none"/>
              </w:rPr>
              <w:t>专业</w:t>
            </w:r>
            <w:bookmarkEnd w:id="1774"/>
          </w:p>
        </w:tc>
        <w:tc>
          <w:tcPr>
            <w:tcW w:w="850" w:type="dxa"/>
            <w:vAlign w:val="center"/>
          </w:tcPr>
          <w:p w14:paraId="3B7CC984">
            <w:pPr>
              <w:ind w:left="223" w:hanging="222" w:hangingChars="106"/>
              <w:jc w:val="center"/>
              <w:rPr>
                <w:rFonts w:asciiTheme="minorEastAsia" w:hAnsiTheme="minorEastAsia" w:eastAsiaTheme="minorEastAsia"/>
                <w:color w:val="auto"/>
                <w:highlight w:val="none"/>
              </w:rPr>
            </w:pPr>
            <w:bookmarkStart w:id="1775" w:name="_Toc251052197"/>
            <w:r>
              <w:rPr>
                <w:rFonts w:asciiTheme="minorEastAsia" w:hAnsiTheme="minorEastAsia" w:eastAsiaTheme="minorEastAsia"/>
                <w:color w:val="auto"/>
                <w:highlight w:val="none"/>
              </w:rPr>
              <w:t>项目数</w:t>
            </w:r>
            <w:bookmarkEnd w:id="1775"/>
          </w:p>
        </w:tc>
        <w:tc>
          <w:tcPr>
            <w:tcW w:w="1276" w:type="dxa"/>
            <w:vAlign w:val="center"/>
          </w:tcPr>
          <w:p w14:paraId="3361A81E">
            <w:pPr>
              <w:ind w:left="223" w:hanging="222" w:hangingChars="106"/>
              <w:jc w:val="center"/>
              <w:rPr>
                <w:rFonts w:asciiTheme="minorEastAsia" w:hAnsiTheme="minorEastAsia" w:eastAsiaTheme="minorEastAsia"/>
                <w:color w:val="auto"/>
                <w:highlight w:val="none"/>
              </w:rPr>
            </w:pPr>
            <w:bookmarkStart w:id="1776" w:name="_Toc251052198"/>
            <w:r>
              <w:rPr>
                <w:rFonts w:asciiTheme="minorEastAsia" w:hAnsiTheme="minorEastAsia" w:eastAsiaTheme="minorEastAsia"/>
                <w:color w:val="auto"/>
                <w:highlight w:val="none"/>
              </w:rPr>
              <w:t>主要项目</w:t>
            </w:r>
          </w:p>
          <w:p w14:paraId="07E1F630">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名称</w:t>
            </w:r>
            <w:bookmarkEnd w:id="1776"/>
          </w:p>
        </w:tc>
      </w:tr>
      <w:tr w14:paraId="3BC5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637DC33">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施工员</w:t>
            </w:r>
          </w:p>
        </w:tc>
        <w:tc>
          <w:tcPr>
            <w:tcW w:w="829" w:type="dxa"/>
            <w:vAlign w:val="center"/>
          </w:tcPr>
          <w:p w14:paraId="74C723E4">
            <w:pPr>
              <w:ind w:left="223" w:hanging="222" w:hangingChars="106"/>
              <w:jc w:val="center"/>
              <w:rPr>
                <w:rFonts w:asciiTheme="minorEastAsia" w:hAnsiTheme="minorEastAsia" w:eastAsiaTheme="minorEastAsia"/>
                <w:color w:val="auto"/>
                <w:highlight w:val="none"/>
              </w:rPr>
            </w:pPr>
          </w:p>
        </w:tc>
        <w:tc>
          <w:tcPr>
            <w:tcW w:w="816" w:type="dxa"/>
            <w:vAlign w:val="center"/>
          </w:tcPr>
          <w:p w14:paraId="6B481D9F">
            <w:pPr>
              <w:ind w:left="223" w:hanging="222" w:hangingChars="106"/>
              <w:jc w:val="center"/>
              <w:rPr>
                <w:rFonts w:asciiTheme="minorEastAsia" w:hAnsiTheme="minorEastAsia" w:eastAsiaTheme="minorEastAsia"/>
                <w:color w:val="auto"/>
                <w:highlight w:val="none"/>
              </w:rPr>
            </w:pPr>
          </w:p>
        </w:tc>
        <w:tc>
          <w:tcPr>
            <w:tcW w:w="1148" w:type="dxa"/>
            <w:vAlign w:val="center"/>
          </w:tcPr>
          <w:p w14:paraId="1C0CED9A">
            <w:pPr>
              <w:ind w:left="223" w:hanging="222" w:hangingChars="106"/>
              <w:jc w:val="center"/>
              <w:rPr>
                <w:rFonts w:asciiTheme="minorEastAsia" w:hAnsiTheme="minorEastAsia" w:eastAsiaTheme="minorEastAsia"/>
                <w:color w:val="auto"/>
                <w:highlight w:val="none"/>
              </w:rPr>
            </w:pPr>
          </w:p>
        </w:tc>
        <w:tc>
          <w:tcPr>
            <w:tcW w:w="1148" w:type="dxa"/>
            <w:vAlign w:val="center"/>
          </w:tcPr>
          <w:p w14:paraId="5241AFFB">
            <w:pPr>
              <w:ind w:left="223" w:hanging="222" w:hangingChars="106"/>
              <w:jc w:val="center"/>
              <w:rPr>
                <w:rFonts w:asciiTheme="minorEastAsia" w:hAnsiTheme="minorEastAsia" w:eastAsiaTheme="minorEastAsia"/>
                <w:color w:val="auto"/>
                <w:highlight w:val="none"/>
              </w:rPr>
            </w:pPr>
          </w:p>
        </w:tc>
        <w:tc>
          <w:tcPr>
            <w:tcW w:w="1148" w:type="dxa"/>
            <w:vAlign w:val="center"/>
          </w:tcPr>
          <w:p w14:paraId="6079E271">
            <w:pPr>
              <w:ind w:left="223" w:hanging="222" w:hangingChars="106"/>
              <w:jc w:val="center"/>
              <w:rPr>
                <w:rFonts w:asciiTheme="minorEastAsia" w:hAnsiTheme="minorEastAsia" w:eastAsiaTheme="minorEastAsia"/>
                <w:color w:val="auto"/>
                <w:highlight w:val="none"/>
              </w:rPr>
            </w:pPr>
          </w:p>
        </w:tc>
        <w:tc>
          <w:tcPr>
            <w:tcW w:w="1148" w:type="dxa"/>
            <w:vAlign w:val="center"/>
          </w:tcPr>
          <w:p w14:paraId="1FA01D33">
            <w:pPr>
              <w:ind w:left="223" w:hanging="222" w:hangingChars="106"/>
              <w:jc w:val="center"/>
              <w:rPr>
                <w:rFonts w:asciiTheme="minorEastAsia" w:hAnsiTheme="minorEastAsia" w:eastAsiaTheme="minorEastAsia"/>
                <w:color w:val="auto"/>
                <w:highlight w:val="none"/>
              </w:rPr>
            </w:pPr>
          </w:p>
        </w:tc>
        <w:tc>
          <w:tcPr>
            <w:tcW w:w="850" w:type="dxa"/>
            <w:vAlign w:val="center"/>
          </w:tcPr>
          <w:p w14:paraId="645A9A17">
            <w:pPr>
              <w:ind w:left="223" w:hanging="222" w:hangingChars="106"/>
              <w:jc w:val="center"/>
              <w:rPr>
                <w:rFonts w:asciiTheme="minorEastAsia" w:hAnsiTheme="minorEastAsia" w:eastAsiaTheme="minorEastAsia"/>
                <w:color w:val="auto"/>
                <w:highlight w:val="none"/>
              </w:rPr>
            </w:pPr>
          </w:p>
        </w:tc>
        <w:tc>
          <w:tcPr>
            <w:tcW w:w="1276" w:type="dxa"/>
            <w:vAlign w:val="center"/>
          </w:tcPr>
          <w:p w14:paraId="567A1217">
            <w:pPr>
              <w:ind w:left="223" w:hanging="222" w:hangingChars="106"/>
              <w:jc w:val="center"/>
              <w:rPr>
                <w:rFonts w:asciiTheme="minorEastAsia" w:hAnsiTheme="minorEastAsia" w:eastAsiaTheme="minorEastAsia"/>
                <w:color w:val="auto"/>
                <w:highlight w:val="none"/>
              </w:rPr>
            </w:pPr>
          </w:p>
        </w:tc>
      </w:tr>
      <w:tr w14:paraId="0027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7B5C636">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质检员</w:t>
            </w:r>
          </w:p>
        </w:tc>
        <w:tc>
          <w:tcPr>
            <w:tcW w:w="829" w:type="dxa"/>
            <w:vAlign w:val="center"/>
          </w:tcPr>
          <w:p w14:paraId="638C5E4C">
            <w:pPr>
              <w:ind w:left="223" w:hanging="222" w:hangingChars="106"/>
              <w:jc w:val="center"/>
              <w:rPr>
                <w:rFonts w:asciiTheme="minorEastAsia" w:hAnsiTheme="minorEastAsia" w:eastAsiaTheme="minorEastAsia"/>
                <w:color w:val="auto"/>
                <w:highlight w:val="none"/>
              </w:rPr>
            </w:pPr>
          </w:p>
        </w:tc>
        <w:tc>
          <w:tcPr>
            <w:tcW w:w="816" w:type="dxa"/>
            <w:vAlign w:val="center"/>
          </w:tcPr>
          <w:p w14:paraId="29ABA82D">
            <w:pPr>
              <w:ind w:left="223" w:hanging="222" w:hangingChars="106"/>
              <w:jc w:val="center"/>
              <w:rPr>
                <w:rFonts w:asciiTheme="minorEastAsia" w:hAnsiTheme="minorEastAsia" w:eastAsiaTheme="minorEastAsia"/>
                <w:color w:val="auto"/>
                <w:highlight w:val="none"/>
              </w:rPr>
            </w:pPr>
          </w:p>
        </w:tc>
        <w:tc>
          <w:tcPr>
            <w:tcW w:w="1148" w:type="dxa"/>
            <w:vAlign w:val="center"/>
          </w:tcPr>
          <w:p w14:paraId="1940DA0D">
            <w:pPr>
              <w:ind w:left="223" w:hanging="222" w:hangingChars="106"/>
              <w:jc w:val="center"/>
              <w:rPr>
                <w:rFonts w:asciiTheme="minorEastAsia" w:hAnsiTheme="minorEastAsia" w:eastAsiaTheme="minorEastAsia"/>
                <w:color w:val="auto"/>
                <w:highlight w:val="none"/>
              </w:rPr>
            </w:pPr>
          </w:p>
        </w:tc>
        <w:tc>
          <w:tcPr>
            <w:tcW w:w="1148" w:type="dxa"/>
            <w:vAlign w:val="center"/>
          </w:tcPr>
          <w:p w14:paraId="03EAF3D8">
            <w:pPr>
              <w:ind w:left="223" w:hanging="222" w:hangingChars="106"/>
              <w:jc w:val="center"/>
              <w:rPr>
                <w:rFonts w:asciiTheme="minorEastAsia" w:hAnsiTheme="minorEastAsia" w:eastAsiaTheme="minorEastAsia"/>
                <w:color w:val="auto"/>
                <w:highlight w:val="none"/>
              </w:rPr>
            </w:pPr>
          </w:p>
        </w:tc>
        <w:tc>
          <w:tcPr>
            <w:tcW w:w="1148" w:type="dxa"/>
            <w:vAlign w:val="center"/>
          </w:tcPr>
          <w:p w14:paraId="6E3E84B9">
            <w:pPr>
              <w:ind w:left="223" w:hanging="222" w:hangingChars="106"/>
              <w:jc w:val="center"/>
              <w:rPr>
                <w:rFonts w:asciiTheme="minorEastAsia" w:hAnsiTheme="minorEastAsia" w:eastAsiaTheme="minorEastAsia"/>
                <w:color w:val="auto"/>
                <w:highlight w:val="none"/>
              </w:rPr>
            </w:pPr>
          </w:p>
        </w:tc>
        <w:tc>
          <w:tcPr>
            <w:tcW w:w="1148" w:type="dxa"/>
            <w:vAlign w:val="center"/>
          </w:tcPr>
          <w:p w14:paraId="2E660790">
            <w:pPr>
              <w:ind w:left="223" w:hanging="222" w:hangingChars="106"/>
              <w:jc w:val="center"/>
              <w:rPr>
                <w:rFonts w:asciiTheme="minorEastAsia" w:hAnsiTheme="minorEastAsia" w:eastAsiaTheme="minorEastAsia"/>
                <w:color w:val="auto"/>
                <w:highlight w:val="none"/>
              </w:rPr>
            </w:pPr>
          </w:p>
        </w:tc>
        <w:tc>
          <w:tcPr>
            <w:tcW w:w="850" w:type="dxa"/>
            <w:vAlign w:val="center"/>
          </w:tcPr>
          <w:p w14:paraId="5B6ED6EE">
            <w:pPr>
              <w:ind w:left="223" w:hanging="222" w:hangingChars="106"/>
              <w:jc w:val="center"/>
              <w:rPr>
                <w:rFonts w:asciiTheme="minorEastAsia" w:hAnsiTheme="minorEastAsia" w:eastAsiaTheme="minorEastAsia"/>
                <w:color w:val="auto"/>
                <w:highlight w:val="none"/>
              </w:rPr>
            </w:pPr>
          </w:p>
        </w:tc>
        <w:tc>
          <w:tcPr>
            <w:tcW w:w="1276" w:type="dxa"/>
            <w:vAlign w:val="center"/>
          </w:tcPr>
          <w:p w14:paraId="415ABDA6">
            <w:pPr>
              <w:ind w:left="223" w:hanging="222" w:hangingChars="106"/>
              <w:jc w:val="center"/>
              <w:rPr>
                <w:rFonts w:asciiTheme="minorEastAsia" w:hAnsiTheme="minorEastAsia" w:eastAsiaTheme="minorEastAsia"/>
                <w:color w:val="auto"/>
                <w:highlight w:val="none"/>
              </w:rPr>
            </w:pPr>
          </w:p>
        </w:tc>
      </w:tr>
      <w:tr w14:paraId="4E28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4BF38C5A">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安全员</w:t>
            </w:r>
          </w:p>
        </w:tc>
        <w:tc>
          <w:tcPr>
            <w:tcW w:w="829" w:type="dxa"/>
            <w:vAlign w:val="center"/>
          </w:tcPr>
          <w:p w14:paraId="4F3BEF72">
            <w:pPr>
              <w:ind w:left="223" w:hanging="222" w:hangingChars="106"/>
              <w:jc w:val="center"/>
              <w:rPr>
                <w:rFonts w:asciiTheme="minorEastAsia" w:hAnsiTheme="minorEastAsia" w:eastAsiaTheme="minorEastAsia"/>
                <w:color w:val="auto"/>
                <w:highlight w:val="none"/>
              </w:rPr>
            </w:pPr>
          </w:p>
        </w:tc>
        <w:tc>
          <w:tcPr>
            <w:tcW w:w="816" w:type="dxa"/>
            <w:vAlign w:val="center"/>
          </w:tcPr>
          <w:p w14:paraId="522F3995">
            <w:pPr>
              <w:ind w:left="223" w:hanging="222" w:hangingChars="106"/>
              <w:jc w:val="center"/>
              <w:rPr>
                <w:rFonts w:asciiTheme="minorEastAsia" w:hAnsiTheme="minorEastAsia" w:eastAsiaTheme="minorEastAsia"/>
                <w:color w:val="auto"/>
                <w:highlight w:val="none"/>
              </w:rPr>
            </w:pPr>
          </w:p>
        </w:tc>
        <w:tc>
          <w:tcPr>
            <w:tcW w:w="1148" w:type="dxa"/>
            <w:vAlign w:val="center"/>
          </w:tcPr>
          <w:p w14:paraId="3BF69602">
            <w:pPr>
              <w:ind w:left="223" w:hanging="222" w:hangingChars="106"/>
              <w:jc w:val="center"/>
              <w:rPr>
                <w:rFonts w:asciiTheme="minorEastAsia" w:hAnsiTheme="minorEastAsia" w:eastAsiaTheme="minorEastAsia"/>
                <w:color w:val="auto"/>
                <w:highlight w:val="none"/>
              </w:rPr>
            </w:pPr>
          </w:p>
        </w:tc>
        <w:tc>
          <w:tcPr>
            <w:tcW w:w="1148" w:type="dxa"/>
            <w:vAlign w:val="center"/>
          </w:tcPr>
          <w:p w14:paraId="347450E8">
            <w:pPr>
              <w:ind w:left="223" w:hanging="222" w:hangingChars="106"/>
              <w:jc w:val="center"/>
              <w:rPr>
                <w:rFonts w:asciiTheme="minorEastAsia" w:hAnsiTheme="minorEastAsia" w:eastAsiaTheme="minorEastAsia"/>
                <w:color w:val="auto"/>
                <w:highlight w:val="none"/>
              </w:rPr>
            </w:pPr>
          </w:p>
        </w:tc>
        <w:tc>
          <w:tcPr>
            <w:tcW w:w="1148" w:type="dxa"/>
            <w:vAlign w:val="center"/>
          </w:tcPr>
          <w:p w14:paraId="5A2EEE45">
            <w:pPr>
              <w:ind w:left="223" w:hanging="222" w:hangingChars="106"/>
              <w:jc w:val="center"/>
              <w:rPr>
                <w:rFonts w:asciiTheme="minorEastAsia" w:hAnsiTheme="minorEastAsia" w:eastAsiaTheme="minorEastAsia"/>
                <w:color w:val="auto"/>
                <w:highlight w:val="none"/>
              </w:rPr>
            </w:pPr>
          </w:p>
        </w:tc>
        <w:tc>
          <w:tcPr>
            <w:tcW w:w="1148" w:type="dxa"/>
            <w:vAlign w:val="center"/>
          </w:tcPr>
          <w:p w14:paraId="7A20683E">
            <w:pPr>
              <w:ind w:left="223" w:hanging="222" w:hangingChars="106"/>
              <w:jc w:val="center"/>
              <w:rPr>
                <w:rFonts w:asciiTheme="minorEastAsia" w:hAnsiTheme="minorEastAsia" w:eastAsiaTheme="minorEastAsia"/>
                <w:color w:val="auto"/>
                <w:highlight w:val="none"/>
              </w:rPr>
            </w:pPr>
          </w:p>
        </w:tc>
        <w:tc>
          <w:tcPr>
            <w:tcW w:w="850" w:type="dxa"/>
            <w:vAlign w:val="center"/>
          </w:tcPr>
          <w:p w14:paraId="68FCD511">
            <w:pPr>
              <w:ind w:left="223" w:hanging="222" w:hangingChars="106"/>
              <w:jc w:val="center"/>
              <w:rPr>
                <w:rFonts w:asciiTheme="minorEastAsia" w:hAnsiTheme="minorEastAsia" w:eastAsiaTheme="minorEastAsia"/>
                <w:color w:val="auto"/>
                <w:highlight w:val="none"/>
              </w:rPr>
            </w:pPr>
          </w:p>
        </w:tc>
        <w:tc>
          <w:tcPr>
            <w:tcW w:w="1276" w:type="dxa"/>
            <w:vAlign w:val="center"/>
          </w:tcPr>
          <w:p w14:paraId="3E7A554F">
            <w:pPr>
              <w:ind w:left="223" w:hanging="222" w:hangingChars="106"/>
              <w:jc w:val="center"/>
              <w:rPr>
                <w:rFonts w:asciiTheme="minorEastAsia" w:hAnsiTheme="minorEastAsia" w:eastAsiaTheme="minorEastAsia"/>
                <w:color w:val="auto"/>
                <w:highlight w:val="none"/>
              </w:rPr>
            </w:pPr>
          </w:p>
        </w:tc>
      </w:tr>
      <w:tr w14:paraId="1CC7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7D925B4B">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6CFBE1F4">
            <w:pPr>
              <w:ind w:left="223" w:hanging="222" w:hangingChars="106"/>
              <w:jc w:val="center"/>
              <w:rPr>
                <w:rFonts w:asciiTheme="minorEastAsia" w:hAnsiTheme="minorEastAsia" w:eastAsiaTheme="minorEastAsia"/>
                <w:color w:val="auto"/>
                <w:highlight w:val="none"/>
              </w:rPr>
            </w:pPr>
          </w:p>
        </w:tc>
        <w:tc>
          <w:tcPr>
            <w:tcW w:w="816" w:type="dxa"/>
            <w:vAlign w:val="center"/>
          </w:tcPr>
          <w:p w14:paraId="1EFD4A51">
            <w:pPr>
              <w:ind w:left="223" w:hanging="222" w:hangingChars="106"/>
              <w:jc w:val="center"/>
              <w:rPr>
                <w:rFonts w:asciiTheme="minorEastAsia" w:hAnsiTheme="minorEastAsia" w:eastAsiaTheme="minorEastAsia"/>
                <w:color w:val="auto"/>
                <w:highlight w:val="none"/>
              </w:rPr>
            </w:pPr>
          </w:p>
        </w:tc>
        <w:tc>
          <w:tcPr>
            <w:tcW w:w="1148" w:type="dxa"/>
            <w:vAlign w:val="center"/>
          </w:tcPr>
          <w:p w14:paraId="4FE58117">
            <w:pPr>
              <w:ind w:left="223" w:hanging="222" w:hangingChars="106"/>
              <w:jc w:val="center"/>
              <w:rPr>
                <w:rFonts w:asciiTheme="minorEastAsia" w:hAnsiTheme="minorEastAsia" w:eastAsiaTheme="minorEastAsia"/>
                <w:color w:val="auto"/>
                <w:highlight w:val="none"/>
              </w:rPr>
            </w:pPr>
          </w:p>
        </w:tc>
        <w:tc>
          <w:tcPr>
            <w:tcW w:w="1148" w:type="dxa"/>
            <w:vAlign w:val="center"/>
          </w:tcPr>
          <w:p w14:paraId="7ACA2363">
            <w:pPr>
              <w:ind w:left="223" w:hanging="222" w:hangingChars="106"/>
              <w:jc w:val="center"/>
              <w:rPr>
                <w:rFonts w:asciiTheme="minorEastAsia" w:hAnsiTheme="minorEastAsia" w:eastAsiaTheme="minorEastAsia"/>
                <w:color w:val="auto"/>
                <w:highlight w:val="none"/>
              </w:rPr>
            </w:pPr>
          </w:p>
        </w:tc>
        <w:tc>
          <w:tcPr>
            <w:tcW w:w="1148" w:type="dxa"/>
            <w:vAlign w:val="center"/>
          </w:tcPr>
          <w:p w14:paraId="5B0A89D4">
            <w:pPr>
              <w:ind w:left="223" w:hanging="222" w:hangingChars="106"/>
              <w:jc w:val="center"/>
              <w:rPr>
                <w:rFonts w:asciiTheme="minorEastAsia" w:hAnsiTheme="minorEastAsia" w:eastAsiaTheme="minorEastAsia"/>
                <w:color w:val="auto"/>
                <w:highlight w:val="none"/>
              </w:rPr>
            </w:pPr>
          </w:p>
        </w:tc>
        <w:tc>
          <w:tcPr>
            <w:tcW w:w="1148" w:type="dxa"/>
            <w:vAlign w:val="center"/>
          </w:tcPr>
          <w:p w14:paraId="6B6EEAE7">
            <w:pPr>
              <w:ind w:left="223" w:hanging="222" w:hangingChars="106"/>
              <w:jc w:val="center"/>
              <w:rPr>
                <w:rFonts w:asciiTheme="minorEastAsia" w:hAnsiTheme="minorEastAsia" w:eastAsiaTheme="minorEastAsia"/>
                <w:color w:val="auto"/>
                <w:highlight w:val="none"/>
              </w:rPr>
            </w:pPr>
          </w:p>
        </w:tc>
        <w:tc>
          <w:tcPr>
            <w:tcW w:w="850" w:type="dxa"/>
            <w:vAlign w:val="center"/>
          </w:tcPr>
          <w:p w14:paraId="7E938158">
            <w:pPr>
              <w:ind w:left="223" w:hanging="222" w:hangingChars="106"/>
              <w:jc w:val="center"/>
              <w:rPr>
                <w:rFonts w:asciiTheme="minorEastAsia" w:hAnsiTheme="minorEastAsia" w:eastAsiaTheme="minorEastAsia"/>
                <w:color w:val="auto"/>
                <w:highlight w:val="none"/>
              </w:rPr>
            </w:pPr>
          </w:p>
        </w:tc>
        <w:tc>
          <w:tcPr>
            <w:tcW w:w="1276" w:type="dxa"/>
            <w:vAlign w:val="center"/>
          </w:tcPr>
          <w:p w14:paraId="6B4F8546">
            <w:pPr>
              <w:ind w:left="223" w:hanging="222" w:hangingChars="106"/>
              <w:jc w:val="center"/>
              <w:rPr>
                <w:rFonts w:asciiTheme="minorEastAsia" w:hAnsiTheme="minorEastAsia" w:eastAsiaTheme="minorEastAsia"/>
                <w:color w:val="auto"/>
                <w:highlight w:val="none"/>
              </w:rPr>
            </w:pPr>
          </w:p>
        </w:tc>
      </w:tr>
      <w:tr w14:paraId="0656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8862B6A">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245D6C94">
            <w:pPr>
              <w:ind w:left="223" w:hanging="222" w:hangingChars="106"/>
              <w:jc w:val="center"/>
              <w:rPr>
                <w:rFonts w:asciiTheme="minorEastAsia" w:hAnsiTheme="minorEastAsia" w:eastAsiaTheme="minorEastAsia"/>
                <w:color w:val="auto"/>
                <w:highlight w:val="none"/>
              </w:rPr>
            </w:pPr>
          </w:p>
        </w:tc>
        <w:tc>
          <w:tcPr>
            <w:tcW w:w="816" w:type="dxa"/>
            <w:vAlign w:val="center"/>
          </w:tcPr>
          <w:p w14:paraId="3355BFFE">
            <w:pPr>
              <w:ind w:left="223" w:hanging="222" w:hangingChars="106"/>
              <w:jc w:val="center"/>
              <w:rPr>
                <w:rFonts w:asciiTheme="minorEastAsia" w:hAnsiTheme="minorEastAsia" w:eastAsiaTheme="minorEastAsia"/>
                <w:color w:val="auto"/>
                <w:highlight w:val="none"/>
              </w:rPr>
            </w:pPr>
          </w:p>
        </w:tc>
        <w:tc>
          <w:tcPr>
            <w:tcW w:w="1148" w:type="dxa"/>
            <w:vAlign w:val="center"/>
          </w:tcPr>
          <w:p w14:paraId="71AF2914">
            <w:pPr>
              <w:ind w:left="223" w:hanging="222" w:hangingChars="106"/>
              <w:jc w:val="center"/>
              <w:rPr>
                <w:rFonts w:asciiTheme="minorEastAsia" w:hAnsiTheme="minorEastAsia" w:eastAsiaTheme="minorEastAsia"/>
                <w:color w:val="auto"/>
                <w:highlight w:val="none"/>
              </w:rPr>
            </w:pPr>
          </w:p>
        </w:tc>
        <w:tc>
          <w:tcPr>
            <w:tcW w:w="1148" w:type="dxa"/>
            <w:vAlign w:val="center"/>
          </w:tcPr>
          <w:p w14:paraId="38077392">
            <w:pPr>
              <w:ind w:left="223" w:hanging="222" w:hangingChars="106"/>
              <w:jc w:val="center"/>
              <w:rPr>
                <w:rFonts w:asciiTheme="minorEastAsia" w:hAnsiTheme="minorEastAsia" w:eastAsiaTheme="minorEastAsia"/>
                <w:color w:val="auto"/>
                <w:highlight w:val="none"/>
              </w:rPr>
            </w:pPr>
          </w:p>
        </w:tc>
        <w:tc>
          <w:tcPr>
            <w:tcW w:w="1148" w:type="dxa"/>
            <w:vAlign w:val="center"/>
          </w:tcPr>
          <w:p w14:paraId="0F44AD4E">
            <w:pPr>
              <w:ind w:left="223" w:hanging="222" w:hangingChars="106"/>
              <w:jc w:val="center"/>
              <w:rPr>
                <w:rFonts w:asciiTheme="minorEastAsia" w:hAnsiTheme="minorEastAsia" w:eastAsiaTheme="minorEastAsia"/>
                <w:color w:val="auto"/>
                <w:highlight w:val="none"/>
              </w:rPr>
            </w:pPr>
          </w:p>
        </w:tc>
        <w:tc>
          <w:tcPr>
            <w:tcW w:w="1148" w:type="dxa"/>
            <w:vAlign w:val="center"/>
          </w:tcPr>
          <w:p w14:paraId="5C486C18">
            <w:pPr>
              <w:ind w:left="223" w:hanging="222" w:hangingChars="106"/>
              <w:jc w:val="center"/>
              <w:rPr>
                <w:rFonts w:asciiTheme="minorEastAsia" w:hAnsiTheme="minorEastAsia" w:eastAsiaTheme="minorEastAsia"/>
                <w:color w:val="auto"/>
                <w:highlight w:val="none"/>
              </w:rPr>
            </w:pPr>
          </w:p>
        </w:tc>
        <w:tc>
          <w:tcPr>
            <w:tcW w:w="850" w:type="dxa"/>
            <w:vAlign w:val="center"/>
          </w:tcPr>
          <w:p w14:paraId="05F4480D">
            <w:pPr>
              <w:ind w:left="223" w:hanging="222" w:hangingChars="106"/>
              <w:jc w:val="center"/>
              <w:rPr>
                <w:rFonts w:asciiTheme="minorEastAsia" w:hAnsiTheme="minorEastAsia" w:eastAsiaTheme="minorEastAsia"/>
                <w:color w:val="auto"/>
                <w:highlight w:val="none"/>
              </w:rPr>
            </w:pPr>
          </w:p>
        </w:tc>
        <w:tc>
          <w:tcPr>
            <w:tcW w:w="1276" w:type="dxa"/>
            <w:vAlign w:val="center"/>
          </w:tcPr>
          <w:p w14:paraId="2F73CAC5">
            <w:pPr>
              <w:ind w:left="223" w:hanging="222" w:hangingChars="106"/>
              <w:jc w:val="center"/>
              <w:rPr>
                <w:rFonts w:asciiTheme="minorEastAsia" w:hAnsiTheme="minorEastAsia" w:eastAsiaTheme="minorEastAsia"/>
                <w:color w:val="auto"/>
                <w:highlight w:val="none"/>
              </w:rPr>
            </w:pPr>
          </w:p>
        </w:tc>
      </w:tr>
      <w:tr w14:paraId="6F1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F389CD">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材料员</w:t>
            </w:r>
          </w:p>
        </w:tc>
        <w:tc>
          <w:tcPr>
            <w:tcW w:w="829" w:type="dxa"/>
            <w:vAlign w:val="center"/>
          </w:tcPr>
          <w:p w14:paraId="2D755153">
            <w:pPr>
              <w:ind w:left="223" w:hanging="222" w:hangingChars="106"/>
              <w:jc w:val="center"/>
              <w:rPr>
                <w:rFonts w:asciiTheme="minorEastAsia" w:hAnsiTheme="minorEastAsia" w:eastAsiaTheme="minorEastAsia"/>
                <w:color w:val="auto"/>
                <w:highlight w:val="none"/>
              </w:rPr>
            </w:pPr>
          </w:p>
        </w:tc>
        <w:tc>
          <w:tcPr>
            <w:tcW w:w="816" w:type="dxa"/>
            <w:vAlign w:val="center"/>
          </w:tcPr>
          <w:p w14:paraId="67CB9DBD">
            <w:pPr>
              <w:ind w:left="223" w:hanging="222" w:hangingChars="106"/>
              <w:jc w:val="center"/>
              <w:rPr>
                <w:rFonts w:asciiTheme="minorEastAsia" w:hAnsiTheme="minorEastAsia" w:eastAsiaTheme="minorEastAsia"/>
                <w:color w:val="auto"/>
                <w:highlight w:val="none"/>
              </w:rPr>
            </w:pPr>
          </w:p>
        </w:tc>
        <w:tc>
          <w:tcPr>
            <w:tcW w:w="1148" w:type="dxa"/>
            <w:vAlign w:val="center"/>
          </w:tcPr>
          <w:p w14:paraId="2D726A65">
            <w:pPr>
              <w:ind w:left="223" w:hanging="222" w:hangingChars="106"/>
              <w:jc w:val="center"/>
              <w:rPr>
                <w:rFonts w:asciiTheme="minorEastAsia" w:hAnsiTheme="minorEastAsia" w:eastAsiaTheme="minorEastAsia"/>
                <w:color w:val="auto"/>
                <w:highlight w:val="none"/>
              </w:rPr>
            </w:pPr>
          </w:p>
        </w:tc>
        <w:tc>
          <w:tcPr>
            <w:tcW w:w="1148" w:type="dxa"/>
            <w:vAlign w:val="center"/>
          </w:tcPr>
          <w:p w14:paraId="7B5C6CA1">
            <w:pPr>
              <w:ind w:left="223" w:hanging="222" w:hangingChars="106"/>
              <w:jc w:val="center"/>
              <w:rPr>
                <w:rFonts w:asciiTheme="minorEastAsia" w:hAnsiTheme="minorEastAsia" w:eastAsiaTheme="minorEastAsia"/>
                <w:color w:val="auto"/>
                <w:highlight w:val="none"/>
              </w:rPr>
            </w:pPr>
          </w:p>
        </w:tc>
        <w:tc>
          <w:tcPr>
            <w:tcW w:w="1148" w:type="dxa"/>
            <w:vAlign w:val="center"/>
          </w:tcPr>
          <w:p w14:paraId="1932F9B1">
            <w:pPr>
              <w:ind w:left="223" w:hanging="222" w:hangingChars="106"/>
              <w:jc w:val="center"/>
              <w:rPr>
                <w:rFonts w:asciiTheme="minorEastAsia" w:hAnsiTheme="minorEastAsia" w:eastAsiaTheme="minorEastAsia"/>
                <w:color w:val="auto"/>
                <w:highlight w:val="none"/>
              </w:rPr>
            </w:pPr>
          </w:p>
        </w:tc>
        <w:tc>
          <w:tcPr>
            <w:tcW w:w="1148" w:type="dxa"/>
            <w:vAlign w:val="center"/>
          </w:tcPr>
          <w:p w14:paraId="5DB3D0D4">
            <w:pPr>
              <w:ind w:left="223" w:hanging="222" w:hangingChars="106"/>
              <w:jc w:val="center"/>
              <w:rPr>
                <w:rFonts w:asciiTheme="minorEastAsia" w:hAnsiTheme="minorEastAsia" w:eastAsiaTheme="minorEastAsia"/>
                <w:color w:val="auto"/>
                <w:highlight w:val="none"/>
              </w:rPr>
            </w:pPr>
          </w:p>
        </w:tc>
        <w:tc>
          <w:tcPr>
            <w:tcW w:w="850" w:type="dxa"/>
            <w:vAlign w:val="center"/>
          </w:tcPr>
          <w:p w14:paraId="465DE948">
            <w:pPr>
              <w:ind w:left="223" w:hanging="222" w:hangingChars="106"/>
              <w:jc w:val="center"/>
              <w:rPr>
                <w:rFonts w:asciiTheme="minorEastAsia" w:hAnsiTheme="minorEastAsia" w:eastAsiaTheme="minorEastAsia"/>
                <w:color w:val="auto"/>
                <w:highlight w:val="none"/>
              </w:rPr>
            </w:pPr>
          </w:p>
        </w:tc>
        <w:tc>
          <w:tcPr>
            <w:tcW w:w="1276" w:type="dxa"/>
            <w:vAlign w:val="center"/>
          </w:tcPr>
          <w:p w14:paraId="434E755C">
            <w:pPr>
              <w:ind w:left="223" w:hanging="222" w:hangingChars="106"/>
              <w:jc w:val="center"/>
              <w:rPr>
                <w:rFonts w:asciiTheme="minorEastAsia" w:hAnsiTheme="minorEastAsia" w:eastAsiaTheme="minorEastAsia"/>
                <w:color w:val="auto"/>
                <w:highlight w:val="none"/>
              </w:rPr>
            </w:pPr>
          </w:p>
        </w:tc>
      </w:tr>
      <w:tr w14:paraId="4746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DA4B918">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141FD0DD">
            <w:pPr>
              <w:ind w:left="223" w:hanging="222" w:hangingChars="106"/>
              <w:jc w:val="center"/>
              <w:rPr>
                <w:rFonts w:asciiTheme="minorEastAsia" w:hAnsiTheme="minorEastAsia" w:eastAsiaTheme="minorEastAsia"/>
                <w:color w:val="auto"/>
                <w:highlight w:val="none"/>
              </w:rPr>
            </w:pPr>
          </w:p>
        </w:tc>
        <w:tc>
          <w:tcPr>
            <w:tcW w:w="816" w:type="dxa"/>
            <w:vAlign w:val="center"/>
          </w:tcPr>
          <w:p w14:paraId="4D30B773">
            <w:pPr>
              <w:ind w:left="223" w:hanging="222" w:hangingChars="106"/>
              <w:jc w:val="center"/>
              <w:rPr>
                <w:rFonts w:asciiTheme="minorEastAsia" w:hAnsiTheme="minorEastAsia" w:eastAsiaTheme="minorEastAsia"/>
                <w:color w:val="auto"/>
                <w:highlight w:val="none"/>
              </w:rPr>
            </w:pPr>
          </w:p>
        </w:tc>
        <w:tc>
          <w:tcPr>
            <w:tcW w:w="1148" w:type="dxa"/>
            <w:vAlign w:val="center"/>
          </w:tcPr>
          <w:p w14:paraId="0851A56A">
            <w:pPr>
              <w:ind w:left="223" w:hanging="222" w:hangingChars="106"/>
              <w:jc w:val="center"/>
              <w:rPr>
                <w:rFonts w:asciiTheme="minorEastAsia" w:hAnsiTheme="minorEastAsia" w:eastAsiaTheme="minorEastAsia"/>
                <w:color w:val="auto"/>
                <w:highlight w:val="none"/>
              </w:rPr>
            </w:pPr>
          </w:p>
        </w:tc>
        <w:tc>
          <w:tcPr>
            <w:tcW w:w="1148" w:type="dxa"/>
            <w:vAlign w:val="center"/>
          </w:tcPr>
          <w:p w14:paraId="6C9D8F77">
            <w:pPr>
              <w:ind w:left="223" w:hanging="222" w:hangingChars="106"/>
              <w:jc w:val="center"/>
              <w:rPr>
                <w:rFonts w:asciiTheme="minorEastAsia" w:hAnsiTheme="minorEastAsia" w:eastAsiaTheme="minorEastAsia"/>
                <w:color w:val="auto"/>
                <w:highlight w:val="none"/>
              </w:rPr>
            </w:pPr>
          </w:p>
        </w:tc>
        <w:tc>
          <w:tcPr>
            <w:tcW w:w="1148" w:type="dxa"/>
            <w:vAlign w:val="center"/>
          </w:tcPr>
          <w:p w14:paraId="7413E199">
            <w:pPr>
              <w:ind w:left="223" w:hanging="222" w:hangingChars="106"/>
              <w:jc w:val="center"/>
              <w:rPr>
                <w:rFonts w:asciiTheme="minorEastAsia" w:hAnsiTheme="minorEastAsia" w:eastAsiaTheme="minorEastAsia"/>
                <w:color w:val="auto"/>
                <w:highlight w:val="none"/>
              </w:rPr>
            </w:pPr>
          </w:p>
        </w:tc>
        <w:tc>
          <w:tcPr>
            <w:tcW w:w="1148" w:type="dxa"/>
            <w:vAlign w:val="center"/>
          </w:tcPr>
          <w:p w14:paraId="0F1C1CD3">
            <w:pPr>
              <w:ind w:left="223" w:hanging="222" w:hangingChars="106"/>
              <w:jc w:val="center"/>
              <w:rPr>
                <w:rFonts w:asciiTheme="minorEastAsia" w:hAnsiTheme="minorEastAsia" w:eastAsiaTheme="minorEastAsia"/>
                <w:color w:val="auto"/>
                <w:highlight w:val="none"/>
              </w:rPr>
            </w:pPr>
          </w:p>
        </w:tc>
        <w:tc>
          <w:tcPr>
            <w:tcW w:w="850" w:type="dxa"/>
            <w:vAlign w:val="center"/>
          </w:tcPr>
          <w:p w14:paraId="6DC2B405">
            <w:pPr>
              <w:ind w:left="223" w:hanging="222" w:hangingChars="106"/>
              <w:jc w:val="center"/>
              <w:rPr>
                <w:rFonts w:asciiTheme="minorEastAsia" w:hAnsiTheme="minorEastAsia" w:eastAsiaTheme="minorEastAsia"/>
                <w:color w:val="auto"/>
                <w:highlight w:val="none"/>
              </w:rPr>
            </w:pPr>
          </w:p>
        </w:tc>
        <w:tc>
          <w:tcPr>
            <w:tcW w:w="1276" w:type="dxa"/>
            <w:vAlign w:val="center"/>
          </w:tcPr>
          <w:p w14:paraId="19129D2E">
            <w:pPr>
              <w:ind w:left="223" w:hanging="222" w:hangingChars="106"/>
              <w:jc w:val="center"/>
              <w:rPr>
                <w:rFonts w:asciiTheme="minorEastAsia" w:hAnsiTheme="minorEastAsia" w:eastAsiaTheme="minorEastAsia"/>
                <w:color w:val="auto"/>
                <w:highlight w:val="none"/>
              </w:rPr>
            </w:pPr>
          </w:p>
        </w:tc>
      </w:tr>
      <w:tr w14:paraId="1907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400244">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w:t>
            </w:r>
          </w:p>
        </w:tc>
        <w:tc>
          <w:tcPr>
            <w:tcW w:w="829" w:type="dxa"/>
            <w:vAlign w:val="center"/>
          </w:tcPr>
          <w:p w14:paraId="34997C7D">
            <w:pPr>
              <w:ind w:left="223" w:hanging="222" w:hangingChars="106"/>
              <w:jc w:val="center"/>
              <w:rPr>
                <w:rFonts w:asciiTheme="minorEastAsia" w:hAnsiTheme="minorEastAsia" w:eastAsiaTheme="minorEastAsia"/>
                <w:color w:val="auto"/>
                <w:highlight w:val="none"/>
              </w:rPr>
            </w:pPr>
          </w:p>
        </w:tc>
        <w:tc>
          <w:tcPr>
            <w:tcW w:w="816" w:type="dxa"/>
            <w:vAlign w:val="center"/>
          </w:tcPr>
          <w:p w14:paraId="4970E19C">
            <w:pPr>
              <w:ind w:left="223" w:hanging="222" w:hangingChars="106"/>
              <w:jc w:val="center"/>
              <w:rPr>
                <w:rFonts w:asciiTheme="minorEastAsia" w:hAnsiTheme="minorEastAsia" w:eastAsiaTheme="minorEastAsia"/>
                <w:color w:val="auto"/>
                <w:highlight w:val="none"/>
              </w:rPr>
            </w:pPr>
          </w:p>
        </w:tc>
        <w:tc>
          <w:tcPr>
            <w:tcW w:w="1148" w:type="dxa"/>
            <w:vAlign w:val="center"/>
          </w:tcPr>
          <w:p w14:paraId="4F9CFA07">
            <w:pPr>
              <w:ind w:left="223" w:hanging="222" w:hangingChars="106"/>
              <w:jc w:val="center"/>
              <w:rPr>
                <w:rFonts w:asciiTheme="minorEastAsia" w:hAnsiTheme="minorEastAsia" w:eastAsiaTheme="minorEastAsia"/>
                <w:color w:val="auto"/>
                <w:highlight w:val="none"/>
              </w:rPr>
            </w:pPr>
          </w:p>
        </w:tc>
        <w:tc>
          <w:tcPr>
            <w:tcW w:w="1148" w:type="dxa"/>
            <w:vAlign w:val="center"/>
          </w:tcPr>
          <w:p w14:paraId="69D560A1">
            <w:pPr>
              <w:ind w:left="223" w:hanging="222" w:hangingChars="106"/>
              <w:jc w:val="center"/>
              <w:rPr>
                <w:rFonts w:asciiTheme="minorEastAsia" w:hAnsiTheme="minorEastAsia" w:eastAsiaTheme="minorEastAsia"/>
                <w:color w:val="auto"/>
                <w:highlight w:val="none"/>
              </w:rPr>
            </w:pPr>
          </w:p>
        </w:tc>
        <w:tc>
          <w:tcPr>
            <w:tcW w:w="1148" w:type="dxa"/>
            <w:vAlign w:val="center"/>
          </w:tcPr>
          <w:p w14:paraId="0FD92995">
            <w:pPr>
              <w:ind w:left="223" w:hanging="222" w:hangingChars="106"/>
              <w:jc w:val="center"/>
              <w:rPr>
                <w:rFonts w:asciiTheme="minorEastAsia" w:hAnsiTheme="minorEastAsia" w:eastAsiaTheme="minorEastAsia"/>
                <w:color w:val="auto"/>
                <w:highlight w:val="none"/>
              </w:rPr>
            </w:pPr>
          </w:p>
        </w:tc>
        <w:tc>
          <w:tcPr>
            <w:tcW w:w="1148" w:type="dxa"/>
            <w:vAlign w:val="center"/>
          </w:tcPr>
          <w:p w14:paraId="4FE25BAC">
            <w:pPr>
              <w:ind w:left="223" w:hanging="222" w:hangingChars="106"/>
              <w:jc w:val="center"/>
              <w:rPr>
                <w:rFonts w:asciiTheme="minorEastAsia" w:hAnsiTheme="minorEastAsia" w:eastAsiaTheme="minorEastAsia"/>
                <w:color w:val="auto"/>
                <w:highlight w:val="none"/>
              </w:rPr>
            </w:pPr>
          </w:p>
        </w:tc>
        <w:tc>
          <w:tcPr>
            <w:tcW w:w="850" w:type="dxa"/>
            <w:vAlign w:val="center"/>
          </w:tcPr>
          <w:p w14:paraId="0A1179D8">
            <w:pPr>
              <w:ind w:left="223" w:hanging="222" w:hangingChars="106"/>
              <w:jc w:val="center"/>
              <w:rPr>
                <w:rFonts w:asciiTheme="minorEastAsia" w:hAnsiTheme="minorEastAsia" w:eastAsiaTheme="minorEastAsia"/>
                <w:color w:val="auto"/>
                <w:highlight w:val="none"/>
              </w:rPr>
            </w:pPr>
          </w:p>
        </w:tc>
        <w:tc>
          <w:tcPr>
            <w:tcW w:w="1276" w:type="dxa"/>
            <w:vAlign w:val="center"/>
          </w:tcPr>
          <w:p w14:paraId="57B5C727">
            <w:pPr>
              <w:ind w:left="223" w:hanging="222" w:hangingChars="106"/>
              <w:jc w:val="center"/>
              <w:rPr>
                <w:rFonts w:asciiTheme="minorEastAsia" w:hAnsiTheme="minorEastAsia" w:eastAsiaTheme="minorEastAsia"/>
                <w:color w:val="auto"/>
                <w:highlight w:val="none"/>
              </w:rPr>
            </w:pPr>
          </w:p>
        </w:tc>
      </w:tr>
      <w:tr w14:paraId="2DA9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1B107A7">
            <w:pPr>
              <w:spacing w:line="360" w:lineRule="auto"/>
              <w:rPr>
                <w:rFonts w:asciiTheme="minorEastAsia" w:hAnsiTheme="minorEastAsia" w:eastAsiaTheme="minorEastAsia"/>
                <w:color w:val="auto"/>
                <w:szCs w:val="21"/>
                <w:highlight w:val="none"/>
              </w:rPr>
            </w:pPr>
            <w:bookmarkStart w:id="1777" w:name="_Toc251052199"/>
            <w:r>
              <w:rPr>
                <w:rFonts w:asciiTheme="minorEastAsia" w:hAnsiTheme="minorEastAsia" w:eastAsiaTheme="minorEastAsia"/>
                <w:color w:val="auto"/>
                <w:szCs w:val="21"/>
                <w:highlight w:val="none"/>
              </w:rPr>
              <w:t>一旦我单位</w:t>
            </w:r>
            <w:r>
              <w:rPr>
                <w:rFonts w:hint="eastAsia" w:asciiTheme="minorEastAsia" w:hAnsiTheme="minorEastAsia" w:eastAsiaTheme="minorEastAsia"/>
                <w:color w:val="auto"/>
                <w:szCs w:val="21"/>
                <w:highlight w:val="none"/>
              </w:rPr>
              <w:t>成交</w:t>
            </w:r>
            <w:r>
              <w:rPr>
                <w:rFonts w:asciiTheme="minorEastAsia" w:hAnsiTheme="minorEastAsia" w:eastAsiaTheme="minorEastAsia"/>
                <w:color w:val="auto"/>
                <w:szCs w:val="21"/>
                <w:highlight w:val="none"/>
              </w:rPr>
              <w:t>，将实行项目经理负责制，我方保证并配备上述项目管理机构。上述填报内容真实，若不真实，愿按有关规定接受处理。项目管理班子机构设置、职责分工等情况另附资料说明。</w:t>
            </w:r>
            <w:bookmarkEnd w:id="1777"/>
          </w:p>
        </w:tc>
      </w:tr>
    </w:tbl>
    <w:p w14:paraId="62F33B55">
      <w:pPr>
        <w:tabs>
          <w:tab w:val="left" w:pos="0"/>
        </w:tabs>
        <w:spacing w:line="360" w:lineRule="auto"/>
        <w:ind w:right="-210"/>
        <w:rPr>
          <w:rFonts w:asciiTheme="minorEastAsia" w:hAnsiTheme="minorEastAsia" w:eastAsiaTheme="minorEastAsia"/>
          <w:color w:val="auto"/>
          <w:highlight w:val="none"/>
        </w:rPr>
      </w:pPr>
    </w:p>
    <w:p w14:paraId="5452B92B">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备注：附各岗位人员资格证件复印件</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以</w:t>
      </w:r>
      <w:r>
        <w:rPr>
          <w:rFonts w:hint="eastAsia" w:asciiTheme="minorEastAsia" w:hAnsiTheme="minorEastAsia" w:eastAsiaTheme="minorEastAsia"/>
          <w:color w:val="auto"/>
          <w:highlight w:val="none"/>
        </w:rPr>
        <w:t>上</w:t>
      </w:r>
      <w:r>
        <w:rPr>
          <w:rFonts w:asciiTheme="minorEastAsia" w:hAnsiTheme="minorEastAsia" w:eastAsiaTheme="minorEastAsia"/>
          <w:color w:val="auto"/>
          <w:highlight w:val="none"/>
        </w:rPr>
        <w:t>复印件均须加盖</w:t>
      </w:r>
      <w:r>
        <w:rPr>
          <w:rFonts w:hint="eastAsia" w:asciiTheme="minorEastAsia" w:hAnsiTheme="minorEastAsia" w:eastAsiaTheme="minorEastAsia"/>
          <w:color w:val="auto"/>
          <w:highlight w:val="none"/>
        </w:rPr>
        <w:t>磋商供应商</w:t>
      </w:r>
      <w:r>
        <w:rPr>
          <w:rFonts w:asciiTheme="minorEastAsia" w:hAnsiTheme="minorEastAsia" w:eastAsiaTheme="minorEastAsia"/>
          <w:color w:val="auto"/>
          <w:highlight w:val="none"/>
        </w:rPr>
        <w:t>单位公章</w:t>
      </w:r>
      <w:r>
        <w:rPr>
          <w:rFonts w:hint="eastAsia" w:asciiTheme="minorEastAsia" w:hAnsiTheme="minorEastAsia" w:eastAsiaTheme="minorEastAsia"/>
          <w:color w:val="auto"/>
          <w:highlight w:val="none"/>
        </w:rPr>
        <w:t>。</w:t>
      </w:r>
      <w:r>
        <w:rPr>
          <w:rFonts w:asciiTheme="minorEastAsia" w:hAnsiTheme="minorEastAsia" w:eastAsiaTheme="minorEastAsia"/>
          <w:color w:val="auto"/>
          <w:szCs w:val="21"/>
          <w:highlight w:val="none"/>
        </w:rPr>
        <w:t>】</w:t>
      </w:r>
    </w:p>
    <w:p w14:paraId="4459820B">
      <w:pPr>
        <w:rPr>
          <w:rFonts w:asciiTheme="minorEastAsia" w:hAnsiTheme="minorEastAsia" w:eastAsiaTheme="minorEastAsia"/>
          <w:color w:val="auto"/>
          <w:highlight w:val="none"/>
        </w:rPr>
      </w:pPr>
    </w:p>
    <w:p w14:paraId="4BA7DD22">
      <w:pPr>
        <w:rPr>
          <w:rFonts w:asciiTheme="minorEastAsia" w:hAnsiTheme="minorEastAsia" w:eastAsiaTheme="minorEastAsia"/>
          <w:color w:val="auto"/>
          <w:highlight w:val="none"/>
        </w:rPr>
      </w:pPr>
    </w:p>
    <w:p w14:paraId="15375215">
      <w:pPr>
        <w:rPr>
          <w:rFonts w:asciiTheme="minorEastAsia" w:hAnsiTheme="minorEastAsia" w:eastAsiaTheme="minorEastAsia"/>
          <w:color w:val="auto"/>
          <w:highlight w:val="none"/>
        </w:rPr>
        <w:sectPr>
          <w:pgSz w:w="11907" w:h="16840"/>
          <w:pgMar w:top="1440" w:right="1440" w:bottom="1440" w:left="1418" w:header="851" w:footer="851" w:gutter="0"/>
          <w:cols w:space="720" w:num="1"/>
          <w:docGrid w:linePitch="312" w:charSpace="0"/>
        </w:sectPr>
      </w:pPr>
    </w:p>
    <w:p w14:paraId="5E1192B8">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附表二：</w:t>
      </w:r>
      <w:r>
        <w:rPr>
          <w:rFonts w:asciiTheme="minorEastAsia" w:hAnsiTheme="minorEastAsia" w:eastAsiaTheme="minorEastAsia"/>
          <w:color w:val="auto"/>
          <w:highlight w:val="none"/>
        </w:rPr>
        <w:t>拟投入本</w:t>
      </w:r>
      <w:r>
        <w:rPr>
          <w:rFonts w:asciiTheme="minorEastAsia" w:hAnsiTheme="minorEastAsia" w:eastAsiaTheme="minorEastAsia"/>
          <w:color w:val="auto"/>
          <w:szCs w:val="21"/>
          <w:highlight w:val="none"/>
        </w:rPr>
        <w:t>工程</w:t>
      </w:r>
      <w:r>
        <w:rPr>
          <w:rFonts w:asciiTheme="minorEastAsia" w:hAnsiTheme="minorEastAsia" w:eastAsiaTheme="minorEastAsia"/>
          <w:color w:val="auto"/>
          <w:highlight w:val="none"/>
        </w:rPr>
        <w:t>的主要施工设备表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C07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860482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序号</w:t>
            </w:r>
          </w:p>
        </w:tc>
        <w:tc>
          <w:tcPr>
            <w:tcW w:w="1226" w:type="dxa"/>
            <w:vAlign w:val="center"/>
          </w:tcPr>
          <w:p w14:paraId="34BB3719">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设备名称</w:t>
            </w:r>
          </w:p>
        </w:tc>
        <w:tc>
          <w:tcPr>
            <w:tcW w:w="851" w:type="dxa"/>
            <w:vAlign w:val="center"/>
          </w:tcPr>
          <w:p w14:paraId="39DD71E2">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型号</w:t>
            </w:r>
          </w:p>
          <w:p w14:paraId="4A451314">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规格</w:t>
            </w:r>
          </w:p>
        </w:tc>
        <w:tc>
          <w:tcPr>
            <w:tcW w:w="708" w:type="dxa"/>
            <w:vAlign w:val="center"/>
          </w:tcPr>
          <w:p w14:paraId="6752652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数量</w:t>
            </w:r>
          </w:p>
        </w:tc>
        <w:tc>
          <w:tcPr>
            <w:tcW w:w="709" w:type="dxa"/>
            <w:vAlign w:val="center"/>
          </w:tcPr>
          <w:p w14:paraId="3AD7A30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国别</w:t>
            </w:r>
          </w:p>
          <w:p w14:paraId="65BF144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产地</w:t>
            </w:r>
          </w:p>
        </w:tc>
        <w:tc>
          <w:tcPr>
            <w:tcW w:w="851" w:type="dxa"/>
            <w:vAlign w:val="center"/>
          </w:tcPr>
          <w:p w14:paraId="5FF19D6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制造</w:t>
            </w:r>
          </w:p>
          <w:p w14:paraId="17708CD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年份</w:t>
            </w:r>
          </w:p>
        </w:tc>
        <w:tc>
          <w:tcPr>
            <w:tcW w:w="1134" w:type="dxa"/>
            <w:vAlign w:val="center"/>
          </w:tcPr>
          <w:p w14:paraId="48668D8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额定功率</w:t>
            </w:r>
          </w:p>
          <w:p w14:paraId="0695411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（KW）</w:t>
            </w:r>
          </w:p>
        </w:tc>
        <w:tc>
          <w:tcPr>
            <w:tcW w:w="992" w:type="dxa"/>
            <w:vAlign w:val="center"/>
          </w:tcPr>
          <w:p w14:paraId="1283138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生产</w:t>
            </w:r>
          </w:p>
          <w:p w14:paraId="0757F529">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能力</w:t>
            </w:r>
          </w:p>
        </w:tc>
        <w:tc>
          <w:tcPr>
            <w:tcW w:w="1134" w:type="dxa"/>
            <w:vAlign w:val="center"/>
          </w:tcPr>
          <w:p w14:paraId="1056484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用于施</w:t>
            </w:r>
          </w:p>
          <w:p w14:paraId="690A06B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工部位</w:t>
            </w:r>
          </w:p>
        </w:tc>
        <w:tc>
          <w:tcPr>
            <w:tcW w:w="992" w:type="dxa"/>
            <w:vAlign w:val="center"/>
          </w:tcPr>
          <w:p w14:paraId="67AF214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4536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AE3ACE5">
            <w:pPr>
              <w:spacing w:line="360" w:lineRule="auto"/>
              <w:rPr>
                <w:rFonts w:asciiTheme="minorEastAsia" w:hAnsiTheme="minorEastAsia" w:eastAsiaTheme="minorEastAsia"/>
                <w:color w:val="auto"/>
                <w:szCs w:val="21"/>
                <w:highlight w:val="none"/>
              </w:rPr>
            </w:pPr>
          </w:p>
        </w:tc>
        <w:tc>
          <w:tcPr>
            <w:tcW w:w="1226" w:type="dxa"/>
          </w:tcPr>
          <w:p w14:paraId="69B3B358">
            <w:pPr>
              <w:spacing w:line="360" w:lineRule="auto"/>
              <w:ind w:firstLine="420" w:firstLineChars="200"/>
              <w:rPr>
                <w:rFonts w:asciiTheme="minorEastAsia" w:hAnsiTheme="minorEastAsia" w:eastAsiaTheme="minorEastAsia"/>
                <w:color w:val="auto"/>
                <w:szCs w:val="21"/>
                <w:highlight w:val="none"/>
              </w:rPr>
            </w:pPr>
          </w:p>
        </w:tc>
        <w:tc>
          <w:tcPr>
            <w:tcW w:w="851" w:type="dxa"/>
          </w:tcPr>
          <w:p w14:paraId="5E136922">
            <w:pPr>
              <w:spacing w:line="360" w:lineRule="auto"/>
              <w:rPr>
                <w:rFonts w:asciiTheme="minorEastAsia" w:hAnsiTheme="minorEastAsia" w:eastAsiaTheme="minorEastAsia"/>
                <w:color w:val="auto"/>
                <w:szCs w:val="21"/>
                <w:highlight w:val="none"/>
              </w:rPr>
            </w:pPr>
          </w:p>
        </w:tc>
        <w:tc>
          <w:tcPr>
            <w:tcW w:w="708" w:type="dxa"/>
          </w:tcPr>
          <w:p w14:paraId="1D0C8182">
            <w:pPr>
              <w:spacing w:line="360" w:lineRule="auto"/>
              <w:rPr>
                <w:rFonts w:asciiTheme="minorEastAsia" w:hAnsiTheme="minorEastAsia" w:eastAsiaTheme="minorEastAsia"/>
                <w:color w:val="auto"/>
                <w:szCs w:val="21"/>
                <w:highlight w:val="none"/>
              </w:rPr>
            </w:pPr>
          </w:p>
        </w:tc>
        <w:tc>
          <w:tcPr>
            <w:tcW w:w="709" w:type="dxa"/>
          </w:tcPr>
          <w:p w14:paraId="2DB4B0E1">
            <w:pPr>
              <w:spacing w:line="360" w:lineRule="auto"/>
              <w:rPr>
                <w:rFonts w:asciiTheme="minorEastAsia" w:hAnsiTheme="minorEastAsia" w:eastAsiaTheme="minorEastAsia"/>
                <w:color w:val="auto"/>
                <w:szCs w:val="21"/>
                <w:highlight w:val="none"/>
              </w:rPr>
            </w:pPr>
          </w:p>
        </w:tc>
        <w:tc>
          <w:tcPr>
            <w:tcW w:w="851" w:type="dxa"/>
          </w:tcPr>
          <w:p w14:paraId="41F1B52E">
            <w:pPr>
              <w:spacing w:line="360" w:lineRule="auto"/>
              <w:rPr>
                <w:rFonts w:asciiTheme="minorEastAsia" w:hAnsiTheme="minorEastAsia" w:eastAsiaTheme="minorEastAsia"/>
                <w:color w:val="auto"/>
                <w:szCs w:val="21"/>
                <w:highlight w:val="none"/>
              </w:rPr>
            </w:pPr>
          </w:p>
        </w:tc>
        <w:tc>
          <w:tcPr>
            <w:tcW w:w="1134" w:type="dxa"/>
          </w:tcPr>
          <w:p w14:paraId="2E31E9AD">
            <w:pPr>
              <w:spacing w:line="360" w:lineRule="auto"/>
              <w:rPr>
                <w:rFonts w:asciiTheme="minorEastAsia" w:hAnsiTheme="minorEastAsia" w:eastAsiaTheme="minorEastAsia"/>
                <w:color w:val="auto"/>
                <w:szCs w:val="21"/>
                <w:highlight w:val="none"/>
              </w:rPr>
            </w:pPr>
          </w:p>
        </w:tc>
        <w:tc>
          <w:tcPr>
            <w:tcW w:w="992" w:type="dxa"/>
          </w:tcPr>
          <w:p w14:paraId="6975F8FE">
            <w:pPr>
              <w:spacing w:line="360" w:lineRule="auto"/>
              <w:rPr>
                <w:rFonts w:asciiTheme="minorEastAsia" w:hAnsiTheme="minorEastAsia" w:eastAsiaTheme="minorEastAsia"/>
                <w:color w:val="auto"/>
                <w:szCs w:val="21"/>
                <w:highlight w:val="none"/>
              </w:rPr>
            </w:pPr>
          </w:p>
        </w:tc>
        <w:tc>
          <w:tcPr>
            <w:tcW w:w="1134" w:type="dxa"/>
          </w:tcPr>
          <w:p w14:paraId="5710238B">
            <w:pPr>
              <w:spacing w:line="360" w:lineRule="auto"/>
              <w:rPr>
                <w:rFonts w:asciiTheme="minorEastAsia" w:hAnsiTheme="minorEastAsia" w:eastAsiaTheme="minorEastAsia"/>
                <w:color w:val="auto"/>
                <w:szCs w:val="21"/>
                <w:highlight w:val="none"/>
              </w:rPr>
            </w:pPr>
          </w:p>
        </w:tc>
        <w:tc>
          <w:tcPr>
            <w:tcW w:w="992" w:type="dxa"/>
          </w:tcPr>
          <w:p w14:paraId="21A5DA49">
            <w:pPr>
              <w:spacing w:line="360" w:lineRule="auto"/>
              <w:rPr>
                <w:rFonts w:asciiTheme="minorEastAsia" w:hAnsiTheme="minorEastAsia" w:eastAsiaTheme="minorEastAsia"/>
                <w:color w:val="auto"/>
                <w:szCs w:val="21"/>
                <w:highlight w:val="none"/>
              </w:rPr>
            </w:pPr>
          </w:p>
        </w:tc>
      </w:tr>
      <w:tr w14:paraId="7FBE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9B16C8D">
            <w:pPr>
              <w:spacing w:line="360" w:lineRule="auto"/>
              <w:rPr>
                <w:rFonts w:asciiTheme="minorEastAsia" w:hAnsiTheme="minorEastAsia" w:eastAsiaTheme="minorEastAsia"/>
                <w:color w:val="auto"/>
                <w:szCs w:val="21"/>
                <w:highlight w:val="none"/>
              </w:rPr>
            </w:pPr>
          </w:p>
        </w:tc>
        <w:tc>
          <w:tcPr>
            <w:tcW w:w="1226" w:type="dxa"/>
          </w:tcPr>
          <w:p w14:paraId="04E1AA33">
            <w:pPr>
              <w:spacing w:line="360" w:lineRule="auto"/>
              <w:rPr>
                <w:rFonts w:asciiTheme="minorEastAsia" w:hAnsiTheme="minorEastAsia" w:eastAsiaTheme="minorEastAsia"/>
                <w:color w:val="auto"/>
                <w:szCs w:val="21"/>
                <w:highlight w:val="none"/>
              </w:rPr>
            </w:pPr>
          </w:p>
        </w:tc>
        <w:tc>
          <w:tcPr>
            <w:tcW w:w="851" w:type="dxa"/>
          </w:tcPr>
          <w:p w14:paraId="2FFD8394">
            <w:pPr>
              <w:spacing w:line="360" w:lineRule="auto"/>
              <w:rPr>
                <w:rFonts w:asciiTheme="minorEastAsia" w:hAnsiTheme="minorEastAsia" w:eastAsiaTheme="minorEastAsia"/>
                <w:color w:val="auto"/>
                <w:szCs w:val="21"/>
                <w:highlight w:val="none"/>
              </w:rPr>
            </w:pPr>
          </w:p>
        </w:tc>
        <w:tc>
          <w:tcPr>
            <w:tcW w:w="708" w:type="dxa"/>
          </w:tcPr>
          <w:p w14:paraId="00F94AF0">
            <w:pPr>
              <w:spacing w:line="360" w:lineRule="auto"/>
              <w:rPr>
                <w:rFonts w:asciiTheme="minorEastAsia" w:hAnsiTheme="minorEastAsia" w:eastAsiaTheme="minorEastAsia"/>
                <w:color w:val="auto"/>
                <w:szCs w:val="21"/>
                <w:highlight w:val="none"/>
              </w:rPr>
            </w:pPr>
          </w:p>
        </w:tc>
        <w:tc>
          <w:tcPr>
            <w:tcW w:w="709" w:type="dxa"/>
          </w:tcPr>
          <w:p w14:paraId="1D48BCD4">
            <w:pPr>
              <w:spacing w:line="360" w:lineRule="auto"/>
              <w:rPr>
                <w:rFonts w:asciiTheme="minorEastAsia" w:hAnsiTheme="minorEastAsia" w:eastAsiaTheme="minorEastAsia"/>
                <w:color w:val="auto"/>
                <w:szCs w:val="21"/>
                <w:highlight w:val="none"/>
              </w:rPr>
            </w:pPr>
          </w:p>
        </w:tc>
        <w:tc>
          <w:tcPr>
            <w:tcW w:w="851" w:type="dxa"/>
          </w:tcPr>
          <w:p w14:paraId="168C2967">
            <w:pPr>
              <w:spacing w:line="360" w:lineRule="auto"/>
              <w:rPr>
                <w:rFonts w:asciiTheme="minorEastAsia" w:hAnsiTheme="minorEastAsia" w:eastAsiaTheme="minorEastAsia"/>
                <w:color w:val="auto"/>
                <w:szCs w:val="21"/>
                <w:highlight w:val="none"/>
              </w:rPr>
            </w:pPr>
          </w:p>
        </w:tc>
        <w:tc>
          <w:tcPr>
            <w:tcW w:w="1134" w:type="dxa"/>
          </w:tcPr>
          <w:p w14:paraId="5E04F45C">
            <w:pPr>
              <w:spacing w:line="360" w:lineRule="auto"/>
              <w:rPr>
                <w:rFonts w:asciiTheme="minorEastAsia" w:hAnsiTheme="minorEastAsia" w:eastAsiaTheme="minorEastAsia"/>
                <w:color w:val="auto"/>
                <w:szCs w:val="21"/>
                <w:highlight w:val="none"/>
              </w:rPr>
            </w:pPr>
          </w:p>
        </w:tc>
        <w:tc>
          <w:tcPr>
            <w:tcW w:w="992" w:type="dxa"/>
          </w:tcPr>
          <w:p w14:paraId="37692DA5">
            <w:pPr>
              <w:spacing w:line="360" w:lineRule="auto"/>
              <w:rPr>
                <w:rFonts w:asciiTheme="minorEastAsia" w:hAnsiTheme="minorEastAsia" w:eastAsiaTheme="minorEastAsia"/>
                <w:color w:val="auto"/>
                <w:szCs w:val="21"/>
                <w:highlight w:val="none"/>
              </w:rPr>
            </w:pPr>
          </w:p>
        </w:tc>
        <w:tc>
          <w:tcPr>
            <w:tcW w:w="1134" w:type="dxa"/>
          </w:tcPr>
          <w:p w14:paraId="062E84BF">
            <w:pPr>
              <w:spacing w:line="360" w:lineRule="auto"/>
              <w:rPr>
                <w:rFonts w:asciiTheme="minorEastAsia" w:hAnsiTheme="minorEastAsia" w:eastAsiaTheme="minorEastAsia"/>
                <w:color w:val="auto"/>
                <w:szCs w:val="21"/>
                <w:highlight w:val="none"/>
              </w:rPr>
            </w:pPr>
          </w:p>
        </w:tc>
        <w:tc>
          <w:tcPr>
            <w:tcW w:w="992" w:type="dxa"/>
          </w:tcPr>
          <w:p w14:paraId="706B01FF">
            <w:pPr>
              <w:spacing w:line="360" w:lineRule="auto"/>
              <w:rPr>
                <w:rFonts w:asciiTheme="minorEastAsia" w:hAnsiTheme="minorEastAsia" w:eastAsiaTheme="minorEastAsia"/>
                <w:color w:val="auto"/>
                <w:szCs w:val="21"/>
                <w:highlight w:val="none"/>
              </w:rPr>
            </w:pPr>
          </w:p>
        </w:tc>
      </w:tr>
      <w:tr w14:paraId="0FB2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7A49DBA">
            <w:pPr>
              <w:spacing w:line="360" w:lineRule="auto"/>
              <w:rPr>
                <w:rFonts w:asciiTheme="minorEastAsia" w:hAnsiTheme="minorEastAsia" w:eastAsiaTheme="minorEastAsia"/>
                <w:color w:val="auto"/>
                <w:szCs w:val="21"/>
                <w:highlight w:val="none"/>
              </w:rPr>
            </w:pPr>
          </w:p>
        </w:tc>
        <w:tc>
          <w:tcPr>
            <w:tcW w:w="1226" w:type="dxa"/>
          </w:tcPr>
          <w:p w14:paraId="643E1FFE">
            <w:pPr>
              <w:spacing w:line="360" w:lineRule="auto"/>
              <w:rPr>
                <w:rFonts w:asciiTheme="minorEastAsia" w:hAnsiTheme="minorEastAsia" w:eastAsiaTheme="minorEastAsia"/>
                <w:color w:val="auto"/>
                <w:szCs w:val="21"/>
                <w:highlight w:val="none"/>
              </w:rPr>
            </w:pPr>
          </w:p>
        </w:tc>
        <w:tc>
          <w:tcPr>
            <w:tcW w:w="851" w:type="dxa"/>
          </w:tcPr>
          <w:p w14:paraId="40EED4DF">
            <w:pPr>
              <w:spacing w:line="360" w:lineRule="auto"/>
              <w:rPr>
                <w:rFonts w:asciiTheme="minorEastAsia" w:hAnsiTheme="minorEastAsia" w:eastAsiaTheme="minorEastAsia"/>
                <w:color w:val="auto"/>
                <w:szCs w:val="21"/>
                <w:highlight w:val="none"/>
              </w:rPr>
            </w:pPr>
          </w:p>
        </w:tc>
        <w:tc>
          <w:tcPr>
            <w:tcW w:w="708" w:type="dxa"/>
          </w:tcPr>
          <w:p w14:paraId="2EE7201B">
            <w:pPr>
              <w:spacing w:line="360" w:lineRule="auto"/>
              <w:rPr>
                <w:rFonts w:asciiTheme="minorEastAsia" w:hAnsiTheme="minorEastAsia" w:eastAsiaTheme="minorEastAsia"/>
                <w:color w:val="auto"/>
                <w:szCs w:val="21"/>
                <w:highlight w:val="none"/>
              </w:rPr>
            </w:pPr>
          </w:p>
        </w:tc>
        <w:tc>
          <w:tcPr>
            <w:tcW w:w="709" w:type="dxa"/>
          </w:tcPr>
          <w:p w14:paraId="104A27A6">
            <w:pPr>
              <w:spacing w:line="360" w:lineRule="auto"/>
              <w:rPr>
                <w:rFonts w:asciiTheme="minorEastAsia" w:hAnsiTheme="minorEastAsia" w:eastAsiaTheme="minorEastAsia"/>
                <w:color w:val="auto"/>
                <w:szCs w:val="21"/>
                <w:highlight w:val="none"/>
              </w:rPr>
            </w:pPr>
          </w:p>
        </w:tc>
        <w:tc>
          <w:tcPr>
            <w:tcW w:w="851" w:type="dxa"/>
          </w:tcPr>
          <w:p w14:paraId="5BE0D9B5">
            <w:pPr>
              <w:spacing w:line="360" w:lineRule="auto"/>
              <w:rPr>
                <w:rFonts w:asciiTheme="minorEastAsia" w:hAnsiTheme="minorEastAsia" w:eastAsiaTheme="minorEastAsia"/>
                <w:color w:val="auto"/>
                <w:szCs w:val="21"/>
                <w:highlight w:val="none"/>
              </w:rPr>
            </w:pPr>
          </w:p>
        </w:tc>
        <w:tc>
          <w:tcPr>
            <w:tcW w:w="1134" w:type="dxa"/>
          </w:tcPr>
          <w:p w14:paraId="5A144137">
            <w:pPr>
              <w:spacing w:line="360" w:lineRule="auto"/>
              <w:rPr>
                <w:rFonts w:asciiTheme="minorEastAsia" w:hAnsiTheme="minorEastAsia" w:eastAsiaTheme="minorEastAsia"/>
                <w:color w:val="auto"/>
                <w:szCs w:val="21"/>
                <w:highlight w:val="none"/>
              </w:rPr>
            </w:pPr>
          </w:p>
        </w:tc>
        <w:tc>
          <w:tcPr>
            <w:tcW w:w="992" w:type="dxa"/>
          </w:tcPr>
          <w:p w14:paraId="187EB482">
            <w:pPr>
              <w:spacing w:line="360" w:lineRule="auto"/>
              <w:rPr>
                <w:rFonts w:asciiTheme="minorEastAsia" w:hAnsiTheme="minorEastAsia" w:eastAsiaTheme="minorEastAsia"/>
                <w:color w:val="auto"/>
                <w:szCs w:val="21"/>
                <w:highlight w:val="none"/>
              </w:rPr>
            </w:pPr>
          </w:p>
        </w:tc>
        <w:tc>
          <w:tcPr>
            <w:tcW w:w="1134" w:type="dxa"/>
          </w:tcPr>
          <w:p w14:paraId="241C2CDD">
            <w:pPr>
              <w:spacing w:line="360" w:lineRule="auto"/>
              <w:rPr>
                <w:rFonts w:asciiTheme="minorEastAsia" w:hAnsiTheme="minorEastAsia" w:eastAsiaTheme="minorEastAsia"/>
                <w:color w:val="auto"/>
                <w:szCs w:val="21"/>
                <w:highlight w:val="none"/>
              </w:rPr>
            </w:pPr>
          </w:p>
        </w:tc>
        <w:tc>
          <w:tcPr>
            <w:tcW w:w="992" w:type="dxa"/>
          </w:tcPr>
          <w:p w14:paraId="4643E55A">
            <w:pPr>
              <w:spacing w:line="360" w:lineRule="auto"/>
              <w:rPr>
                <w:rFonts w:asciiTheme="minorEastAsia" w:hAnsiTheme="minorEastAsia" w:eastAsiaTheme="minorEastAsia"/>
                <w:color w:val="auto"/>
                <w:szCs w:val="21"/>
                <w:highlight w:val="none"/>
              </w:rPr>
            </w:pPr>
          </w:p>
        </w:tc>
      </w:tr>
      <w:tr w14:paraId="2099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B6CBCD0">
            <w:pPr>
              <w:spacing w:line="360" w:lineRule="auto"/>
              <w:rPr>
                <w:rFonts w:asciiTheme="minorEastAsia" w:hAnsiTheme="minorEastAsia" w:eastAsiaTheme="minorEastAsia"/>
                <w:color w:val="auto"/>
                <w:szCs w:val="21"/>
                <w:highlight w:val="none"/>
              </w:rPr>
            </w:pPr>
          </w:p>
        </w:tc>
        <w:tc>
          <w:tcPr>
            <w:tcW w:w="1226" w:type="dxa"/>
          </w:tcPr>
          <w:p w14:paraId="1777F115">
            <w:pPr>
              <w:spacing w:line="360" w:lineRule="auto"/>
              <w:rPr>
                <w:rFonts w:asciiTheme="minorEastAsia" w:hAnsiTheme="minorEastAsia" w:eastAsiaTheme="minorEastAsia"/>
                <w:color w:val="auto"/>
                <w:szCs w:val="21"/>
                <w:highlight w:val="none"/>
              </w:rPr>
            </w:pPr>
          </w:p>
        </w:tc>
        <w:tc>
          <w:tcPr>
            <w:tcW w:w="851" w:type="dxa"/>
          </w:tcPr>
          <w:p w14:paraId="2310BFB8">
            <w:pPr>
              <w:spacing w:line="360" w:lineRule="auto"/>
              <w:rPr>
                <w:rFonts w:asciiTheme="minorEastAsia" w:hAnsiTheme="minorEastAsia" w:eastAsiaTheme="minorEastAsia"/>
                <w:color w:val="auto"/>
                <w:szCs w:val="21"/>
                <w:highlight w:val="none"/>
              </w:rPr>
            </w:pPr>
          </w:p>
        </w:tc>
        <w:tc>
          <w:tcPr>
            <w:tcW w:w="708" w:type="dxa"/>
          </w:tcPr>
          <w:p w14:paraId="0B8034E1">
            <w:pPr>
              <w:spacing w:line="360" w:lineRule="auto"/>
              <w:rPr>
                <w:rFonts w:asciiTheme="minorEastAsia" w:hAnsiTheme="minorEastAsia" w:eastAsiaTheme="minorEastAsia"/>
                <w:color w:val="auto"/>
                <w:szCs w:val="21"/>
                <w:highlight w:val="none"/>
              </w:rPr>
            </w:pPr>
          </w:p>
        </w:tc>
        <w:tc>
          <w:tcPr>
            <w:tcW w:w="709" w:type="dxa"/>
          </w:tcPr>
          <w:p w14:paraId="1495C7D8">
            <w:pPr>
              <w:spacing w:line="360" w:lineRule="auto"/>
              <w:rPr>
                <w:rFonts w:asciiTheme="minorEastAsia" w:hAnsiTheme="minorEastAsia" w:eastAsiaTheme="minorEastAsia"/>
                <w:color w:val="auto"/>
                <w:szCs w:val="21"/>
                <w:highlight w:val="none"/>
              </w:rPr>
            </w:pPr>
          </w:p>
        </w:tc>
        <w:tc>
          <w:tcPr>
            <w:tcW w:w="851" w:type="dxa"/>
          </w:tcPr>
          <w:p w14:paraId="62B6404B">
            <w:pPr>
              <w:spacing w:line="360" w:lineRule="auto"/>
              <w:rPr>
                <w:rFonts w:asciiTheme="minorEastAsia" w:hAnsiTheme="minorEastAsia" w:eastAsiaTheme="minorEastAsia"/>
                <w:color w:val="auto"/>
                <w:szCs w:val="21"/>
                <w:highlight w:val="none"/>
              </w:rPr>
            </w:pPr>
          </w:p>
        </w:tc>
        <w:tc>
          <w:tcPr>
            <w:tcW w:w="1134" w:type="dxa"/>
          </w:tcPr>
          <w:p w14:paraId="7987E30E">
            <w:pPr>
              <w:spacing w:line="360" w:lineRule="auto"/>
              <w:rPr>
                <w:rFonts w:asciiTheme="minorEastAsia" w:hAnsiTheme="minorEastAsia" w:eastAsiaTheme="minorEastAsia"/>
                <w:color w:val="auto"/>
                <w:szCs w:val="21"/>
                <w:highlight w:val="none"/>
              </w:rPr>
            </w:pPr>
          </w:p>
        </w:tc>
        <w:tc>
          <w:tcPr>
            <w:tcW w:w="992" w:type="dxa"/>
          </w:tcPr>
          <w:p w14:paraId="2B13ECAD">
            <w:pPr>
              <w:spacing w:line="360" w:lineRule="auto"/>
              <w:rPr>
                <w:rFonts w:asciiTheme="minorEastAsia" w:hAnsiTheme="minorEastAsia" w:eastAsiaTheme="minorEastAsia"/>
                <w:color w:val="auto"/>
                <w:szCs w:val="21"/>
                <w:highlight w:val="none"/>
              </w:rPr>
            </w:pPr>
          </w:p>
        </w:tc>
        <w:tc>
          <w:tcPr>
            <w:tcW w:w="1134" w:type="dxa"/>
          </w:tcPr>
          <w:p w14:paraId="2F2B5EF9">
            <w:pPr>
              <w:spacing w:line="360" w:lineRule="auto"/>
              <w:rPr>
                <w:rFonts w:asciiTheme="minorEastAsia" w:hAnsiTheme="minorEastAsia" w:eastAsiaTheme="minorEastAsia"/>
                <w:color w:val="auto"/>
                <w:szCs w:val="21"/>
                <w:highlight w:val="none"/>
              </w:rPr>
            </w:pPr>
          </w:p>
        </w:tc>
        <w:tc>
          <w:tcPr>
            <w:tcW w:w="992" w:type="dxa"/>
          </w:tcPr>
          <w:p w14:paraId="32BB1362">
            <w:pPr>
              <w:spacing w:line="360" w:lineRule="auto"/>
              <w:rPr>
                <w:rFonts w:asciiTheme="minorEastAsia" w:hAnsiTheme="minorEastAsia" w:eastAsiaTheme="minorEastAsia"/>
                <w:color w:val="auto"/>
                <w:szCs w:val="21"/>
                <w:highlight w:val="none"/>
              </w:rPr>
            </w:pPr>
          </w:p>
        </w:tc>
      </w:tr>
      <w:tr w14:paraId="4021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48F1213">
            <w:pPr>
              <w:spacing w:line="360" w:lineRule="auto"/>
              <w:rPr>
                <w:rFonts w:asciiTheme="minorEastAsia" w:hAnsiTheme="minorEastAsia" w:eastAsiaTheme="minorEastAsia"/>
                <w:color w:val="auto"/>
                <w:szCs w:val="21"/>
                <w:highlight w:val="none"/>
              </w:rPr>
            </w:pPr>
          </w:p>
        </w:tc>
        <w:tc>
          <w:tcPr>
            <w:tcW w:w="1226" w:type="dxa"/>
          </w:tcPr>
          <w:p w14:paraId="08C0D7A6">
            <w:pPr>
              <w:spacing w:line="360" w:lineRule="auto"/>
              <w:rPr>
                <w:rFonts w:asciiTheme="minorEastAsia" w:hAnsiTheme="minorEastAsia" w:eastAsiaTheme="minorEastAsia"/>
                <w:color w:val="auto"/>
                <w:szCs w:val="21"/>
                <w:highlight w:val="none"/>
              </w:rPr>
            </w:pPr>
          </w:p>
        </w:tc>
        <w:tc>
          <w:tcPr>
            <w:tcW w:w="851" w:type="dxa"/>
          </w:tcPr>
          <w:p w14:paraId="0A9CEC4B">
            <w:pPr>
              <w:spacing w:line="360" w:lineRule="auto"/>
              <w:rPr>
                <w:rFonts w:asciiTheme="minorEastAsia" w:hAnsiTheme="minorEastAsia" w:eastAsiaTheme="minorEastAsia"/>
                <w:color w:val="auto"/>
                <w:szCs w:val="21"/>
                <w:highlight w:val="none"/>
              </w:rPr>
            </w:pPr>
          </w:p>
        </w:tc>
        <w:tc>
          <w:tcPr>
            <w:tcW w:w="708" w:type="dxa"/>
          </w:tcPr>
          <w:p w14:paraId="3C21777B">
            <w:pPr>
              <w:spacing w:line="360" w:lineRule="auto"/>
              <w:rPr>
                <w:rFonts w:asciiTheme="minorEastAsia" w:hAnsiTheme="minorEastAsia" w:eastAsiaTheme="minorEastAsia"/>
                <w:color w:val="auto"/>
                <w:szCs w:val="21"/>
                <w:highlight w:val="none"/>
              </w:rPr>
            </w:pPr>
          </w:p>
        </w:tc>
        <w:tc>
          <w:tcPr>
            <w:tcW w:w="709" w:type="dxa"/>
          </w:tcPr>
          <w:p w14:paraId="7F95DB7C">
            <w:pPr>
              <w:spacing w:line="360" w:lineRule="auto"/>
              <w:rPr>
                <w:rFonts w:asciiTheme="minorEastAsia" w:hAnsiTheme="minorEastAsia" w:eastAsiaTheme="minorEastAsia"/>
                <w:color w:val="auto"/>
                <w:szCs w:val="21"/>
                <w:highlight w:val="none"/>
              </w:rPr>
            </w:pPr>
          </w:p>
        </w:tc>
        <w:tc>
          <w:tcPr>
            <w:tcW w:w="851" w:type="dxa"/>
          </w:tcPr>
          <w:p w14:paraId="34460578">
            <w:pPr>
              <w:spacing w:line="360" w:lineRule="auto"/>
              <w:rPr>
                <w:rFonts w:asciiTheme="minorEastAsia" w:hAnsiTheme="minorEastAsia" w:eastAsiaTheme="minorEastAsia"/>
                <w:color w:val="auto"/>
                <w:szCs w:val="21"/>
                <w:highlight w:val="none"/>
              </w:rPr>
            </w:pPr>
          </w:p>
        </w:tc>
        <w:tc>
          <w:tcPr>
            <w:tcW w:w="1134" w:type="dxa"/>
          </w:tcPr>
          <w:p w14:paraId="18C1102C">
            <w:pPr>
              <w:spacing w:line="360" w:lineRule="auto"/>
              <w:rPr>
                <w:rFonts w:asciiTheme="minorEastAsia" w:hAnsiTheme="minorEastAsia" w:eastAsiaTheme="minorEastAsia"/>
                <w:color w:val="auto"/>
                <w:szCs w:val="21"/>
                <w:highlight w:val="none"/>
              </w:rPr>
            </w:pPr>
          </w:p>
        </w:tc>
        <w:tc>
          <w:tcPr>
            <w:tcW w:w="992" w:type="dxa"/>
          </w:tcPr>
          <w:p w14:paraId="5EA80599">
            <w:pPr>
              <w:spacing w:line="360" w:lineRule="auto"/>
              <w:rPr>
                <w:rFonts w:asciiTheme="minorEastAsia" w:hAnsiTheme="minorEastAsia" w:eastAsiaTheme="minorEastAsia"/>
                <w:color w:val="auto"/>
                <w:szCs w:val="21"/>
                <w:highlight w:val="none"/>
              </w:rPr>
            </w:pPr>
          </w:p>
        </w:tc>
        <w:tc>
          <w:tcPr>
            <w:tcW w:w="1134" w:type="dxa"/>
          </w:tcPr>
          <w:p w14:paraId="30290C49">
            <w:pPr>
              <w:spacing w:line="360" w:lineRule="auto"/>
              <w:rPr>
                <w:rFonts w:asciiTheme="minorEastAsia" w:hAnsiTheme="minorEastAsia" w:eastAsiaTheme="minorEastAsia"/>
                <w:color w:val="auto"/>
                <w:szCs w:val="21"/>
                <w:highlight w:val="none"/>
              </w:rPr>
            </w:pPr>
          </w:p>
        </w:tc>
        <w:tc>
          <w:tcPr>
            <w:tcW w:w="992" w:type="dxa"/>
          </w:tcPr>
          <w:p w14:paraId="5FADC5E5">
            <w:pPr>
              <w:spacing w:line="360" w:lineRule="auto"/>
              <w:rPr>
                <w:rFonts w:asciiTheme="minorEastAsia" w:hAnsiTheme="minorEastAsia" w:eastAsiaTheme="minorEastAsia"/>
                <w:color w:val="auto"/>
                <w:szCs w:val="21"/>
                <w:highlight w:val="none"/>
              </w:rPr>
            </w:pPr>
          </w:p>
        </w:tc>
      </w:tr>
    </w:tbl>
    <w:p w14:paraId="03B070FB">
      <w:pPr>
        <w:rPr>
          <w:rFonts w:asciiTheme="minorEastAsia" w:hAnsiTheme="minorEastAsia" w:eastAsiaTheme="minorEastAsia"/>
          <w:color w:val="auto"/>
          <w:highlight w:val="none"/>
        </w:rPr>
      </w:pPr>
    </w:p>
    <w:p w14:paraId="16057C88">
      <w:pPr>
        <w:rPr>
          <w:rFonts w:asciiTheme="minorEastAsia" w:hAnsiTheme="minorEastAsia" w:eastAsiaTheme="minorEastAsia"/>
          <w:color w:val="auto"/>
          <w:highlight w:val="none"/>
        </w:rPr>
      </w:pPr>
    </w:p>
    <w:p w14:paraId="3555AC55">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三</w:t>
      </w:r>
      <w:r>
        <w:rPr>
          <w:rFonts w:asciiTheme="minorEastAsia" w:hAnsiTheme="minorEastAsia" w:eastAsiaTheme="minorEastAsia"/>
          <w:color w:val="auto"/>
          <w:highlight w:val="none"/>
        </w:rPr>
        <w:t>：拟配备本工程的试验和检测仪器设备表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331F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F539AE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序号</w:t>
            </w:r>
          </w:p>
        </w:tc>
        <w:tc>
          <w:tcPr>
            <w:tcW w:w="1226" w:type="dxa"/>
            <w:vAlign w:val="center"/>
          </w:tcPr>
          <w:p w14:paraId="3E34198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仪器设备名称</w:t>
            </w:r>
          </w:p>
        </w:tc>
        <w:tc>
          <w:tcPr>
            <w:tcW w:w="851" w:type="dxa"/>
            <w:vAlign w:val="center"/>
          </w:tcPr>
          <w:p w14:paraId="0B36DF6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型号</w:t>
            </w:r>
          </w:p>
          <w:p w14:paraId="418FD55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规格</w:t>
            </w:r>
          </w:p>
        </w:tc>
        <w:tc>
          <w:tcPr>
            <w:tcW w:w="708" w:type="dxa"/>
            <w:vAlign w:val="center"/>
          </w:tcPr>
          <w:p w14:paraId="6A7D1C5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数量</w:t>
            </w:r>
          </w:p>
        </w:tc>
        <w:tc>
          <w:tcPr>
            <w:tcW w:w="709" w:type="dxa"/>
            <w:vAlign w:val="center"/>
          </w:tcPr>
          <w:p w14:paraId="23FFBE0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国别</w:t>
            </w:r>
          </w:p>
          <w:p w14:paraId="2FD062D2">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产地</w:t>
            </w:r>
          </w:p>
        </w:tc>
        <w:tc>
          <w:tcPr>
            <w:tcW w:w="1134" w:type="dxa"/>
            <w:vAlign w:val="center"/>
          </w:tcPr>
          <w:p w14:paraId="2543E2A7">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制造年份</w:t>
            </w:r>
          </w:p>
        </w:tc>
        <w:tc>
          <w:tcPr>
            <w:tcW w:w="1276" w:type="dxa"/>
            <w:vAlign w:val="center"/>
          </w:tcPr>
          <w:p w14:paraId="4ED60F9D">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已使用</w:t>
            </w:r>
          </w:p>
          <w:p w14:paraId="46D1563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台时数</w:t>
            </w:r>
          </w:p>
        </w:tc>
        <w:tc>
          <w:tcPr>
            <w:tcW w:w="1134" w:type="dxa"/>
            <w:vAlign w:val="center"/>
          </w:tcPr>
          <w:p w14:paraId="7D15C53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用途</w:t>
            </w:r>
          </w:p>
        </w:tc>
        <w:tc>
          <w:tcPr>
            <w:tcW w:w="1559" w:type="dxa"/>
            <w:vAlign w:val="center"/>
          </w:tcPr>
          <w:p w14:paraId="62E6866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20BB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50276AC">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6BB7D37B">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44C2CD01">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137CB4B5">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2B16D057">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10630170">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65446DB2">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4C3F205E">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77B80D68">
            <w:pPr>
              <w:spacing w:line="360" w:lineRule="auto"/>
              <w:ind w:firstLine="420" w:firstLineChars="200"/>
              <w:rPr>
                <w:rFonts w:asciiTheme="minorEastAsia" w:hAnsiTheme="minorEastAsia" w:eastAsiaTheme="minorEastAsia"/>
                <w:color w:val="auto"/>
                <w:szCs w:val="21"/>
                <w:highlight w:val="none"/>
              </w:rPr>
            </w:pPr>
          </w:p>
        </w:tc>
      </w:tr>
      <w:tr w14:paraId="303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A0B3E77">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732EED32">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6454573E">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5663D970">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509BAF1D">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0B747658">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0640CD34">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3B5D0F3C">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6CED8842">
            <w:pPr>
              <w:spacing w:line="360" w:lineRule="auto"/>
              <w:ind w:firstLine="420" w:firstLineChars="200"/>
              <w:rPr>
                <w:rFonts w:asciiTheme="minorEastAsia" w:hAnsiTheme="minorEastAsia" w:eastAsiaTheme="minorEastAsia"/>
                <w:color w:val="auto"/>
                <w:szCs w:val="21"/>
                <w:highlight w:val="none"/>
              </w:rPr>
            </w:pPr>
          </w:p>
        </w:tc>
      </w:tr>
      <w:tr w14:paraId="1A2A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A557E7B">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375A6DA8">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666D9270">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633AD20D">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11688ACF">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31470FB5">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6C1A8D77">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19C0DAE9">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144FB6F0">
            <w:pPr>
              <w:spacing w:line="360" w:lineRule="auto"/>
              <w:ind w:firstLine="420" w:firstLineChars="200"/>
              <w:rPr>
                <w:rFonts w:asciiTheme="minorEastAsia" w:hAnsiTheme="minorEastAsia" w:eastAsiaTheme="minorEastAsia"/>
                <w:color w:val="auto"/>
                <w:szCs w:val="21"/>
                <w:highlight w:val="none"/>
              </w:rPr>
            </w:pPr>
          </w:p>
        </w:tc>
      </w:tr>
      <w:tr w14:paraId="1774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075567D">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3842E833">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3A6813B3">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7CCDE607">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3D1233A0">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0BCDBE16">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4D327318">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454C2F80">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336DB44A">
            <w:pPr>
              <w:spacing w:line="360" w:lineRule="auto"/>
              <w:ind w:firstLine="420" w:firstLineChars="200"/>
              <w:rPr>
                <w:rFonts w:asciiTheme="minorEastAsia" w:hAnsiTheme="minorEastAsia" w:eastAsiaTheme="minorEastAsia"/>
                <w:color w:val="auto"/>
                <w:szCs w:val="21"/>
                <w:highlight w:val="none"/>
              </w:rPr>
            </w:pPr>
          </w:p>
        </w:tc>
      </w:tr>
      <w:tr w14:paraId="7940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14B1597">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11E692FB">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1FD594B3">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2FA0F0F0">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4DF6953A">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3BA62E3D">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1149EC29">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5975A56C">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43FC26B0">
            <w:pPr>
              <w:spacing w:line="360" w:lineRule="auto"/>
              <w:ind w:firstLine="420" w:firstLineChars="200"/>
              <w:rPr>
                <w:rFonts w:asciiTheme="minorEastAsia" w:hAnsiTheme="minorEastAsia" w:eastAsiaTheme="minorEastAsia"/>
                <w:color w:val="auto"/>
                <w:szCs w:val="21"/>
                <w:highlight w:val="none"/>
              </w:rPr>
            </w:pPr>
          </w:p>
        </w:tc>
      </w:tr>
    </w:tbl>
    <w:p w14:paraId="14B14D3D">
      <w:pPr>
        <w:jc w:val="center"/>
        <w:rPr>
          <w:rFonts w:asciiTheme="minorEastAsia" w:hAnsiTheme="minorEastAsia" w:eastAsiaTheme="minorEastAsia"/>
          <w:color w:val="auto"/>
          <w:highlight w:val="none"/>
        </w:rPr>
      </w:pPr>
    </w:p>
    <w:p w14:paraId="3C6F6326">
      <w:pPr>
        <w:jc w:val="center"/>
        <w:rPr>
          <w:rFonts w:asciiTheme="minorEastAsia" w:hAnsiTheme="minorEastAsia" w:eastAsiaTheme="minorEastAsia"/>
          <w:color w:val="auto"/>
          <w:highlight w:val="none"/>
        </w:rPr>
      </w:pPr>
    </w:p>
    <w:p w14:paraId="48A11725">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四</w:t>
      </w:r>
      <w:r>
        <w:rPr>
          <w:rFonts w:asciiTheme="minorEastAsia" w:hAnsiTheme="minorEastAsia" w:eastAsiaTheme="minorEastAsia"/>
          <w:color w:val="auto"/>
          <w:highlight w:val="none"/>
        </w:rPr>
        <w:t>：劳动力计划表</w:t>
      </w:r>
    </w:p>
    <w:p w14:paraId="632C56F5">
      <w:pPr>
        <w:ind w:firstLine="7245" w:firstLineChars="34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单位：人</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321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02301BE">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工种</w:t>
            </w:r>
          </w:p>
        </w:tc>
        <w:tc>
          <w:tcPr>
            <w:tcW w:w="8506" w:type="dxa"/>
            <w:gridSpan w:val="7"/>
            <w:vAlign w:val="center"/>
          </w:tcPr>
          <w:p w14:paraId="7417E7F2">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按工程施工阶段投入劳动力情况</w:t>
            </w:r>
          </w:p>
        </w:tc>
      </w:tr>
      <w:tr w14:paraId="70DC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AF17E23">
            <w:pPr>
              <w:spacing w:line="360" w:lineRule="auto"/>
              <w:jc w:val="center"/>
              <w:rPr>
                <w:rFonts w:asciiTheme="minorEastAsia" w:hAnsiTheme="minorEastAsia" w:eastAsiaTheme="minorEastAsia"/>
                <w:color w:val="auto"/>
                <w:szCs w:val="21"/>
                <w:highlight w:val="none"/>
              </w:rPr>
            </w:pPr>
          </w:p>
        </w:tc>
        <w:tc>
          <w:tcPr>
            <w:tcW w:w="961" w:type="dxa"/>
            <w:vAlign w:val="center"/>
          </w:tcPr>
          <w:p w14:paraId="6F54C574">
            <w:pPr>
              <w:spacing w:line="360" w:lineRule="auto"/>
              <w:jc w:val="center"/>
              <w:rPr>
                <w:rFonts w:asciiTheme="minorEastAsia" w:hAnsiTheme="minorEastAsia" w:eastAsiaTheme="minorEastAsia"/>
                <w:color w:val="auto"/>
                <w:szCs w:val="21"/>
                <w:highlight w:val="none"/>
              </w:rPr>
            </w:pPr>
          </w:p>
        </w:tc>
        <w:tc>
          <w:tcPr>
            <w:tcW w:w="1257" w:type="dxa"/>
            <w:vAlign w:val="center"/>
          </w:tcPr>
          <w:p w14:paraId="59B099D7">
            <w:pPr>
              <w:spacing w:line="360" w:lineRule="auto"/>
              <w:jc w:val="center"/>
              <w:rPr>
                <w:rFonts w:asciiTheme="minorEastAsia" w:hAnsiTheme="minorEastAsia" w:eastAsiaTheme="minorEastAsia"/>
                <w:color w:val="auto"/>
                <w:szCs w:val="21"/>
                <w:highlight w:val="none"/>
              </w:rPr>
            </w:pPr>
          </w:p>
        </w:tc>
        <w:tc>
          <w:tcPr>
            <w:tcW w:w="1258" w:type="dxa"/>
            <w:vAlign w:val="center"/>
          </w:tcPr>
          <w:p w14:paraId="1186208A">
            <w:pPr>
              <w:spacing w:line="360" w:lineRule="auto"/>
              <w:jc w:val="center"/>
              <w:rPr>
                <w:rFonts w:asciiTheme="minorEastAsia" w:hAnsiTheme="minorEastAsia" w:eastAsiaTheme="minorEastAsia"/>
                <w:color w:val="auto"/>
                <w:szCs w:val="21"/>
                <w:highlight w:val="none"/>
              </w:rPr>
            </w:pPr>
          </w:p>
        </w:tc>
        <w:tc>
          <w:tcPr>
            <w:tcW w:w="1257" w:type="dxa"/>
            <w:vAlign w:val="center"/>
          </w:tcPr>
          <w:p w14:paraId="2C4DADDF">
            <w:pPr>
              <w:spacing w:line="360" w:lineRule="auto"/>
              <w:jc w:val="center"/>
              <w:rPr>
                <w:rFonts w:asciiTheme="minorEastAsia" w:hAnsiTheme="minorEastAsia" w:eastAsiaTheme="minorEastAsia"/>
                <w:color w:val="auto"/>
                <w:szCs w:val="21"/>
                <w:highlight w:val="none"/>
              </w:rPr>
            </w:pPr>
          </w:p>
        </w:tc>
        <w:tc>
          <w:tcPr>
            <w:tcW w:w="1258" w:type="dxa"/>
            <w:vAlign w:val="center"/>
          </w:tcPr>
          <w:p w14:paraId="6DFD54FF">
            <w:pPr>
              <w:spacing w:line="360" w:lineRule="auto"/>
              <w:jc w:val="center"/>
              <w:rPr>
                <w:rFonts w:asciiTheme="minorEastAsia" w:hAnsiTheme="minorEastAsia" w:eastAsiaTheme="minorEastAsia"/>
                <w:color w:val="auto"/>
                <w:szCs w:val="21"/>
                <w:highlight w:val="none"/>
              </w:rPr>
            </w:pPr>
          </w:p>
        </w:tc>
        <w:tc>
          <w:tcPr>
            <w:tcW w:w="1257" w:type="dxa"/>
            <w:vAlign w:val="center"/>
          </w:tcPr>
          <w:p w14:paraId="31E16493">
            <w:pPr>
              <w:spacing w:line="360" w:lineRule="auto"/>
              <w:jc w:val="center"/>
              <w:rPr>
                <w:rFonts w:asciiTheme="minorEastAsia" w:hAnsiTheme="minorEastAsia" w:eastAsiaTheme="minorEastAsia"/>
                <w:color w:val="auto"/>
                <w:szCs w:val="21"/>
                <w:highlight w:val="none"/>
              </w:rPr>
            </w:pPr>
          </w:p>
        </w:tc>
        <w:tc>
          <w:tcPr>
            <w:tcW w:w="1258" w:type="dxa"/>
            <w:vAlign w:val="center"/>
          </w:tcPr>
          <w:p w14:paraId="1DE31A6D">
            <w:pPr>
              <w:spacing w:line="360" w:lineRule="auto"/>
              <w:jc w:val="center"/>
              <w:rPr>
                <w:rFonts w:asciiTheme="minorEastAsia" w:hAnsiTheme="minorEastAsia" w:eastAsiaTheme="minorEastAsia"/>
                <w:color w:val="auto"/>
                <w:szCs w:val="21"/>
                <w:highlight w:val="none"/>
              </w:rPr>
            </w:pPr>
          </w:p>
        </w:tc>
      </w:tr>
      <w:tr w14:paraId="145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FE43C2C">
            <w:pPr>
              <w:spacing w:line="360" w:lineRule="auto"/>
              <w:jc w:val="center"/>
              <w:rPr>
                <w:rFonts w:asciiTheme="minorEastAsia" w:hAnsiTheme="minorEastAsia" w:eastAsiaTheme="minorEastAsia"/>
                <w:color w:val="auto"/>
                <w:szCs w:val="21"/>
                <w:highlight w:val="none"/>
              </w:rPr>
            </w:pPr>
          </w:p>
        </w:tc>
        <w:tc>
          <w:tcPr>
            <w:tcW w:w="961" w:type="dxa"/>
            <w:vAlign w:val="center"/>
          </w:tcPr>
          <w:p w14:paraId="63EDF695">
            <w:pPr>
              <w:spacing w:line="360" w:lineRule="auto"/>
              <w:jc w:val="center"/>
              <w:rPr>
                <w:rFonts w:asciiTheme="minorEastAsia" w:hAnsiTheme="minorEastAsia" w:eastAsiaTheme="minorEastAsia"/>
                <w:color w:val="auto"/>
                <w:szCs w:val="21"/>
                <w:highlight w:val="none"/>
              </w:rPr>
            </w:pPr>
          </w:p>
        </w:tc>
        <w:tc>
          <w:tcPr>
            <w:tcW w:w="1257" w:type="dxa"/>
            <w:vAlign w:val="center"/>
          </w:tcPr>
          <w:p w14:paraId="7292CDD1">
            <w:pPr>
              <w:spacing w:line="360" w:lineRule="auto"/>
              <w:jc w:val="center"/>
              <w:rPr>
                <w:rFonts w:asciiTheme="minorEastAsia" w:hAnsiTheme="minorEastAsia" w:eastAsiaTheme="minorEastAsia"/>
                <w:color w:val="auto"/>
                <w:szCs w:val="21"/>
                <w:highlight w:val="none"/>
              </w:rPr>
            </w:pPr>
          </w:p>
        </w:tc>
        <w:tc>
          <w:tcPr>
            <w:tcW w:w="1258" w:type="dxa"/>
            <w:vAlign w:val="center"/>
          </w:tcPr>
          <w:p w14:paraId="0F992F97">
            <w:pPr>
              <w:spacing w:line="360" w:lineRule="auto"/>
              <w:jc w:val="center"/>
              <w:rPr>
                <w:rFonts w:asciiTheme="minorEastAsia" w:hAnsiTheme="minorEastAsia" w:eastAsiaTheme="minorEastAsia"/>
                <w:color w:val="auto"/>
                <w:szCs w:val="21"/>
                <w:highlight w:val="none"/>
              </w:rPr>
            </w:pPr>
          </w:p>
        </w:tc>
        <w:tc>
          <w:tcPr>
            <w:tcW w:w="1257" w:type="dxa"/>
            <w:vAlign w:val="center"/>
          </w:tcPr>
          <w:p w14:paraId="27497D73">
            <w:pPr>
              <w:spacing w:line="360" w:lineRule="auto"/>
              <w:jc w:val="center"/>
              <w:rPr>
                <w:rFonts w:asciiTheme="minorEastAsia" w:hAnsiTheme="minorEastAsia" w:eastAsiaTheme="minorEastAsia"/>
                <w:color w:val="auto"/>
                <w:szCs w:val="21"/>
                <w:highlight w:val="none"/>
              </w:rPr>
            </w:pPr>
          </w:p>
        </w:tc>
        <w:tc>
          <w:tcPr>
            <w:tcW w:w="1258" w:type="dxa"/>
            <w:vAlign w:val="center"/>
          </w:tcPr>
          <w:p w14:paraId="1AEA0AEE">
            <w:pPr>
              <w:spacing w:line="360" w:lineRule="auto"/>
              <w:jc w:val="center"/>
              <w:rPr>
                <w:rFonts w:asciiTheme="minorEastAsia" w:hAnsiTheme="minorEastAsia" w:eastAsiaTheme="minorEastAsia"/>
                <w:color w:val="auto"/>
                <w:szCs w:val="21"/>
                <w:highlight w:val="none"/>
              </w:rPr>
            </w:pPr>
          </w:p>
        </w:tc>
        <w:tc>
          <w:tcPr>
            <w:tcW w:w="1257" w:type="dxa"/>
            <w:vAlign w:val="center"/>
          </w:tcPr>
          <w:p w14:paraId="1D1A980F">
            <w:pPr>
              <w:spacing w:line="360" w:lineRule="auto"/>
              <w:jc w:val="center"/>
              <w:rPr>
                <w:rFonts w:asciiTheme="minorEastAsia" w:hAnsiTheme="minorEastAsia" w:eastAsiaTheme="minorEastAsia"/>
                <w:color w:val="auto"/>
                <w:szCs w:val="21"/>
                <w:highlight w:val="none"/>
              </w:rPr>
            </w:pPr>
          </w:p>
        </w:tc>
        <w:tc>
          <w:tcPr>
            <w:tcW w:w="1258" w:type="dxa"/>
            <w:vAlign w:val="center"/>
          </w:tcPr>
          <w:p w14:paraId="21AD28A1">
            <w:pPr>
              <w:spacing w:line="360" w:lineRule="auto"/>
              <w:jc w:val="center"/>
              <w:rPr>
                <w:rFonts w:asciiTheme="minorEastAsia" w:hAnsiTheme="minorEastAsia" w:eastAsiaTheme="minorEastAsia"/>
                <w:color w:val="auto"/>
                <w:szCs w:val="21"/>
                <w:highlight w:val="none"/>
              </w:rPr>
            </w:pPr>
          </w:p>
        </w:tc>
      </w:tr>
      <w:tr w14:paraId="54E9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86D3F30">
            <w:pPr>
              <w:spacing w:line="360" w:lineRule="auto"/>
              <w:jc w:val="center"/>
              <w:rPr>
                <w:rFonts w:asciiTheme="minorEastAsia" w:hAnsiTheme="minorEastAsia" w:eastAsiaTheme="minorEastAsia"/>
                <w:color w:val="auto"/>
                <w:szCs w:val="21"/>
                <w:highlight w:val="none"/>
              </w:rPr>
            </w:pPr>
          </w:p>
        </w:tc>
        <w:tc>
          <w:tcPr>
            <w:tcW w:w="961" w:type="dxa"/>
            <w:vAlign w:val="center"/>
          </w:tcPr>
          <w:p w14:paraId="78C291E2">
            <w:pPr>
              <w:spacing w:line="360" w:lineRule="auto"/>
              <w:jc w:val="center"/>
              <w:rPr>
                <w:rFonts w:asciiTheme="minorEastAsia" w:hAnsiTheme="minorEastAsia" w:eastAsiaTheme="minorEastAsia"/>
                <w:color w:val="auto"/>
                <w:szCs w:val="21"/>
                <w:highlight w:val="none"/>
              </w:rPr>
            </w:pPr>
          </w:p>
        </w:tc>
        <w:tc>
          <w:tcPr>
            <w:tcW w:w="1257" w:type="dxa"/>
            <w:vAlign w:val="center"/>
          </w:tcPr>
          <w:p w14:paraId="6307A0D2">
            <w:pPr>
              <w:spacing w:line="360" w:lineRule="auto"/>
              <w:jc w:val="center"/>
              <w:rPr>
                <w:rFonts w:asciiTheme="minorEastAsia" w:hAnsiTheme="minorEastAsia" w:eastAsiaTheme="minorEastAsia"/>
                <w:color w:val="auto"/>
                <w:szCs w:val="21"/>
                <w:highlight w:val="none"/>
              </w:rPr>
            </w:pPr>
          </w:p>
        </w:tc>
        <w:tc>
          <w:tcPr>
            <w:tcW w:w="1258" w:type="dxa"/>
            <w:vAlign w:val="center"/>
          </w:tcPr>
          <w:p w14:paraId="54B14740">
            <w:pPr>
              <w:spacing w:line="360" w:lineRule="auto"/>
              <w:jc w:val="center"/>
              <w:rPr>
                <w:rFonts w:asciiTheme="minorEastAsia" w:hAnsiTheme="minorEastAsia" w:eastAsiaTheme="minorEastAsia"/>
                <w:color w:val="auto"/>
                <w:szCs w:val="21"/>
                <w:highlight w:val="none"/>
              </w:rPr>
            </w:pPr>
          </w:p>
        </w:tc>
        <w:tc>
          <w:tcPr>
            <w:tcW w:w="1257" w:type="dxa"/>
            <w:vAlign w:val="center"/>
          </w:tcPr>
          <w:p w14:paraId="29591387">
            <w:pPr>
              <w:spacing w:line="360" w:lineRule="auto"/>
              <w:jc w:val="center"/>
              <w:rPr>
                <w:rFonts w:asciiTheme="minorEastAsia" w:hAnsiTheme="minorEastAsia" w:eastAsiaTheme="minorEastAsia"/>
                <w:color w:val="auto"/>
                <w:szCs w:val="21"/>
                <w:highlight w:val="none"/>
              </w:rPr>
            </w:pPr>
          </w:p>
        </w:tc>
        <w:tc>
          <w:tcPr>
            <w:tcW w:w="1258" w:type="dxa"/>
            <w:vAlign w:val="center"/>
          </w:tcPr>
          <w:p w14:paraId="431052A9">
            <w:pPr>
              <w:spacing w:line="360" w:lineRule="auto"/>
              <w:jc w:val="center"/>
              <w:rPr>
                <w:rFonts w:asciiTheme="minorEastAsia" w:hAnsiTheme="minorEastAsia" w:eastAsiaTheme="minorEastAsia"/>
                <w:color w:val="auto"/>
                <w:szCs w:val="21"/>
                <w:highlight w:val="none"/>
              </w:rPr>
            </w:pPr>
          </w:p>
        </w:tc>
        <w:tc>
          <w:tcPr>
            <w:tcW w:w="1257" w:type="dxa"/>
            <w:vAlign w:val="center"/>
          </w:tcPr>
          <w:p w14:paraId="71445E1B">
            <w:pPr>
              <w:spacing w:line="360" w:lineRule="auto"/>
              <w:jc w:val="center"/>
              <w:rPr>
                <w:rFonts w:asciiTheme="minorEastAsia" w:hAnsiTheme="minorEastAsia" w:eastAsiaTheme="minorEastAsia"/>
                <w:color w:val="auto"/>
                <w:szCs w:val="21"/>
                <w:highlight w:val="none"/>
              </w:rPr>
            </w:pPr>
          </w:p>
        </w:tc>
        <w:tc>
          <w:tcPr>
            <w:tcW w:w="1258" w:type="dxa"/>
            <w:vAlign w:val="center"/>
          </w:tcPr>
          <w:p w14:paraId="49A4E347">
            <w:pPr>
              <w:spacing w:line="360" w:lineRule="auto"/>
              <w:jc w:val="center"/>
              <w:rPr>
                <w:rFonts w:asciiTheme="minorEastAsia" w:hAnsiTheme="minorEastAsia" w:eastAsiaTheme="minorEastAsia"/>
                <w:color w:val="auto"/>
                <w:szCs w:val="21"/>
                <w:highlight w:val="none"/>
              </w:rPr>
            </w:pPr>
          </w:p>
        </w:tc>
      </w:tr>
      <w:tr w14:paraId="2C53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D9767E5">
            <w:pPr>
              <w:spacing w:line="360" w:lineRule="auto"/>
              <w:jc w:val="center"/>
              <w:rPr>
                <w:rFonts w:asciiTheme="minorEastAsia" w:hAnsiTheme="minorEastAsia" w:eastAsiaTheme="minorEastAsia"/>
                <w:color w:val="auto"/>
                <w:szCs w:val="21"/>
                <w:highlight w:val="none"/>
              </w:rPr>
            </w:pPr>
          </w:p>
        </w:tc>
        <w:tc>
          <w:tcPr>
            <w:tcW w:w="961" w:type="dxa"/>
            <w:vAlign w:val="center"/>
          </w:tcPr>
          <w:p w14:paraId="73D61A25">
            <w:pPr>
              <w:spacing w:line="360" w:lineRule="auto"/>
              <w:jc w:val="center"/>
              <w:rPr>
                <w:rFonts w:asciiTheme="minorEastAsia" w:hAnsiTheme="minorEastAsia" w:eastAsiaTheme="minorEastAsia"/>
                <w:color w:val="auto"/>
                <w:szCs w:val="21"/>
                <w:highlight w:val="none"/>
              </w:rPr>
            </w:pPr>
          </w:p>
        </w:tc>
        <w:tc>
          <w:tcPr>
            <w:tcW w:w="1257" w:type="dxa"/>
            <w:vAlign w:val="center"/>
          </w:tcPr>
          <w:p w14:paraId="16425ADF">
            <w:pPr>
              <w:spacing w:line="360" w:lineRule="auto"/>
              <w:jc w:val="center"/>
              <w:rPr>
                <w:rFonts w:asciiTheme="minorEastAsia" w:hAnsiTheme="minorEastAsia" w:eastAsiaTheme="minorEastAsia"/>
                <w:color w:val="auto"/>
                <w:szCs w:val="21"/>
                <w:highlight w:val="none"/>
              </w:rPr>
            </w:pPr>
          </w:p>
        </w:tc>
        <w:tc>
          <w:tcPr>
            <w:tcW w:w="1258" w:type="dxa"/>
            <w:vAlign w:val="center"/>
          </w:tcPr>
          <w:p w14:paraId="595EB5C8">
            <w:pPr>
              <w:spacing w:line="360" w:lineRule="auto"/>
              <w:jc w:val="center"/>
              <w:rPr>
                <w:rFonts w:asciiTheme="minorEastAsia" w:hAnsiTheme="minorEastAsia" w:eastAsiaTheme="minorEastAsia"/>
                <w:color w:val="auto"/>
                <w:szCs w:val="21"/>
                <w:highlight w:val="none"/>
              </w:rPr>
            </w:pPr>
          </w:p>
        </w:tc>
        <w:tc>
          <w:tcPr>
            <w:tcW w:w="1257" w:type="dxa"/>
            <w:vAlign w:val="center"/>
          </w:tcPr>
          <w:p w14:paraId="4E469D3E">
            <w:pPr>
              <w:spacing w:line="360" w:lineRule="auto"/>
              <w:jc w:val="center"/>
              <w:rPr>
                <w:rFonts w:asciiTheme="minorEastAsia" w:hAnsiTheme="minorEastAsia" w:eastAsiaTheme="minorEastAsia"/>
                <w:color w:val="auto"/>
                <w:szCs w:val="21"/>
                <w:highlight w:val="none"/>
              </w:rPr>
            </w:pPr>
          </w:p>
        </w:tc>
        <w:tc>
          <w:tcPr>
            <w:tcW w:w="1258" w:type="dxa"/>
            <w:vAlign w:val="center"/>
          </w:tcPr>
          <w:p w14:paraId="5A8DDB99">
            <w:pPr>
              <w:spacing w:line="360" w:lineRule="auto"/>
              <w:jc w:val="center"/>
              <w:rPr>
                <w:rFonts w:asciiTheme="minorEastAsia" w:hAnsiTheme="minorEastAsia" w:eastAsiaTheme="minorEastAsia"/>
                <w:color w:val="auto"/>
                <w:szCs w:val="21"/>
                <w:highlight w:val="none"/>
              </w:rPr>
            </w:pPr>
          </w:p>
        </w:tc>
        <w:tc>
          <w:tcPr>
            <w:tcW w:w="1257" w:type="dxa"/>
            <w:vAlign w:val="center"/>
          </w:tcPr>
          <w:p w14:paraId="6DD97293">
            <w:pPr>
              <w:spacing w:line="360" w:lineRule="auto"/>
              <w:jc w:val="center"/>
              <w:rPr>
                <w:rFonts w:asciiTheme="minorEastAsia" w:hAnsiTheme="minorEastAsia" w:eastAsiaTheme="minorEastAsia"/>
                <w:color w:val="auto"/>
                <w:szCs w:val="21"/>
                <w:highlight w:val="none"/>
              </w:rPr>
            </w:pPr>
          </w:p>
        </w:tc>
        <w:tc>
          <w:tcPr>
            <w:tcW w:w="1258" w:type="dxa"/>
            <w:vAlign w:val="center"/>
          </w:tcPr>
          <w:p w14:paraId="24068EF5">
            <w:pPr>
              <w:spacing w:line="360" w:lineRule="auto"/>
              <w:jc w:val="center"/>
              <w:rPr>
                <w:rFonts w:asciiTheme="minorEastAsia" w:hAnsiTheme="minorEastAsia" w:eastAsiaTheme="minorEastAsia"/>
                <w:color w:val="auto"/>
                <w:szCs w:val="21"/>
                <w:highlight w:val="none"/>
              </w:rPr>
            </w:pPr>
          </w:p>
        </w:tc>
      </w:tr>
      <w:tr w14:paraId="55F4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46675C9">
            <w:pPr>
              <w:spacing w:line="360" w:lineRule="auto"/>
              <w:jc w:val="center"/>
              <w:rPr>
                <w:rFonts w:asciiTheme="minorEastAsia" w:hAnsiTheme="minorEastAsia" w:eastAsiaTheme="minorEastAsia"/>
                <w:color w:val="auto"/>
                <w:szCs w:val="21"/>
                <w:highlight w:val="none"/>
              </w:rPr>
            </w:pPr>
          </w:p>
        </w:tc>
        <w:tc>
          <w:tcPr>
            <w:tcW w:w="961" w:type="dxa"/>
            <w:vAlign w:val="center"/>
          </w:tcPr>
          <w:p w14:paraId="4F6C492E">
            <w:pPr>
              <w:spacing w:line="360" w:lineRule="auto"/>
              <w:jc w:val="center"/>
              <w:rPr>
                <w:rFonts w:asciiTheme="minorEastAsia" w:hAnsiTheme="minorEastAsia" w:eastAsiaTheme="minorEastAsia"/>
                <w:color w:val="auto"/>
                <w:szCs w:val="21"/>
                <w:highlight w:val="none"/>
              </w:rPr>
            </w:pPr>
          </w:p>
        </w:tc>
        <w:tc>
          <w:tcPr>
            <w:tcW w:w="1257" w:type="dxa"/>
            <w:vAlign w:val="center"/>
          </w:tcPr>
          <w:p w14:paraId="686BD920">
            <w:pPr>
              <w:spacing w:line="360" w:lineRule="auto"/>
              <w:jc w:val="center"/>
              <w:rPr>
                <w:rFonts w:asciiTheme="minorEastAsia" w:hAnsiTheme="minorEastAsia" w:eastAsiaTheme="minorEastAsia"/>
                <w:color w:val="auto"/>
                <w:szCs w:val="21"/>
                <w:highlight w:val="none"/>
              </w:rPr>
            </w:pPr>
          </w:p>
        </w:tc>
        <w:tc>
          <w:tcPr>
            <w:tcW w:w="1258" w:type="dxa"/>
            <w:vAlign w:val="center"/>
          </w:tcPr>
          <w:p w14:paraId="0BED2C12">
            <w:pPr>
              <w:spacing w:line="360" w:lineRule="auto"/>
              <w:jc w:val="center"/>
              <w:rPr>
                <w:rFonts w:asciiTheme="minorEastAsia" w:hAnsiTheme="minorEastAsia" w:eastAsiaTheme="minorEastAsia"/>
                <w:color w:val="auto"/>
                <w:szCs w:val="21"/>
                <w:highlight w:val="none"/>
              </w:rPr>
            </w:pPr>
          </w:p>
        </w:tc>
        <w:tc>
          <w:tcPr>
            <w:tcW w:w="1257" w:type="dxa"/>
            <w:vAlign w:val="center"/>
          </w:tcPr>
          <w:p w14:paraId="43958AF1">
            <w:pPr>
              <w:spacing w:line="360" w:lineRule="auto"/>
              <w:jc w:val="center"/>
              <w:rPr>
                <w:rFonts w:asciiTheme="minorEastAsia" w:hAnsiTheme="minorEastAsia" w:eastAsiaTheme="minorEastAsia"/>
                <w:color w:val="auto"/>
                <w:szCs w:val="21"/>
                <w:highlight w:val="none"/>
              </w:rPr>
            </w:pPr>
          </w:p>
        </w:tc>
        <w:tc>
          <w:tcPr>
            <w:tcW w:w="1258" w:type="dxa"/>
            <w:vAlign w:val="center"/>
          </w:tcPr>
          <w:p w14:paraId="29797563">
            <w:pPr>
              <w:spacing w:line="360" w:lineRule="auto"/>
              <w:jc w:val="center"/>
              <w:rPr>
                <w:rFonts w:asciiTheme="minorEastAsia" w:hAnsiTheme="minorEastAsia" w:eastAsiaTheme="minorEastAsia"/>
                <w:color w:val="auto"/>
                <w:szCs w:val="21"/>
                <w:highlight w:val="none"/>
              </w:rPr>
            </w:pPr>
          </w:p>
        </w:tc>
        <w:tc>
          <w:tcPr>
            <w:tcW w:w="1257" w:type="dxa"/>
            <w:vAlign w:val="center"/>
          </w:tcPr>
          <w:p w14:paraId="31FB75D6">
            <w:pPr>
              <w:spacing w:line="360" w:lineRule="auto"/>
              <w:jc w:val="center"/>
              <w:rPr>
                <w:rFonts w:asciiTheme="minorEastAsia" w:hAnsiTheme="minorEastAsia" w:eastAsiaTheme="minorEastAsia"/>
                <w:color w:val="auto"/>
                <w:szCs w:val="21"/>
                <w:highlight w:val="none"/>
              </w:rPr>
            </w:pPr>
          </w:p>
        </w:tc>
        <w:tc>
          <w:tcPr>
            <w:tcW w:w="1258" w:type="dxa"/>
            <w:vAlign w:val="center"/>
          </w:tcPr>
          <w:p w14:paraId="56CAB5D6">
            <w:pPr>
              <w:spacing w:line="360" w:lineRule="auto"/>
              <w:jc w:val="center"/>
              <w:rPr>
                <w:rFonts w:asciiTheme="minorEastAsia" w:hAnsiTheme="minorEastAsia" w:eastAsiaTheme="minorEastAsia"/>
                <w:color w:val="auto"/>
                <w:szCs w:val="21"/>
                <w:highlight w:val="none"/>
              </w:rPr>
            </w:pPr>
          </w:p>
        </w:tc>
      </w:tr>
      <w:tr w14:paraId="2C19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961A4B9">
            <w:pPr>
              <w:spacing w:line="360" w:lineRule="auto"/>
              <w:jc w:val="center"/>
              <w:rPr>
                <w:rFonts w:asciiTheme="minorEastAsia" w:hAnsiTheme="minorEastAsia" w:eastAsiaTheme="minorEastAsia"/>
                <w:color w:val="auto"/>
                <w:szCs w:val="21"/>
                <w:highlight w:val="none"/>
              </w:rPr>
            </w:pPr>
          </w:p>
        </w:tc>
        <w:tc>
          <w:tcPr>
            <w:tcW w:w="961" w:type="dxa"/>
            <w:vAlign w:val="center"/>
          </w:tcPr>
          <w:p w14:paraId="075168C4">
            <w:pPr>
              <w:spacing w:line="360" w:lineRule="auto"/>
              <w:jc w:val="center"/>
              <w:rPr>
                <w:rFonts w:asciiTheme="minorEastAsia" w:hAnsiTheme="minorEastAsia" w:eastAsiaTheme="minorEastAsia"/>
                <w:color w:val="auto"/>
                <w:szCs w:val="21"/>
                <w:highlight w:val="none"/>
              </w:rPr>
            </w:pPr>
          </w:p>
        </w:tc>
        <w:tc>
          <w:tcPr>
            <w:tcW w:w="1257" w:type="dxa"/>
            <w:vAlign w:val="center"/>
          </w:tcPr>
          <w:p w14:paraId="4EF8F531">
            <w:pPr>
              <w:spacing w:line="360" w:lineRule="auto"/>
              <w:jc w:val="center"/>
              <w:rPr>
                <w:rFonts w:asciiTheme="minorEastAsia" w:hAnsiTheme="minorEastAsia" w:eastAsiaTheme="minorEastAsia"/>
                <w:color w:val="auto"/>
                <w:szCs w:val="21"/>
                <w:highlight w:val="none"/>
              </w:rPr>
            </w:pPr>
          </w:p>
        </w:tc>
        <w:tc>
          <w:tcPr>
            <w:tcW w:w="1258" w:type="dxa"/>
            <w:vAlign w:val="center"/>
          </w:tcPr>
          <w:p w14:paraId="74396D43">
            <w:pPr>
              <w:spacing w:line="360" w:lineRule="auto"/>
              <w:jc w:val="center"/>
              <w:rPr>
                <w:rFonts w:asciiTheme="minorEastAsia" w:hAnsiTheme="minorEastAsia" w:eastAsiaTheme="minorEastAsia"/>
                <w:color w:val="auto"/>
                <w:szCs w:val="21"/>
                <w:highlight w:val="none"/>
              </w:rPr>
            </w:pPr>
          </w:p>
        </w:tc>
        <w:tc>
          <w:tcPr>
            <w:tcW w:w="1257" w:type="dxa"/>
            <w:vAlign w:val="center"/>
          </w:tcPr>
          <w:p w14:paraId="3CB12EAF">
            <w:pPr>
              <w:spacing w:line="360" w:lineRule="auto"/>
              <w:jc w:val="center"/>
              <w:rPr>
                <w:rFonts w:asciiTheme="minorEastAsia" w:hAnsiTheme="minorEastAsia" w:eastAsiaTheme="minorEastAsia"/>
                <w:color w:val="auto"/>
                <w:szCs w:val="21"/>
                <w:highlight w:val="none"/>
              </w:rPr>
            </w:pPr>
          </w:p>
        </w:tc>
        <w:tc>
          <w:tcPr>
            <w:tcW w:w="1258" w:type="dxa"/>
            <w:vAlign w:val="center"/>
          </w:tcPr>
          <w:p w14:paraId="6A323155">
            <w:pPr>
              <w:spacing w:line="360" w:lineRule="auto"/>
              <w:jc w:val="center"/>
              <w:rPr>
                <w:rFonts w:asciiTheme="minorEastAsia" w:hAnsiTheme="minorEastAsia" w:eastAsiaTheme="minorEastAsia"/>
                <w:color w:val="auto"/>
                <w:szCs w:val="21"/>
                <w:highlight w:val="none"/>
              </w:rPr>
            </w:pPr>
          </w:p>
        </w:tc>
        <w:tc>
          <w:tcPr>
            <w:tcW w:w="1257" w:type="dxa"/>
            <w:vAlign w:val="center"/>
          </w:tcPr>
          <w:p w14:paraId="5E26924B">
            <w:pPr>
              <w:spacing w:line="360" w:lineRule="auto"/>
              <w:jc w:val="center"/>
              <w:rPr>
                <w:rFonts w:asciiTheme="minorEastAsia" w:hAnsiTheme="minorEastAsia" w:eastAsiaTheme="minorEastAsia"/>
                <w:color w:val="auto"/>
                <w:szCs w:val="21"/>
                <w:highlight w:val="none"/>
              </w:rPr>
            </w:pPr>
          </w:p>
        </w:tc>
        <w:tc>
          <w:tcPr>
            <w:tcW w:w="1258" w:type="dxa"/>
            <w:vAlign w:val="center"/>
          </w:tcPr>
          <w:p w14:paraId="21A8EE1B">
            <w:pPr>
              <w:spacing w:line="360" w:lineRule="auto"/>
              <w:jc w:val="center"/>
              <w:rPr>
                <w:rFonts w:asciiTheme="minorEastAsia" w:hAnsiTheme="minorEastAsia" w:eastAsiaTheme="minorEastAsia"/>
                <w:color w:val="auto"/>
                <w:szCs w:val="21"/>
                <w:highlight w:val="none"/>
              </w:rPr>
            </w:pPr>
          </w:p>
        </w:tc>
      </w:tr>
      <w:tr w14:paraId="3F9E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D31BF4C">
            <w:pPr>
              <w:spacing w:line="360" w:lineRule="auto"/>
              <w:jc w:val="center"/>
              <w:rPr>
                <w:rFonts w:asciiTheme="minorEastAsia" w:hAnsiTheme="minorEastAsia" w:eastAsiaTheme="minorEastAsia"/>
                <w:color w:val="auto"/>
                <w:szCs w:val="21"/>
                <w:highlight w:val="none"/>
              </w:rPr>
            </w:pPr>
          </w:p>
        </w:tc>
        <w:tc>
          <w:tcPr>
            <w:tcW w:w="961" w:type="dxa"/>
            <w:vAlign w:val="center"/>
          </w:tcPr>
          <w:p w14:paraId="2130C72F">
            <w:pPr>
              <w:spacing w:line="360" w:lineRule="auto"/>
              <w:jc w:val="center"/>
              <w:rPr>
                <w:rFonts w:asciiTheme="minorEastAsia" w:hAnsiTheme="minorEastAsia" w:eastAsiaTheme="minorEastAsia"/>
                <w:color w:val="auto"/>
                <w:szCs w:val="21"/>
                <w:highlight w:val="none"/>
              </w:rPr>
            </w:pPr>
          </w:p>
        </w:tc>
        <w:tc>
          <w:tcPr>
            <w:tcW w:w="1257" w:type="dxa"/>
            <w:vAlign w:val="center"/>
          </w:tcPr>
          <w:p w14:paraId="0326194F">
            <w:pPr>
              <w:spacing w:line="360" w:lineRule="auto"/>
              <w:jc w:val="center"/>
              <w:rPr>
                <w:rFonts w:asciiTheme="minorEastAsia" w:hAnsiTheme="minorEastAsia" w:eastAsiaTheme="minorEastAsia"/>
                <w:color w:val="auto"/>
                <w:szCs w:val="21"/>
                <w:highlight w:val="none"/>
              </w:rPr>
            </w:pPr>
          </w:p>
        </w:tc>
        <w:tc>
          <w:tcPr>
            <w:tcW w:w="1258" w:type="dxa"/>
            <w:vAlign w:val="center"/>
          </w:tcPr>
          <w:p w14:paraId="14CBED6F">
            <w:pPr>
              <w:spacing w:line="360" w:lineRule="auto"/>
              <w:jc w:val="center"/>
              <w:rPr>
                <w:rFonts w:asciiTheme="minorEastAsia" w:hAnsiTheme="minorEastAsia" w:eastAsiaTheme="minorEastAsia"/>
                <w:color w:val="auto"/>
                <w:szCs w:val="21"/>
                <w:highlight w:val="none"/>
              </w:rPr>
            </w:pPr>
          </w:p>
        </w:tc>
        <w:tc>
          <w:tcPr>
            <w:tcW w:w="1257" w:type="dxa"/>
            <w:vAlign w:val="center"/>
          </w:tcPr>
          <w:p w14:paraId="046ABD9A">
            <w:pPr>
              <w:spacing w:line="360" w:lineRule="auto"/>
              <w:jc w:val="center"/>
              <w:rPr>
                <w:rFonts w:asciiTheme="minorEastAsia" w:hAnsiTheme="minorEastAsia" w:eastAsiaTheme="minorEastAsia"/>
                <w:color w:val="auto"/>
                <w:szCs w:val="21"/>
                <w:highlight w:val="none"/>
              </w:rPr>
            </w:pPr>
          </w:p>
        </w:tc>
        <w:tc>
          <w:tcPr>
            <w:tcW w:w="1258" w:type="dxa"/>
            <w:vAlign w:val="center"/>
          </w:tcPr>
          <w:p w14:paraId="1CA77542">
            <w:pPr>
              <w:spacing w:line="360" w:lineRule="auto"/>
              <w:jc w:val="center"/>
              <w:rPr>
                <w:rFonts w:asciiTheme="minorEastAsia" w:hAnsiTheme="minorEastAsia" w:eastAsiaTheme="minorEastAsia"/>
                <w:color w:val="auto"/>
                <w:szCs w:val="21"/>
                <w:highlight w:val="none"/>
              </w:rPr>
            </w:pPr>
          </w:p>
        </w:tc>
        <w:tc>
          <w:tcPr>
            <w:tcW w:w="1257" w:type="dxa"/>
            <w:vAlign w:val="center"/>
          </w:tcPr>
          <w:p w14:paraId="067FC206">
            <w:pPr>
              <w:spacing w:line="360" w:lineRule="auto"/>
              <w:jc w:val="center"/>
              <w:rPr>
                <w:rFonts w:asciiTheme="minorEastAsia" w:hAnsiTheme="minorEastAsia" w:eastAsiaTheme="minorEastAsia"/>
                <w:color w:val="auto"/>
                <w:szCs w:val="21"/>
                <w:highlight w:val="none"/>
              </w:rPr>
            </w:pPr>
          </w:p>
        </w:tc>
        <w:tc>
          <w:tcPr>
            <w:tcW w:w="1258" w:type="dxa"/>
            <w:vAlign w:val="center"/>
          </w:tcPr>
          <w:p w14:paraId="6B9A5447">
            <w:pPr>
              <w:spacing w:line="360" w:lineRule="auto"/>
              <w:jc w:val="center"/>
              <w:rPr>
                <w:rFonts w:asciiTheme="minorEastAsia" w:hAnsiTheme="minorEastAsia" w:eastAsiaTheme="minorEastAsia"/>
                <w:color w:val="auto"/>
                <w:szCs w:val="21"/>
                <w:highlight w:val="none"/>
              </w:rPr>
            </w:pPr>
          </w:p>
        </w:tc>
      </w:tr>
    </w:tbl>
    <w:p w14:paraId="2900AC3D">
      <w:pPr>
        <w:rPr>
          <w:rFonts w:asciiTheme="minorEastAsia" w:hAnsiTheme="minorEastAsia" w:eastAsiaTheme="minorEastAsia"/>
          <w:color w:val="auto"/>
          <w:highlight w:val="none"/>
        </w:rPr>
      </w:pPr>
    </w:p>
    <w:p w14:paraId="364F9F5C">
      <w:pPr>
        <w:rPr>
          <w:rFonts w:asciiTheme="minorEastAsia" w:hAnsiTheme="minorEastAsia" w:eastAsiaTheme="minorEastAsia"/>
          <w:b/>
          <w:color w:val="auto"/>
          <w:highlight w:val="none"/>
        </w:rPr>
      </w:pPr>
    </w:p>
    <w:p w14:paraId="15214018">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五</w:t>
      </w:r>
      <w:r>
        <w:rPr>
          <w:rFonts w:asciiTheme="minorEastAsia" w:hAnsiTheme="minorEastAsia" w:eastAsiaTheme="minorEastAsia"/>
          <w:color w:val="auto"/>
          <w:highlight w:val="none"/>
        </w:rPr>
        <w:t>：计划开、竣工日期和施工进度</w:t>
      </w:r>
      <w:r>
        <w:rPr>
          <w:rFonts w:hint="eastAsia" w:asciiTheme="minorEastAsia" w:hAnsiTheme="minorEastAsia" w:eastAsiaTheme="minorEastAsia"/>
          <w:color w:val="auto"/>
          <w:highlight w:val="none"/>
        </w:rPr>
        <w:t>计划（网络图或横道图）</w:t>
      </w:r>
    </w:p>
    <w:p w14:paraId="50E859B0">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投标人应提交施工进度</w:t>
      </w:r>
      <w:r>
        <w:rPr>
          <w:rFonts w:hint="eastAsia" w:asciiTheme="minorEastAsia" w:hAnsiTheme="minorEastAsia" w:eastAsiaTheme="minorEastAsia"/>
          <w:color w:val="auto"/>
          <w:highlight w:val="none"/>
        </w:rPr>
        <w:t>计划</w:t>
      </w:r>
      <w:r>
        <w:rPr>
          <w:rFonts w:asciiTheme="minorEastAsia" w:hAnsiTheme="minorEastAsia" w:eastAsiaTheme="minorEastAsia"/>
          <w:color w:val="auto"/>
          <w:highlight w:val="none"/>
        </w:rPr>
        <w:t>，说明按招标文件要求的工期进行施工的各个关键日期。中标的投标人还应按合同条件有关条款的要求提交详细的施工进度计划。</w:t>
      </w:r>
    </w:p>
    <w:p w14:paraId="265E2281">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施工进度</w:t>
      </w:r>
      <w:r>
        <w:rPr>
          <w:rFonts w:hint="eastAsia" w:asciiTheme="minorEastAsia" w:hAnsiTheme="minorEastAsia" w:eastAsiaTheme="minorEastAsia"/>
          <w:color w:val="auto"/>
          <w:highlight w:val="none"/>
        </w:rPr>
        <w:t>计划</w:t>
      </w:r>
      <w:r>
        <w:rPr>
          <w:rFonts w:asciiTheme="minorEastAsia" w:hAnsiTheme="minorEastAsia" w:eastAsiaTheme="minorEastAsia"/>
          <w:color w:val="auto"/>
          <w:highlight w:val="none"/>
        </w:rPr>
        <w:t>可采用网络图（或横道图）表示，说明计划开工日期和各分项工程各阶段的完工日期和分包合同签订的日期。</w:t>
      </w:r>
    </w:p>
    <w:p w14:paraId="20D74942">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施工进度计划应与施工组织设计相适应。</w:t>
      </w:r>
    </w:p>
    <w:p w14:paraId="435F9565">
      <w:pPr>
        <w:spacing w:line="360" w:lineRule="auto"/>
        <w:ind w:left="-6" w:firstLine="420"/>
        <w:rPr>
          <w:rFonts w:asciiTheme="minorEastAsia" w:hAnsiTheme="minorEastAsia" w:eastAsiaTheme="minorEastAsia"/>
          <w:color w:val="auto"/>
          <w:highlight w:val="none"/>
        </w:rPr>
      </w:pPr>
    </w:p>
    <w:p w14:paraId="27D9979F">
      <w:pPr>
        <w:rPr>
          <w:rFonts w:asciiTheme="minorEastAsia" w:hAnsiTheme="minorEastAsia" w:eastAsiaTheme="minorEastAsia"/>
          <w:color w:val="auto"/>
          <w:highlight w:val="none"/>
        </w:rPr>
      </w:pPr>
    </w:p>
    <w:p w14:paraId="006427AC">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六</w:t>
      </w:r>
      <w:r>
        <w:rPr>
          <w:rFonts w:asciiTheme="minorEastAsia" w:hAnsiTheme="minorEastAsia" w:eastAsiaTheme="minorEastAsia"/>
          <w:color w:val="auto"/>
          <w:highlight w:val="none"/>
        </w:rPr>
        <w:t>：施工总平面图</w:t>
      </w:r>
    </w:p>
    <w:p w14:paraId="181956F7">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55834E74">
      <w:pPr>
        <w:rPr>
          <w:rFonts w:asciiTheme="minorEastAsia" w:hAnsiTheme="minorEastAsia" w:eastAsiaTheme="minorEastAsia"/>
          <w:color w:val="auto"/>
          <w:highlight w:val="none"/>
        </w:rPr>
      </w:pPr>
    </w:p>
    <w:p w14:paraId="1FF6FA98">
      <w:pPr>
        <w:rPr>
          <w:rFonts w:asciiTheme="minorEastAsia" w:hAnsiTheme="minorEastAsia" w:eastAsiaTheme="minorEastAsia"/>
          <w:color w:val="auto"/>
          <w:highlight w:val="none"/>
        </w:rPr>
      </w:pPr>
    </w:p>
    <w:p w14:paraId="369566F5">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七</w:t>
      </w:r>
      <w:r>
        <w:rPr>
          <w:rFonts w:asciiTheme="minorEastAsia" w:hAnsiTheme="minorEastAsia" w:eastAsiaTheme="minorEastAsia"/>
          <w:color w:val="auto"/>
          <w:highlight w:val="none"/>
        </w:rPr>
        <w:t>：临时用地表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5CDF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61E707">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用途</w:t>
            </w:r>
          </w:p>
        </w:tc>
        <w:tc>
          <w:tcPr>
            <w:tcW w:w="2357" w:type="dxa"/>
            <w:vAlign w:val="center"/>
          </w:tcPr>
          <w:p w14:paraId="5644CE64">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面积（平方米）</w:t>
            </w:r>
          </w:p>
        </w:tc>
        <w:tc>
          <w:tcPr>
            <w:tcW w:w="2356" w:type="dxa"/>
            <w:vAlign w:val="center"/>
          </w:tcPr>
          <w:p w14:paraId="41C6FFF0">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位置</w:t>
            </w:r>
          </w:p>
        </w:tc>
        <w:tc>
          <w:tcPr>
            <w:tcW w:w="2357" w:type="dxa"/>
            <w:vAlign w:val="center"/>
          </w:tcPr>
          <w:p w14:paraId="7FDF67CF">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需用时间</w:t>
            </w:r>
          </w:p>
        </w:tc>
      </w:tr>
      <w:tr w14:paraId="7413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1E6AFAA">
            <w:pPr>
              <w:rPr>
                <w:rFonts w:asciiTheme="minorEastAsia" w:hAnsiTheme="minorEastAsia" w:eastAsiaTheme="minorEastAsia"/>
                <w:color w:val="auto"/>
                <w:highlight w:val="none"/>
              </w:rPr>
            </w:pPr>
          </w:p>
        </w:tc>
        <w:tc>
          <w:tcPr>
            <w:tcW w:w="2357" w:type="dxa"/>
          </w:tcPr>
          <w:p w14:paraId="7AB5C05A">
            <w:pPr>
              <w:rPr>
                <w:rFonts w:asciiTheme="minorEastAsia" w:hAnsiTheme="minorEastAsia" w:eastAsiaTheme="minorEastAsia"/>
                <w:color w:val="auto"/>
                <w:highlight w:val="none"/>
              </w:rPr>
            </w:pPr>
          </w:p>
        </w:tc>
        <w:tc>
          <w:tcPr>
            <w:tcW w:w="2356" w:type="dxa"/>
          </w:tcPr>
          <w:p w14:paraId="3E723FC5">
            <w:pPr>
              <w:rPr>
                <w:rFonts w:asciiTheme="minorEastAsia" w:hAnsiTheme="minorEastAsia" w:eastAsiaTheme="minorEastAsia"/>
                <w:color w:val="auto"/>
                <w:highlight w:val="none"/>
              </w:rPr>
            </w:pPr>
          </w:p>
        </w:tc>
        <w:tc>
          <w:tcPr>
            <w:tcW w:w="2357" w:type="dxa"/>
          </w:tcPr>
          <w:p w14:paraId="237CDA6E">
            <w:pPr>
              <w:rPr>
                <w:rFonts w:asciiTheme="minorEastAsia" w:hAnsiTheme="minorEastAsia" w:eastAsiaTheme="minorEastAsia"/>
                <w:color w:val="auto"/>
                <w:highlight w:val="none"/>
              </w:rPr>
            </w:pPr>
          </w:p>
        </w:tc>
      </w:tr>
      <w:tr w14:paraId="6D87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3C140A4">
            <w:pPr>
              <w:rPr>
                <w:rFonts w:asciiTheme="minorEastAsia" w:hAnsiTheme="minorEastAsia" w:eastAsiaTheme="minorEastAsia"/>
                <w:color w:val="auto"/>
                <w:highlight w:val="none"/>
              </w:rPr>
            </w:pPr>
          </w:p>
        </w:tc>
        <w:tc>
          <w:tcPr>
            <w:tcW w:w="2357" w:type="dxa"/>
          </w:tcPr>
          <w:p w14:paraId="5308E728">
            <w:pPr>
              <w:rPr>
                <w:rFonts w:asciiTheme="minorEastAsia" w:hAnsiTheme="minorEastAsia" w:eastAsiaTheme="minorEastAsia"/>
                <w:color w:val="auto"/>
                <w:highlight w:val="none"/>
              </w:rPr>
            </w:pPr>
          </w:p>
        </w:tc>
        <w:tc>
          <w:tcPr>
            <w:tcW w:w="2356" w:type="dxa"/>
          </w:tcPr>
          <w:p w14:paraId="17E95855">
            <w:pPr>
              <w:rPr>
                <w:rFonts w:asciiTheme="minorEastAsia" w:hAnsiTheme="minorEastAsia" w:eastAsiaTheme="minorEastAsia"/>
                <w:color w:val="auto"/>
                <w:highlight w:val="none"/>
              </w:rPr>
            </w:pPr>
          </w:p>
        </w:tc>
        <w:tc>
          <w:tcPr>
            <w:tcW w:w="2357" w:type="dxa"/>
          </w:tcPr>
          <w:p w14:paraId="426CB0E0">
            <w:pPr>
              <w:rPr>
                <w:rFonts w:asciiTheme="minorEastAsia" w:hAnsiTheme="minorEastAsia" w:eastAsiaTheme="minorEastAsia"/>
                <w:color w:val="auto"/>
                <w:highlight w:val="none"/>
              </w:rPr>
            </w:pPr>
          </w:p>
        </w:tc>
      </w:tr>
      <w:tr w14:paraId="48E0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A546F94">
            <w:pPr>
              <w:rPr>
                <w:rFonts w:asciiTheme="minorEastAsia" w:hAnsiTheme="minorEastAsia" w:eastAsiaTheme="minorEastAsia"/>
                <w:color w:val="auto"/>
                <w:highlight w:val="none"/>
              </w:rPr>
            </w:pPr>
          </w:p>
        </w:tc>
        <w:tc>
          <w:tcPr>
            <w:tcW w:w="2357" w:type="dxa"/>
          </w:tcPr>
          <w:p w14:paraId="1261D705">
            <w:pPr>
              <w:rPr>
                <w:rFonts w:asciiTheme="minorEastAsia" w:hAnsiTheme="minorEastAsia" w:eastAsiaTheme="minorEastAsia"/>
                <w:color w:val="auto"/>
                <w:highlight w:val="none"/>
              </w:rPr>
            </w:pPr>
          </w:p>
        </w:tc>
        <w:tc>
          <w:tcPr>
            <w:tcW w:w="2356" w:type="dxa"/>
          </w:tcPr>
          <w:p w14:paraId="19D25A1C">
            <w:pPr>
              <w:rPr>
                <w:rFonts w:asciiTheme="minorEastAsia" w:hAnsiTheme="minorEastAsia" w:eastAsiaTheme="minorEastAsia"/>
                <w:color w:val="auto"/>
                <w:highlight w:val="none"/>
              </w:rPr>
            </w:pPr>
          </w:p>
        </w:tc>
        <w:tc>
          <w:tcPr>
            <w:tcW w:w="2357" w:type="dxa"/>
          </w:tcPr>
          <w:p w14:paraId="2365C26B">
            <w:pPr>
              <w:rPr>
                <w:rFonts w:asciiTheme="minorEastAsia" w:hAnsiTheme="minorEastAsia" w:eastAsiaTheme="minorEastAsia"/>
                <w:color w:val="auto"/>
                <w:highlight w:val="none"/>
              </w:rPr>
            </w:pPr>
          </w:p>
        </w:tc>
      </w:tr>
      <w:tr w14:paraId="3AAC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9464904">
            <w:pPr>
              <w:rPr>
                <w:rFonts w:asciiTheme="minorEastAsia" w:hAnsiTheme="minorEastAsia" w:eastAsiaTheme="minorEastAsia"/>
                <w:color w:val="auto"/>
                <w:highlight w:val="none"/>
              </w:rPr>
            </w:pPr>
          </w:p>
        </w:tc>
        <w:tc>
          <w:tcPr>
            <w:tcW w:w="2357" w:type="dxa"/>
          </w:tcPr>
          <w:p w14:paraId="6022AA67">
            <w:pPr>
              <w:rPr>
                <w:rFonts w:asciiTheme="minorEastAsia" w:hAnsiTheme="minorEastAsia" w:eastAsiaTheme="minorEastAsia"/>
                <w:color w:val="auto"/>
                <w:highlight w:val="none"/>
              </w:rPr>
            </w:pPr>
          </w:p>
        </w:tc>
        <w:tc>
          <w:tcPr>
            <w:tcW w:w="2356" w:type="dxa"/>
          </w:tcPr>
          <w:p w14:paraId="4E9D25A3">
            <w:pPr>
              <w:rPr>
                <w:rFonts w:asciiTheme="minorEastAsia" w:hAnsiTheme="minorEastAsia" w:eastAsiaTheme="minorEastAsia"/>
                <w:color w:val="auto"/>
                <w:highlight w:val="none"/>
              </w:rPr>
            </w:pPr>
          </w:p>
        </w:tc>
        <w:tc>
          <w:tcPr>
            <w:tcW w:w="2357" w:type="dxa"/>
          </w:tcPr>
          <w:p w14:paraId="53C8E210">
            <w:pPr>
              <w:rPr>
                <w:rFonts w:asciiTheme="minorEastAsia" w:hAnsiTheme="minorEastAsia" w:eastAsiaTheme="minorEastAsia"/>
                <w:color w:val="auto"/>
                <w:highlight w:val="none"/>
              </w:rPr>
            </w:pPr>
          </w:p>
        </w:tc>
      </w:tr>
    </w:tbl>
    <w:p w14:paraId="427089C7">
      <w:pPr>
        <w:pStyle w:val="128"/>
        <w:jc w:val="center"/>
        <w:rPr>
          <w:rFonts w:asciiTheme="minorEastAsia" w:hAnsiTheme="minorEastAsia" w:eastAsiaTheme="minorEastAsia"/>
          <w:color w:val="auto"/>
          <w:szCs w:val="20"/>
          <w:highlight w:val="none"/>
        </w:rPr>
      </w:pPr>
      <w:bookmarkStart w:id="1778" w:name="_Toc453681068"/>
      <w:bookmarkStart w:id="1779" w:name="_Toc389065361"/>
      <w:bookmarkStart w:id="1780" w:name="_Toc453681541"/>
    </w:p>
    <w:p w14:paraId="0BE95525">
      <w:pPr>
        <w:pStyle w:val="128"/>
        <w:jc w:val="center"/>
        <w:rPr>
          <w:rFonts w:asciiTheme="minorEastAsia" w:hAnsiTheme="minorEastAsia" w:eastAsiaTheme="minorEastAsia"/>
          <w:color w:val="auto"/>
          <w:szCs w:val="20"/>
          <w:highlight w:val="none"/>
        </w:rPr>
      </w:pPr>
    </w:p>
    <w:p w14:paraId="4BA527D9">
      <w:pPr>
        <w:pStyle w:val="128"/>
        <w:jc w:val="center"/>
        <w:rPr>
          <w:rFonts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附表八：</w:t>
      </w:r>
      <w:r>
        <w:rPr>
          <w:rFonts w:asciiTheme="minorEastAsia" w:hAnsiTheme="minorEastAsia" w:eastAsiaTheme="minorEastAsia"/>
          <w:color w:val="auto"/>
          <w:szCs w:val="20"/>
          <w:highlight w:val="none"/>
        </w:rPr>
        <w:t>拟分包计划表</w:t>
      </w:r>
      <w:bookmarkEnd w:id="1778"/>
      <w:bookmarkEnd w:id="1779"/>
      <w:bookmarkEnd w:id="1780"/>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73D1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58BFE07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w:t>
            </w:r>
          </w:p>
          <w:p w14:paraId="6D1554EB">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号</w:t>
            </w:r>
          </w:p>
        </w:tc>
        <w:tc>
          <w:tcPr>
            <w:tcW w:w="1843" w:type="dxa"/>
            <w:vMerge w:val="restart"/>
            <w:tcMar>
              <w:left w:w="108" w:type="dxa"/>
              <w:right w:w="108" w:type="dxa"/>
            </w:tcMar>
            <w:vAlign w:val="center"/>
          </w:tcPr>
          <w:p w14:paraId="24781E19">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拟分包项目名称、范围及理由</w:t>
            </w:r>
          </w:p>
        </w:tc>
        <w:tc>
          <w:tcPr>
            <w:tcW w:w="5111" w:type="dxa"/>
            <w:gridSpan w:val="5"/>
            <w:tcMar>
              <w:left w:w="108" w:type="dxa"/>
              <w:right w:w="108" w:type="dxa"/>
            </w:tcMar>
            <w:vAlign w:val="center"/>
          </w:tcPr>
          <w:p w14:paraId="5006C116">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拟选分包人</w:t>
            </w:r>
          </w:p>
        </w:tc>
        <w:tc>
          <w:tcPr>
            <w:tcW w:w="1268" w:type="dxa"/>
            <w:vMerge w:val="restart"/>
            <w:tcMar>
              <w:left w:w="108" w:type="dxa"/>
              <w:right w:w="108" w:type="dxa"/>
            </w:tcMar>
            <w:vAlign w:val="center"/>
          </w:tcPr>
          <w:p w14:paraId="6712AEE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49BC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CB5F4F8">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0578F2CF">
            <w:pPr>
              <w:jc w:val="center"/>
              <w:rPr>
                <w:rFonts w:asciiTheme="minorEastAsia" w:hAnsiTheme="minorEastAsia" w:eastAsiaTheme="minorEastAsia"/>
                <w:color w:val="auto"/>
                <w:szCs w:val="21"/>
                <w:highlight w:val="none"/>
              </w:rPr>
            </w:pPr>
          </w:p>
        </w:tc>
        <w:tc>
          <w:tcPr>
            <w:tcW w:w="1701" w:type="dxa"/>
            <w:gridSpan w:val="2"/>
            <w:tcMar>
              <w:left w:w="108" w:type="dxa"/>
              <w:right w:w="108" w:type="dxa"/>
            </w:tcMar>
            <w:vAlign w:val="center"/>
          </w:tcPr>
          <w:p w14:paraId="52BB5CC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拟选分包人名称</w:t>
            </w:r>
          </w:p>
        </w:tc>
        <w:tc>
          <w:tcPr>
            <w:tcW w:w="1123" w:type="dxa"/>
            <w:tcMar>
              <w:left w:w="108" w:type="dxa"/>
              <w:right w:w="108" w:type="dxa"/>
            </w:tcMar>
            <w:vAlign w:val="center"/>
          </w:tcPr>
          <w:p w14:paraId="4F13BFA6">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注册地点</w:t>
            </w:r>
          </w:p>
        </w:tc>
        <w:tc>
          <w:tcPr>
            <w:tcW w:w="1090" w:type="dxa"/>
            <w:tcMar>
              <w:left w:w="108" w:type="dxa"/>
              <w:right w:w="108" w:type="dxa"/>
            </w:tcMar>
            <w:vAlign w:val="center"/>
          </w:tcPr>
          <w:p w14:paraId="14CDC032">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企业资质</w:t>
            </w:r>
          </w:p>
        </w:tc>
        <w:tc>
          <w:tcPr>
            <w:tcW w:w="1197" w:type="dxa"/>
            <w:tcMar>
              <w:left w:w="108" w:type="dxa"/>
              <w:right w:w="108" w:type="dxa"/>
            </w:tcMar>
            <w:vAlign w:val="center"/>
          </w:tcPr>
          <w:p w14:paraId="25B44DE6">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有关业绩</w:t>
            </w:r>
          </w:p>
        </w:tc>
        <w:tc>
          <w:tcPr>
            <w:tcW w:w="1268" w:type="dxa"/>
            <w:vMerge w:val="continue"/>
            <w:tcMar>
              <w:left w:w="108" w:type="dxa"/>
              <w:right w:w="108" w:type="dxa"/>
            </w:tcMar>
            <w:vAlign w:val="center"/>
          </w:tcPr>
          <w:p w14:paraId="0933125C">
            <w:pPr>
              <w:jc w:val="center"/>
              <w:rPr>
                <w:rFonts w:asciiTheme="minorEastAsia" w:hAnsiTheme="minorEastAsia" w:eastAsiaTheme="minorEastAsia"/>
                <w:color w:val="auto"/>
                <w:szCs w:val="21"/>
                <w:highlight w:val="none"/>
              </w:rPr>
            </w:pPr>
          </w:p>
        </w:tc>
      </w:tr>
      <w:tr w14:paraId="638C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163011E0">
            <w:pPr>
              <w:jc w:val="center"/>
              <w:rPr>
                <w:rFonts w:asciiTheme="minorEastAsia" w:hAnsiTheme="minorEastAsia" w:eastAsiaTheme="minorEastAsia"/>
                <w:color w:val="auto"/>
                <w:szCs w:val="21"/>
                <w:highlight w:val="none"/>
              </w:rPr>
            </w:pPr>
          </w:p>
        </w:tc>
        <w:tc>
          <w:tcPr>
            <w:tcW w:w="1843" w:type="dxa"/>
            <w:vMerge w:val="restart"/>
            <w:tcMar>
              <w:left w:w="108" w:type="dxa"/>
              <w:right w:w="108" w:type="dxa"/>
            </w:tcMar>
            <w:vAlign w:val="center"/>
          </w:tcPr>
          <w:p w14:paraId="7F61C51F">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7841A586">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950" w:type="dxa"/>
            <w:tcMar>
              <w:left w:w="108" w:type="dxa"/>
              <w:right w:w="108" w:type="dxa"/>
            </w:tcMar>
            <w:vAlign w:val="center"/>
          </w:tcPr>
          <w:p w14:paraId="71997FA8">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19F2F0C1">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55A6A0E8">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4C2F7C03">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72CDE60C">
            <w:pPr>
              <w:jc w:val="center"/>
              <w:rPr>
                <w:rFonts w:asciiTheme="minorEastAsia" w:hAnsiTheme="minorEastAsia" w:eastAsiaTheme="minorEastAsia"/>
                <w:color w:val="auto"/>
                <w:szCs w:val="21"/>
                <w:highlight w:val="none"/>
              </w:rPr>
            </w:pPr>
          </w:p>
        </w:tc>
      </w:tr>
      <w:tr w14:paraId="2833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3302422">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513E4FD8">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3D6B1E49">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p>
        </w:tc>
        <w:tc>
          <w:tcPr>
            <w:tcW w:w="950" w:type="dxa"/>
            <w:tcMar>
              <w:left w:w="108" w:type="dxa"/>
              <w:right w:w="108" w:type="dxa"/>
            </w:tcMar>
            <w:vAlign w:val="center"/>
          </w:tcPr>
          <w:p w14:paraId="3070C435">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0F3A14AD">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057FD82B">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25A5A51A">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70309510">
            <w:pPr>
              <w:jc w:val="center"/>
              <w:rPr>
                <w:rFonts w:asciiTheme="minorEastAsia" w:hAnsiTheme="minorEastAsia" w:eastAsiaTheme="minorEastAsia"/>
                <w:color w:val="auto"/>
                <w:szCs w:val="21"/>
                <w:highlight w:val="none"/>
              </w:rPr>
            </w:pPr>
          </w:p>
        </w:tc>
      </w:tr>
      <w:tr w14:paraId="3C8D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57BC266">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5CEDF886">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0B54297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950" w:type="dxa"/>
            <w:tcMar>
              <w:left w:w="108" w:type="dxa"/>
              <w:right w:w="108" w:type="dxa"/>
            </w:tcMar>
            <w:vAlign w:val="center"/>
          </w:tcPr>
          <w:p w14:paraId="22A0C3EA">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7C25C127">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70CEF9EF">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3C40DEB8">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09DBDE02">
            <w:pPr>
              <w:jc w:val="center"/>
              <w:rPr>
                <w:rFonts w:asciiTheme="minorEastAsia" w:hAnsiTheme="minorEastAsia" w:eastAsiaTheme="minorEastAsia"/>
                <w:color w:val="auto"/>
                <w:szCs w:val="21"/>
                <w:highlight w:val="none"/>
              </w:rPr>
            </w:pPr>
          </w:p>
        </w:tc>
      </w:tr>
      <w:tr w14:paraId="336C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117FBBC5">
            <w:pPr>
              <w:jc w:val="center"/>
              <w:rPr>
                <w:rFonts w:asciiTheme="minorEastAsia" w:hAnsiTheme="minorEastAsia" w:eastAsiaTheme="minorEastAsia"/>
                <w:color w:val="auto"/>
                <w:szCs w:val="21"/>
                <w:highlight w:val="none"/>
              </w:rPr>
            </w:pPr>
          </w:p>
        </w:tc>
        <w:tc>
          <w:tcPr>
            <w:tcW w:w="1843" w:type="dxa"/>
            <w:vMerge w:val="restart"/>
            <w:tcMar>
              <w:left w:w="108" w:type="dxa"/>
              <w:right w:w="108" w:type="dxa"/>
            </w:tcMar>
            <w:vAlign w:val="center"/>
          </w:tcPr>
          <w:p w14:paraId="07EC7FAB">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3EBDA6B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950" w:type="dxa"/>
            <w:tcMar>
              <w:left w:w="108" w:type="dxa"/>
              <w:right w:w="108" w:type="dxa"/>
            </w:tcMar>
            <w:vAlign w:val="center"/>
          </w:tcPr>
          <w:p w14:paraId="78DBD86D">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3444C78A">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48B26892">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6E6AA0D3">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5270BA9C">
            <w:pPr>
              <w:jc w:val="center"/>
              <w:rPr>
                <w:rFonts w:asciiTheme="minorEastAsia" w:hAnsiTheme="minorEastAsia" w:eastAsiaTheme="minorEastAsia"/>
                <w:color w:val="auto"/>
                <w:szCs w:val="21"/>
                <w:highlight w:val="none"/>
              </w:rPr>
            </w:pPr>
          </w:p>
        </w:tc>
      </w:tr>
      <w:tr w14:paraId="5FCE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BA2DD43">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435A5BD1">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7610EFD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p>
        </w:tc>
        <w:tc>
          <w:tcPr>
            <w:tcW w:w="950" w:type="dxa"/>
            <w:tcMar>
              <w:left w:w="108" w:type="dxa"/>
              <w:right w:w="108" w:type="dxa"/>
            </w:tcMar>
            <w:vAlign w:val="center"/>
          </w:tcPr>
          <w:p w14:paraId="4AEF0F1A">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4960F462">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5E9D2CAA">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6D6BE00D">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5E4CCFED">
            <w:pPr>
              <w:jc w:val="center"/>
              <w:rPr>
                <w:rFonts w:asciiTheme="minorEastAsia" w:hAnsiTheme="minorEastAsia" w:eastAsiaTheme="minorEastAsia"/>
                <w:color w:val="auto"/>
                <w:szCs w:val="21"/>
                <w:highlight w:val="none"/>
              </w:rPr>
            </w:pPr>
          </w:p>
        </w:tc>
      </w:tr>
      <w:tr w14:paraId="7C53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7947F5A">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177C4A34">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0A622C3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950" w:type="dxa"/>
            <w:tcMar>
              <w:left w:w="108" w:type="dxa"/>
              <w:right w:w="108" w:type="dxa"/>
            </w:tcMar>
            <w:vAlign w:val="center"/>
          </w:tcPr>
          <w:p w14:paraId="7D76EC38">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331E9F96">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2D718320">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5A9A31A6">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74998BA4">
            <w:pPr>
              <w:jc w:val="center"/>
              <w:rPr>
                <w:rFonts w:asciiTheme="minorEastAsia" w:hAnsiTheme="minorEastAsia" w:eastAsiaTheme="minorEastAsia"/>
                <w:color w:val="auto"/>
                <w:szCs w:val="21"/>
                <w:highlight w:val="none"/>
              </w:rPr>
            </w:pPr>
          </w:p>
        </w:tc>
      </w:tr>
    </w:tbl>
    <w:p w14:paraId="52B0F95B">
      <w:pPr>
        <w:spacing w:line="440" w:lineRule="exact"/>
        <w:ind w:right="420"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备注：本表所列分包仅限于承包人自行施工范围内的非主体、非关键工程。</w:t>
      </w:r>
    </w:p>
    <w:p w14:paraId="0CE18356">
      <w:pPr>
        <w:spacing w:line="440" w:lineRule="exact"/>
        <w:ind w:firstLine="420" w:firstLineChars="200"/>
        <w:rPr>
          <w:rFonts w:hAnsi="宋体"/>
          <w:color w:val="auto"/>
          <w:szCs w:val="21"/>
          <w:highlight w:val="none"/>
        </w:rPr>
      </w:pPr>
      <w:r>
        <w:rPr>
          <w:rFonts w:asciiTheme="minorEastAsia" w:hAnsiTheme="minorEastAsia" w:eastAsiaTheme="minorEastAsia"/>
          <w:color w:val="auto"/>
          <w:szCs w:val="21"/>
          <w:highlight w:val="none"/>
        </w:rPr>
        <w:t>日期：       年     月     日</w:t>
      </w:r>
    </w:p>
    <w:p w14:paraId="071B8D7D">
      <w:pPr>
        <w:pStyle w:val="2"/>
        <w:rPr>
          <w:color w:val="auto"/>
          <w:highlight w:val="none"/>
        </w:rPr>
      </w:pPr>
    </w:p>
    <w:p w14:paraId="4CCD90D0">
      <w:pPr>
        <w:spacing w:line="440" w:lineRule="exact"/>
        <w:ind w:firstLine="420" w:firstLineChars="200"/>
        <w:rPr>
          <w:rFonts w:hAnsi="宋体"/>
          <w:color w:val="auto"/>
          <w:szCs w:val="21"/>
          <w:highlight w:val="none"/>
        </w:rPr>
      </w:pPr>
    </w:p>
    <w:p w14:paraId="1E7B8496">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A388EF8">
      <w:pPr>
        <w:spacing w:line="44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351D3E3A">
      <w:pPr>
        <w:spacing w:line="440" w:lineRule="exact"/>
        <w:ind w:right="420" w:firstLine="420" w:firstLineChars="20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供应商自行提供，格式自拟</w:t>
      </w:r>
    </w:p>
    <w:p w14:paraId="0872DF60">
      <w:pPr>
        <w:pStyle w:val="2"/>
        <w:jc w:val="center"/>
        <w:rPr>
          <w:color w:val="auto"/>
          <w:highlight w:val="none"/>
        </w:rPr>
        <w:sectPr>
          <w:pgSz w:w="11906" w:h="16838"/>
          <w:pgMar w:top="1304" w:right="1304" w:bottom="1304" w:left="1304" w:header="720" w:footer="720" w:gutter="0"/>
          <w:cols w:space="720" w:num="1"/>
          <w:docGrid w:type="lines" w:linePitch="312" w:charSpace="0"/>
        </w:sectPr>
      </w:pPr>
    </w:p>
    <w:p w14:paraId="7596D9F8">
      <w:pPr>
        <w:spacing w:line="500" w:lineRule="exact"/>
        <w:jc w:val="center"/>
        <w:rPr>
          <w:rFonts w:hAnsi="宋体"/>
          <w:color w:val="auto"/>
          <w:sz w:val="28"/>
          <w:szCs w:val="28"/>
          <w:highlight w:val="none"/>
        </w:rPr>
      </w:pPr>
    </w:p>
    <w:p w14:paraId="0D179284">
      <w:pPr>
        <w:spacing w:line="500" w:lineRule="exact"/>
        <w:jc w:val="center"/>
        <w:rPr>
          <w:rFonts w:hAnsi="宋体"/>
          <w:b/>
          <w:color w:val="auto"/>
          <w:sz w:val="44"/>
          <w:szCs w:val="32"/>
          <w:highlight w:val="none"/>
        </w:rPr>
      </w:pPr>
    </w:p>
    <w:p w14:paraId="75FB01BF">
      <w:pPr>
        <w:spacing w:line="500" w:lineRule="exact"/>
        <w:jc w:val="center"/>
        <w:rPr>
          <w:rFonts w:hAnsi="宋体"/>
          <w:b/>
          <w:color w:val="auto"/>
          <w:sz w:val="44"/>
          <w:szCs w:val="32"/>
          <w:highlight w:val="none"/>
        </w:rPr>
      </w:pPr>
    </w:p>
    <w:p w14:paraId="4BD88F1F">
      <w:pPr>
        <w:spacing w:line="500" w:lineRule="exact"/>
        <w:jc w:val="center"/>
        <w:rPr>
          <w:rFonts w:hAnsi="宋体"/>
          <w:b/>
          <w:color w:val="auto"/>
          <w:sz w:val="44"/>
          <w:szCs w:val="32"/>
          <w:highlight w:val="none"/>
        </w:rPr>
      </w:pPr>
    </w:p>
    <w:p w14:paraId="17E063E7">
      <w:pPr>
        <w:spacing w:line="500" w:lineRule="exact"/>
        <w:jc w:val="center"/>
        <w:rPr>
          <w:rFonts w:hAnsi="宋体"/>
          <w:b/>
          <w:color w:val="auto"/>
          <w:sz w:val="44"/>
          <w:szCs w:val="32"/>
          <w:highlight w:val="none"/>
        </w:rPr>
      </w:pPr>
    </w:p>
    <w:p w14:paraId="1856BF12">
      <w:pPr>
        <w:spacing w:line="500" w:lineRule="exact"/>
        <w:jc w:val="center"/>
        <w:rPr>
          <w:rFonts w:hAnsi="宋体"/>
          <w:b/>
          <w:color w:val="auto"/>
          <w:sz w:val="44"/>
          <w:szCs w:val="32"/>
          <w:highlight w:val="none"/>
        </w:rPr>
      </w:pPr>
    </w:p>
    <w:p w14:paraId="43F94093">
      <w:pPr>
        <w:spacing w:line="500" w:lineRule="exact"/>
        <w:jc w:val="center"/>
        <w:outlineLvl w:val="1"/>
        <w:rPr>
          <w:rFonts w:hAnsi="宋体"/>
          <w:b/>
          <w:color w:val="auto"/>
          <w:sz w:val="44"/>
          <w:szCs w:val="32"/>
          <w:highlight w:val="none"/>
        </w:rPr>
      </w:pPr>
      <w:bookmarkStart w:id="1781" w:name="_Toc13799"/>
      <w:r>
        <w:rPr>
          <w:rFonts w:hint="eastAsia" w:hAnsi="宋体"/>
          <w:b/>
          <w:color w:val="auto"/>
          <w:sz w:val="44"/>
          <w:szCs w:val="32"/>
          <w:highlight w:val="none"/>
        </w:rPr>
        <w:t>价格文件（封面）</w:t>
      </w:r>
      <w:bookmarkEnd w:id="1781"/>
    </w:p>
    <w:p w14:paraId="363218C0">
      <w:pPr>
        <w:spacing w:line="500" w:lineRule="exact"/>
        <w:jc w:val="center"/>
        <w:rPr>
          <w:rFonts w:hAnsi="宋体"/>
          <w:color w:val="auto"/>
          <w:sz w:val="28"/>
          <w:szCs w:val="28"/>
          <w:highlight w:val="none"/>
        </w:rPr>
      </w:pPr>
    </w:p>
    <w:p w14:paraId="589D22D3">
      <w:pPr>
        <w:spacing w:line="500" w:lineRule="exact"/>
        <w:jc w:val="center"/>
        <w:rPr>
          <w:rFonts w:hAnsi="宋体"/>
          <w:color w:val="auto"/>
          <w:sz w:val="28"/>
          <w:szCs w:val="28"/>
          <w:highlight w:val="none"/>
        </w:rPr>
      </w:pPr>
    </w:p>
    <w:p w14:paraId="70F09C81">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74C3E2B0">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35393BB4">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FC2D9BF">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3F2D0A9">
      <w:pPr>
        <w:spacing w:line="500" w:lineRule="exact"/>
        <w:rPr>
          <w:rFonts w:hAnsi="宋体"/>
          <w:color w:val="auto"/>
          <w:sz w:val="28"/>
          <w:szCs w:val="28"/>
          <w:highlight w:val="none"/>
        </w:rPr>
      </w:pPr>
    </w:p>
    <w:p w14:paraId="793BCCF1">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29EAB92B">
      <w:pPr>
        <w:ind w:right="384" w:rightChars="183"/>
        <w:jc w:val="left"/>
        <w:rPr>
          <w:rFonts w:hAnsi="宋体"/>
          <w:b/>
          <w:color w:val="auto"/>
          <w:sz w:val="28"/>
          <w:szCs w:val="28"/>
          <w:highlight w:val="none"/>
        </w:rPr>
      </w:pPr>
    </w:p>
    <w:p w14:paraId="2A81177D">
      <w:pPr>
        <w:ind w:right="384" w:rightChars="183"/>
        <w:jc w:val="left"/>
        <w:rPr>
          <w:rFonts w:hAnsi="宋体"/>
          <w:b/>
          <w:color w:val="auto"/>
          <w:sz w:val="28"/>
          <w:szCs w:val="28"/>
          <w:highlight w:val="none"/>
        </w:rPr>
        <w:sectPr>
          <w:pgSz w:w="11906" w:h="16838"/>
          <w:pgMar w:top="1304" w:right="1304" w:bottom="1304" w:left="1304" w:header="720" w:footer="720" w:gutter="0"/>
          <w:cols w:space="720" w:num="1"/>
          <w:docGrid w:type="lines" w:linePitch="312" w:charSpace="0"/>
        </w:sectPr>
      </w:pPr>
    </w:p>
    <w:p w14:paraId="70B4C5AF">
      <w:pPr>
        <w:spacing w:line="400" w:lineRule="exact"/>
        <w:ind w:firstLine="317" w:firstLineChars="151"/>
        <w:jc w:val="center"/>
        <w:rPr>
          <w:rFonts w:hAnsi="宋体"/>
          <w:color w:val="auto"/>
          <w:szCs w:val="21"/>
          <w:highlight w:val="none"/>
        </w:rPr>
      </w:pPr>
    </w:p>
    <w:p w14:paraId="105C8688">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6B71DB83">
      <w:pPr>
        <w:spacing w:line="440" w:lineRule="exact"/>
        <w:ind w:firstLine="420" w:firstLineChars="200"/>
        <w:rPr>
          <w:rFonts w:hAnsi="宋体"/>
          <w:color w:val="auto"/>
          <w:szCs w:val="21"/>
          <w:highlight w:val="none"/>
        </w:rPr>
      </w:pPr>
    </w:p>
    <w:p w14:paraId="65FDB83E">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1、磋商响应函及磋商函附录（格式见第七章）；</w:t>
      </w:r>
      <w:r>
        <w:rPr>
          <w:rFonts w:hint="eastAsia" w:asciiTheme="minorEastAsia" w:hAnsiTheme="minorEastAsia" w:eastAsiaTheme="minorEastAsia"/>
          <w:b/>
          <w:color w:val="auto"/>
          <w:szCs w:val="21"/>
          <w:highlight w:val="none"/>
        </w:rPr>
        <w:t>（必须提供，否则磋商无效）</w:t>
      </w:r>
    </w:p>
    <w:p w14:paraId="3DC59217">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2、磋商报价表；</w:t>
      </w:r>
      <w:r>
        <w:rPr>
          <w:rFonts w:hint="eastAsia" w:asciiTheme="minorEastAsia" w:hAnsiTheme="minorEastAsia" w:eastAsiaTheme="minorEastAsia"/>
          <w:b/>
          <w:color w:val="auto"/>
          <w:szCs w:val="21"/>
          <w:highlight w:val="none"/>
        </w:rPr>
        <w:t>（必须提供，否则磋商无效）</w:t>
      </w:r>
    </w:p>
    <w:p w14:paraId="5D3EFC56">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highlight w:val="none"/>
        </w:rPr>
        <w:t>已标价工程量清单</w:t>
      </w:r>
      <w:r>
        <w:rPr>
          <w:rFonts w:hint="eastAsia" w:asciiTheme="minorEastAsia" w:hAnsiTheme="minorEastAsia" w:eastAsiaTheme="minorEastAsia"/>
          <w:color w:val="auto"/>
          <w:szCs w:val="21"/>
          <w:highlight w:val="none"/>
        </w:rPr>
        <w:t>（格式见第七章）；</w:t>
      </w:r>
      <w:r>
        <w:rPr>
          <w:rFonts w:hint="eastAsia" w:asciiTheme="minorEastAsia" w:hAnsiTheme="minorEastAsia" w:eastAsiaTheme="minorEastAsia"/>
          <w:b/>
          <w:color w:val="auto"/>
          <w:szCs w:val="21"/>
          <w:highlight w:val="none"/>
        </w:rPr>
        <w:t>（必须提供，否则磋商无效）</w:t>
      </w:r>
    </w:p>
    <w:p w14:paraId="19C00AF1">
      <w:pPr>
        <w:spacing w:line="440" w:lineRule="exact"/>
        <w:ind w:firstLine="283" w:firstLineChars="135"/>
        <w:rPr>
          <w:rFonts w:hAnsi="宋体"/>
          <w:color w:val="auto"/>
          <w:szCs w:val="21"/>
          <w:highlight w:val="none"/>
        </w:rPr>
      </w:pPr>
      <w:r>
        <w:rPr>
          <w:rFonts w:hint="eastAsia" w:asciiTheme="minorEastAsia" w:hAnsiTheme="minorEastAsia" w:eastAsiaTheme="minorEastAsia"/>
          <w:color w:val="auto"/>
          <w:szCs w:val="21"/>
          <w:highlight w:val="none"/>
        </w:rPr>
        <w:t>4、供应商针对报价需要说明的其他文件和说明（格式自拟）</w:t>
      </w:r>
    </w:p>
    <w:p w14:paraId="2A58940D">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046E2B57">
      <w:pPr>
        <w:spacing w:line="440" w:lineRule="exact"/>
        <w:ind w:firstLine="420" w:firstLineChars="200"/>
        <w:jc w:val="left"/>
        <w:rPr>
          <w:rFonts w:hAnsi="宋体"/>
          <w:color w:val="auto"/>
          <w:szCs w:val="21"/>
          <w:highlight w:val="none"/>
        </w:rPr>
      </w:pPr>
      <w:r>
        <w:rPr>
          <w:rFonts w:hint="eastAsia" w:hAnsi="宋体"/>
          <w:color w:val="auto"/>
          <w:szCs w:val="21"/>
          <w:highlight w:val="none"/>
        </w:rPr>
        <w:t>1、</w:t>
      </w:r>
      <w:r>
        <w:rPr>
          <w:rFonts w:hint="eastAsia" w:asciiTheme="minorEastAsia" w:hAnsiTheme="minorEastAsia" w:eastAsiaTheme="minorEastAsia"/>
          <w:color w:val="auto"/>
          <w:szCs w:val="21"/>
          <w:highlight w:val="none"/>
        </w:rPr>
        <w:t>磋商响应函及磋商函附录</w:t>
      </w:r>
    </w:p>
    <w:p w14:paraId="43CEF003">
      <w:pPr>
        <w:spacing w:line="440" w:lineRule="exact"/>
        <w:ind w:firstLine="420" w:firstLineChars="200"/>
        <w:jc w:val="center"/>
        <w:rPr>
          <w:rFonts w:hAnsi="宋体"/>
          <w:color w:val="auto"/>
          <w:szCs w:val="21"/>
          <w:highlight w:val="none"/>
        </w:rPr>
      </w:pPr>
      <w:r>
        <w:rPr>
          <w:rFonts w:hint="eastAsia" w:hAnsi="宋体"/>
          <w:color w:val="auto"/>
          <w:szCs w:val="21"/>
          <w:highlight w:val="none"/>
        </w:rPr>
        <w:t>磋商响应函</w:t>
      </w:r>
    </w:p>
    <w:p w14:paraId="75B18D17">
      <w:pPr>
        <w:spacing w:line="440" w:lineRule="exact"/>
        <w:ind w:firstLine="420" w:firstLineChars="200"/>
        <w:rPr>
          <w:rFonts w:hAnsi="宋体"/>
          <w:color w:val="auto"/>
          <w:szCs w:val="21"/>
          <w:highlight w:val="none"/>
        </w:rPr>
      </w:pPr>
      <w:r>
        <w:rPr>
          <w:rFonts w:hint="eastAsia" w:hAnsi="宋体"/>
          <w:color w:val="auto"/>
          <w:szCs w:val="21"/>
          <w:highlight w:val="none"/>
        </w:rPr>
        <w:t>致：</w:t>
      </w:r>
      <w:r>
        <w:rPr>
          <w:rFonts w:cs="Arial" w:asciiTheme="minorEastAsia" w:hAnsiTheme="minorEastAsia" w:eastAsiaTheme="minorEastAsia"/>
          <w:color w:val="auto"/>
          <w:szCs w:val="21"/>
          <w:highlight w:val="none"/>
          <w:u w:val="single"/>
        </w:rPr>
        <w:t>（采购人名称）</w:t>
      </w:r>
    </w:p>
    <w:p w14:paraId="4505753A">
      <w:pPr>
        <w:spacing w:line="440" w:lineRule="exact"/>
        <w:ind w:firstLine="420" w:firstLineChars="200"/>
        <w:rPr>
          <w:rFonts w:hAnsi="宋体"/>
          <w:color w:val="auto"/>
          <w:szCs w:val="21"/>
          <w:highlight w:val="none"/>
        </w:rPr>
      </w:pPr>
      <w:r>
        <w:rPr>
          <w:rFonts w:hint="eastAsia" w:hAnsi="宋体"/>
          <w:color w:val="auto"/>
          <w:szCs w:val="21"/>
          <w:highlight w:val="none"/>
        </w:rPr>
        <w:t>我方已仔细阅读了贵方组织的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 ）的竞争性磋商文件的的磋商须知、合同条款、工程建设标准及其他有关文件后，现正式递交下述文件参加贵方组织的本次政府采购活动：</w:t>
      </w:r>
    </w:p>
    <w:p w14:paraId="1D9ACDB6">
      <w:pPr>
        <w:spacing w:line="440" w:lineRule="exact"/>
        <w:ind w:firstLine="420" w:firstLineChars="200"/>
        <w:rPr>
          <w:rFonts w:hAnsi="宋体"/>
          <w:color w:val="auto"/>
          <w:szCs w:val="21"/>
          <w:highlight w:val="none"/>
        </w:rPr>
      </w:pPr>
      <w:r>
        <w:rPr>
          <w:rFonts w:hint="eastAsia" w:hAnsi="宋体"/>
          <w:color w:val="auto"/>
          <w:szCs w:val="21"/>
          <w:highlight w:val="none"/>
        </w:rPr>
        <w:t>一、首次价格文件电子版份（包含按编制要求提交的全部文件）；</w:t>
      </w:r>
    </w:p>
    <w:p w14:paraId="6BCA91B0">
      <w:pPr>
        <w:spacing w:line="440" w:lineRule="exact"/>
        <w:ind w:firstLine="420" w:firstLineChars="200"/>
        <w:rPr>
          <w:rFonts w:hAnsi="宋体"/>
          <w:color w:val="auto"/>
          <w:szCs w:val="21"/>
          <w:highlight w:val="none"/>
        </w:rPr>
      </w:pPr>
      <w:r>
        <w:rPr>
          <w:rFonts w:hint="eastAsia" w:hAnsi="宋体"/>
          <w:color w:val="auto"/>
          <w:szCs w:val="21"/>
          <w:highlight w:val="none"/>
        </w:rPr>
        <w:t>二、技术文件电子版份（包含按按编制要求提交的全部文件）；商务文件电子版份（包含按按编制要求提交的全部文件）；（商务、技术文件已合并成册）</w:t>
      </w:r>
    </w:p>
    <w:p w14:paraId="78746A6A">
      <w:pPr>
        <w:spacing w:line="440" w:lineRule="exact"/>
        <w:ind w:firstLine="420" w:firstLineChars="200"/>
        <w:rPr>
          <w:rFonts w:hAnsi="宋体"/>
          <w:color w:val="auto"/>
          <w:szCs w:val="21"/>
          <w:highlight w:val="none"/>
        </w:rPr>
      </w:pPr>
      <w:r>
        <w:rPr>
          <w:rFonts w:hint="eastAsia" w:hAnsi="宋体"/>
          <w:color w:val="auto"/>
          <w:szCs w:val="21"/>
          <w:highlight w:val="none"/>
        </w:rPr>
        <w:t>据此函，签字人兹宣布：</w:t>
      </w:r>
    </w:p>
    <w:p w14:paraId="1A196F94">
      <w:pPr>
        <w:spacing w:line="440" w:lineRule="exact"/>
        <w:ind w:firstLine="420" w:firstLineChars="200"/>
        <w:rPr>
          <w:rFonts w:hAnsi="宋体"/>
          <w:color w:val="auto"/>
          <w:szCs w:val="21"/>
          <w:highlight w:val="none"/>
        </w:rPr>
      </w:pPr>
      <w:r>
        <w:rPr>
          <w:rFonts w:hint="eastAsia" w:hAnsi="宋体"/>
          <w:color w:val="auto"/>
          <w:szCs w:val="21"/>
          <w:highlight w:val="none"/>
        </w:rPr>
        <w:t>1、我方愿意以（大写）人民币</w:t>
      </w:r>
      <w:r>
        <w:rPr>
          <w:rFonts w:hint="eastAsia" w:hAnsi="宋体"/>
          <w:color w:val="auto"/>
          <w:szCs w:val="21"/>
          <w:highlight w:val="none"/>
          <w:u w:val="single"/>
        </w:rPr>
        <w:t xml:space="preserve">              </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元)的磋商总报价按上述合同条款、工程建设标准和工程量清单的条件要求承包上述工程的施工、竣工，并承担任何质量缺陷责任。</w:t>
      </w:r>
    </w:p>
    <w:p w14:paraId="55983BA6">
      <w:pPr>
        <w:spacing w:line="440" w:lineRule="exact"/>
        <w:ind w:firstLine="420" w:firstLineChars="200"/>
        <w:rPr>
          <w:rFonts w:hAnsi="宋体"/>
          <w:color w:val="auto"/>
          <w:szCs w:val="21"/>
          <w:highlight w:val="none"/>
        </w:rPr>
      </w:pPr>
      <w:r>
        <w:rPr>
          <w:rFonts w:hint="eastAsia" w:hAnsi="宋体"/>
          <w:color w:val="auto"/>
          <w:szCs w:val="21"/>
          <w:highlight w:val="none"/>
        </w:rPr>
        <w:t>2、我方同意自本项目竞争性磋商采购文件采购公告规定的递交响应文件截止时间起遵循本响应函，并承诺在“第二章 磋商须知及前附表”规定的响应有效期内不修改、撤销响应文件。</w:t>
      </w:r>
    </w:p>
    <w:p w14:paraId="62C4B4D7">
      <w:pPr>
        <w:spacing w:line="440" w:lineRule="exact"/>
        <w:ind w:firstLine="420" w:firstLineChars="200"/>
        <w:rPr>
          <w:rFonts w:hAnsi="宋体"/>
          <w:color w:val="auto"/>
          <w:szCs w:val="21"/>
          <w:highlight w:val="none"/>
        </w:rPr>
      </w:pPr>
      <w:r>
        <w:rPr>
          <w:rFonts w:hint="eastAsia" w:hAnsi="宋体"/>
          <w:color w:val="auto"/>
          <w:szCs w:val="21"/>
          <w:highlight w:val="none"/>
        </w:rPr>
        <w:t>3、我方在此声明，所递交的响应文件及有关资料内容完整、真实和准确。</w:t>
      </w:r>
    </w:p>
    <w:p w14:paraId="5F2459C1">
      <w:pPr>
        <w:spacing w:line="440" w:lineRule="exact"/>
        <w:ind w:firstLine="420" w:firstLineChars="200"/>
        <w:rPr>
          <w:rFonts w:hAnsi="宋体"/>
          <w:color w:val="auto"/>
          <w:szCs w:val="21"/>
          <w:highlight w:val="none"/>
        </w:rPr>
      </w:pPr>
      <w:r>
        <w:rPr>
          <w:rFonts w:hint="eastAsia" w:hAnsi="宋体"/>
          <w:color w:val="auto"/>
          <w:szCs w:val="21"/>
          <w:highlight w:val="none"/>
        </w:rPr>
        <w:t>4、如本项目采购内容涉及须符合国家强制规定的，我方承诺我方本次磋商均符合国家有关强制规定。</w:t>
      </w:r>
    </w:p>
    <w:p w14:paraId="2AF5588B">
      <w:pPr>
        <w:spacing w:line="440" w:lineRule="exact"/>
        <w:ind w:firstLine="420" w:firstLineChars="200"/>
        <w:rPr>
          <w:rFonts w:hAnsi="宋体"/>
          <w:color w:val="auto"/>
          <w:szCs w:val="21"/>
          <w:highlight w:val="none"/>
        </w:rPr>
      </w:pPr>
      <w:r>
        <w:rPr>
          <w:rFonts w:hint="eastAsia"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75763F1C">
      <w:pPr>
        <w:spacing w:line="4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5FA6E0EB">
      <w:pPr>
        <w:spacing w:line="4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528FF3A0">
      <w:pPr>
        <w:spacing w:line="4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653F546A">
      <w:pPr>
        <w:spacing w:line="4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435EF5B4">
      <w:pPr>
        <w:spacing w:line="4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12C7FD71">
      <w:pPr>
        <w:spacing w:line="4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4328024D">
      <w:pPr>
        <w:spacing w:line="440" w:lineRule="exact"/>
        <w:ind w:firstLine="420" w:firstLineChars="200"/>
        <w:rPr>
          <w:rFonts w:hAnsi="宋体"/>
          <w:color w:val="auto"/>
          <w:szCs w:val="21"/>
          <w:highlight w:val="none"/>
        </w:rPr>
      </w:pPr>
      <w:r>
        <w:rPr>
          <w:rFonts w:hint="eastAsia" w:hAnsi="宋体"/>
          <w:color w:val="auto"/>
          <w:szCs w:val="21"/>
          <w:highlight w:val="none"/>
        </w:rPr>
        <w:t>6、如我方成交，我方承诺在收到成交通知书后，在成交通知书规定的期限内，根据竞争性磋商采购文件、我方的响应文件及有关澄清承诺书的要求按第</w:t>
      </w:r>
      <w:r>
        <w:rPr>
          <w:rFonts w:hint="eastAsia" w:hAnsi="宋体"/>
          <w:color w:val="auto"/>
          <w:szCs w:val="21"/>
          <w:highlight w:val="none"/>
          <w:lang w:val="en-US" w:eastAsia="zh-CN"/>
        </w:rPr>
        <w:t>六</w:t>
      </w:r>
      <w:r>
        <w:rPr>
          <w:rFonts w:hint="eastAsia" w:hAnsi="宋体"/>
          <w:color w:val="auto"/>
          <w:szCs w:val="21"/>
          <w:highlight w:val="none"/>
        </w:rPr>
        <w:t>章“合同条款及格式”与采购人订立书面合同，并按照合同约定承担完成合同的责任和义务。</w:t>
      </w:r>
    </w:p>
    <w:p w14:paraId="3AE95F7A">
      <w:pPr>
        <w:spacing w:line="440" w:lineRule="exact"/>
        <w:ind w:firstLine="420" w:firstLineChars="200"/>
        <w:rPr>
          <w:rFonts w:hAnsi="宋体"/>
          <w:color w:val="auto"/>
          <w:szCs w:val="21"/>
          <w:highlight w:val="none"/>
        </w:rPr>
      </w:pPr>
      <w:r>
        <w:rPr>
          <w:rFonts w:hint="eastAsia" w:hAnsi="宋体"/>
          <w:color w:val="auto"/>
          <w:szCs w:val="21"/>
          <w:highlight w:val="none"/>
        </w:rPr>
        <w:t>7、我方已详细审核竞争性磋商采购文件，我方知道必须放弃提出含糊不清或误解问题的权利。</w:t>
      </w:r>
    </w:p>
    <w:p w14:paraId="3FD4078E">
      <w:pPr>
        <w:spacing w:line="440" w:lineRule="exact"/>
        <w:ind w:firstLine="420" w:firstLineChars="200"/>
        <w:rPr>
          <w:rFonts w:hAnsi="宋体"/>
          <w:color w:val="auto"/>
          <w:szCs w:val="21"/>
          <w:highlight w:val="none"/>
        </w:rPr>
      </w:pPr>
      <w:r>
        <w:rPr>
          <w:rFonts w:hint="eastAsia" w:hAnsi="宋体"/>
          <w:color w:val="auto"/>
          <w:szCs w:val="21"/>
          <w:highlight w:val="none"/>
        </w:rPr>
        <w:t>8、我方承诺满足竞争性磋商采购文件第</w:t>
      </w:r>
      <w:r>
        <w:rPr>
          <w:rFonts w:hint="eastAsia" w:hAnsi="宋体"/>
          <w:color w:val="auto"/>
          <w:szCs w:val="21"/>
          <w:highlight w:val="none"/>
          <w:lang w:val="en-US" w:eastAsia="zh-CN"/>
        </w:rPr>
        <w:t>六</w:t>
      </w:r>
      <w:r>
        <w:rPr>
          <w:rFonts w:hint="eastAsia" w:hAnsi="宋体"/>
          <w:color w:val="auto"/>
          <w:szCs w:val="21"/>
          <w:highlight w:val="none"/>
        </w:rPr>
        <w:t>章“</w:t>
      </w:r>
      <w:r>
        <w:rPr>
          <w:rFonts w:hint="eastAsia" w:asciiTheme="minorEastAsia" w:hAnsiTheme="minorEastAsia" w:eastAsiaTheme="minorEastAsia"/>
          <w:color w:val="auto"/>
          <w:szCs w:val="44"/>
          <w:highlight w:val="none"/>
        </w:rPr>
        <w:t>合同条款及格式</w:t>
      </w:r>
      <w:r>
        <w:rPr>
          <w:rFonts w:hint="eastAsia" w:hAnsi="宋体"/>
          <w:color w:val="auto"/>
          <w:szCs w:val="21"/>
          <w:highlight w:val="none"/>
        </w:rPr>
        <w:t>”的条款，承担完成合同的责任和义务。</w:t>
      </w:r>
    </w:p>
    <w:p w14:paraId="082C9FC0">
      <w:pPr>
        <w:spacing w:line="440" w:lineRule="exact"/>
        <w:ind w:firstLine="420" w:firstLineChars="200"/>
        <w:rPr>
          <w:rFonts w:hAnsi="宋体"/>
          <w:color w:val="auto"/>
          <w:szCs w:val="21"/>
          <w:highlight w:val="none"/>
        </w:rPr>
      </w:pPr>
      <w:r>
        <w:rPr>
          <w:rFonts w:hint="eastAsia" w:hAnsi="宋体"/>
          <w:color w:val="auto"/>
          <w:szCs w:val="21"/>
          <w:highlight w:val="none"/>
        </w:rPr>
        <w:t>9、我方同意应贵方要求提供与本磋商有关的任何数据或资料。若贵方需要，我方愿意提供我方作出的一切承诺的证明材料。</w:t>
      </w:r>
    </w:p>
    <w:p w14:paraId="52568A4A">
      <w:pPr>
        <w:spacing w:line="440" w:lineRule="exact"/>
        <w:ind w:firstLine="420" w:firstLineChars="200"/>
        <w:rPr>
          <w:rFonts w:hAnsi="宋体"/>
          <w:color w:val="auto"/>
          <w:szCs w:val="21"/>
          <w:highlight w:val="none"/>
        </w:rPr>
      </w:pPr>
      <w:r>
        <w:rPr>
          <w:rFonts w:hint="eastAsia" w:hAnsi="宋体"/>
          <w:color w:val="auto"/>
          <w:szCs w:val="21"/>
          <w:highlight w:val="none"/>
        </w:rPr>
        <w:t>10、我方完全理解贵方不一定接受响应报价最低的供应商为成交供应商的行为。</w:t>
      </w:r>
    </w:p>
    <w:p w14:paraId="0E1733B9">
      <w:pPr>
        <w:spacing w:line="440" w:lineRule="exact"/>
        <w:ind w:firstLine="420" w:firstLineChars="200"/>
        <w:rPr>
          <w:rFonts w:hAnsi="宋体"/>
          <w:color w:val="auto"/>
          <w:szCs w:val="21"/>
          <w:highlight w:val="none"/>
        </w:rPr>
      </w:pPr>
      <w:r>
        <w:rPr>
          <w:rFonts w:hint="eastAsia"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DE09FC">
      <w:pPr>
        <w:spacing w:line="440" w:lineRule="exact"/>
        <w:ind w:firstLine="420" w:firstLineChars="200"/>
        <w:rPr>
          <w:rFonts w:hAnsi="宋体"/>
          <w:color w:val="auto"/>
          <w:szCs w:val="21"/>
          <w:highlight w:val="none"/>
        </w:rPr>
      </w:pPr>
      <w:r>
        <w:rPr>
          <w:rFonts w:hint="eastAsia" w:hAnsi="宋体"/>
          <w:color w:val="auto"/>
          <w:szCs w:val="21"/>
          <w:highlight w:val="none"/>
        </w:rPr>
        <w:t>（1）提供虚假材料谋取中标、成交的；</w:t>
      </w:r>
    </w:p>
    <w:p w14:paraId="18E34558">
      <w:pPr>
        <w:spacing w:line="440" w:lineRule="exact"/>
        <w:ind w:firstLine="420" w:firstLineChars="200"/>
        <w:rPr>
          <w:rFonts w:hAnsi="宋体"/>
          <w:color w:val="auto"/>
          <w:szCs w:val="21"/>
          <w:highlight w:val="none"/>
        </w:rPr>
      </w:pPr>
      <w:r>
        <w:rPr>
          <w:rFonts w:hint="eastAsia" w:hAnsi="宋体"/>
          <w:color w:val="auto"/>
          <w:szCs w:val="21"/>
          <w:highlight w:val="none"/>
        </w:rPr>
        <w:t>（2）采取不正当手段诋毁、排挤其他供应商的；</w:t>
      </w:r>
    </w:p>
    <w:p w14:paraId="6632A283">
      <w:pPr>
        <w:spacing w:line="440" w:lineRule="exact"/>
        <w:ind w:firstLine="420" w:firstLineChars="200"/>
        <w:rPr>
          <w:rFonts w:hAnsi="宋体"/>
          <w:color w:val="auto"/>
          <w:szCs w:val="21"/>
          <w:highlight w:val="none"/>
        </w:rPr>
      </w:pPr>
      <w:r>
        <w:rPr>
          <w:rFonts w:hint="eastAsia" w:hAnsi="宋体"/>
          <w:color w:val="auto"/>
          <w:szCs w:val="21"/>
          <w:highlight w:val="none"/>
        </w:rPr>
        <w:t>（3）与采购人、其他供应商或者采购代理机构恶意串通的；</w:t>
      </w:r>
    </w:p>
    <w:p w14:paraId="009B4693">
      <w:pPr>
        <w:spacing w:line="440" w:lineRule="exact"/>
        <w:ind w:firstLine="420" w:firstLineChars="200"/>
        <w:rPr>
          <w:rFonts w:hAnsi="宋体"/>
          <w:color w:val="auto"/>
          <w:szCs w:val="21"/>
          <w:highlight w:val="none"/>
        </w:rPr>
      </w:pPr>
      <w:r>
        <w:rPr>
          <w:rFonts w:hint="eastAsia" w:hAnsi="宋体"/>
          <w:color w:val="auto"/>
          <w:szCs w:val="21"/>
          <w:highlight w:val="none"/>
        </w:rPr>
        <w:t>（4）向采购人、采购代理机构行贿或者提供其他不正当利益的；</w:t>
      </w:r>
    </w:p>
    <w:p w14:paraId="2244C4AC">
      <w:pPr>
        <w:spacing w:line="440" w:lineRule="exact"/>
        <w:ind w:firstLine="420" w:firstLineChars="200"/>
        <w:rPr>
          <w:rFonts w:hAnsi="宋体"/>
          <w:color w:val="auto"/>
          <w:szCs w:val="21"/>
          <w:highlight w:val="none"/>
        </w:rPr>
      </w:pPr>
      <w:r>
        <w:rPr>
          <w:rFonts w:hint="eastAsia" w:hAnsi="宋体"/>
          <w:color w:val="auto"/>
          <w:szCs w:val="21"/>
          <w:highlight w:val="none"/>
        </w:rPr>
        <w:t>（5）在采购过程中与采购人进行协商磋商的；</w:t>
      </w:r>
    </w:p>
    <w:p w14:paraId="39E0AA3F">
      <w:pPr>
        <w:spacing w:line="440" w:lineRule="exact"/>
        <w:ind w:firstLine="420" w:firstLineChars="200"/>
        <w:rPr>
          <w:rFonts w:hAnsi="宋体"/>
          <w:color w:val="auto"/>
          <w:szCs w:val="21"/>
          <w:highlight w:val="none"/>
        </w:rPr>
      </w:pPr>
      <w:r>
        <w:rPr>
          <w:rFonts w:hint="eastAsia" w:hAnsi="宋体"/>
          <w:color w:val="auto"/>
          <w:szCs w:val="21"/>
          <w:highlight w:val="none"/>
        </w:rPr>
        <w:t>（6）拒绝有关部门监督检查或提供虚假情况的。</w:t>
      </w:r>
    </w:p>
    <w:p w14:paraId="761C77BD">
      <w:pPr>
        <w:spacing w:line="440" w:lineRule="exact"/>
        <w:ind w:firstLine="420" w:firstLineChars="200"/>
        <w:rPr>
          <w:rFonts w:hAnsi="宋体"/>
          <w:color w:val="auto"/>
          <w:szCs w:val="21"/>
          <w:highlight w:val="none"/>
        </w:rPr>
      </w:pPr>
      <w:r>
        <w:rPr>
          <w:rFonts w:hint="eastAsia" w:hAnsi="宋体"/>
          <w:color w:val="auto"/>
          <w:szCs w:val="21"/>
          <w:highlight w:val="none"/>
        </w:rPr>
        <w:t>12.与本磋商有关的一切正式往来信函请寄：</w:t>
      </w:r>
    </w:p>
    <w:p w14:paraId="28576B36">
      <w:pPr>
        <w:wordWrap w:val="0"/>
        <w:spacing w:line="440" w:lineRule="exact"/>
        <w:ind w:firstLine="420" w:firstLineChars="200"/>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u w:val="single"/>
        </w:rPr>
        <w:t xml:space="preserve">                      </w:t>
      </w:r>
    </w:p>
    <w:p w14:paraId="6A82B9B7">
      <w:pPr>
        <w:wordWrap w:val="0"/>
        <w:spacing w:line="440" w:lineRule="exact"/>
        <w:ind w:firstLine="420" w:firstLineChars="20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p>
    <w:p w14:paraId="0FB3B280">
      <w:pPr>
        <w:wordWrap w:val="0"/>
        <w:spacing w:line="440" w:lineRule="exact"/>
        <w:ind w:firstLine="420" w:firstLineChars="200"/>
        <w:rPr>
          <w:rFonts w:hAnsi="宋体"/>
          <w:color w:val="auto"/>
          <w:szCs w:val="21"/>
          <w:highlight w:val="none"/>
        </w:rPr>
      </w:pPr>
      <w:r>
        <w:rPr>
          <w:rFonts w:hint="eastAsia" w:hAnsi="宋体"/>
          <w:color w:val="auto"/>
          <w:szCs w:val="21"/>
          <w:highlight w:val="none"/>
        </w:rPr>
        <w:t>传真：</w:t>
      </w:r>
      <w:r>
        <w:rPr>
          <w:rFonts w:hint="eastAsia" w:hAnsi="宋体"/>
          <w:color w:val="auto"/>
          <w:szCs w:val="21"/>
          <w:highlight w:val="none"/>
          <w:u w:val="single"/>
        </w:rPr>
        <w:t xml:space="preserve">                      </w:t>
      </w:r>
    </w:p>
    <w:p w14:paraId="03E61DEF">
      <w:pPr>
        <w:wordWrap w:val="0"/>
        <w:spacing w:line="440" w:lineRule="exact"/>
        <w:ind w:firstLine="420" w:firstLineChars="200"/>
        <w:rPr>
          <w:rFonts w:hAnsi="宋体"/>
          <w:color w:val="auto"/>
          <w:szCs w:val="21"/>
          <w:highlight w:val="none"/>
        </w:rPr>
      </w:pPr>
      <w:r>
        <w:rPr>
          <w:rFonts w:hint="eastAsia" w:hAnsi="宋体"/>
          <w:color w:val="auto"/>
          <w:szCs w:val="21"/>
          <w:highlight w:val="none"/>
        </w:rPr>
        <w:t>邮政编码：</w:t>
      </w:r>
      <w:r>
        <w:rPr>
          <w:rFonts w:hint="eastAsia" w:hAnsi="宋体"/>
          <w:color w:val="auto"/>
          <w:szCs w:val="21"/>
          <w:highlight w:val="none"/>
          <w:u w:val="single"/>
        </w:rPr>
        <w:t xml:space="preserve">                      </w:t>
      </w:r>
    </w:p>
    <w:p w14:paraId="22C5DAAE">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开户名称：</w:t>
      </w:r>
      <w:r>
        <w:rPr>
          <w:rFonts w:hint="eastAsia" w:hAnsi="宋体"/>
          <w:color w:val="auto"/>
          <w:szCs w:val="21"/>
          <w:highlight w:val="none"/>
          <w:u w:val="single"/>
        </w:rPr>
        <w:t xml:space="preserve">                      </w:t>
      </w:r>
    </w:p>
    <w:p w14:paraId="2286201A">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p>
    <w:p w14:paraId="58F12EF1">
      <w:pPr>
        <w:wordWrap w:val="0"/>
        <w:spacing w:line="440" w:lineRule="exact"/>
        <w:ind w:firstLine="420" w:firstLineChars="200"/>
        <w:rPr>
          <w:rFonts w:hAnsi="宋体"/>
          <w:color w:val="auto"/>
          <w:szCs w:val="21"/>
          <w:highlight w:val="none"/>
        </w:rPr>
      </w:pPr>
      <w:r>
        <w:rPr>
          <w:rFonts w:hint="eastAsia" w:hAnsi="宋体"/>
          <w:color w:val="auto"/>
          <w:szCs w:val="21"/>
          <w:highlight w:val="none"/>
        </w:rPr>
        <w:t>银行账号：</w:t>
      </w:r>
      <w:r>
        <w:rPr>
          <w:rFonts w:hint="eastAsia" w:hAnsi="宋体"/>
          <w:color w:val="auto"/>
          <w:szCs w:val="21"/>
          <w:highlight w:val="none"/>
          <w:u w:val="single"/>
        </w:rPr>
        <w:t xml:space="preserve">                      </w:t>
      </w:r>
    </w:p>
    <w:p w14:paraId="463D26CD">
      <w:pPr>
        <w:spacing w:line="440" w:lineRule="exact"/>
        <w:ind w:firstLine="420" w:firstLineChars="200"/>
        <w:rPr>
          <w:rFonts w:hAnsi="宋体"/>
          <w:color w:val="auto"/>
          <w:szCs w:val="21"/>
          <w:highlight w:val="none"/>
        </w:rPr>
      </w:pPr>
      <w:r>
        <w:rPr>
          <w:rFonts w:hint="eastAsia" w:hAnsi="宋体"/>
          <w:color w:val="auto"/>
          <w:szCs w:val="21"/>
          <w:highlight w:val="none"/>
        </w:rPr>
        <w:t>特此承诺。</w:t>
      </w:r>
      <w:r>
        <w:rPr>
          <w:rFonts w:hint="eastAsia" w:hAnsi="宋体"/>
          <w:color w:val="auto"/>
          <w:szCs w:val="21"/>
          <w:highlight w:val="none"/>
          <w:u w:val="single"/>
        </w:rPr>
        <w:t xml:space="preserve">                      </w:t>
      </w:r>
    </w:p>
    <w:p w14:paraId="531B5B47">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1D8718BA">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5C04BC6C">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02BA055">
      <w:pPr>
        <w:ind w:right="384" w:rightChars="183"/>
        <w:jc w:val="center"/>
        <w:rPr>
          <w:rFonts w:cs="Arial" w:asciiTheme="minorEastAsia" w:hAnsiTheme="minorEastAsia" w:eastAsiaTheme="minorEastAsia"/>
          <w:b/>
          <w:color w:val="auto"/>
          <w:sz w:val="28"/>
          <w:szCs w:val="28"/>
          <w:highlight w:val="none"/>
        </w:rPr>
      </w:pPr>
      <w:r>
        <w:rPr>
          <w:rFonts w:hint="eastAsia" w:cs="Arial" w:asciiTheme="minorEastAsia" w:hAnsiTheme="minorEastAsia" w:eastAsiaTheme="minorEastAsia"/>
          <w:b/>
          <w:color w:val="auto"/>
          <w:sz w:val="28"/>
          <w:szCs w:val="28"/>
          <w:highlight w:val="none"/>
        </w:rPr>
        <w:t>磋 商</w:t>
      </w:r>
      <w:r>
        <w:rPr>
          <w:rFonts w:cs="Arial" w:asciiTheme="minorEastAsia" w:hAnsiTheme="minorEastAsia" w:eastAsiaTheme="minorEastAsia"/>
          <w:b/>
          <w:color w:val="auto"/>
          <w:sz w:val="28"/>
          <w:szCs w:val="28"/>
          <w:highlight w:val="none"/>
        </w:rPr>
        <w:t xml:space="preserve"> 函 附 录</w:t>
      </w:r>
    </w:p>
    <w:p w14:paraId="612939FF">
      <w:pPr>
        <w:autoSpaceDE w:val="0"/>
        <w:autoSpaceDN w:val="0"/>
        <w:spacing w:line="300" w:lineRule="auto"/>
        <w:ind w:firstLine="570"/>
        <w:jc w:val="center"/>
        <w:rPr>
          <w:rFonts w:hAnsi="宋体" w:cs="宋体"/>
          <w:b/>
          <w:bCs/>
          <w:color w:val="auto"/>
          <w:sz w:val="24"/>
          <w:szCs w:val="24"/>
          <w:highlight w:val="none"/>
        </w:rPr>
      </w:pPr>
    </w:p>
    <w:tbl>
      <w:tblPr>
        <w:tblStyle w:val="57"/>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084"/>
        <w:gridCol w:w="4536"/>
      </w:tblGrid>
      <w:tr w14:paraId="42E4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1F60233">
            <w:pPr>
              <w:spacing w:line="300" w:lineRule="auto"/>
              <w:jc w:val="center"/>
              <w:rPr>
                <w:rFonts w:hAnsi="宋体" w:cs="宋体"/>
                <w:color w:val="auto"/>
                <w:szCs w:val="24"/>
                <w:highlight w:val="none"/>
              </w:rPr>
            </w:pPr>
            <w:r>
              <w:rPr>
                <w:rFonts w:hint="eastAsia" w:hAnsi="宋体" w:cs="宋体"/>
                <w:color w:val="auto"/>
                <w:highlight w:val="none"/>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77BAB173">
            <w:pPr>
              <w:spacing w:line="300" w:lineRule="auto"/>
              <w:jc w:val="center"/>
              <w:rPr>
                <w:rFonts w:hAnsi="宋体" w:cs="宋体"/>
                <w:color w:val="auto"/>
                <w:szCs w:val="24"/>
                <w:highlight w:val="none"/>
              </w:rPr>
            </w:pPr>
            <w:r>
              <w:rPr>
                <w:rFonts w:hint="eastAsia" w:hAnsi="宋体" w:cs="宋体"/>
                <w:color w:val="auto"/>
                <w:highlight w:val="none"/>
              </w:rPr>
              <w:t>项 目 内 容</w:t>
            </w:r>
          </w:p>
        </w:tc>
        <w:tc>
          <w:tcPr>
            <w:tcW w:w="4536" w:type="dxa"/>
            <w:tcBorders>
              <w:top w:val="single" w:color="auto" w:sz="4" w:space="0"/>
              <w:left w:val="single" w:color="auto" w:sz="4" w:space="0"/>
              <w:bottom w:val="single" w:color="auto" w:sz="4" w:space="0"/>
              <w:right w:val="single" w:color="auto" w:sz="4" w:space="0"/>
            </w:tcBorders>
            <w:vAlign w:val="center"/>
          </w:tcPr>
          <w:p w14:paraId="563E2FCF">
            <w:pPr>
              <w:spacing w:line="300" w:lineRule="auto"/>
              <w:jc w:val="center"/>
              <w:rPr>
                <w:rFonts w:hAnsi="宋体" w:cs="宋体"/>
                <w:color w:val="auto"/>
                <w:szCs w:val="24"/>
                <w:highlight w:val="none"/>
              </w:rPr>
            </w:pPr>
            <w:r>
              <w:rPr>
                <w:rFonts w:hint="eastAsia" w:hAnsi="宋体" w:cs="宋体"/>
                <w:color w:val="auto"/>
                <w:highlight w:val="none"/>
              </w:rPr>
              <w:t>磋  商  响  应</w:t>
            </w:r>
          </w:p>
        </w:tc>
      </w:tr>
      <w:tr w14:paraId="020C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EE06B94">
            <w:pPr>
              <w:spacing w:line="300" w:lineRule="auto"/>
              <w:jc w:val="center"/>
              <w:rPr>
                <w:rFonts w:hAnsi="宋体" w:cs="宋体"/>
                <w:color w:val="auto"/>
                <w:szCs w:val="24"/>
                <w:highlight w:val="none"/>
              </w:rPr>
            </w:pPr>
            <w:r>
              <w:rPr>
                <w:rFonts w:hint="eastAsia" w:hAnsi="宋体" w:cs="宋体"/>
                <w:color w:val="auto"/>
                <w:highlight w:val="none"/>
              </w:rPr>
              <w:t>1</w:t>
            </w:r>
          </w:p>
        </w:tc>
        <w:tc>
          <w:tcPr>
            <w:tcW w:w="3084" w:type="dxa"/>
            <w:tcBorders>
              <w:top w:val="single" w:color="auto" w:sz="4" w:space="0"/>
              <w:left w:val="single" w:color="auto" w:sz="4" w:space="0"/>
              <w:bottom w:val="single" w:color="auto" w:sz="4" w:space="0"/>
              <w:right w:val="single" w:color="auto" w:sz="4" w:space="0"/>
            </w:tcBorders>
            <w:vAlign w:val="center"/>
          </w:tcPr>
          <w:p w14:paraId="3874DC1D">
            <w:pPr>
              <w:spacing w:line="300" w:lineRule="auto"/>
              <w:rPr>
                <w:rFonts w:hAnsi="宋体" w:cs="宋体"/>
                <w:color w:val="auto"/>
                <w:szCs w:val="24"/>
                <w:highlight w:val="none"/>
              </w:rPr>
            </w:pPr>
            <w:r>
              <w:rPr>
                <w:rFonts w:hint="eastAsia" w:hAnsi="宋体" w:cs="宋体"/>
                <w:color w:val="auto"/>
                <w:highlight w:val="none"/>
              </w:rPr>
              <w:t>磋商有效期</w:t>
            </w:r>
          </w:p>
        </w:tc>
        <w:tc>
          <w:tcPr>
            <w:tcW w:w="4536" w:type="dxa"/>
            <w:tcBorders>
              <w:top w:val="single" w:color="auto" w:sz="4" w:space="0"/>
              <w:left w:val="single" w:color="auto" w:sz="4" w:space="0"/>
              <w:bottom w:val="single" w:color="auto" w:sz="4" w:space="0"/>
              <w:right w:val="single" w:color="auto" w:sz="4" w:space="0"/>
            </w:tcBorders>
            <w:vAlign w:val="center"/>
          </w:tcPr>
          <w:p w14:paraId="66C11219">
            <w:pPr>
              <w:spacing w:line="300" w:lineRule="auto"/>
              <w:rPr>
                <w:rFonts w:hAnsi="宋体" w:cs="宋体"/>
                <w:color w:val="auto"/>
                <w:szCs w:val="24"/>
                <w:highlight w:val="none"/>
              </w:rPr>
            </w:pPr>
          </w:p>
        </w:tc>
      </w:tr>
      <w:tr w14:paraId="38EC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35EADED0">
            <w:pPr>
              <w:spacing w:line="300" w:lineRule="auto"/>
              <w:jc w:val="center"/>
              <w:rPr>
                <w:rFonts w:hAnsi="宋体" w:cs="宋体"/>
                <w:color w:val="auto"/>
                <w:szCs w:val="24"/>
                <w:highlight w:val="none"/>
              </w:rPr>
            </w:pPr>
            <w:r>
              <w:rPr>
                <w:rFonts w:hint="eastAsia" w:hAnsi="宋体" w:cs="宋体"/>
                <w:color w:val="auto"/>
                <w:highlight w:val="none"/>
              </w:rPr>
              <w:t>2</w:t>
            </w:r>
          </w:p>
        </w:tc>
        <w:tc>
          <w:tcPr>
            <w:tcW w:w="3084" w:type="dxa"/>
            <w:tcBorders>
              <w:top w:val="single" w:color="auto" w:sz="4" w:space="0"/>
              <w:left w:val="single" w:color="auto" w:sz="4" w:space="0"/>
              <w:bottom w:val="single" w:color="auto" w:sz="4" w:space="0"/>
              <w:right w:val="single" w:color="auto" w:sz="4" w:space="0"/>
            </w:tcBorders>
            <w:vAlign w:val="center"/>
          </w:tcPr>
          <w:p w14:paraId="0F0DDFB9">
            <w:pPr>
              <w:spacing w:line="300" w:lineRule="auto"/>
              <w:rPr>
                <w:rFonts w:hAnsi="宋体" w:cs="宋体"/>
                <w:color w:val="auto"/>
                <w:szCs w:val="24"/>
                <w:highlight w:val="none"/>
              </w:rPr>
            </w:pPr>
            <w:r>
              <w:rPr>
                <w:rFonts w:hint="eastAsia" w:hAnsi="宋体" w:cs="宋体"/>
                <w:color w:val="auto"/>
                <w:highlight w:val="none"/>
              </w:rPr>
              <w:t>合同履行期限（工期）</w:t>
            </w:r>
          </w:p>
        </w:tc>
        <w:tc>
          <w:tcPr>
            <w:tcW w:w="4536" w:type="dxa"/>
            <w:tcBorders>
              <w:top w:val="single" w:color="auto" w:sz="4" w:space="0"/>
              <w:left w:val="single" w:color="auto" w:sz="4" w:space="0"/>
              <w:bottom w:val="single" w:color="auto" w:sz="4" w:space="0"/>
              <w:right w:val="single" w:color="auto" w:sz="4" w:space="0"/>
            </w:tcBorders>
            <w:vAlign w:val="center"/>
          </w:tcPr>
          <w:p w14:paraId="2EDA363F">
            <w:pPr>
              <w:spacing w:line="300" w:lineRule="auto"/>
              <w:rPr>
                <w:rFonts w:hAnsi="宋体" w:cs="宋体"/>
                <w:color w:val="auto"/>
                <w:szCs w:val="24"/>
                <w:highlight w:val="none"/>
              </w:rPr>
            </w:pPr>
          </w:p>
        </w:tc>
      </w:tr>
      <w:tr w14:paraId="69F2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E83A175">
            <w:pPr>
              <w:spacing w:line="300" w:lineRule="auto"/>
              <w:jc w:val="center"/>
              <w:rPr>
                <w:rFonts w:hAnsi="宋体" w:cs="宋体"/>
                <w:color w:val="auto"/>
                <w:szCs w:val="24"/>
                <w:highlight w:val="none"/>
              </w:rPr>
            </w:pPr>
            <w:r>
              <w:rPr>
                <w:rFonts w:hint="eastAsia" w:hAnsi="宋体" w:cs="宋体"/>
                <w:color w:val="auto"/>
                <w:highlight w:val="none"/>
              </w:rPr>
              <w:t>3</w:t>
            </w:r>
          </w:p>
        </w:tc>
        <w:tc>
          <w:tcPr>
            <w:tcW w:w="3084" w:type="dxa"/>
            <w:tcBorders>
              <w:top w:val="single" w:color="auto" w:sz="4" w:space="0"/>
              <w:left w:val="single" w:color="auto" w:sz="4" w:space="0"/>
              <w:bottom w:val="single" w:color="auto" w:sz="4" w:space="0"/>
              <w:right w:val="single" w:color="auto" w:sz="4" w:space="0"/>
            </w:tcBorders>
            <w:vAlign w:val="center"/>
          </w:tcPr>
          <w:p w14:paraId="0873D263">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w:t>
            </w:r>
          </w:p>
        </w:tc>
        <w:tc>
          <w:tcPr>
            <w:tcW w:w="4536" w:type="dxa"/>
            <w:tcBorders>
              <w:top w:val="single" w:color="auto" w:sz="4" w:space="0"/>
              <w:left w:val="single" w:color="auto" w:sz="4" w:space="0"/>
              <w:bottom w:val="single" w:color="auto" w:sz="4" w:space="0"/>
              <w:right w:val="single" w:color="auto" w:sz="4" w:space="0"/>
            </w:tcBorders>
            <w:vAlign w:val="center"/>
          </w:tcPr>
          <w:p w14:paraId="476F15E3">
            <w:pPr>
              <w:spacing w:line="300" w:lineRule="auto"/>
              <w:ind w:firstLine="105" w:firstLineChars="50"/>
              <w:jc w:val="left"/>
              <w:rPr>
                <w:rFonts w:hAnsi="宋体" w:cs="宋体"/>
                <w:color w:val="auto"/>
                <w:szCs w:val="24"/>
                <w:highlight w:val="none"/>
              </w:rPr>
            </w:pPr>
          </w:p>
        </w:tc>
      </w:tr>
      <w:tr w14:paraId="032D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40E4A45D">
            <w:pPr>
              <w:spacing w:line="300" w:lineRule="auto"/>
              <w:jc w:val="center"/>
              <w:rPr>
                <w:rFonts w:hAnsi="宋体" w:cs="宋体"/>
                <w:color w:val="auto"/>
                <w:szCs w:val="24"/>
                <w:highlight w:val="none"/>
              </w:rPr>
            </w:pPr>
            <w:r>
              <w:rPr>
                <w:rFonts w:hint="eastAsia" w:hAnsi="宋体" w:cs="宋体"/>
                <w:color w:val="auto"/>
                <w:highlight w:val="none"/>
              </w:rPr>
              <w:t>4</w:t>
            </w:r>
          </w:p>
        </w:tc>
        <w:tc>
          <w:tcPr>
            <w:tcW w:w="3084" w:type="dxa"/>
            <w:tcBorders>
              <w:top w:val="single" w:color="auto" w:sz="4" w:space="0"/>
              <w:left w:val="single" w:color="auto" w:sz="4" w:space="0"/>
              <w:bottom w:val="single" w:color="auto" w:sz="4" w:space="0"/>
              <w:right w:val="single" w:color="auto" w:sz="4" w:space="0"/>
            </w:tcBorders>
            <w:vAlign w:val="center"/>
          </w:tcPr>
          <w:p w14:paraId="0F7C54B4">
            <w:pPr>
              <w:autoSpaceDE w:val="0"/>
              <w:autoSpaceDN w:val="0"/>
              <w:spacing w:line="300" w:lineRule="auto"/>
              <w:jc w:val="left"/>
              <w:rPr>
                <w:rFonts w:hAnsi="宋体" w:cs="宋体"/>
                <w:color w:val="auto"/>
                <w:spacing w:val="20"/>
                <w:szCs w:val="24"/>
                <w:highlight w:val="none"/>
              </w:rPr>
            </w:pPr>
            <w:r>
              <w:rPr>
                <w:rFonts w:hint="eastAsia" w:hAnsi="宋体" w:cs="宋体"/>
                <w:color w:val="auto"/>
                <w:spacing w:val="20"/>
                <w:highlight w:val="none"/>
              </w:rPr>
              <w:t>延误工期赔偿金额限额</w:t>
            </w:r>
          </w:p>
        </w:tc>
        <w:tc>
          <w:tcPr>
            <w:tcW w:w="4536" w:type="dxa"/>
            <w:tcBorders>
              <w:top w:val="single" w:color="auto" w:sz="4" w:space="0"/>
              <w:left w:val="single" w:color="auto" w:sz="4" w:space="0"/>
              <w:bottom w:val="single" w:color="auto" w:sz="4" w:space="0"/>
              <w:right w:val="single" w:color="auto" w:sz="4" w:space="0"/>
            </w:tcBorders>
            <w:vAlign w:val="center"/>
          </w:tcPr>
          <w:p w14:paraId="3AB746D2">
            <w:pPr>
              <w:autoSpaceDE w:val="0"/>
              <w:autoSpaceDN w:val="0"/>
              <w:spacing w:line="300" w:lineRule="auto"/>
              <w:rPr>
                <w:rFonts w:hAnsi="宋体" w:cs="宋体"/>
                <w:color w:val="auto"/>
                <w:spacing w:val="20"/>
                <w:szCs w:val="24"/>
                <w:highlight w:val="none"/>
              </w:rPr>
            </w:pPr>
          </w:p>
        </w:tc>
      </w:tr>
    </w:tbl>
    <w:p w14:paraId="44B870ED">
      <w:pPr>
        <w:spacing w:line="360" w:lineRule="auto"/>
        <w:ind w:right="384" w:rightChars="183"/>
        <w:rPr>
          <w:rFonts w:asciiTheme="minorEastAsia" w:hAnsiTheme="minorEastAsia" w:eastAsiaTheme="minorEastAsia"/>
          <w:color w:val="auto"/>
          <w:highlight w:val="none"/>
        </w:rPr>
      </w:pPr>
    </w:p>
    <w:p w14:paraId="24B296DF">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084B955C">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2C069A07">
      <w:pPr>
        <w:spacing w:line="440" w:lineRule="exact"/>
        <w:ind w:firstLine="420" w:firstLineChars="200"/>
        <w:jc w:val="lef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0272E45">
      <w:pPr>
        <w:spacing w:line="440" w:lineRule="exact"/>
        <w:ind w:firstLine="420" w:firstLineChars="200"/>
        <w:jc w:val="left"/>
        <w:rPr>
          <w:rFonts w:hAnsi="宋体"/>
          <w:color w:val="auto"/>
          <w:szCs w:val="21"/>
          <w:highlight w:val="none"/>
        </w:rPr>
      </w:pPr>
      <w:r>
        <w:rPr>
          <w:rFonts w:hint="eastAsia" w:hAnsi="宋体"/>
          <w:color w:val="auto"/>
          <w:szCs w:val="21"/>
          <w:highlight w:val="none"/>
        </w:rPr>
        <w:t>2、磋商报价表</w:t>
      </w:r>
    </w:p>
    <w:p w14:paraId="40FDE735">
      <w:pPr>
        <w:spacing w:line="500" w:lineRule="exact"/>
        <w:jc w:val="center"/>
        <w:rPr>
          <w:rFonts w:hAnsi="宋体"/>
          <w:b/>
          <w:color w:val="auto"/>
          <w:sz w:val="28"/>
          <w:szCs w:val="28"/>
          <w:highlight w:val="none"/>
        </w:rPr>
      </w:pPr>
      <w:r>
        <w:rPr>
          <w:rFonts w:hint="eastAsia" w:hAnsi="宋体"/>
          <w:b/>
          <w:color w:val="auto"/>
          <w:sz w:val="28"/>
          <w:szCs w:val="28"/>
          <w:highlight w:val="none"/>
        </w:rPr>
        <w:t>磋商报价表</w:t>
      </w:r>
    </w:p>
    <w:p w14:paraId="315F2F4F">
      <w:pPr>
        <w:ind w:left="-178" w:leftChars="-85" w:right="-512" w:rightChars="-244" w:firstLine="840" w:firstLineChars="4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币种：人民币</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884"/>
        <w:gridCol w:w="1696"/>
      </w:tblGrid>
      <w:tr w14:paraId="691F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168" w:type="dxa"/>
            <w:tcBorders>
              <w:top w:val="single" w:color="auto" w:sz="4" w:space="0"/>
              <w:left w:val="single" w:color="auto" w:sz="4" w:space="0"/>
              <w:bottom w:val="single" w:color="auto" w:sz="4" w:space="0"/>
              <w:right w:val="single" w:color="auto" w:sz="4" w:space="0"/>
            </w:tcBorders>
            <w:vAlign w:val="center"/>
          </w:tcPr>
          <w:p w14:paraId="65EEA3D6">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项目内容</w:t>
            </w:r>
          </w:p>
        </w:tc>
        <w:tc>
          <w:tcPr>
            <w:tcW w:w="3884" w:type="dxa"/>
            <w:tcBorders>
              <w:top w:val="single" w:color="auto" w:sz="4" w:space="0"/>
              <w:left w:val="single" w:color="auto" w:sz="4" w:space="0"/>
              <w:bottom w:val="single" w:color="auto" w:sz="4" w:space="0"/>
              <w:right w:val="single" w:color="auto" w:sz="4" w:space="0"/>
            </w:tcBorders>
            <w:vAlign w:val="center"/>
          </w:tcPr>
          <w:p w14:paraId="51E5C1F3">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金额</w:t>
            </w:r>
          </w:p>
        </w:tc>
        <w:tc>
          <w:tcPr>
            <w:tcW w:w="1696" w:type="dxa"/>
            <w:tcBorders>
              <w:top w:val="single" w:color="auto" w:sz="4" w:space="0"/>
              <w:left w:val="single" w:color="auto" w:sz="4" w:space="0"/>
              <w:bottom w:val="single" w:color="auto" w:sz="4" w:space="0"/>
              <w:right w:val="single" w:color="auto" w:sz="4" w:space="0"/>
            </w:tcBorders>
            <w:vAlign w:val="center"/>
          </w:tcPr>
          <w:p w14:paraId="3DE0EDFE">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5478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7FF474D4">
            <w:pPr>
              <w:autoSpaceDE w:val="0"/>
              <w:autoSpaceDN w:val="0"/>
              <w:adjustRightInd w:val="0"/>
              <w:spacing w:line="440" w:lineRule="exact"/>
              <w:ind w:left="200"/>
              <w:jc w:val="center"/>
              <w:rPr>
                <w:rFonts w:hAnsi="宋体" w:cs="宋体"/>
                <w:color w:val="auto"/>
                <w:kern w:val="0"/>
                <w:szCs w:val="21"/>
                <w:highlight w:val="none"/>
              </w:rPr>
            </w:pPr>
            <w:r>
              <w:rPr>
                <w:rFonts w:hint="eastAsia" w:hAnsi="宋体" w:cs="宋体"/>
                <w:color w:val="auto"/>
                <w:kern w:val="0"/>
                <w:szCs w:val="21"/>
                <w:highlight w:val="none"/>
              </w:rPr>
              <w:t>磋商总报价（大写）</w:t>
            </w:r>
          </w:p>
        </w:tc>
        <w:tc>
          <w:tcPr>
            <w:tcW w:w="3884" w:type="dxa"/>
            <w:tcBorders>
              <w:top w:val="single" w:color="auto" w:sz="4" w:space="0"/>
              <w:left w:val="single" w:color="auto" w:sz="4" w:space="0"/>
              <w:bottom w:val="single" w:color="auto" w:sz="4" w:space="0"/>
              <w:right w:val="single" w:color="auto" w:sz="4" w:space="0"/>
            </w:tcBorders>
            <w:vAlign w:val="center"/>
          </w:tcPr>
          <w:p w14:paraId="3399CD58">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3F082EB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2F14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5BD554CD">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 xml:space="preserve"> 磋商总报价（小写）</w:t>
            </w:r>
          </w:p>
        </w:tc>
        <w:tc>
          <w:tcPr>
            <w:tcW w:w="3884" w:type="dxa"/>
            <w:tcBorders>
              <w:top w:val="single" w:color="auto" w:sz="4" w:space="0"/>
              <w:left w:val="single" w:color="auto" w:sz="4" w:space="0"/>
              <w:bottom w:val="single" w:color="auto" w:sz="4" w:space="0"/>
              <w:right w:val="single" w:color="auto" w:sz="4" w:space="0"/>
            </w:tcBorders>
            <w:vAlign w:val="center"/>
          </w:tcPr>
          <w:p w14:paraId="4A12B976">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767974A3">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2477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5765E840">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合同履行期限（工期）</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61DE49D3">
            <w:pPr>
              <w:autoSpaceDE w:val="0"/>
              <w:autoSpaceDN w:val="0"/>
              <w:spacing w:line="440" w:lineRule="exact"/>
              <w:ind w:left="108"/>
              <w:jc w:val="left"/>
              <w:rPr>
                <w:rFonts w:hAnsi="宋体" w:cs="宋体"/>
                <w:color w:val="auto"/>
                <w:kern w:val="0"/>
                <w:szCs w:val="21"/>
                <w:highlight w:val="none"/>
              </w:rPr>
            </w:pPr>
            <w:r>
              <w:rPr>
                <w:rFonts w:hint="eastAsia" w:hAnsi="宋体" w:cs="宋体"/>
                <w:color w:val="auto"/>
                <w:kern w:val="0"/>
                <w:szCs w:val="21"/>
                <w:highlight w:val="none"/>
                <w:u w:val="single"/>
              </w:rPr>
              <w:t xml:space="preserve">          </w:t>
            </w:r>
          </w:p>
        </w:tc>
      </w:tr>
      <w:tr w14:paraId="58B6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303A40BB">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承诺工程质量</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524FA46B">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 xml:space="preserve"> </w:t>
            </w:r>
          </w:p>
        </w:tc>
      </w:tr>
    </w:tbl>
    <w:p w14:paraId="658D4266">
      <w:pPr>
        <w:wordWrap w:val="0"/>
        <w:adjustRightInd w:val="0"/>
        <w:snapToGrid w:val="0"/>
        <w:spacing w:line="480" w:lineRule="auto"/>
        <w:ind w:left="-88" w:leftChars="-42" w:firstLine="105" w:firstLineChars="50"/>
        <w:rPr>
          <w:rFonts w:hAnsi="宋体"/>
          <w:color w:val="auto"/>
          <w:szCs w:val="21"/>
          <w:highlight w:val="none"/>
        </w:rPr>
      </w:pPr>
    </w:p>
    <w:p w14:paraId="4A80C246">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724A4F7D">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734B3B19">
      <w:pPr>
        <w:spacing w:line="440" w:lineRule="exact"/>
        <w:ind w:firstLine="420" w:firstLineChars="200"/>
        <w:jc w:val="left"/>
        <w:rPr>
          <w:rFonts w:hAnsi="宋体"/>
          <w:color w:val="auto"/>
          <w:szCs w:val="21"/>
          <w:highlight w:val="none"/>
        </w:rPr>
      </w:pPr>
    </w:p>
    <w:p w14:paraId="24C0A759">
      <w:pPr>
        <w:spacing w:line="440" w:lineRule="exact"/>
        <w:ind w:firstLine="420" w:firstLineChars="200"/>
        <w:jc w:val="left"/>
        <w:rPr>
          <w:rFonts w:hAnsi="宋体"/>
          <w:color w:val="auto"/>
          <w:szCs w:val="21"/>
          <w:highlight w:val="none"/>
        </w:rPr>
        <w:sectPr>
          <w:headerReference r:id="rId11" w:type="default"/>
          <w:footerReference r:id="rId12" w:type="default"/>
          <w:footerReference r:id="rId13" w:type="even"/>
          <w:pgSz w:w="11907" w:h="16840"/>
          <w:pgMar w:top="1440" w:right="1440" w:bottom="1440" w:left="1418" w:header="851" w:footer="851" w:gutter="0"/>
          <w:cols w:space="720" w:num="1"/>
          <w:docGrid w:linePitch="312" w:charSpace="0"/>
        </w:sectPr>
      </w:pPr>
    </w:p>
    <w:p w14:paraId="14E9BC11">
      <w:pPr>
        <w:spacing w:line="440" w:lineRule="exact"/>
        <w:ind w:firstLine="420" w:firstLineChars="200"/>
        <w:jc w:val="left"/>
        <w:rPr>
          <w:rFonts w:hAnsi="宋体"/>
          <w:color w:val="auto"/>
          <w:szCs w:val="21"/>
          <w:highlight w:val="none"/>
        </w:rPr>
      </w:pPr>
      <w:r>
        <w:rPr>
          <w:rFonts w:hint="eastAsia" w:hAnsi="宋体"/>
          <w:color w:val="auto"/>
          <w:szCs w:val="21"/>
          <w:highlight w:val="none"/>
        </w:rPr>
        <w:t>3、已标价工程量清单</w:t>
      </w:r>
    </w:p>
    <w:p w14:paraId="7F2452A7">
      <w:pPr>
        <w:spacing w:line="440" w:lineRule="exact"/>
        <w:ind w:firstLine="420" w:firstLineChars="200"/>
        <w:jc w:val="left"/>
        <w:rPr>
          <w:rFonts w:hAnsi="宋体"/>
          <w:color w:val="auto"/>
          <w:szCs w:val="21"/>
          <w:highlight w:val="none"/>
        </w:rPr>
      </w:pPr>
      <w:r>
        <w:rPr>
          <w:rFonts w:hint="eastAsia" w:asciiTheme="minorEastAsia" w:hAnsiTheme="minorEastAsia" w:eastAsiaTheme="minorEastAsia"/>
          <w:color w:val="auto"/>
          <w:szCs w:val="21"/>
          <w:highlight w:val="none"/>
        </w:rPr>
        <w:t xml:space="preserve">    已标价工程量清单应按第四章</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工程量清单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中的相关表格填写。</w:t>
      </w:r>
    </w:p>
    <w:p w14:paraId="249268C0">
      <w:pPr>
        <w:spacing w:line="440" w:lineRule="exact"/>
        <w:ind w:firstLine="420" w:firstLineChars="200"/>
        <w:jc w:val="left"/>
        <w:rPr>
          <w:rFonts w:hAnsi="宋体"/>
          <w:color w:val="auto"/>
          <w:szCs w:val="21"/>
          <w:highlight w:val="none"/>
        </w:rPr>
      </w:pPr>
    </w:p>
    <w:p w14:paraId="2468BC00">
      <w:pPr>
        <w:spacing w:line="440" w:lineRule="exact"/>
        <w:ind w:firstLine="420" w:firstLineChars="200"/>
        <w:jc w:val="left"/>
        <w:rPr>
          <w:rFonts w:hAnsi="宋体"/>
          <w:color w:val="auto"/>
          <w:szCs w:val="21"/>
          <w:highlight w:val="none"/>
        </w:rPr>
      </w:pPr>
    </w:p>
    <w:p w14:paraId="0BF70AD8">
      <w:pPr>
        <w:spacing w:line="440" w:lineRule="exact"/>
        <w:ind w:firstLine="420" w:firstLineChars="200"/>
        <w:jc w:val="left"/>
        <w:rPr>
          <w:rFonts w:hAnsi="宋体"/>
          <w:color w:val="auto"/>
          <w:szCs w:val="21"/>
          <w:highlight w:val="none"/>
        </w:rPr>
      </w:pPr>
    </w:p>
    <w:p w14:paraId="1CDF5902">
      <w:pPr>
        <w:spacing w:line="440" w:lineRule="exact"/>
        <w:ind w:firstLine="420" w:firstLineChars="200"/>
        <w:jc w:val="left"/>
        <w:rPr>
          <w:rFonts w:hAnsi="宋体"/>
          <w:color w:val="auto"/>
          <w:szCs w:val="21"/>
          <w:highlight w:val="none"/>
        </w:rPr>
      </w:pPr>
    </w:p>
    <w:p w14:paraId="7D393A26">
      <w:pPr>
        <w:spacing w:line="440" w:lineRule="exact"/>
        <w:ind w:firstLine="420" w:firstLineChars="200"/>
        <w:jc w:val="left"/>
        <w:rPr>
          <w:rFonts w:hAnsi="宋体"/>
          <w:color w:val="auto"/>
          <w:szCs w:val="21"/>
          <w:highlight w:val="none"/>
        </w:rPr>
        <w:sectPr>
          <w:pgSz w:w="11907" w:h="16840"/>
          <w:pgMar w:top="1440" w:right="1440" w:bottom="1440" w:left="1418" w:header="851" w:footer="851" w:gutter="0"/>
          <w:cols w:space="720" w:num="1"/>
          <w:docGrid w:linePitch="312" w:charSpace="0"/>
        </w:sectPr>
      </w:pPr>
    </w:p>
    <w:p w14:paraId="3FD0A639">
      <w:pPr>
        <w:spacing w:line="440" w:lineRule="exact"/>
        <w:ind w:firstLine="420" w:firstLineChars="200"/>
        <w:jc w:val="left"/>
        <w:rPr>
          <w:rFonts w:hAnsi="宋体"/>
          <w:color w:val="auto"/>
          <w:szCs w:val="21"/>
          <w:highlight w:val="none"/>
        </w:rPr>
      </w:pPr>
      <w:r>
        <w:rPr>
          <w:rFonts w:hint="eastAsia" w:hAnsi="宋体"/>
          <w:color w:val="auto"/>
          <w:szCs w:val="21"/>
          <w:highlight w:val="none"/>
        </w:rPr>
        <w:t>4、供应商针对报价需要说明的其他文件和说明。</w:t>
      </w:r>
    </w:p>
    <w:p w14:paraId="4A4FE1D9">
      <w:pPr>
        <w:spacing w:line="44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0C4AD21C">
      <w:pPr>
        <w:rPr>
          <w:color w:val="auto"/>
          <w:highlight w:val="none"/>
        </w:rPr>
      </w:pPr>
      <w:r>
        <w:rPr>
          <w:color w:val="auto"/>
          <w:highlight w:val="none"/>
        </w:rPr>
        <w:br w:type="page"/>
      </w:r>
    </w:p>
    <w:p w14:paraId="014BD16A">
      <w:pPr>
        <w:pStyle w:val="2"/>
        <w:jc w:val="left"/>
        <w:rPr>
          <w:b/>
          <w:bCs/>
          <w:color w:val="auto"/>
          <w:sz w:val="24"/>
          <w:szCs w:val="24"/>
          <w:highlight w:val="none"/>
        </w:rPr>
      </w:pPr>
      <w:r>
        <w:rPr>
          <w:rFonts w:hint="eastAsia"/>
          <w:b/>
          <w:bCs/>
          <w:color w:val="auto"/>
          <w:sz w:val="24"/>
          <w:szCs w:val="24"/>
          <w:highlight w:val="none"/>
        </w:rPr>
        <w:t>其他文书、文件格式</w:t>
      </w:r>
    </w:p>
    <w:p w14:paraId="4D177D8F">
      <w:pPr>
        <w:pStyle w:val="2"/>
        <w:rPr>
          <w:color w:val="auto"/>
          <w:highlight w:val="none"/>
        </w:rPr>
      </w:pPr>
    </w:p>
    <w:p w14:paraId="2756D3C4">
      <w:pPr>
        <w:spacing w:line="360" w:lineRule="auto"/>
        <w:jc w:val="center"/>
        <w:rPr>
          <w:rFonts w:hAnsi="宋体"/>
          <w:b/>
          <w:bCs/>
          <w:color w:val="auto"/>
          <w:sz w:val="32"/>
          <w:szCs w:val="32"/>
          <w:highlight w:val="none"/>
        </w:rPr>
      </w:pPr>
      <w:r>
        <w:rPr>
          <w:rFonts w:hint="eastAsia" w:ascii="Times New Roman" w:hAnsi="Times New Roman"/>
          <w:b/>
          <w:bCs/>
          <w:color w:val="auto"/>
          <w:sz w:val="28"/>
          <w:highlight w:val="none"/>
        </w:rPr>
        <w:t>质疑函（格式）</w:t>
      </w:r>
    </w:p>
    <w:p w14:paraId="2FD4EA3A">
      <w:pPr>
        <w:pStyle w:val="2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43F625A">
      <w:pPr>
        <w:pStyle w:val="27"/>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14:paraId="45BFF6C1">
      <w:pPr>
        <w:pStyle w:val="2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AD9F147">
      <w:pPr>
        <w:pStyle w:val="2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418C6459">
      <w:pPr>
        <w:pStyle w:val="27"/>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14:paraId="0489FC26">
      <w:pPr>
        <w:pStyle w:val="27"/>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4D64F1BA">
      <w:pPr>
        <w:pStyle w:val="2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790B852">
      <w:pPr>
        <w:pStyle w:val="2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60799DF1">
      <w:pPr>
        <w:pStyle w:val="2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5D27BC71">
      <w:pPr>
        <w:pStyle w:val="2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01FB3536">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14:paraId="7D9B8AEA">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61F4A298">
      <w:pPr>
        <w:pStyle w:val="2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14:paraId="4FA6670B">
      <w:pPr>
        <w:pStyle w:val="2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59B37BDC">
      <w:pPr>
        <w:pStyle w:val="27"/>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3A871981">
      <w:pPr>
        <w:pStyle w:val="27"/>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1A6A009F">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14:paraId="6011A383">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14:paraId="1F556E6E">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14:paraId="4321E974">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389A9E13">
      <w:pPr>
        <w:pStyle w:val="27"/>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D9463EB">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3551FC51">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14:paraId="34BFE256">
      <w:pPr>
        <w:pStyle w:val="27"/>
        <w:spacing w:line="360" w:lineRule="auto"/>
        <w:ind w:left="25" w:leftChars="12" w:firstLine="352" w:firstLineChars="147"/>
        <w:contextualSpacing/>
        <w:rPr>
          <w:rFonts w:hAnsi="宋体"/>
          <w:color w:val="auto"/>
          <w:sz w:val="24"/>
          <w:szCs w:val="24"/>
          <w:highlight w:val="none"/>
        </w:rPr>
      </w:pPr>
    </w:p>
    <w:p w14:paraId="6D048B66">
      <w:pPr>
        <w:pStyle w:val="2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2C98BC3F">
      <w:pPr>
        <w:pStyle w:val="27"/>
        <w:spacing w:line="360" w:lineRule="auto"/>
        <w:ind w:firstLine="480" w:firstLineChars="200"/>
        <w:contextualSpacing/>
        <w:rPr>
          <w:rFonts w:hAnsi="宋体"/>
          <w:color w:val="auto"/>
          <w:sz w:val="24"/>
          <w:szCs w:val="24"/>
          <w:highlight w:val="none"/>
        </w:rPr>
      </w:pPr>
    </w:p>
    <w:p w14:paraId="4F4C7BB2">
      <w:pPr>
        <w:pStyle w:val="27"/>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39DDDE06">
      <w:pPr>
        <w:pStyle w:val="27"/>
        <w:spacing w:line="360" w:lineRule="auto"/>
        <w:contextualSpacing/>
        <w:rPr>
          <w:rFonts w:hAnsi="宋体"/>
          <w:b/>
          <w:color w:val="auto"/>
          <w:sz w:val="24"/>
          <w:szCs w:val="24"/>
          <w:highlight w:val="none"/>
        </w:rPr>
      </w:pPr>
    </w:p>
    <w:p w14:paraId="7203EADC">
      <w:pPr>
        <w:pStyle w:val="27"/>
        <w:spacing w:line="360" w:lineRule="auto"/>
        <w:contextualSpacing/>
        <w:rPr>
          <w:rFonts w:hAnsi="宋体"/>
          <w:b/>
          <w:color w:val="auto"/>
          <w:sz w:val="24"/>
          <w:szCs w:val="24"/>
          <w:highlight w:val="none"/>
        </w:rPr>
      </w:pPr>
    </w:p>
    <w:p w14:paraId="019D072B">
      <w:pPr>
        <w:pStyle w:val="27"/>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77CC3270">
      <w:pPr>
        <w:pStyle w:val="27"/>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A96E63A">
      <w:pPr>
        <w:pStyle w:val="2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4FE76DA">
      <w:pPr>
        <w:pStyle w:val="2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1F6A9FA">
      <w:pPr>
        <w:pStyle w:val="2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76DF93C3">
      <w:pPr>
        <w:pStyle w:val="27"/>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6587B67">
      <w:pPr>
        <w:pStyle w:val="27"/>
        <w:snapToGrid w:val="0"/>
        <w:rPr>
          <w:b/>
          <w:color w:val="auto"/>
          <w:sz w:val="24"/>
          <w:szCs w:val="24"/>
          <w:highlight w:val="none"/>
        </w:rPr>
      </w:pPr>
    </w:p>
    <w:p w14:paraId="7DD5AFBB">
      <w:pPr>
        <w:rPr>
          <w:color w:val="auto"/>
          <w:sz w:val="32"/>
          <w:szCs w:val="40"/>
          <w:highlight w:val="none"/>
        </w:rPr>
      </w:pPr>
    </w:p>
    <w:p w14:paraId="1F776FFA">
      <w:pPr>
        <w:rPr>
          <w:color w:val="auto"/>
          <w:sz w:val="32"/>
          <w:szCs w:val="40"/>
          <w:highlight w:val="none"/>
        </w:rPr>
      </w:pPr>
    </w:p>
    <w:p w14:paraId="34606F9E">
      <w:pPr>
        <w:rPr>
          <w:color w:val="auto"/>
          <w:sz w:val="32"/>
          <w:szCs w:val="40"/>
          <w:highlight w:val="none"/>
        </w:rPr>
      </w:pPr>
    </w:p>
    <w:p w14:paraId="14DA9B04">
      <w:pPr>
        <w:rPr>
          <w:color w:val="auto"/>
          <w:sz w:val="32"/>
          <w:szCs w:val="40"/>
          <w:highlight w:val="none"/>
        </w:rPr>
      </w:pPr>
    </w:p>
    <w:p w14:paraId="16D55E71">
      <w:pPr>
        <w:rPr>
          <w:color w:val="auto"/>
          <w:sz w:val="32"/>
          <w:szCs w:val="40"/>
          <w:highlight w:val="none"/>
        </w:rPr>
      </w:pPr>
    </w:p>
    <w:p w14:paraId="0E427AB3">
      <w:pPr>
        <w:rPr>
          <w:color w:val="auto"/>
          <w:sz w:val="32"/>
          <w:szCs w:val="40"/>
          <w:highlight w:val="none"/>
        </w:rPr>
      </w:pPr>
    </w:p>
    <w:p w14:paraId="703A0EEB">
      <w:pPr>
        <w:rPr>
          <w:color w:val="auto"/>
          <w:sz w:val="32"/>
          <w:szCs w:val="40"/>
          <w:highlight w:val="none"/>
        </w:rPr>
      </w:pPr>
    </w:p>
    <w:p w14:paraId="591B2A49">
      <w:pPr>
        <w:rPr>
          <w:color w:val="auto"/>
          <w:sz w:val="32"/>
          <w:szCs w:val="40"/>
          <w:highlight w:val="none"/>
        </w:rPr>
      </w:pPr>
    </w:p>
    <w:p w14:paraId="4099FBDD">
      <w:pPr>
        <w:rPr>
          <w:color w:val="auto"/>
          <w:sz w:val="32"/>
          <w:szCs w:val="40"/>
          <w:highlight w:val="none"/>
        </w:rPr>
      </w:pPr>
    </w:p>
    <w:p w14:paraId="251DD4E3">
      <w:pPr>
        <w:rPr>
          <w:color w:val="auto"/>
          <w:sz w:val="32"/>
          <w:szCs w:val="40"/>
          <w:highlight w:val="none"/>
        </w:rPr>
      </w:pPr>
    </w:p>
    <w:p w14:paraId="44F40F38">
      <w:pPr>
        <w:rPr>
          <w:color w:val="auto"/>
          <w:sz w:val="32"/>
          <w:szCs w:val="40"/>
          <w:highlight w:val="none"/>
        </w:rPr>
      </w:pPr>
    </w:p>
    <w:p w14:paraId="0E08153A">
      <w:pPr>
        <w:rPr>
          <w:color w:val="auto"/>
          <w:sz w:val="32"/>
          <w:szCs w:val="40"/>
          <w:highlight w:val="none"/>
        </w:rPr>
      </w:pPr>
    </w:p>
    <w:p w14:paraId="630A33E4">
      <w:pPr>
        <w:rPr>
          <w:color w:val="auto"/>
          <w:sz w:val="32"/>
          <w:szCs w:val="40"/>
          <w:highlight w:val="none"/>
        </w:rPr>
      </w:pPr>
    </w:p>
    <w:p w14:paraId="2E1DC94B">
      <w:pPr>
        <w:rPr>
          <w:color w:val="auto"/>
          <w:sz w:val="32"/>
          <w:szCs w:val="40"/>
          <w:highlight w:val="none"/>
        </w:rPr>
      </w:pPr>
    </w:p>
    <w:p w14:paraId="6760801B">
      <w:pPr>
        <w:rPr>
          <w:color w:val="auto"/>
          <w:sz w:val="32"/>
          <w:szCs w:val="40"/>
          <w:highlight w:val="none"/>
        </w:rPr>
      </w:pPr>
    </w:p>
    <w:p w14:paraId="360BBC08">
      <w:pPr>
        <w:pStyle w:val="69"/>
        <w:rPr>
          <w:color w:val="auto"/>
          <w:sz w:val="32"/>
          <w:szCs w:val="40"/>
          <w:highlight w:val="none"/>
        </w:rPr>
      </w:pPr>
    </w:p>
    <w:p w14:paraId="63796024">
      <w:pPr>
        <w:pStyle w:val="69"/>
        <w:rPr>
          <w:color w:val="auto"/>
          <w:sz w:val="32"/>
          <w:szCs w:val="40"/>
          <w:highlight w:val="none"/>
        </w:rPr>
      </w:pPr>
    </w:p>
    <w:p w14:paraId="2FD1E351">
      <w:pPr>
        <w:pStyle w:val="69"/>
        <w:rPr>
          <w:color w:val="auto"/>
          <w:sz w:val="32"/>
          <w:szCs w:val="40"/>
          <w:highlight w:val="none"/>
        </w:rPr>
      </w:pPr>
    </w:p>
    <w:p w14:paraId="041E162F">
      <w:pPr>
        <w:pStyle w:val="69"/>
        <w:rPr>
          <w:color w:val="auto"/>
          <w:sz w:val="32"/>
          <w:szCs w:val="40"/>
          <w:highlight w:val="none"/>
        </w:rPr>
      </w:pPr>
    </w:p>
    <w:p w14:paraId="6F7A8677">
      <w:pPr>
        <w:pStyle w:val="69"/>
        <w:rPr>
          <w:color w:val="auto"/>
          <w:sz w:val="32"/>
          <w:szCs w:val="40"/>
          <w:highlight w:val="none"/>
        </w:rPr>
      </w:pPr>
    </w:p>
    <w:p w14:paraId="01C590B9">
      <w:pPr>
        <w:pStyle w:val="69"/>
        <w:rPr>
          <w:color w:val="auto"/>
          <w:sz w:val="32"/>
          <w:szCs w:val="40"/>
          <w:highlight w:val="none"/>
        </w:rPr>
      </w:pPr>
    </w:p>
    <w:p w14:paraId="1BC20D76">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Times New Roman" w:hAnsi="Times New Roman"/>
          <w:b/>
          <w:bCs/>
          <w:color w:val="auto"/>
          <w:sz w:val="28"/>
          <w:highlight w:val="none"/>
        </w:rPr>
        <w:t>投诉书（格式）</w:t>
      </w:r>
    </w:p>
    <w:p w14:paraId="3FC62BA4">
      <w:pPr>
        <w:pStyle w:val="2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B5EFEF4">
      <w:pPr>
        <w:pStyle w:val="2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p>
    <w:p w14:paraId="722CD9E2">
      <w:pPr>
        <w:pStyle w:val="2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2BBF9A4">
      <w:pPr>
        <w:pStyle w:val="2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390EED74">
      <w:pPr>
        <w:pStyle w:val="2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03A9A0A2">
      <w:pPr>
        <w:pStyle w:val="2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07A332BF">
      <w:pPr>
        <w:pStyle w:val="27"/>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7B4C7886">
      <w:pPr>
        <w:pStyle w:val="2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08537AFF">
      <w:pPr>
        <w:pStyle w:val="2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50C23B29">
      <w:pPr>
        <w:pStyle w:val="2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p>
    <w:p w14:paraId="7FBF99D9">
      <w:pPr>
        <w:pStyle w:val="2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646E95BF">
      <w:pPr>
        <w:pStyle w:val="2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038645A">
      <w:pPr>
        <w:pStyle w:val="2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775F8624">
      <w:pPr>
        <w:pStyle w:val="2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2EC77670">
      <w:pPr>
        <w:pStyle w:val="2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p>
    <w:p w14:paraId="33FAB714">
      <w:pPr>
        <w:pStyle w:val="27"/>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E312398">
      <w:pPr>
        <w:pStyle w:val="2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012932D8">
      <w:pPr>
        <w:pStyle w:val="2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23277F4D">
      <w:pPr>
        <w:pStyle w:val="2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F8E51DF">
      <w:pPr>
        <w:pStyle w:val="2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00D7688A">
      <w:pPr>
        <w:pStyle w:val="2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25217362">
      <w:pPr>
        <w:pStyle w:val="2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565ABE4D">
      <w:pPr>
        <w:pStyle w:val="27"/>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0FD66E64">
      <w:pPr>
        <w:pStyle w:val="2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44FE5906">
      <w:pPr>
        <w:pStyle w:val="2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66FD0801">
      <w:pPr>
        <w:pStyle w:val="27"/>
        <w:spacing w:line="360" w:lineRule="auto"/>
        <w:ind w:firstLine="480" w:firstLineChars="200"/>
        <w:rPr>
          <w:rFonts w:hAnsi="宋体"/>
          <w:bCs/>
          <w:color w:val="auto"/>
          <w:sz w:val="24"/>
          <w:szCs w:val="24"/>
          <w:highlight w:val="none"/>
          <w:u w:val="single"/>
        </w:rPr>
      </w:pPr>
      <w:r>
        <w:rPr>
          <w:rFonts w:hint="eastAsia" w:hAnsi="宋体"/>
          <w:color w:val="auto"/>
          <w:sz w:val="24"/>
          <w:szCs w:val="24"/>
          <w:highlight w:val="none"/>
        </w:rPr>
        <w:t>投诉人于年月日，向提出质疑，质疑事项为：</w:t>
      </w:r>
    </w:p>
    <w:p w14:paraId="5D97B326">
      <w:pPr>
        <w:pStyle w:val="27"/>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603E1961">
      <w:pPr>
        <w:pStyle w:val="2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042E7FA6">
      <w:pPr>
        <w:pStyle w:val="2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186CA9BC">
      <w:pPr>
        <w:pStyle w:val="2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55C19092">
      <w:pPr>
        <w:pStyle w:val="27"/>
        <w:spacing w:line="360" w:lineRule="auto"/>
        <w:ind w:left="25" w:leftChars="12" w:firstLine="472" w:firstLineChars="197"/>
        <w:rPr>
          <w:rFonts w:hAnsi="宋体"/>
          <w:color w:val="auto"/>
          <w:sz w:val="24"/>
          <w:szCs w:val="24"/>
          <w:highlight w:val="none"/>
        </w:rPr>
      </w:pPr>
    </w:p>
    <w:p w14:paraId="1BCB9220">
      <w:pPr>
        <w:pStyle w:val="2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108C0899">
      <w:pPr>
        <w:pStyle w:val="27"/>
        <w:spacing w:line="360" w:lineRule="auto"/>
        <w:ind w:left="25" w:leftChars="12" w:firstLine="352" w:firstLineChars="147"/>
        <w:rPr>
          <w:rFonts w:hAnsi="宋体"/>
          <w:bCs/>
          <w:color w:val="auto"/>
          <w:sz w:val="24"/>
          <w:szCs w:val="24"/>
          <w:highlight w:val="none"/>
          <w:u w:val="single"/>
        </w:rPr>
      </w:pPr>
    </w:p>
    <w:p w14:paraId="53330E2C">
      <w:pPr>
        <w:pStyle w:val="27"/>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41196903">
      <w:pPr>
        <w:pStyle w:val="27"/>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4FA55354">
      <w:pPr>
        <w:pStyle w:val="2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16C488B5">
      <w:pPr>
        <w:pStyle w:val="2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2E80D4B5">
      <w:pPr>
        <w:pStyle w:val="27"/>
        <w:spacing w:line="360" w:lineRule="auto"/>
        <w:ind w:left="25" w:leftChars="12" w:firstLine="352" w:firstLineChars="147"/>
        <w:rPr>
          <w:rFonts w:hAnsi="宋体"/>
          <w:color w:val="auto"/>
          <w:sz w:val="24"/>
          <w:szCs w:val="24"/>
          <w:highlight w:val="none"/>
        </w:rPr>
      </w:pPr>
    </w:p>
    <w:p w14:paraId="5D1ADBE7">
      <w:pPr>
        <w:pStyle w:val="2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782E7DA1">
      <w:pPr>
        <w:pStyle w:val="27"/>
        <w:spacing w:line="360" w:lineRule="auto"/>
        <w:ind w:left="25" w:leftChars="12" w:firstLine="352" w:firstLineChars="147"/>
        <w:rPr>
          <w:rFonts w:hAnsi="宋体"/>
          <w:color w:val="auto"/>
          <w:sz w:val="24"/>
          <w:szCs w:val="24"/>
          <w:highlight w:val="none"/>
        </w:rPr>
      </w:pPr>
    </w:p>
    <w:p w14:paraId="1F2AA230">
      <w:pPr>
        <w:pStyle w:val="2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4D1365AE">
      <w:pPr>
        <w:pStyle w:val="27"/>
        <w:spacing w:line="360" w:lineRule="auto"/>
        <w:ind w:left="25" w:leftChars="12" w:firstLine="475" w:firstLineChars="197"/>
        <w:rPr>
          <w:rFonts w:hAnsi="宋体"/>
          <w:b/>
          <w:color w:val="auto"/>
          <w:sz w:val="24"/>
          <w:szCs w:val="24"/>
          <w:highlight w:val="none"/>
        </w:rPr>
      </w:pPr>
    </w:p>
    <w:p w14:paraId="792B71B3">
      <w:pPr>
        <w:pStyle w:val="27"/>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4A342859">
      <w:pPr>
        <w:pStyle w:val="27"/>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F6CA0DB">
      <w:pPr>
        <w:pStyle w:val="2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79582B">
      <w:pPr>
        <w:pStyle w:val="2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955CE44">
      <w:pPr>
        <w:pStyle w:val="2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DDDC9A8">
      <w:pPr>
        <w:pStyle w:val="2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55F3A7C0">
      <w:pPr>
        <w:pStyle w:val="27"/>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C31ACFA">
      <w:pPr>
        <w:pStyle w:val="2"/>
        <w:rPr>
          <w:color w:val="auto"/>
          <w:highlight w:val="none"/>
        </w:rPr>
      </w:pPr>
    </w:p>
    <w:p w14:paraId="62F42EFF">
      <w:pPr>
        <w:pStyle w:val="56"/>
        <w:rPr>
          <w:color w:val="auto"/>
          <w:highlight w:val="none"/>
        </w:rPr>
      </w:pPr>
    </w:p>
    <w:sectPr>
      <w:pgSz w:w="11907" w:h="16840"/>
      <w:pgMar w:top="1440" w:right="1440"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9D8FBC-CA37-4400-8350-3F9877BC3832}"/>
  </w:font>
  <w:font w:name="黑体">
    <w:panose1 w:val="02010609060101010101"/>
    <w:charset w:val="86"/>
    <w:family w:val="auto"/>
    <w:pitch w:val="default"/>
    <w:sig w:usb0="800002BF" w:usb1="38CF7CFA" w:usb2="00000016" w:usb3="00000000" w:csb0="00040001" w:csb1="00000000"/>
    <w:embedRegular r:id="rId2" w:fontKey="{5A5CCC42-24D8-4E78-A65A-EFCF1D904A5F}"/>
  </w:font>
  <w:font w:name="Courier New">
    <w:panose1 w:val="02070309020205020404"/>
    <w:charset w:val="01"/>
    <w:family w:val="modern"/>
    <w:pitch w:val="default"/>
    <w:sig w:usb0="E0002EFF" w:usb1="C0007843" w:usb2="00000009" w:usb3="00000000" w:csb0="400001FF" w:csb1="FFFF0000"/>
    <w:embedRegular r:id="rId3" w:fontKey="{4F8C041C-D24A-4119-9B1E-A12B3201702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F698E91-F583-47E3-A9D5-5104925F7994}"/>
  </w:font>
  <w:font w:name="Cambria">
    <w:panose1 w:val="02040503050406030204"/>
    <w:charset w:val="00"/>
    <w:family w:val="roman"/>
    <w:pitch w:val="default"/>
    <w:sig w:usb0="E00006FF" w:usb1="420024FF" w:usb2="02000000" w:usb3="00000000" w:csb0="2000019F" w:csb1="00000000"/>
  </w:font>
  <w:font w:name="MS Sans Serif">
    <w:altName w:val="Courier New"/>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CD1009E5-E55C-4CE2-9603-923C7B588991}"/>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embedRegular r:id="rId6" w:fontKey="{7181D7B1-2087-41DF-BF61-2737D11DC53F}"/>
  </w:font>
  <w:font w:name="Wingdings 2">
    <w:panose1 w:val="05020102010507070707"/>
    <w:charset w:val="00"/>
    <w:family w:val="auto"/>
    <w:pitch w:val="default"/>
    <w:sig w:usb0="00000000" w:usb1="00000000" w:usb2="00000000" w:usb3="00000000" w:csb0="80000000" w:csb1="00000000"/>
    <w:embedRegular r:id="rId7" w:fontKey="{A01AE521-BC21-4DC5-97F4-9AFA4E6BC02E}"/>
  </w:font>
  <w:font w:name="仿宋">
    <w:panose1 w:val="02010609060101010101"/>
    <w:charset w:val="86"/>
    <w:family w:val="modern"/>
    <w:pitch w:val="default"/>
    <w:sig w:usb0="800002BF" w:usb1="38CF7CFA" w:usb2="00000016" w:usb3="00000000" w:csb0="00040001" w:csb1="00000000"/>
    <w:embedRegular r:id="rId8" w:fontKey="{FC26AEE7-5C67-4EB0-96B0-8E4A5910027B}"/>
  </w:font>
  <w:font w:name="微软雅黑">
    <w:panose1 w:val="020B0503020204020204"/>
    <w:charset w:val="86"/>
    <w:family w:val="auto"/>
    <w:pitch w:val="default"/>
    <w:sig w:usb0="80000287" w:usb1="2ACF3C50" w:usb2="00000016" w:usb3="00000000" w:csb0="0004001F" w:csb1="00000000"/>
    <w:embedRegular r:id="rId9" w:fontKey="{47930EFA-D40E-4783-88AB-AFB74370F83F}"/>
  </w:font>
  <w:font w:name="方正小标宋简体">
    <w:panose1 w:val="03000509000000000000"/>
    <w:charset w:val="86"/>
    <w:family w:val="script"/>
    <w:pitch w:val="default"/>
    <w:sig w:usb0="00000001" w:usb1="080E0000" w:usb2="00000000" w:usb3="00000000" w:csb0="00040000" w:csb1="00000000"/>
    <w:embedRegular r:id="rId10" w:fontKey="{C63D38E4-1A33-4110-98DF-026F1BB6FA60}"/>
  </w:font>
  <w:font w:name="WPSEMBED2">
    <w:panose1 w:val="02020609040205080304"/>
    <w:charset w:val="80"/>
    <w:family w:val="auto"/>
    <w:pitch w:val="default"/>
    <w:sig w:usb0="A00002BF" w:usb1="68C7FCFB" w:usb2="00000010" w:usb3="00000000" w:csb0="4002009F" w:csb1="DFD70000"/>
  </w:font>
  <w:font w:name="WPSEMBED3">
    <w:panose1 w:val="05020102010507070707"/>
    <w:charset w:val="00"/>
    <w:family w:val="auto"/>
    <w:pitch w:val="default"/>
    <w:sig w:usb0="00000000" w:usb1="00000000" w:usb2="00000000" w:usb3="00000000" w:csb0="8000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1361928"/>
      <w:showingPlcHdr/>
    </w:sdtPr>
    <w:sdtContent>
      <w:p w14:paraId="091AEA08">
        <w:pPr>
          <w:pStyle w:val="34"/>
          <w:jc w:val="cente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9406">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D14EA">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5D14EA">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FA42">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ABE55">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70ABE55">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D7FE">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F1554">
                          <w:pPr>
                            <w:pStyle w:val="3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A4F1554">
                    <w:pPr>
                      <w:pStyle w:val="3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9A75">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15F63">
                          <w:pPr>
                            <w:pStyle w:val="3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215F63">
                    <w:pPr>
                      <w:pStyle w:val="34"/>
                    </w:pPr>
                    <w:r>
                      <w:fldChar w:fldCharType="begin"/>
                    </w:r>
                    <w:r>
                      <w:instrText xml:space="preserve"> PAGE  \* MERGEFORMAT </w:instrText>
                    </w:r>
                    <w:r>
                      <w:fldChar w:fldCharType="separate"/>
                    </w:r>
                    <w:r>
                      <w:t>27</w:t>
                    </w:r>
                    <w:r>
                      <w:fldChar w:fldCharType="end"/>
                    </w:r>
                  </w:p>
                </w:txbxContent>
              </v:textbox>
            </v:shape>
          </w:pict>
        </mc:Fallback>
      </mc:AlternateContent>
    </w:r>
  </w:p>
  <w:p w14:paraId="7465BEA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64A60">
    <w:pPr>
      <w:pStyle w:val="34"/>
      <w:jc w:val="center"/>
    </w:pPr>
    <w:r>
      <w:fldChar w:fldCharType="begin"/>
    </w:r>
    <w:r>
      <w:instrText xml:space="preserve">PAGE   \* MERGEFORMAT</w:instrText>
    </w:r>
    <w:r>
      <w:fldChar w:fldCharType="separate"/>
    </w:r>
    <w:r>
      <w:rPr>
        <w:lang w:val="zh-CN"/>
      </w:rPr>
      <w:t>22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7307">
    <w:pPr>
      <w:pStyle w:val="34"/>
      <w:tabs>
        <w:tab w:val="left" w:pos="5500"/>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6AF12">
                          <w:pPr>
                            <w:pStyle w:val="3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DD6AF12">
                    <w:pPr>
                      <w:pStyle w:val="3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0CD0">
    <w:pPr>
      <w:pStyle w:val="34"/>
      <w:framePr w:wrap="around" w:vAnchor="text" w:hAnchor="margin" w:xAlign="center" w:y="1"/>
      <w:rPr>
        <w:rStyle w:val="62"/>
      </w:rPr>
    </w:pPr>
    <w:r>
      <w:fldChar w:fldCharType="begin"/>
    </w:r>
    <w:r>
      <w:rPr>
        <w:rStyle w:val="62"/>
      </w:rPr>
      <w:instrText xml:space="preserve">PAGE  </w:instrText>
    </w:r>
    <w:r>
      <w:fldChar w:fldCharType="end"/>
    </w:r>
  </w:p>
  <w:p w14:paraId="43A38DA0">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D08C4">
    <w:pPr>
      <w:pStyle w:val="35"/>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503C">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7CB8">
    <w:pPr>
      <w:pStyle w:val="35"/>
      <w:rPr>
        <w:szCs w:val="18"/>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5CB3D"/>
    <w:multiLevelType w:val="singleLevel"/>
    <w:tmpl w:val="9075CB3D"/>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1Zjc1NGMwNGNiZjg0NTZkZmM5ZGVmZDM0OWNmMDMifQ=="/>
  </w:docVars>
  <w:rsids>
    <w:rsidRoot w:val="00172A27"/>
    <w:rsid w:val="00001166"/>
    <w:rsid w:val="0000138C"/>
    <w:rsid w:val="0000305A"/>
    <w:rsid w:val="0000491D"/>
    <w:rsid w:val="00007173"/>
    <w:rsid w:val="00007258"/>
    <w:rsid w:val="000077C7"/>
    <w:rsid w:val="00012100"/>
    <w:rsid w:val="0001231A"/>
    <w:rsid w:val="000137D3"/>
    <w:rsid w:val="000218B2"/>
    <w:rsid w:val="00024BAA"/>
    <w:rsid w:val="00025446"/>
    <w:rsid w:val="000309A7"/>
    <w:rsid w:val="00031074"/>
    <w:rsid w:val="00032C30"/>
    <w:rsid w:val="00034087"/>
    <w:rsid w:val="00037D9A"/>
    <w:rsid w:val="00042EB2"/>
    <w:rsid w:val="00046DF5"/>
    <w:rsid w:val="00047B6E"/>
    <w:rsid w:val="00057B3D"/>
    <w:rsid w:val="00082632"/>
    <w:rsid w:val="00082CAD"/>
    <w:rsid w:val="0008727F"/>
    <w:rsid w:val="0008762E"/>
    <w:rsid w:val="000878D5"/>
    <w:rsid w:val="00090DD7"/>
    <w:rsid w:val="00096C14"/>
    <w:rsid w:val="000A0D48"/>
    <w:rsid w:val="000A0EF3"/>
    <w:rsid w:val="000A3189"/>
    <w:rsid w:val="000A4173"/>
    <w:rsid w:val="000A578E"/>
    <w:rsid w:val="000A5B54"/>
    <w:rsid w:val="000A6384"/>
    <w:rsid w:val="000A7563"/>
    <w:rsid w:val="000A7AF5"/>
    <w:rsid w:val="000B0269"/>
    <w:rsid w:val="000B5E71"/>
    <w:rsid w:val="000C3431"/>
    <w:rsid w:val="000C3C6E"/>
    <w:rsid w:val="000C4E5F"/>
    <w:rsid w:val="000C5A00"/>
    <w:rsid w:val="000C74AB"/>
    <w:rsid w:val="000D0568"/>
    <w:rsid w:val="000D0795"/>
    <w:rsid w:val="000D252E"/>
    <w:rsid w:val="000D2EDD"/>
    <w:rsid w:val="000D4012"/>
    <w:rsid w:val="000D4AD7"/>
    <w:rsid w:val="000D60F2"/>
    <w:rsid w:val="000D687C"/>
    <w:rsid w:val="000D710E"/>
    <w:rsid w:val="000D7979"/>
    <w:rsid w:val="000E02F0"/>
    <w:rsid w:val="000E15BB"/>
    <w:rsid w:val="000F35C5"/>
    <w:rsid w:val="000F61A7"/>
    <w:rsid w:val="000F7057"/>
    <w:rsid w:val="00103A4D"/>
    <w:rsid w:val="00107758"/>
    <w:rsid w:val="001106BF"/>
    <w:rsid w:val="00111200"/>
    <w:rsid w:val="00112591"/>
    <w:rsid w:val="001126B2"/>
    <w:rsid w:val="00114490"/>
    <w:rsid w:val="001177F3"/>
    <w:rsid w:val="001178F9"/>
    <w:rsid w:val="00120223"/>
    <w:rsid w:val="00120910"/>
    <w:rsid w:val="00121C5A"/>
    <w:rsid w:val="00124C57"/>
    <w:rsid w:val="0012562D"/>
    <w:rsid w:val="00125849"/>
    <w:rsid w:val="00126163"/>
    <w:rsid w:val="00126E51"/>
    <w:rsid w:val="00127A6A"/>
    <w:rsid w:val="00127F58"/>
    <w:rsid w:val="00131E78"/>
    <w:rsid w:val="00134C70"/>
    <w:rsid w:val="00137544"/>
    <w:rsid w:val="0014138B"/>
    <w:rsid w:val="00142466"/>
    <w:rsid w:val="001424B4"/>
    <w:rsid w:val="00146182"/>
    <w:rsid w:val="00147499"/>
    <w:rsid w:val="0015025E"/>
    <w:rsid w:val="00154E4B"/>
    <w:rsid w:val="00162BD3"/>
    <w:rsid w:val="0016659F"/>
    <w:rsid w:val="00172A27"/>
    <w:rsid w:val="00177B8D"/>
    <w:rsid w:val="00181E6A"/>
    <w:rsid w:val="00193B69"/>
    <w:rsid w:val="001940AB"/>
    <w:rsid w:val="001A707D"/>
    <w:rsid w:val="001B1647"/>
    <w:rsid w:val="001B3D91"/>
    <w:rsid w:val="001B499A"/>
    <w:rsid w:val="001C0985"/>
    <w:rsid w:val="001C484D"/>
    <w:rsid w:val="001C4CB9"/>
    <w:rsid w:val="001C531D"/>
    <w:rsid w:val="001C76C3"/>
    <w:rsid w:val="001D12D3"/>
    <w:rsid w:val="001D3405"/>
    <w:rsid w:val="001D4E28"/>
    <w:rsid w:val="001D5B5D"/>
    <w:rsid w:val="001D6113"/>
    <w:rsid w:val="001E12B0"/>
    <w:rsid w:val="001E1FFF"/>
    <w:rsid w:val="001E2FB4"/>
    <w:rsid w:val="001E6AA8"/>
    <w:rsid w:val="001F14DC"/>
    <w:rsid w:val="001F1F50"/>
    <w:rsid w:val="001F4E74"/>
    <w:rsid w:val="001F69B2"/>
    <w:rsid w:val="001F6C2C"/>
    <w:rsid w:val="002015E3"/>
    <w:rsid w:val="00201F16"/>
    <w:rsid w:val="00202A31"/>
    <w:rsid w:val="00202F3F"/>
    <w:rsid w:val="00214851"/>
    <w:rsid w:val="00214C43"/>
    <w:rsid w:val="00216EB6"/>
    <w:rsid w:val="00216FBB"/>
    <w:rsid w:val="00217BC1"/>
    <w:rsid w:val="0022219E"/>
    <w:rsid w:val="00223A8B"/>
    <w:rsid w:val="00226A19"/>
    <w:rsid w:val="00230ADC"/>
    <w:rsid w:val="00231217"/>
    <w:rsid w:val="00233648"/>
    <w:rsid w:val="00233B0B"/>
    <w:rsid w:val="00233BDF"/>
    <w:rsid w:val="0024088B"/>
    <w:rsid w:val="00241AB0"/>
    <w:rsid w:val="00243E6E"/>
    <w:rsid w:val="00244877"/>
    <w:rsid w:val="002448E0"/>
    <w:rsid w:val="00245E32"/>
    <w:rsid w:val="00261316"/>
    <w:rsid w:val="00267B0C"/>
    <w:rsid w:val="0027251E"/>
    <w:rsid w:val="00276269"/>
    <w:rsid w:val="00276F1A"/>
    <w:rsid w:val="00281B4C"/>
    <w:rsid w:val="00283F3D"/>
    <w:rsid w:val="0028506D"/>
    <w:rsid w:val="00285AB0"/>
    <w:rsid w:val="002907C0"/>
    <w:rsid w:val="00291817"/>
    <w:rsid w:val="00292FDD"/>
    <w:rsid w:val="00296FE7"/>
    <w:rsid w:val="002A0357"/>
    <w:rsid w:val="002A2519"/>
    <w:rsid w:val="002A2BAC"/>
    <w:rsid w:val="002A31AA"/>
    <w:rsid w:val="002A32DF"/>
    <w:rsid w:val="002B012B"/>
    <w:rsid w:val="002B31EF"/>
    <w:rsid w:val="002B4B66"/>
    <w:rsid w:val="002B4CCA"/>
    <w:rsid w:val="002B6C11"/>
    <w:rsid w:val="002C0099"/>
    <w:rsid w:val="002C410C"/>
    <w:rsid w:val="002C7AED"/>
    <w:rsid w:val="002D0A44"/>
    <w:rsid w:val="002D3435"/>
    <w:rsid w:val="002D37FD"/>
    <w:rsid w:val="002D5BF3"/>
    <w:rsid w:val="002D7080"/>
    <w:rsid w:val="002D7ED5"/>
    <w:rsid w:val="002E1003"/>
    <w:rsid w:val="002E2676"/>
    <w:rsid w:val="002E48F6"/>
    <w:rsid w:val="002F1B9E"/>
    <w:rsid w:val="002F2864"/>
    <w:rsid w:val="002F32D0"/>
    <w:rsid w:val="002F5AF0"/>
    <w:rsid w:val="002F5B4F"/>
    <w:rsid w:val="002F6074"/>
    <w:rsid w:val="00300DD4"/>
    <w:rsid w:val="00301BA3"/>
    <w:rsid w:val="00302C04"/>
    <w:rsid w:val="00304067"/>
    <w:rsid w:val="003063B0"/>
    <w:rsid w:val="003122A4"/>
    <w:rsid w:val="0031251C"/>
    <w:rsid w:val="00312E41"/>
    <w:rsid w:val="0031530B"/>
    <w:rsid w:val="0031784E"/>
    <w:rsid w:val="0032262E"/>
    <w:rsid w:val="003256EA"/>
    <w:rsid w:val="0032631E"/>
    <w:rsid w:val="003269BF"/>
    <w:rsid w:val="00327EF5"/>
    <w:rsid w:val="003323A2"/>
    <w:rsid w:val="00333717"/>
    <w:rsid w:val="00336B4D"/>
    <w:rsid w:val="00343E32"/>
    <w:rsid w:val="00346B6F"/>
    <w:rsid w:val="00357EEE"/>
    <w:rsid w:val="00360553"/>
    <w:rsid w:val="00360663"/>
    <w:rsid w:val="00361EC8"/>
    <w:rsid w:val="00364A45"/>
    <w:rsid w:val="003667DF"/>
    <w:rsid w:val="00366B93"/>
    <w:rsid w:val="00380D6F"/>
    <w:rsid w:val="0038421C"/>
    <w:rsid w:val="00384D8D"/>
    <w:rsid w:val="00384E8E"/>
    <w:rsid w:val="00384F78"/>
    <w:rsid w:val="00386108"/>
    <w:rsid w:val="003867E9"/>
    <w:rsid w:val="00386ECF"/>
    <w:rsid w:val="00387289"/>
    <w:rsid w:val="003906FA"/>
    <w:rsid w:val="00390A0E"/>
    <w:rsid w:val="00391156"/>
    <w:rsid w:val="0039139C"/>
    <w:rsid w:val="0039146A"/>
    <w:rsid w:val="00392722"/>
    <w:rsid w:val="00394A9B"/>
    <w:rsid w:val="0039630D"/>
    <w:rsid w:val="003B1AD6"/>
    <w:rsid w:val="003B2D22"/>
    <w:rsid w:val="003B2D6E"/>
    <w:rsid w:val="003B4134"/>
    <w:rsid w:val="003B7507"/>
    <w:rsid w:val="003C14E6"/>
    <w:rsid w:val="003C1576"/>
    <w:rsid w:val="003C19A6"/>
    <w:rsid w:val="003C6037"/>
    <w:rsid w:val="003D18C1"/>
    <w:rsid w:val="003D4DD9"/>
    <w:rsid w:val="003D5E21"/>
    <w:rsid w:val="003D7F3D"/>
    <w:rsid w:val="003E1E0E"/>
    <w:rsid w:val="003E4621"/>
    <w:rsid w:val="003E7242"/>
    <w:rsid w:val="003E7BE8"/>
    <w:rsid w:val="003F24F9"/>
    <w:rsid w:val="003F4074"/>
    <w:rsid w:val="00402E1D"/>
    <w:rsid w:val="00402FB1"/>
    <w:rsid w:val="004073C8"/>
    <w:rsid w:val="00414A70"/>
    <w:rsid w:val="004152BD"/>
    <w:rsid w:val="0041782D"/>
    <w:rsid w:val="00422581"/>
    <w:rsid w:val="00423443"/>
    <w:rsid w:val="0042511A"/>
    <w:rsid w:val="00425B85"/>
    <w:rsid w:val="00433389"/>
    <w:rsid w:val="00436A0E"/>
    <w:rsid w:val="0043797A"/>
    <w:rsid w:val="0044233E"/>
    <w:rsid w:val="00444F03"/>
    <w:rsid w:val="00445C3F"/>
    <w:rsid w:val="00454393"/>
    <w:rsid w:val="004615BD"/>
    <w:rsid w:val="00461888"/>
    <w:rsid w:val="00462456"/>
    <w:rsid w:val="004633DA"/>
    <w:rsid w:val="004718C1"/>
    <w:rsid w:val="00471E91"/>
    <w:rsid w:val="00474D2B"/>
    <w:rsid w:val="00475D4C"/>
    <w:rsid w:val="00476EA1"/>
    <w:rsid w:val="00481513"/>
    <w:rsid w:val="00483481"/>
    <w:rsid w:val="0048407D"/>
    <w:rsid w:val="004907AA"/>
    <w:rsid w:val="004912D3"/>
    <w:rsid w:val="00492202"/>
    <w:rsid w:val="004A58FF"/>
    <w:rsid w:val="004B0917"/>
    <w:rsid w:val="004B4543"/>
    <w:rsid w:val="004B474A"/>
    <w:rsid w:val="004C2E19"/>
    <w:rsid w:val="004C5EA4"/>
    <w:rsid w:val="004C6BDE"/>
    <w:rsid w:val="004E21D5"/>
    <w:rsid w:val="004E2DA7"/>
    <w:rsid w:val="004E36BC"/>
    <w:rsid w:val="004E7F7B"/>
    <w:rsid w:val="004F2A18"/>
    <w:rsid w:val="004F7B40"/>
    <w:rsid w:val="004F7C64"/>
    <w:rsid w:val="0050086F"/>
    <w:rsid w:val="00501EE6"/>
    <w:rsid w:val="00502762"/>
    <w:rsid w:val="00504898"/>
    <w:rsid w:val="00505F06"/>
    <w:rsid w:val="005115DA"/>
    <w:rsid w:val="00511AF8"/>
    <w:rsid w:val="00513330"/>
    <w:rsid w:val="00513716"/>
    <w:rsid w:val="00514EC1"/>
    <w:rsid w:val="00514ECA"/>
    <w:rsid w:val="0051793C"/>
    <w:rsid w:val="00521B8A"/>
    <w:rsid w:val="00521C86"/>
    <w:rsid w:val="00522A7C"/>
    <w:rsid w:val="005236ED"/>
    <w:rsid w:val="00523AD6"/>
    <w:rsid w:val="00527123"/>
    <w:rsid w:val="00530E16"/>
    <w:rsid w:val="005320FF"/>
    <w:rsid w:val="00532DCE"/>
    <w:rsid w:val="005351AD"/>
    <w:rsid w:val="0053568D"/>
    <w:rsid w:val="00536D71"/>
    <w:rsid w:val="0054169F"/>
    <w:rsid w:val="00541726"/>
    <w:rsid w:val="00547679"/>
    <w:rsid w:val="005607CC"/>
    <w:rsid w:val="00564603"/>
    <w:rsid w:val="00564EF8"/>
    <w:rsid w:val="0056545D"/>
    <w:rsid w:val="005668F7"/>
    <w:rsid w:val="00573F83"/>
    <w:rsid w:val="00582510"/>
    <w:rsid w:val="0059082C"/>
    <w:rsid w:val="005910E0"/>
    <w:rsid w:val="00591A69"/>
    <w:rsid w:val="00594EF1"/>
    <w:rsid w:val="005953B9"/>
    <w:rsid w:val="00595933"/>
    <w:rsid w:val="005969CF"/>
    <w:rsid w:val="005A7815"/>
    <w:rsid w:val="005B07BD"/>
    <w:rsid w:val="005B1EA4"/>
    <w:rsid w:val="005B26C3"/>
    <w:rsid w:val="005B398B"/>
    <w:rsid w:val="005C0A73"/>
    <w:rsid w:val="005C4B10"/>
    <w:rsid w:val="005C7B5D"/>
    <w:rsid w:val="005D09D1"/>
    <w:rsid w:val="005D0A2D"/>
    <w:rsid w:val="005D7005"/>
    <w:rsid w:val="005E1C54"/>
    <w:rsid w:val="005E3DED"/>
    <w:rsid w:val="005E499E"/>
    <w:rsid w:val="005E7FB9"/>
    <w:rsid w:val="005F0DE8"/>
    <w:rsid w:val="005F581E"/>
    <w:rsid w:val="005F678B"/>
    <w:rsid w:val="00600080"/>
    <w:rsid w:val="0060051A"/>
    <w:rsid w:val="00600966"/>
    <w:rsid w:val="0060122F"/>
    <w:rsid w:val="006039B2"/>
    <w:rsid w:val="00604447"/>
    <w:rsid w:val="00604F30"/>
    <w:rsid w:val="00612147"/>
    <w:rsid w:val="00613704"/>
    <w:rsid w:val="0062122D"/>
    <w:rsid w:val="00621306"/>
    <w:rsid w:val="00621E06"/>
    <w:rsid w:val="00624AB7"/>
    <w:rsid w:val="0062604B"/>
    <w:rsid w:val="006307B2"/>
    <w:rsid w:val="0063231F"/>
    <w:rsid w:val="006332E5"/>
    <w:rsid w:val="00633E5D"/>
    <w:rsid w:val="006344D8"/>
    <w:rsid w:val="0063467A"/>
    <w:rsid w:val="0063784D"/>
    <w:rsid w:val="0065021C"/>
    <w:rsid w:val="0065023F"/>
    <w:rsid w:val="0065093A"/>
    <w:rsid w:val="006535D2"/>
    <w:rsid w:val="00655020"/>
    <w:rsid w:val="006550BD"/>
    <w:rsid w:val="00657711"/>
    <w:rsid w:val="00660F59"/>
    <w:rsid w:val="00663429"/>
    <w:rsid w:val="006643C2"/>
    <w:rsid w:val="00664489"/>
    <w:rsid w:val="00671253"/>
    <w:rsid w:val="00671585"/>
    <w:rsid w:val="00672F9A"/>
    <w:rsid w:val="00673ADA"/>
    <w:rsid w:val="00673F9A"/>
    <w:rsid w:val="006766D8"/>
    <w:rsid w:val="00684E25"/>
    <w:rsid w:val="0069530F"/>
    <w:rsid w:val="0069731D"/>
    <w:rsid w:val="0069737C"/>
    <w:rsid w:val="00697FE4"/>
    <w:rsid w:val="006A02CE"/>
    <w:rsid w:val="006A237C"/>
    <w:rsid w:val="006A2C1D"/>
    <w:rsid w:val="006B0F58"/>
    <w:rsid w:val="006B1A2C"/>
    <w:rsid w:val="006B2368"/>
    <w:rsid w:val="006B4464"/>
    <w:rsid w:val="006B468B"/>
    <w:rsid w:val="006B7C04"/>
    <w:rsid w:val="006C4A85"/>
    <w:rsid w:val="006C67B5"/>
    <w:rsid w:val="006D090F"/>
    <w:rsid w:val="006D37CB"/>
    <w:rsid w:val="006D6C4F"/>
    <w:rsid w:val="006D710D"/>
    <w:rsid w:val="006D76EA"/>
    <w:rsid w:val="006D7773"/>
    <w:rsid w:val="006D7A10"/>
    <w:rsid w:val="006E1692"/>
    <w:rsid w:val="006E5AF8"/>
    <w:rsid w:val="006E5F0A"/>
    <w:rsid w:val="006E6CB7"/>
    <w:rsid w:val="006F330C"/>
    <w:rsid w:val="006F47CD"/>
    <w:rsid w:val="006F5318"/>
    <w:rsid w:val="006F5997"/>
    <w:rsid w:val="00700406"/>
    <w:rsid w:val="00700A8C"/>
    <w:rsid w:val="007014D3"/>
    <w:rsid w:val="0070255F"/>
    <w:rsid w:val="00704E8E"/>
    <w:rsid w:val="00706BB8"/>
    <w:rsid w:val="0071091E"/>
    <w:rsid w:val="00710D2D"/>
    <w:rsid w:val="00713A9B"/>
    <w:rsid w:val="00714392"/>
    <w:rsid w:val="00716506"/>
    <w:rsid w:val="00717C54"/>
    <w:rsid w:val="00717EE0"/>
    <w:rsid w:val="0072194B"/>
    <w:rsid w:val="00722C26"/>
    <w:rsid w:val="007268A6"/>
    <w:rsid w:val="007278B7"/>
    <w:rsid w:val="00731F2D"/>
    <w:rsid w:val="00733DE7"/>
    <w:rsid w:val="0073530F"/>
    <w:rsid w:val="007371AE"/>
    <w:rsid w:val="007408A4"/>
    <w:rsid w:val="00740FB9"/>
    <w:rsid w:val="00743063"/>
    <w:rsid w:val="00752249"/>
    <w:rsid w:val="00757692"/>
    <w:rsid w:val="00757873"/>
    <w:rsid w:val="00761220"/>
    <w:rsid w:val="0076249E"/>
    <w:rsid w:val="00764FF6"/>
    <w:rsid w:val="00774216"/>
    <w:rsid w:val="00776706"/>
    <w:rsid w:val="00777436"/>
    <w:rsid w:val="00777DEE"/>
    <w:rsid w:val="007846DB"/>
    <w:rsid w:val="00790072"/>
    <w:rsid w:val="007919F2"/>
    <w:rsid w:val="00792FB9"/>
    <w:rsid w:val="00796636"/>
    <w:rsid w:val="00797387"/>
    <w:rsid w:val="00797FE9"/>
    <w:rsid w:val="007A1301"/>
    <w:rsid w:val="007A1A41"/>
    <w:rsid w:val="007B0313"/>
    <w:rsid w:val="007B07F9"/>
    <w:rsid w:val="007B1655"/>
    <w:rsid w:val="007B311F"/>
    <w:rsid w:val="007B4056"/>
    <w:rsid w:val="007B5D55"/>
    <w:rsid w:val="007B70A4"/>
    <w:rsid w:val="007C17DD"/>
    <w:rsid w:val="007C2C8E"/>
    <w:rsid w:val="007E00A3"/>
    <w:rsid w:val="007E1554"/>
    <w:rsid w:val="007F029D"/>
    <w:rsid w:val="007F0735"/>
    <w:rsid w:val="007F66C2"/>
    <w:rsid w:val="007F7285"/>
    <w:rsid w:val="007F7DCB"/>
    <w:rsid w:val="0080600F"/>
    <w:rsid w:val="0080752D"/>
    <w:rsid w:val="00814F18"/>
    <w:rsid w:val="0081523E"/>
    <w:rsid w:val="0081553C"/>
    <w:rsid w:val="00824C7F"/>
    <w:rsid w:val="008307CD"/>
    <w:rsid w:val="0083230D"/>
    <w:rsid w:val="00834992"/>
    <w:rsid w:val="00836B5E"/>
    <w:rsid w:val="00837166"/>
    <w:rsid w:val="00841C4A"/>
    <w:rsid w:val="0084492C"/>
    <w:rsid w:val="00844CC1"/>
    <w:rsid w:val="0084657C"/>
    <w:rsid w:val="00850C98"/>
    <w:rsid w:val="00852A96"/>
    <w:rsid w:val="00853129"/>
    <w:rsid w:val="00853EE7"/>
    <w:rsid w:val="00854C06"/>
    <w:rsid w:val="008563D3"/>
    <w:rsid w:val="008647BE"/>
    <w:rsid w:val="00864B41"/>
    <w:rsid w:val="00880178"/>
    <w:rsid w:val="00882ED0"/>
    <w:rsid w:val="00890126"/>
    <w:rsid w:val="00890576"/>
    <w:rsid w:val="00895B44"/>
    <w:rsid w:val="00896F20"/>
    <w:rsid w:val="00897013"/>
    <w:rsid w:val="008A3696"/>
    <w:rsid w:val="008A3A9B"/>
    <w:rsid w:val="008A7594"/>
    <w:rsid w:val="008B29D2"/>
    <w:rsid w:val="008B47A4"/>
    <w:rsid w:val="008B6221"/>
    <w:rsid w:val="008C028D"/>
    <w:rsid w:val="008D2FDA"/>
    <w:rsid w:val="008D4BE7"/>
    <w:rsid w:val="008D5873"/>
    <w:rsid w:val="008D7247"/>
    <w:rsid w:val="008E0377"/>
    <w:rsid w:val="008E6446"/>
    <w:rsid w:val="008F0FB6"/>
    <w:rsid w:val="008F2894"/>
    <w:rsid w:val="008F645D"/>
    <w:rsid w:val="008F70F9"/>
    <w:rsid w:val="008F7B00"/>
    <w:rsid w:val="00900997"/>
    <w:rsid w:val="00903402"/>
    <w:rsid w:val="009042C6"/>
    <w:rsid w:val="009072D5"/>
    <w:rsid w:val="00910B49"/>
    <w:rsid w:val="00910C87"/>
    <w:rsid w:val="009110E3"/>
    <w:rsid w:val="00924835"/>
    <w:rsid w:val="00925520"/>
    <w:rsid w:val="00934169"/>
    <w:rsid w:val="009342F7"/>
    <w:rsid w:val="00934CA8"/>
    <w:rsid w:val="00935957"/>
    <w:rsid w:val="00937B09"/>
    <w:rsid w:val="00951528"/>
    <w:rsid w:val="00951FD3"/>
    <w:rsid w:val="0095726C"/>
    <w:rsid w:val="00957DD4"/>
    <w:rsid w:val="00960CB3"/>
    <w:rsid w:val="009702EF"/>
    <w:rsid w:val="009718FF"/>
    <w:rsid w:val="00973972"/>
    <w:rsid w:val="009808F1"/>
    <w:rsid w:val="009820D5"/>
    <w:rsid w:val="00987712"/>
    <w:rsid w:val="00987A98"/>
    <w:rsid w:val="0099033C"/>
    <w:rsid w:val="00993ABE"/>
    <w:rsid w:val="00994328"/>
    <w:rsid w:val="009960A5"/>
    <w:rsid w:val="009963AE"/>
    <w:rsid w:val="0099746A"/>
    <w:rsid w:val="009A1DF2"/>
    <w:rsid w:val="009A4226"/>
    <w:rsid w:val="009A7CF6"/>
    <w:rsid w:val="009B042C"/>
    <w:rsid w:val="009B3300"/>
    <w:rsid w:val="009B6DC5"/>
    <w:rsid w:val="009C0A75"/>
    <w:rsid w:val="009C0BB9"/>
    <w:rsid w:val="009C5E16"/>
    <w:rsid w:val="009D20DE"/>
    <w:rsid w:val="009D21F0"/>
    <w:rsid w:val="009D29CE"/>
    <w:rsid w:val="009D6045"/>
    <w:rsid w:val="009E2AB2"/>
    <w:rsid w:val="009E5BE0"/>
    <w:rsid w:val="009E75DB"/>
    <w:rsid w:val="009F4920"/>
    <w:rsid w:val="009F6792"/>
    <w:rsid w:val="009F697F"/>
    <w:rsid w:val="00A0041B"/>
    <w:rsid w:val="00A012A3"/>
    <w:rsid w:val="00A01E55"/>
    <w:rsid w:val="00A03E71"/>
    <w:rsid w:val="00A062D3"/>
    <w:rsid w:val="00A066B7"/>
    <w:rsid w:val="00A06E74"/>
    <w:rsid w:val="00A10875"/>
    <w:rsid w:val="00A11617"/>
    <w:rsid w:val="00A11BDC"/>
    <w:rsid w:val="00A136D6"/>
    <w:rsid w:val="00A224D9"/>
    <w:rsid w:val="00A24D37"/>
    <w:rsid w:val="00A30579"/>
    <w:rsid w:val="00A419E6"/>
    <w:rsid w:val="00A4705B"/>
    <w:rsid w:val="00A474A5"/>
    <w:rsid w:val="00A531C3"/>
    <w:rsid w:val="00A55AD1"/>
    <w:rsid w:val="00A57912"/>
    <w:rsid w:val="00A611BF"/>
    <w:rsid w:val="00A7585D"/>
    <w:rsid w:val="00A77D33"/>
    <w:rsid w:val="00A839CA"/>
    <w:rsid w:val="00A84D43"/>
    <w:rsid w:val="00A864CA"/>
    <w:rsid w:val="00A86693"/>
    <w:rsid w:val="00A90102"/>
    <w:rsid w:val="00A9674B"/>
    <w:rsid w:val="00A96BB3"/>
    <w:rsid w:val="00AA53DC"/>
    <w:rsid w:val="00AA5991"/>
    <w:rsid w:val="00AB3E89"/>
    <w:rsid w:val="00AB4C93"/>
    <w:rsid w:val="00AB783A"/>
    <w:rsid w:val="00AB7968"/>
    <w:rsid w:val="00AB7F63"/>
    <w:rsid w:val="00AC38BD"/>
    <w:rsid w:val="00AC7526"/>
    <w:rsid w:val="00AD0A26"/>
    <w:rsid w:val="00AD2F09"/>
    <w:rsid w:val="00AD6A28"/>
    <w:rsid w:val="00AE049D"/>
    <w:rsid w:val="00AE2E82"/>
    <w:rsid w:val="00AE6E83"/>
    <w:rsid w:val="00AF04B2"/>
    <w:rsid w:val="00AF0D06"/>
    <w:rsid w:val="00AF47DF"/>
    <w:rsid w:val="00AF6336"/>
    <w:rsid w:val="00AF63A1"/>
    <w:rsid w:val="00B0078D"/>
    <w:rsid w:val="00B009B3"/>
    <w:rsid w:val="00B012E0"/>
    <w:rsid w:val="00B061B3"/>
    <w:rsid w:val="00B074AB"/>
    <w:rsid w:val="00B111A8"/>
    <w:rsid w:val="00B12E4D"/>
    <w:rsid w:val="00B13550"/>
    <w:rsid w:val="00B1487A"/>
    <w:rsid w:val="00B20209"/>
    <w:rsid w:val="00B23B0F"/>
    <w:rsid w:val="00B24D21"/>
    <w:rsid w:val="00B25281"/>
    <w:rsid w:val="00B2705B"/>
    <w:rsid w:val="00B27182"/>
    <w:rsid w:val="00B278F6"/>
    <w:rsid w:val="00B27B68"/>
    <w:rsid w:val="00B307E6"/>
    <w:rsid w:val="00B3110D"/>
    <w:rsid w:val="00B32474"/>
    <w:rsid w:val="00B32D99"/>
    <w:rsid w:val="00B337E2"/>
    <w:rsid w:val="00B340A1"/>
    <w:rsid w:val="00B3435B"/>
    <w:rsid w:val="00B356E2"/>
    <w:rsid w:val="00B409DE"/>
    <w:rsid w:val="00B43B80"/>
    <w:rsid w:val="00B44779"/>
    <w:rsid w:val="00B44DEF"/>
    <w:rsid w:val="00B45408"/>
    <w:rsid w:val="00B50BC3"/>
    <w:rsid w:val="00B514FA"/>
    <w:rsid w:val="00B51D1B"/>
    <w:rsid w:val="00B53DAA"/>
    <w:rsid w:val="00B54905"/>
    <w:rsid w:val="00B56C4A"/>
    <w:rsid w:val="00B6045E"/>
    <w:rsid w:val="00B62A69"/>
    <w:rsid w:val="00B64490"/>
    <w:rsid w:val="00B77936"/>
    <w:rsid w:val="00B82AFC"/>
    <w:rsid w:val="00B84C90"/>
    <w:rsid w:val="00B85185"/>
    <w:rsid w:val="00B977B5"/>
    <w:rsid w:val="00BA552D"/>
    <w:rsid w:val="00BB557D"/>
    <w:rsid w:val="00BC18B3"/>
    <w:rsid w:val="00BC75E5"/>
    <w:rsid w:val="00BD17A7"/>
    <w:rsid w:val="00BD2592"/>
    <w:rsid w:val="00BD7108"/>
    <w:rsid w:val="00BE6473"/>
    <w:rsid w:val="00BF4E31"/>
    <w:rsid w:val="00C00A8C"/>
    <w:rsid w:val="00C03471"/>
    <w:rsid w:val="00C03E68"/>
    <w:rsid w:val="00C03EAE"/>
    <w:rsid w:val="00C06121"/>
    <w:rsid w:val="00C06A63"/>
    <w:rsid w:val="00C121F2"/>
    <w:rsid w:val="00C14132"/>
    <w:rsid w:val="00C14CB4"/>
    <w:rsid w:val="00C15F5B"/>
    <w:rsid w:val="00C2023B"/>
    <w:rsid w:val="00C203F5"/>
    <w:rsid w:val="00C25C88"/>
    <w:rsid w:val="00C2719F"/>
    <w:rsid w:val="00C27E9F"/>
    <w:rsid w:val="00C371F3"/>
    <w:rsid w:val="00C377B0"/>
    <w:rsid w:val="00C41A7B"/>
    <w:rsid w:val="00C42ADE"/>
    <w:rsid w:val="00C44CBE"/>
    <w:rsid w:val="00C5055D"/>
    <w:rsid w:val="00C53EB3"/>
    <w:rsid w:val="00C54052"/>
    <w:rsid w:val="00C55789"/>
    <w:rsid w:val="00C55CBC"/>
    <w:rsid w:val="00C60C09"/>
    <w:rsid w:val="00C6426A"/>
    <w:rsid w:val="00C64E35"/>
    <w:rsid w:val="00C64EC2"/>
    <w:rsid w:val="00C66D50"/>
    <w:rsid w:val="00C71102"/>
    <w:rsid w:val="00C7166B"/>
    <w:rsid w:val="00C744B7"/>
    <w:rsid w:val="00C8102E"/>
    <w:rsid w:val="00C8256F"/>
    <w:rsid w:val="00C8487C"/>
    <w:rsid w:val="00C851A7"/>
    <w:rsid w:val="00C91B45"/>
    <w:rsid w:val="00C92AE7"/>
    <w:rsid w:val="00C93D71"/>
    <w:rsid w:val="00CA00CC"/>
    <w:rsid w:val="00CA1DD3"/>
    <w:rsid w:val="00CA5165"/>
    <w:rsid w:val="00CA7677"/>
    <w:rsid w:val="00CB0D64"/>
    <w:rsid w:val="00CB30E7"/>
    <w:rsid w:val="00CB31D1"/>
    <w:rsid w:val="00CB32CD"/>
    <w:rsid w:val="00CB516E"/>
    <w:rsid w:val="00CC0438"/>
    <w:rsid w:val="00CC1AEB"/>
    <w:rsid w:val="00CC1BA2"/>
    <w:rsid w:val="00CC2F6A"/>
    <w:rsid w:val="00CC4D2D"/>
    <w:rsid w:val="00CC5373"/>
    <w:rsid w:val="00CC63DC"/>
    <w:rsid w:val="00CC6E37"/>
    <w:rsid w:val="00CD211B"/>
    <w:rsid w:val="00CE492D"/>
    <w:rsid w:val="00CE5EBD"/>
    <w:rsid w:val="00CF01E2"/>
    <w:rsid w:val="00CF14A1"/>
    <w:rsid w:val="00CF22EA"/>
    <w:rsid w:val="00D00459"/>
    <w:rsid w:val="00D0203E"/>
    <w:rsid w:val="00D04AEC"/>
    <w:rsid w:val="00D05EB8"/>
    <w:rsid w:val="00D14E33"/>
    <w:rsid w:val="00D17E30"/>
    <w:rsid w:val="00D21584"/>
    <w:rsid w:val="00D27ED2"/>
    <w:rsid w:val="00D36A1A"/>
    <w:rsid w:val="00D407E6"/>
    <w:rsid w:val="00D42DCD"/>
    <w:rsid w:val="00D44EE3"/>
    <w:rsid w:val="00D45DE0"/>
    <w:rsid w:val="00D462FE"/>
    <w:rsid w:val="00D47314"/>
    <w:rsid w:val="00D47A1D"/>
    <w:rsid w:val="00D5256B"/>
    <w:rsid w:val="00D53734"/>
    <w:rsid w:val="00D56124"/>
    <w:rsid w:val="00D573B1"/>
    <w:rsid w:val="00D57A99"/>
    <w:rsid w:val="00D609A5"/>
    <w:rsid w:val="00D62272"/>
    <w:rsid w:val="00D63BDD"/>
    <w:rsid w:val="00D64786"/>
    <w:rsid w:val="00D70763"/>
    <w:rsid w:val="00D711D9"/>
    <w:rsid w:val="00D737D6"/>
    <w:rsid w:val="00D75210"/>
    <w:rsid w:val="00D758E3"/>
    <w:rsid w:val="00D801A7"/>
    <w:rsid w:val="00D8212C"/>
    <w:rsid w:val="00D844D8"/>
    <w:rsid w:val="00D8540D"/>
    <w:rsid w:val="00D85889"/>
    <w:rsid w:val="00D90E85"/>
    <w:rsid w:val="00D94B42"/>
    <w:rsid w:val="00D96127"/>
    <w:rsid w:val="00D97832"/>
    <w:rsid w:val="00DA3DE2"/>
    <w:rsid w:val="00DA5D37"/>
    <w:rsid w:val="00DB1AD2"/>
    <w:rsid w:val="00DB4E6B"/>
    <w:rsid w:val="00DB5948"/>
    <w:rsid w:val="00DC0433"/>
    <w:rsid w:val="00DC673A"/>
    <w:rsid w:val="00DC6D46"/>
    <w:rsid w:val="00DC7BAA"/>
    <w:rsid w:val="00DD5680"/>
    <w:rsid w:val="00DF264E"/>
    <w:rsid w:val="00E01C07"/>
    <w:rsid w:val="00E035F3"/>
    <w:rsid w:val="00E04575"/>
    <w:rsid w:val="00E051F2"/>
    <w:rsid w:val="00E05D4E"/>
    <w:rsid w:val="00E06692"/>
    <w:rsid w:val="00E0733B"/>
    <w:rsid w:val="00E11679"/>
    <w:rsid w:val="00E11F81"/>
    <w:rsid w:val="00E15FD2"/>
    <w:rsid w:val="00E21D7B"/>
    <w:rsid w:val="00E23D76"/>
    <w:rsid w:val="00E24230"/>
    <w:rsid w:val="00E24F95"/>
    <w:rsid w:val="00E251ED"/>
    <w:rsid w:val="00E25C0C"/>
    <w:rsid w:val="00E313DF"/>
    <w:rsid w:val="00E335E7"/>
    <w:rsid w:val="00E357B7"/>
    <w:rsid w:val="00E45A1E"/>
    <w:rsid w:val="00E507EB"/>
    <w:rsid w:val="00E5385E"/>
    <w:rsid w:val="00E569A6"/>
    <w:rsid w:val="00E56C75"/>
    <w:rsid w:val="00E575EF"/>
    <w:rsid w:val="00E60312"/>
    <w:rsid w:val="00E604BE"/>
    <w:rsid w:val="00E65139"/>
    <w:rsid w:val="00E65E53"/>
    <w:rsid w:val="00E65E75"/>
    <w:rsid w:val="00E679C6"/>
    <w:rsid w:val="00E70078"/>
    <w:rsid w:val="00E731A5"/>
    <w:rsid w:val="00E74688"/>
    <w:rsid w:val="00E7573A"/>
    <w:rsid w:val="00E77D2E"/>
    <w:rsid w:val="00E85A7B"/>
    <w:rsid w:val="00E87199"/>
    <w:rsid w:val="00E87E99"/>
    <w:rsid w:val="00E91170"/>
    <w:rsid w:val="00E915B4"/>
    <w:rsid w:val="00E91C27"/>
    <w:rsid w:val="00E964AC"/>
    <w:rsid w:val="00EA11D1"/>
    <w:rsid w:val="00EA5985"/>
    <w:rsid w:val="00EA5AC2"/>
    <w:rsid w:val="00EA6C7A"/>
    <w:rsid w:val="00EA76E7"/>
    <w:rsid w:val="00EB0305"/>
    <w:rsid w:val="00EB2729"/>
    <w:rsid w:val="00EB3642"/>
    <w:rsid w:val="00EB4B29"/>
    <w:rsid w:val="00EB4DE3"/>
    <w:rsid w:val="00EB6716"/>
    <w:rsid w:val="00EC157C"/>
    <w:rsid w:val="00ED0488"/>
    <w:rsid w:val="00ED189F"/>
    <w:rsid w:val="00ED3321"/>
    <w:rsid w:val="00ED418C"/>
    <w:rsid w:val="00EE17FA"/>
    <w:rsid w:val="00EE6AEF"/>
    <w:rsid w:val="00EF0421"/>
    <w:rsid w:val="00EF0FAD"/>
    <w:rsid w:val="00F109ED"/>
    <w:rsid w:val="00F21E54"/>
    <w:rsid w:val="00F23E45"/>
    <w:rsid w:val="00F25CD7"/>
    <w:rsid w:val="00F27271"/>
    <w:rsid w:val="00F32895"/>
    <w:rsid w:val="00F32F7D"/>
    <w:rsid w:val="00F37FEC"/>
    <w:rsid w:val="00F40724"/>
    <w:rsid w:val="00F46691"/>
    <w:rsid w:val="00F47B5E"/>
    <w:rsid w:val="00F56BE1"/>
    <w:rsid w:val="00F56EF0"/>
    <w:rsid w:val="00F57BB0"/>
    <w:rsid w:val="00F6326B"/>
    <w:rsid w:val="00F67CC3"/>
    <w:rsid w:val="00F7084C"/>
    <w:rsid w:val="00F72A50"/>
    <w:rsid w:val="00F73099"/>
    <w:rsid w:val="00F734D8"/>
    <w:rsid w:val="00F76CD8"/>
    <w:rsid w:val="00F831AB"/>
    <w:rsid w:val="00F842A8"/>
    <w:rsid w:val="00F85223"/>
    <w:rsid w:val="00F85BC1"/>
    <w:rsid w:val="00F92744"/>
    <w:rsid w:val="00F939E5"/>
    <w:rsid w:val="00F95F24"/>
    <w:rsid w:val="00F9714A"/>
    <w:rsid w:val="00FA0801"/>
    <w:rsid w:val="00FA1E35"/>
    <w:rsid w:val="00FB00EE"/>
    <w:rsid w:val="00FB32F8"/>
    <w:rsid w:val="00FB54F0"/>
    <w:rsid w:val="00FC0AB4"/>
    <w:rsid w:val="00FC1B4F"/>
    <w:rsid w:val="00FC47DB"/>
    <w:rsid w:val="00FC6867"/>
    <w:rsid w:val="00FD2309"/>
    <w:rsid w:val="00FD6B92"/>
    <w:rsid w:val="00FD73F6"/>
    <w:rsid w:val="00FD795D"/>
    <w:rsid w:val="00FE2FBB"/>
    <w:rsid w:val="00FE38A0"/>
    <w:rsid w:val="00FE554E"/>
    <w:rsid w:val="00FE57E5"/>
    <w:rsid w:val="00FE59ED"/>
    <w:rsid w:val="00FE702F"/>
    <w:rsid w:val="00FE7703"/>
    <w:rsid w:val="00FE795E"/>
    <w:rsid w:val="00FE7963"/>
    <w:rsid w:val="00FF452E"/>
    <w:rsid w:val="00FF6995"/>
    <w:rsid w:val="01800132"/>
    <w:rsid w:val="02205A33"/>
    <w:rsid w:val="02765207"/>
    <w:rsid w:val="027754FB"/>
    <w:rsid w:val="02D02048"/>
    <w:rsid w:val="033050C0"/>
    <w:rsid w:val="03565A5E"/>
    <w:rsid w:val="035B751F"/>
    <w:rsid w:val="037C1244"/>
    <w:rsid w:val="0471592F"/>
    <w:rsid w:val="051F3150"/>
    <w:rsid w:val="05756458"/>
    <w:rsid w:val="05AC5838"/>
    <w:rsid w:val="0654641A"/>
    <w:rsid w:val="067C3E4D"/>
    <w:rsid w:val="06A0650C"/>
    <w:rsid w:val="08722672"/>
    <w:rsid w:val="08B374B6"/>
    <w:rsid w:val="08C47915"/>
    <w:rsid w:val="0A2B777B"/>
    <w:rsid w:val="0AA51394"/>
    <w:rsid w:val="0ACB17C6"/>
    <w:rsid w:val="0B1B47DB"/>
    <w:rsid w:val="0B862971"/>
    <w:rsid w:val="0BA21070"/>
    <w:rsid w:val="0C4A529D"/>
    <w:rsid w:val="0E4D036A"/>
    <w:rsid w:val="0EE014AB"/>
    <w:rsid w:val="0F152C78"/>
    <w:rsid w:val="10036F74"/>
    <w:rsid w:val="10567D7D"/>
    <w:rsid w:val="10825116"/>
    <w:rsid w:val="11F1761D"/>
    <w:rsid w:val="12000E57"/>
    <w:rsid w:val="12380D04"/>
    <w:rsid w:val="12F33EFE"/>
    <w:rsid w:val="13AD5E47"/>
    <w:rsid w:val="154058E7"/>
    <w:rsid w:val="15722D8E"/>
    <w:rsid w:val="15DA10F2"/>
    <w:rsid w:val="16BE02A6"/>
    <w:rsid w:val="17382E93"/>
    <w:rsid w:val="176C3651"/>
    <w:rsid w:val="182D6765"/>
    <w:rsid w:val="18F62A39"/>
    <w:rsid w:val="19F575AD"/>
    <w:rsid w:val="1A125E48"/>
    <w:rsid w:val="1A2105F5"/>
    <w:rsid w:val="1AB05400"/>
    <w:rsid w:val="1AC5064D"/>
    <w:rsid w:val="1AE16104"/>
    <w:rsid w:val="1E461C18"/>
    <w:rsid w:val="1F203781"/>
    <w:rsid w:val="1FFA2494"/>
    <w:rsid w:val="204E7C60"/>
    <w:rsid w:val="20561532"/>
    <w:rsid w:val="215869F4"/>
    <w:rsid w:val="23271C21"/>
    <w:rsid w:val="23A4593F"/>
    <w:rsid w:val="23D613C8"/>
    <w:rsid w:val="241332CF"/>
    <w:rsid w:val="24957507"/>
    <w:rsid w:val="24B565D4"/>
    <w:rsid w:val="24D27253"/>
    <w:rsid w:val="26DE4A87"/>
    <w:rsid w:val="27B521DE"/>
    <w:rsid w:val="27F7571D"/>
    <w:rsid w:val="2A0D0C41"/>
    <w:rsid w:val="2A2C120B"/>
    <w:rsid w:val="2A570191"/>
    <w:rsid w:val="2B9B220D"/>
    <w:rsid w:val="2C3B0ACC"/>
    <w:rsid w:val="2C7709B7"/>
    <w:rsid w:val="2D0E0DF8"/>
    <w:rsid w:val="2D932CD3"/>
    <w:rsid w:val="2DA850C6"/>
    <w:rsid w:val="2DF248C3"/>
    <w:rsid w:val="2E032E86"/>
    <w:rsid w:val="2F264FB3"/>
    <w:rsid w:val="302E5E9B"/>
    <w:rsid w:val="31520095"/>
    <w:rsid w:val="31554C62"/>
    <w:rsid w:val="318B5404"/>
    <w:rsid w:val="32566604"/>
    <w:rsid w:val="33196863"/>
    <w:rsid w:val="33526977"/>
    <w:rsid w:val="362D601C"/>
    <w:rsid w:val="362E61A6"/>
    <w:rsid w:val="379F3E55"/>
    <w:rsid w:val="39172CD4"/>
    <w:rsid w:val="39AB70AC"/>
    <w:rsid w:val="3B6901D2"/>
    <w:rsid w:val="3BC81590"/>
    <w:rsid w:val="3C81441F"/>
    <w:rsid w:val="3C9456C7"/>
    <w:rsid w:val="3CD81C5C"/>
    <w:rsid w:val="3DE73E32"/>
    <w:rsid w:val="3DF42A74"/>
    <w:rsid w:val="3E2F6887"/>
    <w:rsid w:val="3E5E1C76"/>
    <w:rsid w:val="3EEA2F2A"/>
    <w:rsid w:val="3F655D38"/>
    <w:rsid w:val="40676C10"/>
    <w:rsid w:val="411F76A0"/>
    <w:rsid w:val="41740455"/>
    <w:rsid w:val="41772EE6"/>
    <w:rsid w:val="420B38E3"/>
    <w:rsid w:val="422957D9"/>
    <w:rsid w:val="454A7F6F"/>
    <w:rsid w:val="45E62745"/>
    <w:rsid w:val="47510223"/>
    <w:rsid w:val="47811F51"/>
    <w:rsid w:val="490343CA"/>
    <w:rsid w:val="4AFF3BDB"/>
    <w:rsid w:val="4BFE107A"/>
    <w:rsid w:val="4C4A4539"/>
    <w:rsid w:val="4C6E11A0"/>
    <w:rsid w:val="4C916C2A"/>
    <w:rsid w:val="4CF11154"/>
    <w:rsid w:val="4E0557BA"/>
    <w:rsid w:val="4E6D1482"/>
    <w:rsid w:val="4EA2737D"/>
    <w:rsid w:val="4F4453CF"/>
    <w:rsid w:val="514771AE"/>
    <w:rsid w:val="51D50809"/>
    <w:rsid w:val="51DA20AB"/>
    <w:rsid w:val="52432C25"/>
    <w:rsid w:val="52A40D2D"/>
    <w:rsid w:val="537A6986"/>
    <w:rsid w:val="53CF12BA"/>
    <w:rsid w:val="563611BE"/>
    <w:rsid w:val="564E7DEA"/>
    <w:rsid w:val="56985C18"/>
    <w:rsid w:val="570514E4"/>
    <w:rsid w:val="574431BB"/>
    <w:rsid w:val="57964003"/>
    <w:rsid w:val="57EF2F07"/>
    <w:rsid w:val="57FE611D"/>
    <w:rsid w:val="58F16CE8"/>
    <w:rsid w:val="5926318C"/>
    <w:rsid w:val="593C3F2A"/>
    <w:rsid w:val="59A04E9F"/>
    <w:rsid w:val="59D54DD3"/>
    <w:rsid w:val="59EC5950"/>
    <w:rsid w:val="5C0C4088"/>
    <w:rsid w:val="5C6D6CD9"/>
    <w:rsid w:val="5D242057"/>
    <w:rsid w:val="5D6F1721"/>
    <w:rsid w:val="5DC15084"/>
    <w:rsid w:val="5E4164B3"/>
    <w:rsid w:val="5E874524"/>
    <w:rsid w:val="5EF76547"/>
    <w:rsid w:val="5F8D4A72"/>
    <w:rsid w:val="6052207C"/>
    <w:rsid w:val="60C4224E"/>
    <w:rsid w:val="60FC2464"/>
    <w:rsid w:val="624A049B"/>
    <w:rsid w:val="627A640E"/>
    <w:rsid w:val="62D86C30"/>
    <w:rsid w:val="639A641D"/>
    <w:rsid w:val="63EC21D1"/>
    <w:rsid w:val="641C2867"/>
    <w:rsid w:val="64694E7A"/>
    <w:rsid w:val="66860EDB"/>
    <w:rsid w:val="66EF00BF"/>
    <w:rsid w:val="670F2C7E"/>
    <w:rsid w:val="67200374"/>
    <w:rsid w:val="677F7E04"/>
    <w:rsid w:val="67902BC1"/>
    <w:rsid w:val="67F56318"/>
    <w:rsid w:val="67FF4E40"/>
    <w:rsid w:val="680C13AB"/>
    <w:rsid w:val="681E6650"/>
    <w:rsid w:val="691C3CDF"/>
    <w:rsid w:val="692D2AFD"/>
    <w:rsid w:val="6AD3206F"/>
    <w:rsid w:val="6ADC46E3"/>
    <w:rsid w:val="6B2667E8"/>
    <w:rsid w:val="6EA0255E"/>
    <w:rsid w:val="6EF918C2"/>
    <w:rsid w:val="705360EC"/>
    <w:rsid w:val="708228FC"/>
    <w:rsid w:val="70D77780"/>
    <w:rsid w:val="71371A23"/>
    <w:rsid w:val="729B7ABC"/>
    <w:rsid w:val="73065E3A"/>
    <w:rsid w:val="733C304D"/>
    <w:rsid w:val="7463233F"/>
    <w:rsid w:val="749725AC"/>
    <w:rsid w:val="74B63DAF"/>
    <w:rsid w:val="752C1F90"/>
    <w:rsid w:val="75511E47"/>
    <w:rsid w:val="758E43FF"/>
    <w:rsid w:val="75937E8D"/>
    <w:rsid w:val="78CD30F8"/>
    <w:rsid w:val="79694470"/>
    <w:rsid w:val="79DA711C"/>
    <w:rsid w:val="79FF1065"/>
    <w:rsid w:val="7A2C6B8C"/>
    <w:rsid w:val="7BA44964"/>
    <w:rsid w:val="7BD858DD"/>
    <w:rsid w:val="7C332598"/>
    <w:rsid w:val="7C530F0A"/>
    <w:rsid w:val="7C5856D8"/>
    <w:rsid w:val="7D197F5B"/>
    <w:rsid w:val="7D6E27D0"/>
    <w:rsid w:val="7DCC327D"/>
    <w:rsid w:val="7E0E15ED"/>
    <w:rsid w:val="7E870EA9"/>
    <w:rsid w:val="7E9C3E41"/>
    <w:rsid w:val="7F36590B"/>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99"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3">
    <w:name w:val="heading 1"/>
    <w:basedOn w:val="1"/>
    <w:next w:val="1"/>
    <w:link w:val="7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84"/>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4"/>
    <w:qFormat/>
    <w:uiPriority w:val="99"/>
    <w:pPr>
      <w:keepNext/>
      <w:keepLines/>
      <w:spacing w:before="260" w:after="260" w:line="24" w:lineRule="auto"/>
      <w:outlineLvl w:val="2"/>
    </w:pPr>
    <w:rPr>
      <w:rFonts w:hAnsi="宋体"/>
      <w:b/>
      <w:bCs/>
      <w:kern w:val="0"/>
      <w:sz w:val="24"/>
      <w:szCs w:val="32"/>
    </w:rPr>
  </w:style>
  <w:style w:type="paragraph" w:styleId="6">
    <w:name w:val="heading 4"/>
    <w:basedOn w:val="1"/>
    <w:next w:val="1"/>
    <w:link w:val="81"/>
    <w:qFormat/>
    <w:uiPriority w:val="99"/>
    <w:pPr>
      <w:keepNext/>
      <w:keepLines/>
      <w:widowControl/>
      <w:spacing w:before="120" w:after="120" w:line="360" w:lineRule="auto"/>
      <w:ind w:left="2900" w:hanging="2900"/>
      <w:jc w:val="left"/>
      <w:outlineLvl w:val="3"/>
    </w:pPr>
    <w:rPr>
      <w:rFonts w:ascii="Arial" w:hAnsi="Arial" w:eastAsia="黑体"/>
      <w:color w:val="000000"/>
      <w:kern w:val="0"/>
      <w:sz w:val="28"/>
    </w:rPr>
  </w:style>
  <w:style w:type="paragraph" w:styleId="7">
    <w:name w:val="heading 5"/>
    <w:basedOn w:val="1"/>
    <w:next w:val="1"/>
    <w:link w:val="97"/>
    <w:qFormat/>
    <w:uiPriority w:val="99"/>
    <w:pPr>
      <w:keepNext/>
      <w:keepLines/>
      <w:widowControl/>
      <w:spacing w:before="120" w:after="120" w:line="360" w:lineRule="auto"/>
      <w:ind w:firstLine="499"/>
      <w:jc w:val="left"/>
      <w:outlineLvl w:val="4"/>
    </w:pPr>
    <w:rPr>
      <w:rFonts w:hAnsi="宋体"/>
      <w:b/>
      <w:kern w:val="0"/>
      <w:sz w:val="24"/>
    </w:rPr>
  </w:style>
  <w:style w:type="paragraph" w:styleId="8">
    <w:name w:val="heading 6"/>
    <w:basedOn w:val="1"/>
    <w:next w:val="1"/>
    <w:link w:val="75"/>
    <w:qFormat/>
    <w:uiPriority w:val="9"/>
    <w:pPr>
      <w:keepNext/>
      <w:keepLines/>
      <w:widowControl/>
      <w:tabs>
        <w:tab w:val="left" w:pos="1440"/>
      </w:tabs>
      <w:spacing w:before="240" w:after="64" w:line="319" w:lineRule="auto"/>
      <w:ind w:left="2940" w:hanging="420"/>
      <w:jc w:val="left"/>
      <w:outlineLvl w:val="5"/>
    </w:pPr>
    <w:rPr>
      <w:rFonts w:ascii="Arial" w:hAnsi="Arial" w:eastAsia="黑体"/>
      <w:b/>
      <w:kern w:val="0"/>
      <w:sz w:val="24"/>
    </w:rPr>
  </w:style>
  <w:style w:type="paragraph" w:styleId="9">
    <w:name w:val="heading 7"/>
    <w:basedOn w:val="1"/>
    <w:next w:val="1"/>
    <w:link w:val="83"/>
    <w:qFormat/>
    <w:uiPriority w:val="9"/>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10">
    <w:name w:val="heading 8"/>
    <w:basedOn w:val="1"/>
    <w:next w:val="1"/>
    <w:link w:val="101"/>
    <w:qFormat/>
    <w:uiPriority w:val="9"/>
    <w:pPr>
      <w:keepNext/>
      <w:keepLines/>
      <w:widowControl/>
      <w:tabs>
        <w:tab w:val="left" w:pos="1440"/>
      </w:tabs>
      <w:spacing w:before="240" w:after="64" w:line="319" w:lineRule="auto"/>
      <w:ind w:left="3780" w:hanging="420"/>
      <w:jc w:val="left"/>
      <w:outlineLvl w:val="7"/>
    </w:pPr>
    <w:rPr>
      <w:rFonts w:ascii="Arial" w:hAnsi="Arial" w:eastAsia="黑体"/>
      <w:kern w:val="0"/>
      <w:sz w:val="24"/>
    </w:rPr>
  </w:style>
  <w:style w:type="paragraph" w:styleId="11">
    <w:name w:val="heading 9"/>
    <w:basedOn w:val="1"/>
    <w:next w:val="1"/>
    <w:link w:val="73"/>
    <w:qFormat/>
    <w:uiPriority w:val="9"/>
    <w:pPr>
      <w:keepNext/>
      <w:keepLines/>
      <w:widowControl/>
      <w:tabs>
        <w:tab w:val="left" w:pos="1584"/>
      </w:tabs>
      <w:spacing w:before="240" w:after="64" w:line="319" w:lineRule="auto"/>
      <w:ind w:left="4200" w:hanging="420"/>
      <w:jc w:val="left"/>
      <w:outlineLvl w:val="8"/>
    </w:pPr>
    <w:rPr>
      <w:rFonts w:ascii="Arial" w:hAnsi="Arial" w:eastAsia="黑体"/>
      <w:kern w:val="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6"/>
    <w:qFormat/>
    <w:uiPriority w:val="99"/>
    <w:pPr>
      <w:spacing w:line="0" w:lineRule="atLeast"/>
    </w:pPr>
    <w:rPr>
      <w:rFonts w:ascii="Times New Roman" w:hAnsi="Times New Roman"/>
      <w:sz w:val="30"/>
    </w:rPr>
  </w:style>
  <w:style w:type="paragraph" w:styleId="12">
    <w:name w:val="toc 7"/>
    <w:basedOn w:val="1"/>
    <w:next w:val="1"/>
    <w:qFormat/>
    <w:uiPriority w:val="39"/>
    <w:pPr>
      <w:ind w:left="2520" w:leftChars="1200"/>
    </w:pPr>
  </w:style>
  <w:style w:type="paragraph" w:styleId="13">
    <w:name w:val="index 8"/>
    <w:basedOn w:val="1"/>
    <w:next w:val="1"/>
    <w:qFormat/>
    <w:uiPriority w:val="0"/>
    <w:pPr>
      <w:widowControl/>
      <w:ind w:left="1400" w:leftChars="1400"/>
      <w:jc w:val="left"/>
    </w:pPr>
    <w:rPr>
      <w:rFonts w:ascii="Times New Roman" w:hAnsi="Times New Roman"/>
      <w:kern w:val="0"/>
      <w:sz w:val="20"/>
    </w:rPr>
  </w:style>
  <w:style w:type="paragraph" w:styleId="14">
    <w:name w:val="Normal Indent"/>
    <w:basedOn w:val="1"/>
    <w:link w:val="203"/>
    <w:qFormat/>
    <w:uiPriority w:val="99"/>
    <w:pPr>
      <w:widowControl/>
      <w:spacing w:line="357" w:lineRule="atLeast"/>
      <w:ind w:firstLine="420"/>
      <w:textAlignment w:val="baseline"/>
    </w:pPr>
    <w:rPr>
      <w:rFonts w:ascii="Times New Roman" w:hAnsi="Times New Roman"/>
      <w:color w:val="000000"/>
      <w:kern w:val="0"/>
      <w:u w:color="000000"/>
    </w:rPr>
  </w:style>
  <w:style w:type="paragraph" w:styleId="15">
    <w:name w:val="caption"/>
    <w:basedOn w:val="1"/>
    <w:next w:val="1"/>
    <w:qFormat/>
    <w:uiPriority w:val="99"/>
    <w:rPr>
      <w:rFonts w:ascii="Cambria" w:hAnsi="Cambria" w:eastAsia="黑体"/>
      <w:sz w:val="20"/>
    </w:rPr>
  </w:style>
  <w:style w:type="paragraph" w:styleId="16">
    <w:name w:val="index 5"/>
    <w:basedOn w:val="1"/>
    <w:next w:val="1"/>
    <w:qFormat/>
    <w:uiPriority w:val="0"/>
    <w:pPr>
      <w:widowControl/>
      <w:ind w:left="800" w:leftChars="800"/>
      <w:jc w:val="left"/>
    </w:pPr>
    <w:rPr>
      <w:rFonts w:ascii="Times New Roman" w:hAnsi="Times New Roman"/>
      <w:kern w:val="0"/>
      <w:sz w:val="20"/>
    </w:rPr>
  </w:style>
  <w:style w:type="paragraph" w:styleId="17">
    <w:name w:val="Document Map"/>
    <w:basedOn w:val="1"/>
    <w:link w:val="78"/>
    <w:qFormat/>
    <w:uiPriority w:val="99"/>
    <w:pPr>
      <w:shd w:val="clear" w:color="auto" w:fill="000080"/>
    </w:pPr>
  </w:style>
  <w:style w:type="paragraph" w:styleId="18">
    <w:name w:val="annotation text"/>
    <w:basedOn w:val="1"/>
    <w:link w:val="79"/>
    <w:qFormat/>
    <w:uiPriority w:val="0"/>
    <w:pPr>
      <w:jc w:val="left"/>
    </w:pPr>
  </w:style>
  <w:style w:type="paragraph" w:styleId="19">
    <w:name w:val="index 6"/>
    <w:basedOn w:val="1"/>
    <w:next w:val="1"/>
    <w:qFormat/>
    <w:uiPriority w:val="0"/>
    <w:pPr>
      <w:widowControl/>
      <w:ind w:left="1000" w:leftChars="1000"/>
      <w:jc w:val="left"/>
    </w:pPr>
    <w:rPr>
      <w:rFonts w:ascii="Times New Roman" w:hAnsi="Times New Roman"/>
      <w:kern w:val="0"/>
      <w:sz w:val="20"/>
    </w:rPr>
  </w:style>
  <w:style w:type="paragraph" w:styleId="20">
    <w:name w:val="Body Text 3"/>
    <w:basedOn w:val="1"/>
    <w:link w:val="100"/>
    <w:qFormat/>
    <w:uiPriority w:val="0"/>
    <w:pPr>
      <w:adjustRightInd w:val="0"/>
      <w:spacing w:line="312" w:lineRule="atLeast"/>
    </w:pPr>
    <w:rPr>
      <w:rFonts w:ascii="黑体" w:hAnsi="Times New Roman" w:eastAsia="黑体"/>
      <w:sz w:val="28"/>
    </w:rPr>
  </w:style>
  <w:style w:type="paragraph" w:styleId="21">
    <w:name w:val="Body Text Indent"/>
    <w:basedOn w:val="1"/>
    <w:link w:val="93"/>
    <w:qFormat/>
    <w:uiPriority w:val="99"/>
    <w:pPr>
      <w:spacing w:line="520" w:lineRule="exact"/>
      <w:ind w:firstLine="525"/>
    </w:pPr>
    <w:rPr>
      <w:sz w:val="24"/>
    </w:rPr>
  </w:style>
  <w:style w:type="paragraph" w:styleId="22">
    <w:name w:val="List 2"/>
    <w:basedOn w:val="1"/>
    <w:qFormat/>
    <w:uiPriority w:val="0"/>
    <w:pPr>
      <w:ind w:left="840" w:hanging="420"/>
    </w:pPr>
    <w:rPr>
      <w:rFonts w:ascii="Times New Roman" w:hAnsi="Times New Roman"/>
    </w:rPr>
  </w:style>
  <w:style w:type="paragraph" w:styleId="23">
    <w:name w:val="Block Text"/>
    <w:basedOn w:val="1"/>
    <w:qFormat/>
    <w:uiPriority w:val="0"/>
    <w:pPr>
      <w:adjustRightInd w:val="0"/>
      <w:ind w:left="420" w:right="33"/>
      <w:jc w:val="left"/>
      <w:textAlignment w:val="baseline"/>
    </w:pPr>
    <w:rPr>
      <w:rFonts w:ascii="Times New Roman" w:hAnsi="Times New Roman"/>
      <w:kern w:val="0"/>
      <w:sz w:val="24"/>
    </w:rPr>
  </w:style>
  <w:style w:type="paragraph" w:styleId="24">
    <w:name w:val="index 4"/>
    <w:basedOn w:val="1"/>
    <w:next w:val="1"/>
    <w:qFormat/>
    <w:uiPriority w:val="99"/>
    <w:pPr>
      <w:widowControl/>
      <w:ind w:left="600" w:leftChars="600"/>
      <w:jc w:val="left"/>
    </w:pPr>
    <w:rPr>
      <w:rFonts w:ascii="Times New Roman" w:hAnsi="Times New Roman"/>
      <w:kern w:val="0"/>
      <w:sz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87"/>
    <w:qFormat/>
    <w:uiPriority w:val="0"/>
  </w:style>
  <w:style w:type="paragraph" w:styleId="28">
    <w:name w:val="toc 8"/>
    <w:basedOn w:val="1"/>
    <w:next w:val="1"/>
    <w:qFormat/>
    <w:uiPriority w:val="39"/>
    <w:pPr>
      <w:ind w:left="2940" w:leftChars="1400"/>
    </w:pPr>
  </w:style>
  <w:style w:type="paragraph" w:styleId="29">
    <w:name w:val="index 3"/>
    <w:basedOn w:val="1"/>
    <w:next w:val="1"/>
    <w:qFormat/>
    <w:uiPriority w:val="0"/>
    <w:pPr>
      <w:widowControl/>
      <w:ind w:left="400" w:leftChars="400"/>
      <w:jc w:val="left"/>
    </w:pPr>
    <w:rPr>
      <w:rFonts w:ascii="Times New Roman" w:hAnsi="Times New Roman"/>
      <w:kern w:val="0"/>
      <w:sz w:val="20"/>
    </w:rPr>
  </w:style>
  <w:style w:type="paragraph" w:styleId="30">
    <w:name w:val="Date"/>
    <w:basedOn w:val="1"/>
    <w:next w:val="1"/>
    <w:link w:val="95"/>
    <w:qFormat/>
    <w:uiPriority w:val="99"/>
    <w:pPr>
      <w:ind w:left="100" w:leftChars="2500"/>
    </w:pPr>
    <w:rPr>
      <w:bCs/>
    </w:rPr>
  </w:style>
  <w:style w:type="paragraph" w:styleId="31">
    <w:name w:val="Body Text Indent 2"/>
    <w:basedOn w:val="1"/>
    <w:link w:val="82"/>
    <w:qFormat/>
    <w:uiPriority w:val="99"/>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32">
    <w:name w:val="endnote text"/>
    <w:basedOn w:val="1"/>
    <w:link w:val="91"/>
    <w:qFormat/>
    <w:uiPriority w:val="0"/>
    <w:pPr>
      <w:widowControl/>
      <w:snapToGrid w:val="0"/>
      <w:jc w:val="left"/>
    </w:pPr>
    <w:rPr>
      <w:rFonts w:ascii="Times New Roman" w:hAnsi="Times New Roman"/>
      <w:kern w:val="0"/>
      <w:sz w:val="20"/>
    </w:rPr>
  </w:style>
  <w:style w:type="paragraph" w:styleId="33">
    <w:name w:val="Balloon Text"/>
    <w:basedOn w:val="1"/>
    <w:link w:val="77"/>
    <w:qFormat/>
    <w:uiPriority w:val="99"/>
    <w:rPr>
      <w:sz w:val="18"/>
      <w:szCs w:val="18"/>
    </w:rPr>
  </w:style>
  <w:style w:type="paragraph" w:styleId="34">
    <w:name w:val="footer"/>
    <w:basedOn w:val="1"/>
    <w:link w:val="86"/>
    <w:qFormat/>
    <w:uiPriority w:val="99"/>
    <w:pPr>
      <w:tabs>
        <w:tab w:val="center" w:pos="4153"/>
        <w:tab w:val="right" w:pos="8306"/>
      </w:tabs>
      <w:snapToGrid w:val="0"/>
      <w:jc w:val="left"/>
    </w:pPr>
    <w:rPr>
      <w:sz w:val="18"/>
    </w:rPr>
  </w:style>
  <w:style w:type="paragraph" w:styleId="35">
    <w:name w:val="header"/>
    <w:basedOn w:val="1"/>
    <w:link w:val="92"/>
    <w:qFormat/>
    <w:uiPriority w:val="99"/>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right" w:leader="dot" w:pos="9030"/>
      </w:tabs>
    </w:pPr>
    <w:rPr>
      <w:color w:val="000000"/>
      <w:sz w:val="28"/>
    </w:rPr>
  </w:style>
  <w:style w:type="paragraph" w:styleId="37">
    <w:name w:val="toc 4"/>
    <w:basedOn w:val="1"/>
    <w:next w:val="1"/>
    <w:qFormat/>
    <w:uiPriority w:val="39"/>
    <w:pPr>
      <w:ind w:left="1260" w:leftChars="600"/>
    </w:pPr>
  </w:style>
  <w:style w:type="paragraph" w:styleId="38">
    <w:name w:val="index heading"/>
    <w:basedOn w:val="1"/>
    <w:next w:val="39"/>
    <w:qFormat/>
    <w:uiPriority w:val="0"/>
    <w:pPr>
      <w:widowControl/>
      <w:jc w:val="left"/>
    </w:pPr>
    <w:rPr>
      <w:rFonts w:ascii="Times New Roman" w:hAnsi="Times New Roman"/>
      <w:kern w:val="0"/>
      <w:sz w:val="20"/>
    </w:rPr>
  </w:style>
  <w:style w:type="paragraph" w:styleId="39">
    <w:name w:val="index 1"/>
    <w:basedOn w:val="1"/>
    <w:next w:val="1"/>
    <w:qFormat/>
    <w:uiPriority w:val="0"/>
  </w:style>
  <w:style w:type="paragraph" w:styleId="40">
    <w:name w:val="Subtitle"/>
    <w:basedOn w:val="1"/>
    <w:next w:val="1"/>
    <w:link w:val="195"/>
    <w:qFormat/>
    <w:uiPriority w:val="11"/>
    <w:pPr>
      <w:spacing w:before="240" w:after="60" w:line="312" w:lineRule="auto"/>
      <w:jc w:val="center"/>
      <w:outlineLvl w:val="1"/>
    </w:pPr>
    <w:rPr>
      <w:rFonts w:ascii="Cambria" w:hAnsi="Cambria"/>
      <w:b/>
      <w:bCs/>
      <w:kern w:val="28"/>
      <w:sz w:val="32"/>
      <w:szCs w:val="32"/>
    </w:rPr>
  </w:style>
  <w:style w:type="paragraph" w:styleId="41">
    <w:name w:val="footnote text"/>
    <w:basedOn w:val="1"/>
    <w:link w:val="80"/>
    <w:qFormat/>
    <w:uiPriority w:val="99"/>
    <w:pPr>
      <w:adjustRightInd w:val="0"/>
      <w:spacing w:line="312" w:lineRule="atLeast"/>
      <w:jc w:val="left"/>
      <w:textAlignment w:val="baseline"/>
    </w:pPr>
    <w:rPr>
      <w:rFonts w:ascii="Times New Roman" w:hAnsi="Times New Roman"/>
      <w:kern w:val="0"/>
      <w:sz w:val="18"/>
    </w:rPr>
  </w:style>
  <w:style w:type="paragraph" w:styleId="42">
    <w:name w:val="toc 6"/>
    <w:basedOn w:val="1"/>
    <w:next w:val="1"/>
    <w:qFormat/>
    <w:uiPriority w:val="39"/>
    <w:pPr>
      <w:ind w:left="2100" w:leftChars="1000"/>
    </w:pPr>
  </w:style>
  <w:style w:type="paragraph" w:styleId="43">
    <w:name w:val="List 5"/>
    <w:basedOn w:val="1"/>
    <w:qFormat/>
    <w:uiPriority w:val="0"/>
    <w:pPr>
      <w:ind w:left="2100" w:hanging="420"/>
    </w:pPr>
    <w:rPr>
      <w:rFonts w:ascii="Times New Roman" w:hAnsi="Times New Roman"/>
    </w:rPr>
  </w:style>
  <w:style w:type="paragraph" w:styleId="44">
    <w:name w:val="Body Text Indent 3"/>
    <w:basedOn w:val="1"/>
    <w:link w:val="76"/>
    <w:qFormat/>
    <w:uiPriority w:val="0"/>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45">
    <w:name w:val="index 7"/>
    <w:basedOn w:val="1"/>
    <w:next w:val="1"/>
    <w:qFormat/>
    <w:uiPriority w:val="0"/>
    <w:pPr>
      <w:widowControl/>
      <w:ind w:left="1200" w:leftChars="1200"/>
      <w:jc w:val="left"/>
    </w:pPr>
    <w:rPr>
      <w:rFonts w:ascii="Times New Roman" w:hAnsi="Times New Roman"/>
      <w:kern w:val="0"/>
      <w:sz w:val="20"/>
    </w:rPr>
  </w:style>
  <w:style w:type="paragraph" w:styleId="46">
    <w:name w:val="index 9"/>
    <w:basedOn w:val="1"/>
    <w:next w:val="1"/>
    <w:qFormat/>
    <w:uiPriority w:val="0"/>
    <w:pPr>
      <w:widowControl/>
      <w:ind w:left="1600" w:leftChars="1600"/>
      <w:jc w:val="left"/>
    </w:pPr>
    <w:rPr>
      <w:rFonts w:ascii="Times New Roman" w:hAnsi="Times New Roman"/>
      <w:kern w:val="0"/>
      <w:sz w:val="20"/>
    </w:rPr>
  </w:style>
  <w:style w:type="paragraph" w:styleId="47">
    <w:name w:val="toc 2"/>
    <w:basedOn w:val="1"/>
    <w:next w:val="1"/>
    <w:qFormat/>
    <w:uiPriority w:val="39"/>
    <w:pPr>
      <w:tabs>
        <w:tab w:val="right" w:leader="dot" w:pos="8810"/>
      </w:tabs>
      <w:ind w:left="420" w:leftChars="200"/>
    </w:pPr>
    <w:rPr>
      <w:rFonts w:hAnsi="宋体"/>
      <w:color w:val="000000"/>
    </w:rPr>
  </w:style>
  <w:style w:type="paragraph" w:styleId="48">
    <w:name w:val="toc 9"/>
    <w:basedOn w:val="1"/>
    <w:next w:val="1"/>
    <w:qFormat/>
    <w:uiPriority w:val="39"/>
    <w:pPr>
      <w:ind w:left="3360" w:leftChars="1600"/>
    </w:pPr>
  </w:style>
  <w:style w:type="paragraph" w:styleId="49">
    <w:name w:val="Body Text 2"/>
    <w:basedOn w:val="1"/>
    <w:link w:val="85"/>
    <w:qFormat/>
    <w:uiPriority w:val="0"/>
    <w:pPr>
      <w:adjustRightInd w:val="0"/>
      <w:spacing w:after="120" w:line="480" w:lineRule="auto"/>
      <w:textAlignment w:val="baseline"/>
    </w:pPr>
    <w:rPr>
      <w:rFonts w:ascii="Times New Roman" w:hAnsi="Times New Roman"/>
      <w:kern w:val="0"/>
    </w:rPr>
  </w:style>
  <w:style w:type="paragraph" w:styleId="50">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51">
    <w:name w:val="Normal (Web)"/>
    <w:basedOn w:val="1"/>
    <w:qFormat/>
    <w:uiPriority w:val="0"/>
    <w:pPr>
      <w:widowControl/>
      <w:spacing w:before="100" w:beforeAutospacing="1" w:after="100" w:afterAutospacing="1"/>
      <w:jc w:val="left"/>
    </w:pPr>
    <w:rPr>
      <w:rFonts w:hAnsi="宋体"/>
      <w:kern w:val="0"/>
      <w:sz w:val="24"/>
    </w:rPr>
  </w:style>
  <w:style w:type="paragraph" w:styleId="52">
    <w:name w:val="index 2"/>
    <w:basedOn w:val="1"/>
    <w:next w:val="1"/>
    <w:qFormat/>
    <w:uiPriority w:val="0"/>
    <w:pPr>
      <w:widowControl/>
      <w:ind w:left="200" w:leftChars="200"/>
      <w:jc w:val="left"/>
    </w:pPr>
    <w:rPr>
      <w:rFonts w:ascii="Times New Roman" w:hAnsi="Times New Roman"/>
      <w:kern w:val="0"/>
      <w:sz w:val="20"/>
    </w:rPr>
  </w:style>
  <w:style w:type="paragraph" w:styleId="53">
    <w:name w:val="Title"/>
    <w:basedOn w:val="1"/>
    <w:next w:val="1"/>
    <w:link w:val="168"/>
    <w:qFormat/>
    <w:uiPriority w:val="99"/>
    <w:pPr>
      <w:spacing w:before="240" w:after="60"/>
      <w:jc w:val="center"/>
      <w:outlineLvl w:val="0"/>
    </w:pPr>
    <w:rPr>
      <w:rFonts w:ascii="Cambria" w:hAnsi="Cambria"/>
      <w:b/>
      <w:bCs/>
      <w:sz w:val="32"/>
      <w:szCs w:val="32"/>
    </w:rPr>
  </w:style>
  <w:style w:type="paragraph" w:styleId="54">
    <w:name w:val="annotation subject"/>
    <w:basedOn w:val="18"/>
    <w:next w:val="18"/>
    <w:link w:val="98"/>
    <w:qFormat/>
    <w:uiPriority w:val="99"/>
    <w:rPr>
      <w:b/>
      <w:bCs/>
    </w:rPr>
  </w:style>
  <w:style w:type="paragraph" w:styleId="55">
    <w:name w:val="Body Text First Indent"/>
    <w:basedOn w:val="2"/>
    <w:link w:val="205"/>
    <w:qFormat/>
    <w:uiPriority w:val="0"/>
    <w:pPr>
      <w:spacing w:after="120" w:line="240" w:lineRule="auto"/>
      <w:ind w:firstLine="420" w:firstLineChars="100"/>
    </w:pPr>
    <w:rPr>
      <w:rFonts w:ascii="Calibri" w:hAnsi="Calibri"/>
      <w:sz w:val="21"/>
      <w:szCs w:val="24"/>
    </w:rPr>
  </w:style>
  <w:style w:type="paragraph" w:styleId="56">
    <w:name w:val="Body Text First Indent 2"/>
    <w:basedOn w:val="21"/>
    <w:qFormat/>
    <w:uiPriority w:val="0"/>
    <w:pPr>
      <w:spacing w:after="120"/>
      <w:ind w:left="420" w:firstLine="210"/>
    </w:pPr>
    <w:rPr>
      <w:rFonts w:ascii="Calibri" w:hAnsi="Calibri"/>
      <w:sz w:val="21"/>
    </w:rPr>
  </w:style>
  <w:style w:type="table" w:styleId="58">
    <w:name w:val="Table Grid"/>
    <w:basedOn w:val="5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99"/>
  </w:style>
  <w:style w:type="character" w:styleId="63">
    <w:name w:val="FollowedHyperlink"/>
    <w:qFormat/>
    <w:uiPriority w:val="99"/>
    <w:rPr>
      <w:color w:val="800080"/>
      <w:u w:val="single"/>
    </w:rPr>
  </w:style>
  <w:style w:type="character" w:styleId="64">
    <w:name w:val="Emphasis"/>
    <w:qFormat/>
    <w:uiPriority w:val="99"/>
    <w:rPr>
      <w:i/>
      <w:i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paragraph" w:customStyle="1" w:styleId="68">
    <w:name w:val="首行缩进"/>
    <w:qFormat/>
    <w:uiPriority w:val="0"/>
    <w:pPr>
      <w:widowControl w:val="0"/>
      <w:spacing w:line="360" w:lineRule="auto"/>
      <w:ind w:firstLine="480" w:firstLineChars="200"/>
    </w:pPr>
    <w:rPr>
      <w:rFonts w:ascii="宋体" w:hAnsi="宋体" w:eastAsia="宋体" w:cs="Times New Roman"/>
      <w:kern w:val="2"/>
      <w:sz w:val="24"/>
      <w:lang w:val="en-US" w:eastAsia="zh-CN" w:bidi="ar-SA"/>
    </w:rPr>
  </w:style>
  <w:style w:type="paragraph" w:customStyle="1" w:styleId="69">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0">
    <w:name w:val="正文 首行缩进:  2 字符"/>
    <w:qFormat/>
    <w:uiPriority w:val="99"/>
    <w:pPr>
      <w:widowControl w:val="0"/>
      <w:ind w:firstLine="579"/>
      <w:jc w:val="both"/>
    </w:pPr>
    <w:rPr>
      <w:rFonts w:ascii="Calibri" w:hAnsi="Calibri" w:eastAsia="宋体" w:cs="宋体"/>
      <w:kern w:val="2"/>
      <w:sz w:val="21"/>
      <w:lang w:val="en-US" w:eastAsia="zh-CN" w:bidi="ar-SA"/>
    </w:rPr>
  </w:style>
  <w:style w:type="character" w:customStyle="1" w:styleId="71">
    <w:name w:val="标题 1 字符"/>
    <w:link w:val="3"/>
    <w:qFormat/>
    <w:uiPriority w:val="99"/>
    <w:rPr>
      <w:rFonts w:ascii="宋体" w:hAnsi="Courier New" w:eastAsia="宋体"/>
      <w:b/>
      <w:bCs/>
      <w:kern w:val="44"/>
      <w:sz w:val="44"/>
      <w:szCs w:val="44"/>
      <w:lang w:val="en-US" w:eastAsia="zh-CN" w:bidi="ar-SA"/>
    </w:rPr>
  </w:style>
  <w:style w:type="character" w:customStyle="1" w:styleId="72">
    <w:name w:val="批注文字 Char1"/>
    <w:qFormat/>
    <w:uiPriority w:val="99"/>
    <w:rPr>
      <w:rFonts w:ascii="宋体" w:hAnsi="Courier New"/>
      <w:kern w:val="2"/>
      <w:sz w:val="21"/>
    </w:rPr>
  </w:style>
  <w:style w:type="character" w:customStyle="1" w:styleId="73">
    <w:name w:val="标题 9 字符"/>
    <w:link w:val="11"/>
    <w:qFormat/>
    <w:uiPriority w:val="9"/>
    <w:rPr>
      <w:rFonts w:ascii="Arial" w:hAnsi="Arial" w:eastAsia="黑体"/>
      <w:sz w:val="21"/>
    </w:rPr>
  </w:style>
  <w:style w:type="character" w:customStyle="1" w:styleId="74">
    <w:name w:val="Char Char2"/>
    <w:qFormat/>
    <w:uiPriority w:val="0"/>
    <w:rPr>
      <w:rFonts w:ascii="宋体" w:hAnsi="Courier New" w:eastAsia="宋体"/>
      <w:kern w:val="2"/>
      <w:sz w:val="21"/>
      <w:lang w:val="en-US" w:eastAsia="zh-CN" w:bidi="ar-SA"/>
    </w:rPr>
  </w:style>
  <w:style w:type="character" w:customStyle="1" w:styleId="75">
    <w:name w:val="标题 6 字符"/>
    <w:link w:val="8"/>
    <w:qFormat/>
    <w:uiPriority w:val="9"/>
    <w:rPr>
      <w:rFonts w:ascii="Arial" w:hAnsi="Arial" w:eastAsia="黑体"/>
      <w:b/>
      <w:sz w:val="24"/>
    </w:rPr>
  </w:style>
  <w:style w:type="character" w:customStyle="1" w:styleId="76">
    <w:name w:val="正文文本缩进 3 字符"/>
    <w:link w:val="44"/>
    <w:qFormat/>
    <w:uiPriority w:val="0"/>
    <w:rPr>
      <w:rFonts w:ascii="宋体" w:hAnsi="MS Sans Serif"/>
      <w:color w:val="000000"/>
      <w:sz w:val="24"/>
    </w:rPr>
  </w:style>
  <w:style w:type="character" w:customStyle="1" w:styleId="77">
    <w:name w:val="批注框文本 字符"/>
    <w:link w:val="33"/>
    <w:qFormat/>
    <w:uiPriority w:val="99"/>
    <w:rPr>
      <w:rFonts w:ascii="宋体" w:hAnsi="Courier New"/>
      <w:kern w:val="2"/>
      <w:sz w:val="18"/>
      <w:szCs w:val="18"/>
    </w:rPr>
  </w:style>
  <w:style w:type="character" w:customStyle="1" w:styleId="78">
    <w:name w:val="文档结构图 字符"/>
    <w:link w:val="17"/>
    <w:qFormat/>
    <w:uiPriority w:val="99"/>
    <w:rPr>
      <w:rFonts w:ascii="宋体" w:hAnsi="Courier New"/>
      <w:kern w:val="2"/>
      <w:sz w:val="21"/>
      <w:shd w:val="clear" w:color="auto" w:fill="000080"/>
    </w:rPr>
  </w:style>
  <w:style w:type="character" w:customStyle="1" w:styleId="79">
    <w:name w:val="批注文字 字符"/>
    <w:link w:val="18"/>
    <w:qFormat/>
    <w:uiPriority w:val="99"/>
    <w:rPr>
      <w:rFonts w:ascii="宋体" w:hAnsi="Courier New"/>
      <w:kern w:val="2"/>
      <w:sz w:val="21"/>
    </w:rPr>
  </w:style>
  <w:style w:type="character" w:customStyle="1" w:styleId="80">
    <w:name w:val="脚注文本 字符"/>
    <w:link w:val="41"/>
    <w:qFormat/>
    <w:uiPriority w:val="99"/>
    <w:rPr>
      <w:sz w:val="18"/>
    </w:rPr>
  </w:style>
  <w:style w:type="character" w:customStyle="1" w:styleId="81">
    <w:name w:val="标题 4 字符"/>
    <w:link w:val="6"/>
    <w:qFormat/>
    <w:uiPriority w:val="99"/>
    <w:rPr>
      <w:rFonts w:ascii="Arial" w:hAnsi="Arial" w:eastAsia="黑体"/>
      <w:color w:val="000000"/>
      <w:sz w:val="28"/>
    </w:rPr>
  </w:style>
  <w:style w:type="character" w:customStyle="1" w:styleId="82">
    <w:name w:val="正文文本缩进 2 字符"/>
    <w:link w:val="31"/>
    <w:qFormat/>
    <w:uiPriority w:val="99"/>
    <w:rPr>
      <w:rFonts w:ascii="宋体" w:hAnsi="MS Sans Serif"/>
      <w:spacing w:val="12"/>
      <w:sz w:val="24"/>
    </w:rPr>
  </w:style>
  <w:style w:type="character" w:customStyle="1" w:styleId="83">
    <w:name w:val="标题 7 字符"/>
    <w:link w:val="9"/>
    <w:qFormat/>
    <w:uiPriority w:val="9"/>
    <w:rPr>
      <w:b/>
      <w:sz w:val="24"/>
    </w:rPr>
  </w:style>
  <w:style w:type="character" w:customStyle="1" w:styleId="84">
    <w:name w:val="标题 2 字符"/>
    <w:link w:val="4"/>
    <w:qFormat/>
    <w:uiPriority w:val="99"/>
    <w:rPr>
      <w:rFonts w:ascii="Arial" w:hAnsi="Arial" w:eastAsia="黑体"/>
      <w:b/>
      <w:bCs/>
      <w:kern w:val="2"/>
      <w:sz w:val="32"/>
      <w:szCs w:val="32"/>
    </w:rPr>
  </w:style>
  <w:style w:type="character" w:customStyle="1" w:styleId="85">
    <w:name w:val="正文文本 2 字符"/>
    <w:link w:val="49"/>
    <w:qFormat/>
    <w:uiPriority w:val="0"/>
    <w:rPr>
      <w:sz w:val="21"/>
    </w:rPr>
  </w:style>
  <w:style w:type="character" w:customStyle="1" w:styleId="86">
    <w:name w:val="页脚 字符"/>
    <w:link w:val="34"/>
    <w:qFormat/>
    <w:uiPriority w:val="99"/>
    <w:rPr>
      <w:rFonts w:ascii="宋体" w:hAnsi="Courier New"/>
      <w:kern w:val="2"/>
      <w:sz w:val="18"/>
    </w:rPr>
  </w:style>
  <w:style w:type="character" w:customStyle="1" w:styleId="87">
    <w:name w:val="纯文本 字符1"/>
    <w:link w:val="27"/>
    <w:qFormat/>
    <w:uiPriority w:val="0"/>
    <w:rPr>
      <w:rFonts w:ascii="宋体" w:hAnsi="Courier New" w:eastAsia="宋体"/>
      <w:kern w:val="2"/>
      <w:sz w:val="21"/>
      <w:lang w:val="en-US" w:eastAsia="zh-CN" w:bidi="ar-SA"/>
    </w:rPr>
  </w:style>
  <w:style w:type="character" w:customStyle="1" w:styleId="88">
    <w:name w:val="Char Char Char"/>
    <w:qFormat/>
    <w:uiPriority w:val="0"/>
    <w:rPr>
      <w:rFonts w:ascii="宋体" w:hAnsi="Courier New" w:eastAsia="宋体"/>
      <w:kern w:val="2"/>
      <w:sz w:val="21"/>
      <w:lang w:val="en-US" w:eastAsia="zh-CN" w:bidi="ar-SA"/>
    </w:rPr>
  </w:style>
  <w:style w:type="character" w:customStyle="1" w:styleId="89">
    <w:name w:val="Char Char"/>
    <w:qFormat/>
    <w:uiPriority w:val="0"/>
    <w:rPr>
      <w:kern w:val="2"/>
      <w:sz w:val="18"/>
    </w:rPr>
  </w:style>
  <w:style w:type="character" w:customStyle="1" w:styleId="90">
    <w:name w:val="纯文本 Char1"/>
    <w:qFormat/>
    <w:uiPriority w:val="99"/>
    <w:rPr>
      <w:rFonts w:ascii="宋体" w:hAnsi="Courier New" w:eastAsia="宋体"/>
      <w:kern w:val="2"/>
      <w:sz w:val="21"/>
      <w:lang w:val="en-US" w:eastAsia="zh-CN" w:bidi="ar-SA"/>
    </w:rPr>
  </w:style>
  <w:style w:type="character" w:customStyle="1" w:styleId="91">
    <w:name w:val="尾注文本 字符"/>
    <w:basedOn w:val="59"/>
    <w:link w:val="32"/>
    <w:qFormat/>
    <w:uiPriority w:val="0"/>
  </w:style>
  <w:style w:type="character" w:customStyle="1" w:styleId="92">
    <w:name w:val="页眉 字符"/>
    <w:link w:val="35"/>
    <w:qFormat/>
    <w:uiPriority w:val="99"/>
    <w:rPr>
      <w:rFonts w:ascii="宋体" w:hAnsi="Courier New"/>
      <w:kern w:val="2"/>
      <w:sz w:val="18"/>
    </w:rPr>
  </w:style>
  <w:style w:type="character" w:customStyle="1" w:styleId="93">
    <w:name w:val="正文文本缩进 字符"/>
    <w:link w:val="21"/>
    <w:qFormat/>
    <w:uiPriority w:val="99"/>
    <w:rPr>
      <w:rFonts w:ascii="宋体" w:hAnsi="Courier New"/>
      <w:kern w:val="2"/>
      <w:sz w:val="24"/>
    </w:rPr>
  </w:style>
  <w:style w:type="character" w:customStyle="1" w:styleId="94">
    <w:name w:val="标题 3 字符"/>
    <w:link w:val="5"/>
    <w:qFormat/>
    <w:uiPriority w:val="99"/>
    <w:rPr>
      <w:rFonts w:ascii="宋体" w:hAnsi="宋体"/>
      <w:b/>
      <w:bCs/>
      <w:sz w:val="24"/>
      <w:szCs w:val="32"/>
    </w:rPr>
  </w:style>
  <w:style w:type="character" w:customStyle="1" w:styleId="95">
    <w:name w:val="日期 字符"/>
    <w:link w:val="30"/>
    <w:qFormat/>
    <w:uiPriority w:val="99"/>
    <w:rPr>
      <w:rFonts w:ascii="宋体" w:hAnsi="Courier New"/>
      <w:bCs/>
      <w:kern w:val="2"/>
      <w:sz w:val="21"/>
    </w:rPr>
  </w:style>
  <w:style w:type="character" w:customStyle="1" w:styleId="96">
    <w:name w:val="正文文本 字符"/>
    <w:link w:val="2"/>
    <w:qFormat/>
    <w:uiPriority w:val="99"/>
    <w:rPr>
      <w:kern w:val="2"/>
      <w:sz w:val="30"/>
    </w:rPr>
  </w:style>
  <w:style w:type="character" w:customStyle="1" w:styleId="97">
    <w:name w:val="标题 5 字符"/>
    <w:link w:val="7"/>
    <w:qFormat/>
    <w:uiPriority w:val="99"/>
    <w:rPr>
      <w:rFonts w:ascii="宋体" w:hAnsi="宋体"/>
      <w:b/>
      <w:sz w:val="24"/>
    </w:rPr>
  </w:style>
  <w:style w:type="character" w:customStyle="1" w:styleId="98">
    <w:name w:val="批注主题 字符"/>
    <w:link w:val="54"/>
    <w:qFormat/>
    <w:uiPriority w:val="99"/>
    <w:rPr>
      <w:rFonts w:ascii="宋体" w:hAnsi="Courier New"/>
      <w:b/>
      <w:bCs/>
      <w:kern w:val="2"/>
      <w:sz w:val="21"/>
    </w:rPr>
  </w:style>
  <w:style w:type="character" w:customStyle="1" w:styleId="99">
    <w:name w:val="Para head"/>
    <w:qFormat/>
    <w:uiPriority w:val="0"/>
    <w:rPr>
      <w:rFonts w:ascii="Arial" w:hAnsi="Arial" w:eastAsia="Times New Roman"/>
      <w:sz w:val="20"/>
    </w:rPr>
  </w:style>
  <w:style w:type="character" w:customStyle="1" w:styleId="100">
    <w:name w:val="正文文本 3 字符"/>
    <w:link w:val="20"/>
    <w:qFormat/>
    <w:uiPriority w:val="0"/>
    <w:rPr>
      <w:rFonts w:ascii="黑体" w:eastAsia="黑体"/>
      <w:kern w:val="2"/>
      <w:sz w:val="28"/>
    </w:rPr>
  </w:style>
  <w:style w:type="character" w:customStyle="1" w:styleId="101">
    <w:name w:val="标题 8 字符"/>
    <w:link w:val="10"/>
    <w:qFormat/>
    <w:uiPriority w:val="9"/>
    <w:rPr>
      <w:rFonts w:ascii="Arial" w:hAnsi="Arial" w:eastAsia="黑体"/>
      <w:sz w:val="24"/>
    </w:rPr>
  </w:style>
  <w:style w:type="character" w:customStyle="1" w:styleId="102">
    <w:name w:val="标题3 Char Char"/>
    <w:link w:val="103"/>
    <w:qFormat/>
    <w:uiPriority w:val="0"/>
    <w:rPr>
      <w:rFonts w:ascii="宋体" w:hAnsi="宋体" w:eastAsia="楷体_GB2312"/>
      <w:bCs/>
      <w:kern w:val="44"/>
      <w:sz w:val="28"/>
      <w:szCs w:val="24"/>
    </w:rPr>
  </w:style>
  <w:style w:type="paragraph" w:customStyle="1" w:styleId="103">
    <w:name w:val="标题3"/>
    <w:basedOn w:val="3"/>
    <w:link w:val="102"/>
    <w:qFormat/>
    <w:uiPriority w:val="0"/>
    <w:pPr>
      <w:spacing w:beforeLines="50" w:afterLines="50" w:line="400" w:lineRule="exact"/>
      <w:jc w:val="center"/>
    </w:pPr>
    <w:rPr>
      <w:rFonts w:hAnsi="宋体" w:eastAsia="楷体_GB2312"/>
      <w:b w:val="0"/>
      <w:sz w:val="28"/>
      <w:szCs w:val="24"/>
    </w:rPr>
  </w:style>
  <w:style w:type="character" w:customStyle="1" w:styleId="104">
    <w:name w:val="普通文字 Char Char2"/>
    <w:qFormat/>
    <w:uiPriority w:val="0"/>
    <w:rPr>
      <w:rFonts w:ascii="宋体" w:hAnsi="Courier New" w:eastAsia="宋体"/>
      <w:kern w:val="2"/>
      <w:sz w:val="21"/>
      <w:lang w:val="en-US" w:eastAsia="zh-CN" w:bidi="ar-SA"/>
    </w:rPr>
  </w:style>
  <w:style w:type="paragraph" w:customStyle="1" w:styleId="105">
    <w:name w:val="_Style 73"/>
    <w:next w:val="1"/>
    <w:qFormat/>
    <w:uiPriority w:val="0"/>
    <w:pPr>
      <w:widowControl w:val="0"/>
      <w:jc w:val="both"/>
    </w:pPr>
    <w:rPr>
      <w:rFonts w:ascii="宋体" w:hAnsi="Courier New" w:eastAsia="宋体" w:cs="Times New Roman"/>
      <w:kern w:val="2"/>
      <w:sz w:val="21"/>
      <w:lang w:val="en-US" w:eastAsia="zh-CN" w:bidi="ar-SA"/>
    </w:rPr>
  </w:style>
  <w:style w:type="paragraph" w:customStyle="1" w:styleId="106">
    <w:name w:val="ǲ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07">
    <w:name w:val="Char"/>
    <w:basedOn w:val="1"/>
    <w:qFormat/>
    <w:uiPriority w:val="99"/>
    <w:rPr>
      <w:rFonts w:ascii="Times New Roman" w:hAnsi="Times New Roman"/>
      <w:szCs w:val="24"/>
    </w:rPr>
  </w:style>
  <w:style w:type="paragraph" w:customStyle="1" w:styleId="108">
    <w:name w:val="1"/>
    <w:basedOn w:val="1"/>
    <w:next w:val="27"/>
    <w:qFormat/>
    <w:uiPriority w:val="99"/>
  </w:style>
  <w:style w:type="paragraph" w:customStyle="1" w:styleId="109">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110">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11">
    <w:name w:val="样式1"/>
    <w:basedOn w:val="1"/>
    <w:qFormat/>
    <w:uiPriority w:val="99"/>
    <w:pPr>
      <w:spacing w:before="120" w:after="120" w:line="300" w:lineRule="auto"/>
    </w:pPr>
    <w:rPr>
      <w:rFonts w:hAnsi="宋体"/>
      <w:b/>
      <w:sz w:val="24"/>
    </w:rPr>
  </w:style>
  <w:style w:type="paragraph" w:customStyle="1" w:styleId="112">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styleId="113">
    <w:name w:val="List Paragraph"/>
    <w:basedOn w:val="1"/>
    <w:qFormat/>
    <w:uiPriority w:val="34"/>
    <w:pPr>
      <w:widowControl/>
      <w:ind w:firstLine="420" w:firstLineChars="200"/>
      <w:jc w:val="left"/>
    </w:pPr>
    <w:rPr>
      <w:rFonts w:ascii="Calibri" w:hAnsi="Calibri"/>
      <w:sz w:val="20"/>
      <w:szCs w:val="22"/>
    </w:rPr>
  </w:style>
  <w:style w:type="paragraph" w:customStyle="1" w:styleId="114">
    <w:name w:val="Char Char Char Char Char Char Char Char Char Char Char Char Char Char Char Char"/>
    <w:basedOn w:val="1"/>
    <w:qFormat/>
    <w:uiPriority w:val="0"/>
    <w:pPr>
      <w:tabs>
        <w:tab w:val="left" w:pos="360"/>
      </w:tabs>
      <w:spacing w:line="360" w:lineRule="auto"/>
      <w:ind w:left="482" w:firstLine="200" w:firstLineChars="200"/>
    </w:pPr>
    <w:rPr>
      <w:rFonts w:hAnsi="Times New Roman"/>
      <w:sz w:val="24"/>
      <w:szCs w:val="24"/>
    </w:rPr>
  </w:style>
  <w:style w:type="paragraph" w:customStyle="1" w:styleId="11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16">
    <w:name w:val="菲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17">
    <w:name w:val="默认段落字体 Para Char Char Char Char Char Char Char Char Char Char"/>
    <w:basedOn w:val="1"/>
    <w:qFormat/>
    <w:uiPriority w:val="0"/>
    <w:rPr>
      <w:rFonts w:ascii="Tahoma" w:hAnsi="Tahoma"/>
      <w:sz w:val="24"/>
      <w:szCs w:val="24"/>
      <w:u w:val="single"/>
    </w:rPr>
  </w:style>
  <w:style w:type="paragraph" w:customStyle="1" w:styleId="118">
    <w:name w:val="菲页2"/>
    <w:basedOn w:val="5"/>
    <w:qFormat/>
    <w:uiPriority w:val="0"/>
    <w:pPr>
      <w:widowControl/>
      <w:spacing w:beforeLines="100" w:afterLines="50" w:line="360" w:lineRule="auto"/>
      <w:jc w:val="center"/>
    </w:pPr>
    <w:rPr>
      <w:rFonts w:ascii="黑体" w:eastAsia="黑体"/>
      <w:b w:val="0"/>
      <w:bCs w:val="0"/>
      <w:color w:val="000000"/>
      <w:sz w:val="44"/>
      <w:szCs w:val="20"/>
    </w:rPr>
  </w:style>
  <w:style w:type="paragraph" w:customStyle="1" w:styleId="119">
    <w:name w:val="目录文字"/>
    <w:basedOn w:val="1"/>
    <w:qFormat/>
    <w:uiPriority w:val="0"/>
    <w:pPr>
      <w:widowControl/>
      <w:spacing w:line="480" w:lineRule="auto"/>
      <w:jc w:val="left"/>
    </w:pPr>
    <w:rPr>
      <w:rFonts w:hAnsi="宋体"/>
      <w:kern w:val="0"/>
      <w:sz w:val="24"/>
    </w:rPr>
  </w:style>
  <w:style w:type="paragraph" w:customStyle="1" w:styleId="120">
    <w:name w:val="菲页(卷)"/>
    <w:basedOn w:val="3"/>
    <w:next w:val="121"/>
    <w:qFormat/>
    <w:uiPriority w:val="0"/>
    <w:pPr>
      <w:keepLines w:val="0"/>
      <w:widowControl/>
      <w:tabs>
        <w:tab w:val="left" w:pos="840"/>
      </w:tabs>
      <w:spacing w:before="0" w:after="0" w:line="240" w:lineRule="auto"/>
      <w:ind w:left="840" w:hanging="420"/>
      <w:jc w:val="center"/>
      <w:outlineLvl w:val="1"/>
    </w:pPr>
    <w:rPr>
      <w:rFonts w:ascii="黑体" w:hAnsi="Times New Roman" w:eastAsia="黑体"/>
      <w:b w:val="0"/>
      <w:bCs w:val="0"/>
      <w:kern w:val="0"/>
      <w:sz w:val="52"/>
      <w:szCs w:val="20"/>
    </w:rPr>
  </w:style>
  <w:style w:type="paragraph" w:customStyle="1" w:styleId="12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
    <w:name w:val="批注框文本 Char Char"/>
    <w:basedOn w:val="1"/>
    <w:qFormat/>
    <w:uiPriority w:val="0"/>
    <w:rPr>
      <w:rFonts w:ascii="Times New Roman" w:hAnsi="Times New Roman"/>
      <w:sz w:val="18"/>
    </w:rPr>
  </w:style>
  <w:style w:type="paragraph" w:customStyle="1" w:styleId="123">
    <w:name w:val="样式 标题 2 + 小四 行距: 固定值 24 磅"/>
    <w:basedOn w:val="4"/>
    <w:qFormat/>
    <w:uiPriority w:val="0"/>
    <w:pPr>
      <w:spacing w:line="480" w:lineRule="exact"/>
    </w:pPr>
    <w:rPr>
      <w:rFonts w:eastAsia="宋体" w:cs="宋体"/>
      <w:kern w:val="0"/>
      <w:sz w:val="24"/>
      <w:szCs w:val="24"/>
    </w:rPr>
  </w:style>
  <w:style w:type="paragraph" w:customStyle="1" w:styleId="124">
    <w:name w:val="Char1 Char Char Char Char Char Char"/>
    <w:basedOn w:val="1"/>
    <w:qFormat/>
    <w:uiPriority w:val="0"/>
    <w:rPr>
      <w:rFonts w:ascii="Times New Roman" w:hAnsi="Times New Roman"/>
      <w:szCs w:val="24"/>
    </w:rPr>
  </w:style>
  <w:style w:type="paragraph" w:customStyle="1" w:styleId="125">
    <w:name w:val="目录"/>
    <w:basedOn w:val="1"/>
    <w:qFormat/>
    <w:uiPriority w:val="0"/>
    <w:pPr>
      <w:widowControl/>
      <w:jc w:val="center"/>
    </w:pPr>
    <w:rPr>
      <w:rFonts w:hAnsi="Times New Roman"/>
      <w:b/>
      <w:kern w:val="0"/>
      <w:sz w:val="36"/>
    </w:rPr>
  </w:style>
  <w:style w:type="paragraph" w:customStyle="1" w:styleId="126">
    <w:name w:val="2-2ji"/>
    <w:basedOn w:val="4"/>
    <w:qFormat/>
    <w:uiPriority w:val="99"/>
    <w:pPr>
      <w:tabs>
        <w:tab w:val="left" w:pos="1140"/>
      </w:tabs>
      <w:adjustRightInd w:val="0"/>
      <w:spacing w:before="0" w:after="0" w:line="360" w:lineRule="auto"/>
      <w:jc w:val="center"/>
      <w:textAlignment w:val="baseline"/>
    </w:pPr>
    <w:rPr>
      <w:rFonts w:ascii="宋体" w:hAnsi="宋体" w:eastAsia="宋体"/>
      <w:bCs w:val="0"/>
      <w:kern w:val="0"/>
      <w:szCs w:val="20"/>
    </w:rPr>
  </w:style>
  <w:style w:type="paragraph" w:customStyle="1" w:styleId="127">
    <w:name w:val="Default Paragraph Font Para Char Char Char Char Char Char"/>
    <w:basedOn w:val="1"/>
    <w:qFormat/>
    <w:uiPriority w:val="0"/>
    <w:pPr>
      <w:widowControl/>
      <w:spacing w:after="160" w:line="240" w:lineRule="exact"/>
      <w:jc w:val="left"/>
    </w:pPr>
    <w:rPr>
      <w:rFonts w:ascii="Times New Roman" w:hAnsi="Times New Roman"/>
    </w:rPr>
  </w:style>
  <w:style w:type="paragraph" w:styleId="12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TOC 标题1"/>
    <w:basedOn w:val="3"/>
    <w:next w:val="1"/>
    <w:unhideWhenUsed/>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130">
    <w:name w:val="明显强调1"/>
    <w:qFormat/>
    <w:uiPriority w:val="99"/>
    <w:rPr>
      <w:b/>
      <w:bCs/>
      <w:i/>
      <w:iCs/>
      <w:color w:val="4F81BD"/>
    </w:rPr>
  </w:style>
  <w:style w:type="character" w:customStyle="1" w:styleId="131">
    <w:name w:val="Heading 3 Char1"/>
    <w:qFormat/>
    <w:uiPriority w:val="99"/>
    <w:rPr>
      <w:rFonts w:eastAsia="宋体"/>
      <w:b/>
      <w:bCs/>
      <w:kern w:val="2"/>
      <w:sz w:val="24"/>
      <w:szCs w:val="32"/>
      <w:lang w:val="en-US" w:eastAsia="zh-CN" w:bidi="ar-SA"/>
    </w:rPr>
  </w:style>
  <w:style w:type="character" w:customStyle="1" w:styleId="132">
    <w:name w:val="Balloon Text Char"/>
    <w:qFormat/>
    <w:uiPriority w:val="99"/>
    <w:rPr>
      <w:sz w:val="18"/>
      <w:lang w:bidi="ar-SA"/>
    </w:rPr>
  </w:style>
  <w:style w:type="character" w:customStyle="1" w:styleId="133">
    <w:name w:val="Char Char18"/>
    <w:qFormat/>
    <w:uiPriority w:val="99"/>
    <w:rPr>
      <w:rFonts w:ascii="Times New Roman" w:hAnsi="Times New Roman" w:eastAsia="宋体" w:cs="Times New Roman"/>
      <w:b/>
      <w:bCs/>
      <w:sz w:val="28"/>
      <w:szCs w:val="28"/>
    </w:rPr>
  </w:style>
  <w:style w:type="character" w:customStyle="1" w:styleId="134">
    <w:name w:val="书籍标题1"/>
    <w:qFormat/>
    <w:uiPriority w:val="99"/>
    <w:rPr>
      <w:b/>
      <w:bCs/>
      <w:smallCaps/>
      <w:spacing w:val="5"/>
    </w:rPr>
  </w:style>
  <w:style w:type="character" w:customStyle="1" w:styleId="135">
    <w:name w:val="批注主题 Char1"/>
    <w:qFormat/>
    <w:uiPriority w:val="99"/>
    <w:rPr>
      <w:rFonts w:ascii="Times New Roman" w:hAnsi="Times New Roman" w:eastAsia="宋体" w:cs="Times New Roman"/>
      <w:b/>
      <w:bCs/>
      <w:szCs w:val="24"/>
    </w:rPr>
  </w:style>
  <w:style w:type="character" w:customStyle="1" w:styleId="136">
    <w:name w:val="Char Char20"/>
    <w:qFormat/>
    <w:uiPriority w:val="99"/>
    <w:rPr>
      <w:rFonts w:ascii="Times New Roman" w:hAnsi="Times New Roman" w:eastAsia="宋体" w:cs="Times New Roman"/>
      <w:b/>
      <w:bCs/>
      <w:sz w:val="24"/>
      <w:szCs w:val="32"/>
    </w:rPr>
  </w:style>
  <w:style w:type="character" w:customStyle="1" w:styleId="137">
    <w:name w:val="Footer Char"/>
    <w:qFormat/>
    <w:uiPriority w:val="99"/>
    <w:rPr>
      <w:rFonts w:eastAsia="宋体"/>
      <w:kern w:val="2"/>
      <w:sz w:val="18"/>
      <w:szCs w:val="18"/>
      <w:lang w:val="en-US" w:eastAsia="zh-CN" w:bidi="ar-SA"/>
    </w:rPr>
  </w:style>
  <w:style w:type="character" w:customStyle="1" w:styleId="138">
    <w:name w:val="Body Text Indent 2 Char"/>
    <w:qFormat/>
    <w:uiPriority w:val="99"/>
    <w:rPr>
      <w:rFonts w:eastAsia="宋体"/>
      <w:kern w:val="2"/>
      <w:sz w:val="21"/>
      <w:szCs w:val="24"/>
      <w:lang w:val="en-US" w:eastAsia="zh-CN" w:bidi="ar-SA"/>
    </w:rPr>
  </w:style>
  <w:style w:type="character" w:customStyle="1" w:styleId="139">
    <w:name w:val="Comment Text Char"/>
    <w:qFormat/>
    <w:uiPriority w:val="99"/>
    <w:rPr>
      <w:rFonts w:cs="Times New Roman"/>
      <w:sz w:val="24"/>
      <w:szCs w:val="24"/>
    </w:rPr>
  </w:style>
  <w:style w:type="character" w:customStyle="1" w:styleId="140">
    <w:name w:val="Char Char23"/>
    <w:qFormat/>
    <w:uiPriority w:val="99"/>
    <w:rPr>
      <w:rFonts w:eastAsia="宋体"/>
      <w:b/>
      <w:bCs/>
      <w:kern w:val="44"/>
      <w:sz w:val="32"/>
      <w:szCs w:val="44"/>
      <w:lang w:val="en-US" w:eastAsia="zh-CN" w:bidi="ar-SA"/>
    </w:rPr>
  </w:style>
  <w:style w:type="character" w:customStyle="1" w:styleId="141">
    <w:name w:val="不明显强调1"/>
    <w:qFormat/>
    <w:uiPriority w:val="99"/>
    <w:rPr>
      <w:i/>
      <w:iCs/>
      <w:color w:val="808080"/>
    </w:rPr>
  </w:style>
  <w:style w:type="character" w:customStyle="1" w:styleId="142">
    <w:name w:val="标题4 Char Char"/>
    <w:link w:val="143"/>
    <w:qFormat/>
    <w:uiPriority w:val="99"/>
    <w:rPr>
      <w:rFonts w:ascii="Arial" w:hAnsi="Arial"/>
      <w:b/>
      <w:bCs/>
      <w:sz w:val="24"/>
      <w:szCs w:val="32"/>
    </w:rPr>
  </w:style>
  <w:style w:type="paragraph" w:customStyle="1" w:styleId="143">
    <w:name w:val="标题4"/>
    <w:basedOn w:val="4"/>
    <w:next w:val="24"/>
    <w:link w:val="142"/>
    <w:qFormat/>
    <w:uiPriority w:val="99"/>
    <w:pPr>
      <w:spacing w:before="60" w:after="60" w:line="413" w:lineRule="auto"/>
    </w:pPr>
    <w:rPr>
      <w:rFonts w:eastAsia="宋体"/>
      <w:kern w:val="0"/>
      <w:sz w:val="24"/>
    </w:rPr>
  </w:style>
  <w:style w:type="character" w:customStyle="1" w:styleId="144">
    <w:name w:val="标题 Char2"/>
    <w:qFormat/>
    <w:uiPriority w:val="99"/>
    <w:rPr>
      <w:rFonts w:ascii="Cambria" w:hAnsi="Cambria" w:eastAsia="宋体" w:cs="Times New Roman"/>
      <w:b/>
      <w:bCs/>
      <w:sz w:val="32"/>
      <w:szCs w:val="32"/>
    </w:rPr>
  </w:style>
  <w:style w:type="character" w:customStyle="1" w:styleId="145">
    <w:name w:val="Char Char22"/>
    <w:qFormat/>
    <w:uiPriority w:val="99"/>
    <w:rPr>
      <w:rFonts w:ascii="Times New Roman" w:hAnsi="Times New Roman" w:eastAsia="宋体" w:cs="Times New Roman"/>
      <w:b/>
      <w:bCs/>
      <w:kern w:val="44"/>
      <w:sz w:val="32"/>
      <w:szCs w:val="44"/>
    </w:rPr>
  </w:style>
  <w:style w:type="character" w:customStyle="1" w:styleId="146">
    <w:name w:val="Heading 1 Char"/>
    <w:qFormat/>
    <w:uiPriority w:val="99"/>
    <w:rPr>
      <w:rFonts w:eastAsia="宋体"/>
      <w:b/>
      <w:bCs/>
      <w:kern w:val="44"/>
      <w:sz w:val="32"/>
      <w:szCs w:val="44"/>
      <w:lang w:val="en-US" w:eastAsia="zh-CN" w:bidi="ar-SA"/>
    </w:rPr>
  </w:style>
  <w:style w:type="character" w:customStyle="1" w:styleId="147">
    <w:name w:val="明显引用 字符"/>
    <w:link w:val="148"/>
    <w:qFormat/>
    <w:uiPriority w:val="99"/>
    <w:rPr>
      <w:b/>
      <w:bCs/>
      <w:i/>
      <w:iCs/>
      <w:color w:val="4F81BD"/>
    </w:rPr>
  </w:style>
  <w:style w:type="paragraph" w:styleId="148">
    <w:name w:val="Intense Quote"/>
    <w:basedOn w:val="1"/>
    <w:next w:val="1"/>
    <w:link w:val="147"/>
    <w:qFormat/>
    <w:uiPriority w:val="0"/>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9">
    <w:name w:val="Char Char9"/>
    <w:qFormat/>
    <w:uiPriority w:val="99"/>
    <w:rPr>
      <w:rFonts w:eastAsia="宋体"/>
      <w:b/>
      <w:bCs/>
      <w:kern w:val="44"/>
      <w:sz w:val="32"/>
      <w:szCs w:val="44"/>
      <w:lang w:val="en-US" w:eastAsia="zh-CN" w:bidi="ar-SA"/>
    </w:rPr>
  </w:style>
  <w:style w:type="character" w:customStyle="1" w:styleId="150">
    <w:name w:val="不明显参考1"/>
    <w:qFormat/>
    <w:uiPriority w:val="99"/>
    <w:rPr>
      <w:smallCaps/>
      <w:color w:val="C0504D"/>
      <w:u w:val="single"/>
    </w:rPr>
  </w:style>
  <w:style w:type="character" w:customStyle="1" w:styleId="151">
    <w:name w:val="批注框文本 Char1"/>
    <w:qFormat/>
    <w:uiPriority w:val="99"/>
    <w:rPr>
      <w:rFonts w:ascii="Times New Roman" w:hAnsi="Times New Roman" w:eastAsia="宋体" w:cs="Times New Roman"/>
      <w:sz w:val="18"/>
      <w:szCs w:val="18"/>
    </w:rPr>
  </w:style>
  <w:style w:type="character" w:customStyle="1" w:styleId="152">
    <w:name w:val="Char Char21"/>
    <w:qFormat/>
    <w:uiPriority w:val="99"/>
    <w:rPr>
      <w:rFonts w:ascii="Arial" w:hAnsi="Arial" w:eastAsia="黑体" w:cs="Times New Roman"/>
      <w:b/>
      <w:bCs/>
      <w:sz w:val="32"/>
      <w:szCs w:val="32"/>
    </w:rPr>
  </w:style>
  <w:style w:type="character" w:customStyle="1" w:styleId="153">
    <w:name w:val="文档结构图 Char1"/>
    <w:qFormat/>
    <w:uiPriority w:val="99"/>
    <w:rPr>
      <w:rFonts w:ascii="宋体" w:hAnsi="Times New Roman" w:eastAsia="宋体" w:cs="Times New Roman"/>
      <w:sz w:val="18"/>
      <w:szCs w:val="18"/>
    </w:rPr>
  </w:style>
  <w:style w:type="character" w:customStyle="1" w:styleId="154">
    <w:name w:val="引用 字符"/>
    <w:link w:val="155"/>
    <w:qFormat/>
    <w:uiPriority w:val="99"/>
    <w:rPr>
      <w:i/>
      <w:iCs/>
      <w:color w:val="000000"/>
    </w:rPr>
  </w:style>
  <w:style w:type="paragraph" w:styleId="155">
    <w:name w:val="Quote"/>
    <w:basedOn w:val="1"/>
    <w:next w:val="1"/>
    <w:link w:val="154"/>
    <w:qFormat/>
    <w:uiPriority w:val="0"/>
    <w:rPr>
      <w:rFonts w:ascii="Times New Roman" w:hAnsi="Times New Roman"/>
      <w:i/>
      <w:iCs/>
      <w:color w:val="000000"/>
      <w:kern w:val="0"/>
      <w:sz w:val="20"/>
    </w:rPr>
  </w:style>
  <w:style w:type="character" w:customStyle="1" w:styleId="156">
    <w:name w:val="Comment Subject Char"/>
    <w:qFormat/>
    <w:uiPriority w:val="99"/>
    <w:rPr>
      <w:b/>
      <w:sz w:val="24"/>
      <w:lang w:bidi="ar-SA"/>
    </w:rPr>
  </w:style>
  <w:style w:type="character" w:customStyle="1" w:styleId="157">
    <w:name w:val="Title Char"/>
    <w:qFormat/>
    <w:uiPriority w:val="99"/>
    <w:rPr>
      <w:rFonts w:ascii="Cambria" w:hAnsi="Cambria"/>
      <w:b/>
      <w:sz w:val="32"/>
      <w:lang w:bidi="ar-SA"/>
    </w:rPr>
  </w:style>
  <w:style w:type="character" w:customStyle="1" w:styleId="158">
    <w:name w:val="Heading 5 Char"/>
    <w:qFormat/>
    <w:uiPriority w:val="99"/>
    <w:rPr>
      <w:rFonts w:eastAsia="宋体"/>
      <w:b/>
      <w:bCs/>
      <w:kern w:val="2"/>
      <w:sz w:val="28"/>
      <w:szCs w:val="28"/>
      <w:lang w:val="en-US" w:eastAsia="zh-CN" w:bidi="ar-SA"/>
    </w:rPr>
  </w:style>
  <w:style w:type="character" w:customStyle="1" w:styleId="159">
    <w:name w:val="Body Text Indent Char"/>
    <w:qFormat/>
    <w:uiPriority w:val="99"/>
    <w:rPr>
      <w:rFonts w:ascii="宋体" w:hAnsi="宋体" w:eastAsia="宋体"/>
      <w:kern w:val="2"/>
      <w:sz w:val="21"/>
      <w:lang w:val="en-US" w:eastAsia="zh-CN" w:bidi="ar-SA"/>
    </w:rPr>
  </w:style>
  <w:style w:type="character" w:customStyle="1" w:styleId="160">
    <w:name w:val="批注文字 Char Char"/>
    <w:qFormat/>
    <w:uiPriority w:val="99"/>
    <w:rPr>
      <w:rFonts w:ascii="宋体" w:hAnsi="Times New Roman" w:eastAsia="宋体" w:cs="Times New Roman"/>
      <w:sz w:val="28"/>
      <w:szCs w:val="20"/>
    </w:rPr>
  </w:style>
  <w:style w:type="character" w:customStyle="1" w:styleId="161">
    <w:name w:val="Footnote Text Char"/>
    <w:qFormat/>
    <w:uiPriority w:val="99"/>
    <w:rPr>
      <w:rFonts w:eastAsia="宋体"/>
      <w:sz w:val="18"/>
      <w:lang w:val="en-US" w:eastAsia="zh-CN" w:bidi="ar-SA"/>
    </w:rPr>
  </w:style>
  <w:style w:type="character" w:customStyle="1" w:styleId="162">
    <w:name w:val="引用 Char1"/>
    <w:qFormat/>
    <w:uiPriority w:val="99"/>
    <w:rPr>
      <w:rFonts w:ascii="Times New Roman" w:hAnsi="Times New Roman" w:eastAsia="宋体" w:cs="Times New Roman"/>
      <w:i/>
      <w:iCs/>
      <w:color w:val="000000"/>
      <w:szCs w:val="24"/>
    </w:rPr>
  </w:style>
  <w:style w:type="character" w:customStyle="1" w:styleId="163">
    <w:name w:val="标题 Char1"/>
    <w:qFormat/>
    <w:uiPriority w:val="99"/>
    <w:rPr>
      <w:rFonts w:ascii="Cambria" w:hAnsi="Cambria" w:eastAsia="宋体" w:cs="Times New Roman"/>
      <w:b/>
      <w:bCs/>
      <w:sz w:val="32"/>
      <w:szCs w:val="32"/>
    </w:rPr>
  </w:style>
  <w:style w:type="character" w:customStyle="1" w:styleId="164">
    <w:name w:val="Document Map Char"/>
    <w:qFormat/>
    <w:uiPriority w:val="99"/>
    <w:rPr>
      <w:rFonts w:eastAsia="宋体"/>
      <w:kern w:val="2"/>
      <w:sz w:val="21"/>
      <w:szCs w:val="24"/>
      <w:lang w:val="en-US" w:eastAsia="zh-CN" w:bidi="ar-SA"/>
    </w:rPr>
  </w:style>
  <w:style w:type="character" w:customStyle="1" w:styleId="165">
    <w:name w:val="Date Char"/>
    <w:qFormat/>
    <w:uiPriority w:val="99"/>
    <w:rPr>
      <w:rFonts w:eastAsia="宋体"/>
      <w:kern w:val="2"/>
      <w:sz w:val="21"/>
      <w:szCs w:val="24"/>
      <w:lang w:val="en-US" w:eastAsia="zh-CN" w:bidi="ar-SA"/>
    </w:rPr>
  </w:style>
  <w:style w:type="character" w:customStyle="1" w:styleId="166">
    <w:name w:val="日期 Char1"/>
    <w:qFormat/>
    <w:uiPriority w:val="99"/>
    <w:rPr>
      <w:rFonts w:ascii="Times New Roman" w:hAnsi="Times New Roman" w:eastAsia="宋体" w:cs="Times New Roman"/>
      <w:szCs w:val="24"/>
    </w:rPr>
  </w:style>
  <w:style w:type="character" w:customStyle="1" w:styleId="167">
    <w:name w:val="Header Char"/>
    <w:qFormat/>
    <w:uiPriority w:val="99"/>
    <w:rPr>
      <w:rFonts w:eastAsia="宋体"/>
      <w:kern w:val="2"/>
      <w:sz w:val="18"/>
      <w:szCs w:val="18"/>
      <w:lang w:val="en-US" w:eastAsia="zh-CN" w:bidi="ar-SA"/>
    </w:rPr>
  </w:style>
  <w:style w:type="character" w:customStyle="1" w:styleId="168">
    <w:name w:val="标题 字符"/>
    <w:link w:val="53"/>
    <w:qFormat/>
    <w:uiPriority w:val="99"/>
    <w:rPr>
      <w:rFonts w:ascii="Cambria" w:hAnsi="Cambria"/>
      <w:b/>
      <w:bCs/>
      <w:kern w:val="2"/>
      <w:sz w:val="32"/>
      <w:szCs w:val="32"/>
    </w:rPr>
  </w:style>
  <w:style w:type="character" w:customStyle="1" w:styleId="169">
    <w:name w:val="明显参考1"/>
    <w:qFormat/>
    <w:uiPriority w:val="99"/>
    <w:rPr>
      <w:b/>
      <w:bCs/>
      <w:smallCaps/>
      <w:color w:val="C0504D"/>
      <w:spacing w:val="5"/>
      <w:u w:val="single"/>
    </w:rPr>
  </w:style>
  <w:style w:type="character" w:customStyle="1" w:styleId="170">
    <w:name w:val="textcontents"/>
    <w:qFormat/>
    <w:uiPriority w:val="99"/>
    <w:rPr>
      <w:rFonts w:cs="Times New Roman"/>
    </w:rPr>
  </w:style>
  <w:style w:type="character" w:customStyle="1" w:styleId="171">
    <w:name w:val="Char Char19"/>
    <w:qFormat/>
    <w:uiPriority w:val="99"/>
    <w:rPr>
      <w:rFonts w:ascii="Arial" w:hAnsi="Arial" w:eastAsia="宋体" w:cs="Times New Roman"/>
      <w:b/>
      <w:bCs/>
      <w:szCs w:val="28"/>
    </w:rPr>
  </w:style>
  <w:style w:type="character" w:customStyle="1" w:styleId="172">
    <w:name w:val="批注文字 Char2"/>
    <w:qFormat/>
    <w:uiPriority w:val="0"/>
    <w:rPr>
      <w:kern w:val="2"/>
      <w:sz w:val="21"/>
      <w:szCs w:val="24"/>
      <w:lang w:bidi="ar-SA"/>
    </w:rPr>
  </w:style>
  <w:style w:type="character" w:customStyle="1" w:styleId="173">
    <w:name w:val="正文文本 Char1"/>
    <w:qFormat/>
    <w:uiPriority w:val="99"/>
    <w:rPr>
      <w:kern w:val="2"/>
      <w:sz w:val="21"/>
      <w:szCs w:val="22"/>
    </w:rPr>
  </w:style>
  <w:style w:type="character" w:customStyle="1" w:styleId="174">
    <w:name w:val="Plain Text Char"/>
    <w:qFormat/>
    <w:uiPriority w:val="99"/>
    <w:rPr>
      <w:rFonts w:ascii="宋体" w:hAnsi="Courier New" w:eastAsia="宋体"/>
      <w:sz w:val="24"/>
      <w:lang w:bidi="ar-SA"/>
    </w:rPr>
  </w:style>
  <w:style w:type="character" w:customStyle="1" w:styleId="175">
    <w:name w:val="明显引用 Char1"/>
    <w:qFormat/>
    <w:uiPriority w:val="99"/>
    <w:rPr>
      <w:rFonts w:ascii="Times New Roman" w:hAnsi="Times New Roman" w:eastAsia="宋体" w:cs="Times New Roman"/>
      <w:b/>
      <w:bCs/>
      <w:i/>
      <w:iCs/>
      <w:color w:val="4F81BD"/>
      <w:szCs w:val="24"/>
    </w:rPr>
  </w:style>
  <w:style w:type="character" w:customStyle="1" w:styleId="176">
    <w:name w:val="Heading 2 Char"/>
    <w:qFormat/>
    <w:uiPriority w:val="99"/>
    <w:rPr>
      <w:rFonts w:ascii="Arial" w:hAnsi="Arial" w:eastAsia="黑体"/>
      <w:b/>
      <w:bCs/>
      <w:kern w:val="2"/>
      <w:sz w:val="32"/>
      <w:szCs w:val="32"/>
      <w:lang w:val="en-US" w:eastAsia="zh-CN" w:bidi="ar-SA"/>
    </w:rPr>
  </w:style>
  <w:style w:type="character" w:customStyle="1" w:styleId="177">
    <w:name w:val="Heading 3 Char"/>
    <w:qFormat/>
    <w:uiPriority w:val="99"/>
    <w:rPr>
      <w:rFonts w:cs="Times New Roman"/>
      <w:b/>
      <w:bCs/>
      <w:kern w:val="2"/>
      <w:sz w:val="32"/>
      <w:szCs w:val="32"/>
    </w:rPr>
  </w:style>
  <w:style w:type="character" w:customStyle="1" w:styleId="178">
    <w:name w:val="Comment Text Char1"/>
    <w:qFormat/>
    <w:uiPriority w:val="99"/>
    <w:rPr>
      <w:sz w:val="24"/>
      <w:lang w:bidi="ar-SA"/>
    </w:rPr>
  </w:style>
  <w:style w:type="character" w:customStyle="1" w:styleId="179">
    <w:name w:val="Char Char24"/>
    <w:qFormat/>
    <w:uiPriority w:val="99"/>
    <w:rPr>
      <w:rFonts w:eastAsia="宋体"/>
      <w:b/>
      <w:bCs/>
      <w:kern w:val="44"/>
      <w:sz w:val="32"/>
      <w:szCs w:val="44"/>
      <w:lang w:val="en-US" w:eastAsia="zh-CN" w:bidi="ar-SA"/>
    </w:rPr>
  </w:style>
  <w:style w:type="character" w:customStyle="1" w:styleId="180">
    <w:name w:val="标题5 Char Char"/>
    <w:link w:val="181"/>
    <w:qFormat/>
    <w:uiPriority w:val="99"/>
    <w:rPr>
      <w:rFonts w:ascii="Arial" w:hAnsi="Arial"/>
      <w:b/>
      <w:bCs/>
      <w:sz w:val="24"/>
      <w:szCs w:val="32"/>
    </w:rPr>
  </w:style>
  <w:style w:type="paragraph" w:customStyle="1" w:styleId="181">
    <w:name w:val="标题5"/>
    <w:basedOn w:val="5"/>
    <w:link w:val="180"/>
    <w:qFormat/>
    <w:uiPriority w:val="99"/>
    <w:pPr>
      <w:spacing w:line="413" w:lineRule="auto"/>
    </w:pPr>
    <w:rPr>
      <w:rFonts w:ascii="Arial" w:hAnsi="Arial"/>
    </w:rPr>
  </w:style>
  <w:style w:type="character" w:customStyle="1" w:styleId="182">
    <w:name w:val="Char Char6"/>
    <w:qFormat/>
    <w:uiPriority w:val="99"/>
    <w:rPr>
      <w:rFonts w:eastAsia="宋体"/>
      <w:b/>
      <w:bCs/>
      <w:kern w:val="44"/>
      <w:sz w:val="32"/>
      <w:szCs w:val="44"/>
      <w:lang w:val="en-US" w:eastAsia="zh-CN" w:bidi="ar-SA"/>
    </w:rPr>
  </w:style>
  <w:style w:type="character" w:customStyle="1" w:styleId="183">
    <w:name w:val="Heading 4 Char"/>
    <w:qFormat/>
    <w:uiPriority w:val="99"/>
    <w:rPr>
      <w:rFonts w:ascii="Arial" w:hAnsi="Arial" w:eastAsia="宋体"/>
      <w:b/>
      <w:bCs/>
      <w:kern w:val="2"/>
      <w:sz w:val="21"/>
      <w:szCs w:val="28"/>
      <w:lang w:val="en-US" w:eastAsia="zh-CN" w:bidi="ar-SA"/>
    </w:rPr>
  </w:style>
  <w:style w:type="paragraph" w:customStyle="1" w:styleId="184">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列出段落1"/>
    <w:basedOn w:val="1"/>
    <w:qFormat/>
    <w:uiPriority w:val="99"/>
    <w:pPr>
      <w:ind w:firstLine="420" w:firstLineChars="200"/>
    </w:pPr>
    <w:rPr>
      <w:rFonts w:ascii="Calibri" w:hAnsi="Calibri"/>
      <w:szCs w:val="22"/>
    </w:rPr>
  </w:style>
  <w:style w:type="character" w:customStyle="1" w:styleId="186">
    <w:name w:val="明显引用 Char2"/>
    <w:basedOn w:val="59"/>
    <w:qFormat/>
    <w:uiPriority w:val="30"/>
    <w:rPr>
      <w:rFonts w:ascii="宋体" w:hAnsi="Courier New"/>
      <w:b/>
      <w:bCs/>
      <w:i/>
      <w:iCs/>
      <w:color w:val="4F81BD"/>
      <w:kern w:val="2"/>
      <w:sz w:val="21"/>
    </w:rPr>
  </w:style>
  <w:style w:type="paragraph" w:customStyle="1" w:styleId="187">
    <w:name w:val="样式 标题 3 + (中文) 黑体 小四 非加粗 段前: 7.8 磅 段后: 0 磅 行距: 固定值 20 磅"/>
    <w:basedOn w:val="5"/>
    <w:qFormat/>
    <w:uiPriority w:val="99"/>
    <w:pPr>
      <w:spacing w:before="0" w:after="0" w:line="400" w:lineRule="exact"/>
    </w:pPr>
    <w:rPr>
      <w:rFonts w:ascii="Times New Roman" w:hAnsi="Times New Roman" w:eastAsia="黑体" w:cs="宋体"/>
      <w:b w:val="0"/>
      <w:bCs w:val="0"/>
      <w:kern w:val="2"/>
      <w:sz w:val="21"/>
      <w:szCs w:val="20"/>
    </w:rPr>
  </w:style>
  <w:style w:type="character" w:customStyle="1" w:styleId="188">
    <w:name w:val="标题 Char3"/>
    <w:basedOn w:val="59"/>
    <w:qFormat/>
    <w:uiPriority w:val="99"/>
    <w:rPr>
      <w:rFonts w:ascii="Cambria" w:hAnsi="Cambria" w:cs="Times New Roman"/>
      <w:b/>
      <w:bCs/>
      <w:kern w:val="2"/>
      <w:sz w:val="32"/>
      <w:szCs w:val="32"/>
    </w:rPr>
  </w:style>
  <w:style w:type="paragraph" w:customStyle="1" w:styleId="189">
    <w:name w:val="flNote"/>
    <w:basedOn w:val="1"/>
    <w:qFormat/>
    <w:uiPriority w:val="99"/>
    <w:pPr>
      <w:adjustRightInd w:val="0"/>
      <w:spacing w:before="320" w:after="160" w:line="360" w:lineRule="atLeast"/>
      <w:jc w:val="center"/>
      <w:textAlignment w:val="baseline"/>
    </w:pPr>
    <w:rPr>
      <w:rFonts w:ascii="Arial" w:hAnsi="Times New Roman" w:eastAsia="黑体"/>
      <w:kern w:val="0"/>
      <w:sz w:val="30"/>
    </w:rPr>
  </w:style>
  <w:style w:type="paragraph" w:customStyle="1" w:styleId="190">
    <w:name w:val="p0"/>
    <w:basedOn w:val="1"/>
    <w:qFormat/>
    <w:uiPriority w:val="99"/>
    <w:pPr>
      <w:widowControl/>
    </w:pPr>
    <w:rPr>
      <w:rFonts w:ascii="Calibri" w:hAnsi="Calibri" w:cs="宋体"/>
      <w:kern w:val="0"/>
      <w:szCs w:val="21"/>
    </w:rPr>
  </w:style>
  <w:style w:type="paragraph" w:customStyle="1" w:styleId="191">
    <w:name w:val="Char Char Char Char Char Char Char"/>
    <w:basedOn w:val="1"/>
    <w:qFormat/>
    <w:uiPriority w:val="99"/>
    <w:pPr>
      <w:widowControl/>
      <w:spacing w:after="160" w:line="240" w:lineRule="exact"/>
      <w:jc w:val="left"/>
    </w:pPr>
    <w:rPr>
      <w:rFonts w:ascii="Times New Roman" w:hAnsi="Times New Roman"/>
      <w:szCs w:val="24"/>
    </w:rPr>
  </w:style>
  <w:style w:type="paragraph" w:customStyle="1" w:styleId="192">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kern w:val="0"/>
      <w:sz w:val="28"/>
      <w:szCs w:val="20"/>
    </w:rPr>
  </w:style>
  <w:style w:type="paragraph" w:customStyle="1" w:styleId="193">
    <w:name w:val="_Style 37"/>
    <w:basedOn w:val="1"/>
    <w:next w:val="1"/>
    <w:qFormat/>
    <w:uiPriority w:val="99"/>
    <w:rPr>
      <w:rFonts w:ascii="Times New Roman" w:hAnsi="Times New Roman"/>
      <w:szCs w:val="24"/>
    </w:rPr>
  </w:style>
  <w:style w:type="paragraph" w:customStyle="1" w:styleId="194">
    <w:name w:val="空半行"/>
    <w:basedOn w:val="1"/>
    <w:qFormat/>
    <w:uiPriority w:val="99"/>
    <w:pPr>
      <w:adjustRightInd w:val="0"/>
      <w:spacing w:line="120" w:lineRule="exact"/>
      <w:textAlignment w:val="baseline"/>
    </w:pPr>
    <w:rPr>
      <w:rFonts w:ascii="Times New Roman" w:hAnsi="Times New Roman" w:eastAsia="仿宋_GB2312"/>
      <w:color w:val="FFFFFF"/>
      <w:kern w:val="0"/>
      <w:sz w:val="30"/>
    </w:rPr>
  </w:style>
  <w:style w:type="character" w:customStyle="1" w:styleId="195">
    <w:name w:val="副标题 字符"/>
    <w:basedOn w:val="59"/>
    <w:link w:val="40"/>
    <w:qFormat/>
    <w:uiPriority w:val="11"/>
    <w:rPr>
      <w:rFonts w:ascii="Cambria" w:hAnsi="Cambria"/>
      <w:b/>
      <w:bCs/>
      <w:kern w:val="28"/>
      <w:sz w:val="32"/>
      <w:szCs w:val="32"/>
    </w:rPr>
  </w:style>
  <w:style w:type="paragraph" w:customStyle="1" w:styleId="196">
    <w:name w:val="修订1"/>
    <w:qFormat/>
    <w:uiPriority w:val="99"/>
    <w:rPr>
      <w:rFonts w:ascii="Times New Roman" w:hAnsi="Times New Roman" w:eastAsia="宋体" w:cs="Times New Roman"/>
      <w:kern w:val="2"/>
      <w:sz w:val="21"/>
      <w:szCs w:val="24"/>
      <w:lang w:val="en-US" w:eastAsia="zh-CN" w:bidi="ar-SA"/>
    </w:rPr>
  </w:style>
  <w:style w:type="character" w:customStyle="1" w:styleId="197">
    <w:name w:val="引用 Char2"/>
    <w:basedOn w:val="59"/>
    <w:qFormat/>
    <w:uiPriority w:val="29"/>
    <w:rPr>
      <w:rFonts w:ascii="宋体" w:hAnsi="Courier New"/>
      <w:i/>
      <w:iCs/>
      <w:color w:val="000000"/>
      <w:kern w:val="2"/>
      <w:sz w:val="21"/>
    </w:rPr>
  </w:style>
  <w:style w:type="paragraph" w:customStyle="1" w:styleId="198">
    <w:name w:val="reader-word-layer"/>
    <w:basedOn w:val="1"/>
    <w:qFormat/>
    <w:uiPriority w:val="99"/>
    <w:pPr>
      <w:widowControl/>
      <w:spacing w:before="100" w:beforeAutospacing="1" w:after="100" w:afterAutospacing="1"/>
      <w:jc w:val="left"/>
    </w:pPr>
    <w:rPr>
      <w:rFonts w:hAnsi="宋体" w:cs="宋体"/>
      <w:kern w:val="0"/>
      <w:sz w:val="24"/>
      <w:szCs w:val="24"/>
    </w:rPr>
  </w:style>
  <w:style w:type="paragraph" w:customStyle="1" w:styleId="19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0">
    <w:name w:val="标题 1_2"/>
    <w:basedOn w:val="199"/>
    <w:next w:val="199"/>
    <w:qFormat/>
    <w:uiPriority w:val="0"/>
    <w:pPr>
      <w:keepNext/>
      <w:keepLines/>
      <w:spacing w:line="360" w:lineRule="auto"/>
      <w:outlineLvl w:val="0"/>
    </w:pPr>
    <w:rPr>
      <w:b/>
      <w:bCs/>
      <w:kern w:val="44"/>
      <w:sz w:val="32"/>
      <w:szCs w:val="44"/>
    </w:rPr>
  </w:style>
  <w:style w:type="paragraph" w:customStyle="1" w:styleId="201">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2">
    <w:name w:val="正文文本缩进 2 Char1"/>
    <w:semiHidden/>
    <w:qFormat/>
    <w:uiPriority w:val="99"/>
    <w:rPr>
      <w:kern w:val="2"/>
      <w:sz w:val="21"/>
      <w:szCs w:val="24"/>
    </w:rPr>
  </w:style>
  <w:style w:type="character" w:customStyle="1" w:styleId="203">
    <w:name w:val="正文缩进 字符"/>
    <w:link w:val="14"/>
    <w:qFormat/>
    <w:uiPriority w:val="0"/>
    <w:rPr>
      <w:color w:val="000000"/>
      <w:sz w:val="21"/>
      <w:u w:color="000000"/>
    </w:rPr>
  </w:style>
  <w:style w:type="character" w:customStyle="1" w:styleId="204">
    <w:name w:val="纯文本 字符"/>
    <w:qFormat/>
    <w:uiPriority w:val="0"/>
    <w:rPr>
      <w:rFonts w:ascii="宋体" w:hAnsi="Courier New" w:eastAsia="宋体" w:cs="Times New Roman"/>
      <w:kern w:val="2"/>
      <w:sz w:val="21"/>
      <w:lang w:val="en-US" w:eastAsia="zh-CN" w:bidi="ar-SA"/>
    </w:rPr>
  </w:style>
  <w:style w:type="character" w:customStyle="1" w:styleId="205">
    <w:name w:val="正文文本首行缩进 字符"/>
    <w:link w:val="55"/>
    <w:qFormat/>
    <w:uiPriority w:val="0"/>
    <w:rPr>
      <w:rFonts w:ascii="Calibri" w:hAnsi="Calibri"/>
      <w:kern w:val="2"/>
      <w:sz w:val="21"/>
      <w:szCs w:val="24"/>
    </w:rPr>
  </w:style>
  <w:style w:type="character" w:customStyle="1" w:styleId="206">
    <w:name w:val="正文首行缩进 Char"/>
    <w:basedOn w:val="96"/>
    <w:qFormat/>
    <w:uiPriority w:val="0"/>
    <w:rPr>
      <w:rFonts w:ascii="宋体" w:hAnsi="Courier New"/>
      <w:kern w:val="2"/>
      <w:sz w:val="21"/>
    </w:rPr>
  </w:style>
  <w:style w:type="character" w:customStyle="1" w:styleId="207">
    <w:name w:val="纯文本 Char2"/>
    <w:qFormat/>
    <w:uiPriority w:val="0"/>
    <w:rPr>
      <w:rFonts w:ascii="宋体" w:hAnsi="Courier New" w:eastAsia="宋体" w:cs="Times New Roman"/>
      <w:kern w:val="2"/>
      <w:sz w:val="21"/>
      <w:lang w:val="en-US" w:eastAsia="zh-CN" w:bidi="ar-SA"/>
    </w:rPr>
  </w:style>
  <w:style w:type="character" w:customStyle="1" w:styleId="208">
    <w:name w:val="HTML 预设格式 字符"/>
    <w:link w:val="50"/>
    <w:qFormat/>
    <w:uiPriority w:val="0"/>
    <w:rPr>
      <w:rFonts w:ascii="黑体" w:hAnsi="Courier New" w:eastAsia="黑体" w:cs="Courier New"/>
    </w:rPr>
  </w:style>
  <w:style w:type="character" w:customStyle="1" w:styleId="209">
    <w:name w:val="HTML 预设格式 Char1"/>
    <w:basedOn w:val="59"/>
    <w:qFormat/>
    <w:uiPriority w:val="0"/>
    <w:rPr>
      <w:rFonts w:ascii="Courier New" w:hAnsi="Courier New" w:cs="Courier New"/>
      <w:kern w:val="2"/>
    </w:rPr>
  </w:style>
  <w:style w:type="paragraph" w:customStyle="1" w:styleId="210">
    <w:name w:val="TOC 标题2"/>
    <w:basedOn w:val="3"/>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1">
    <w:name w:val="明显强调2"/>
    <w:qFormat/>
    <w:uiPriority w:val="0"/>
    <w:rPr>
      <w:b/>
      <w:bCs/>
      <w:i/>
      <w:iCs/>
      <w:color w:val="4F81BD"/>
    </w:rPr>
  </w:style>
  <w:style w:type="character" w:customStyle="1" w:styleId="212">
    <w:name w:val="书籍标题2"/>
    <w:qFormat/>
    <w:uiPriority w:val="0"/>
    <w:rPr>
      <w:b/>
      <w:bCs/>
      <w:smallCaps/>
      <w:spacing w:val="5"/>
    </w:rPr>
  </w:style>
  <w:style w:type="character" w:customStyle="1" w:styleId="213">
    <w:name w:val="不明显强调2"/>
    <w:qFormat/>
    <w:uiPriority w:val="0"/>
    <w:rPr>
      <w:i/>
      <w:iCs/>
      <w:color w:val="808080"/>
    </w:rPr>
  </w:style>
  <w:style w:type="character" w:customStyle="1" w:styleId="214">
    <w:name w:val="不明显参考2"/>
    <w:qFormat/>
    <w:uiPriority w:val="0"/>
    <w:rPr>
      <w:smallCaps/>
      <w:color w:val="C0504D"/>
      <w:u w:val="single"/>
    </w:rPr>
  </w:style>
  <w:style w:type="character" w:customStyle="1" w:styleId="215">
    <w:name w:val="明显参考2"/>
    <w:qFormat/>
    <w:uiPriority w:val="0"/>
    <w:rPr>
      <w:b/>
      <w:bCs/>
      <w:smallCaps/>
      <w:color w:val="C0504D"/>
      <w:spacing w:val="5"/>
      <w:u w:val="single"/>
    </w:rPr>
  </w:style>
  <w:style w:type="paragraph" w:customStyle="1" w:styleId="216">
    <w:name w:val="修订2"/>
    <w:qFormat/>
    <w:uiPriority w:val="99"/>
    <w:rPr>
      <w:rFonts w:ascii="Times New Roman" w:hAnsi="Times New Roman" w:eastAsia="宋体" w:cs="Times New Roman"/>
      <w:kern w:val="2"/>
      <w:sz w:val="21"/>
      <w:szCs w:val="24"/>
      <w:lang w:val="en-US" w:eastAsia="zh-CN" w:bidi="ar-SA"/>
    </w:rPr>
  </w:style>
  <w:style w:type="character" w:customStyle="1" w:styleId="217">
    <w:name w:val="Char Char91"/>
    <w:qFormat/>
    <w:uiPriority w:val="99"/>
    <w:rPr>
      <w:rFonts w:eastAsia="宋体"/>
      <w:b/>
      <w:bCs/>
      <w:kern w:val="44"/>
      <w:sz w:val="44"/>
      <w:szCs w:val="44"/>
      <w:lang w:val="en-US" w:eastAsia="zh-CN"/>
    </w:rPr>
  </w:style>
  <w:style w:type="character" w:customStyle="1" w:styleId="218">
    <w:name w:val="Char Char181"/>
    <w:qFormat/>
    <w:uiPriority w:val="99"/>
    <w:rPr>
      <w:b/>
      <w:bCs/>
      <w:kern w:val="44"/>
      <w:sz w:val="44"/>
      <w:szCs w:val="44"/>
    </w:rPr>
  </w:style>
  <w:style w:type="paragraph" w:customStyle="1" w:styleId="21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0">
    <w:name w:val="列出段落2"/>
    <w:basedOn w:val="1"/>
    <w:qFormat/>
    <w:uiPriority w:val="99"/>
    <w:pPr>
      <w:ind w:firstLine="420" w:firstLineChars="200"/>
    </w:pPr>
    <w:rPr>
      <w:rFonts w:ascii="Calibri" w:hAnsi="Calibri" w:cs="Calibri"/>
      <w:szCs w:val="21"/>
    </w:rPr>
  </w:style>
  <w:style w:type="paragraph" w:customStyle="1" w:styleId="221">
    <w:name w:val="引用1"/>
    <w:basedOn w:val="1"/>
    <w:next w:val="1"/>
    <w:qFormat/>
    <w:uiPriority w:val="99"/>
    <w:rPr>
      <w:rFonts w:ascii="Times New Roman" w:hAnsi="Times New Roman"/>
      <w:i/>
      <w:iCs/>
      <w:color w:val="000000"/>
      <w:kern w:val="0"/>
      <w:sz w:val="20"/>
      <w:lang w:val="zh-CN"/>
    </w:rPr>
  </w:style>
  <w:style w:type="paragraph" w:customStyle="1" w:styleId="222">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3">
    <w:name w:val="明显引用1"/>
    <w:basedOn w:val="1"/>
    <w:next w:val="1"/>
    <w:qFormat/>
    <w:uiPriority w:val="99"/>
    <w:pPr>
      <w:pBdr>
        <w:bottom w:val="single" w:color="4F81BD" w:sz="4" w:space="4"/>
      </w:pBdr>
      <w:spacing w:before="200" w:after="280"/>
      <w:ind w:left="936" w:right="936"/>
    </w:pPr>
    <w:rPr>
      <w:rFonts w:ascii="Times New Roman" w:hAnsi="Times New Roman"/>
      <w:b/>
      <w:bCs/>
      <w:i/>
      <w:iCs/>
      <w:color w:val="4F81BD"/>
      <w:kern w:val="0"/>
      <w:sz w:val="20"/>
      <w:lang w:val="zh-CN"/>
    </w:rPr>
  </w:style>
  <w:style w:type="character" w:customStyle="1" w:styleId="224">
    <w:name w:val="文档结构图 Char2"/>
    <w:semiHidden/>
    <w:qFormat/>
    <w:uiPriority w:val="99"/>
    <w:rPr>
      <w:rFonts w:hint="eastAsia" w:ascii="宋体" w:hAnsi="宋体" w:eastAsia="宋体"/>
      <w:kern w:val="2"/>
      <w:sz w:val="18"/>
      <w:szCs w:val="18"/>
    </w:rPr>
  </w:style>
  <w:style w:type="character" w:customStyle="1" w:styleId="225">
    <w:name w:val="脚注文本 Char1"/>
    <w:semiHidden/>
    <w:qFormat/>
    <w:uiPriority w:val="99"/>
    <w:rPr>
      <w:kern w:val="2"/>
      <w:sz w:val="18"/>
      <w:szCs w:val="18"/>
    </w:rPr>
  </w:style>
  <w:style w:type="character" w:customStyle="1" w:styleId="226">
    <w:name w:val="纯文本 Char3"/>
    <w:link w:val="227"/>
    <w:qFormat/>
    <w:uiPriority w:val="0"/>
    <w:rPr>
      <w:rFonts w:ascii="宋体" w:hAnsi="Courier New"/>
      <w:kern w:val="2"/>
      <w:sz w:val="21"/>
    </w:rPr>
  </w:style>
  <w:style w:type="paragraph" w:customStyle="1" w:styleId="227">
    <w:name w:val="纯文本_0"/>
    <w:basedOn w:val="228"/>
    <w:link w:val="226"/>
    <w:qFormat/>
    <w:uiPriority w:val="0"/>
    <w:rPr>
      <w:rFonts w:ascii="宋体" w:hAnsi="Courier New"/>
      <w:szCs w:val="20"/>
    </w:rPr>
  </w:style>
  <w:style w:type="paragraph" w:customStyle="1" w:styleId="228">
    <w:name w:val="正文_2"/>
    <w:next w:val="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样式 正文 + 首行缩进:  2 字符_0"/>
    <w:basedOn w:val="228"/>
    <w:qFormat/>
    <w:uiPriority w:val="0"/>
  </w:style>
  <w:style w:type="character" w:customStyle="1" w:styleId="230">
    <w:name w:val="fontstyle31"/>
    <w:qFormat/>
    <w:uiPriority w:val="0"/>
    <w:rPr>
      <w:rFonts w:hint="eastAsia" w:ascii="黑体" w:hAnsi="黑体" w:eastAsia="黑体"/>
      <w:color w:val="000000"/>
      <w:sz w:val="28"/>
      <w:szCs w:val="28"/>
    </w:rPr>
  </w:style>
  <w:style w:type="character" w:customStyle="1" w:styleId="231">
    <w:name w:val="正文文本 Char2"/>
    <w:semiHidden/>
    <w:qFormat/>
    <w:uiPriority w:val="99"/>
    <w:rPr>
      <w:kern w:val="2"/>
      <w:sz w:val="21"/>
      <w:szCs w:val="21"/>
    </w:rPr>
  </w:style>
  <w:style w:type="character" w:customStyle="1" w:styleId="232">
    <w:name w:val="fontstyle01"/>
    <w:qFormat/>
    <w:uiPriority w:val="0"/>
    <w:rPr>
      <w:rFonts w:hint="eastAsia" w:ascii="宋体" w:hAnsi="宋体" w:eastAsia="宋体"/>
      <w:color w:val="000000"/>
      <w:sz w:val="22"/>
      <w:szCs w:val="22"/>
    </w:rPr>
  </w:style>
  <w:style w:type="character" w:customStyle="1" w:styleId="233">
    <w:name w:val="标题 2 Char_0"/>
    <w:link w:val="234"/>
    <w:qFormat/>
    <w:uiPriority w:val="99"/>
    <w:rPr>
      <w:rFonts w:ascii="Arial" w:hAnsi="Arial" w:eastAsia="黑体"/>
      <w:b/>
      <w:sz w:val="32"/>
    </w:rPr>
  </w:style>
  <w:style w:type="paragraph" w:customStyle="1" w:styleId="234">
    <w:name w:val="标题 2_0"/>
    <w:basedOn w:val="228"/>
    <w:next w:val="228"/>
    <w:link w:val="233"/>
    <w:qFormat/>
    <w:uiPriority w:val="99"/>
    <w:pPr>
      <w:keepNext/>
      <w:keepLines/>
      <w:spacing w:before="260" w:after="260" w:line="412" w:lineRule="auto"/>
      <w:outlineLvl w:val="1"/>
    </w:pPr>
    <w:rPr>
      <w:rFonts w:ascii="Arial" w:hAnsi="Arial" w:eastAsia="黑体"/>
      <w:b/>
      <w:kern w:val="0"/>
      <w:sz w:val="32"/>
      <w:szCs w:val="20"/>
    </w:rPr>
  </w:style>
  <w:style w:type="character" w:customStyle="1" w:styleId="235">
    <w:name w:val="批注主题 Char2"/>
    <w:semiHidden/>
    <w:qFormat/>
    <w:uiPriority w:val="99"/>
    <w:rPr>
      <w:b/>
      <w:bCs/>
      <w:kern w:val="2"/>
      <w:sz w:val="21"/>
      <w:szCs w:val="21"/>
    </w:rPr>
  </w:style>
  <w:style w:type="character" w:customStyle="1" w:styleId="236">
    <w:name w:val="日期 Char2"/>
    <w:semiHidden/>
    <w:qFormat/>
    <w:uiPriority w:val="99"/>
    <w:rPr>
      <w:kern w:val="2"/>
      <w:sz w:val="21"/>
      <w:szCs w:val="21"/>
    </w:rPr>
  </w:style>
  <w:style w:type="character" w:customStyle="1" w:styleId="237">
    <w:name w:val="fontstyle51"/>
    <w:qFormat/>
    <w:uiPriority w:val="0"/>
    <w:rPr>
      <w:rFonts w:hint="eastAsia" w:ascii="楷体" w:hAnsi="楷体" w:eastAsia="楷体"/>
      <w:color w:val="000000"/>
      <w:sz w:val="22"/>
      <w:szCs w:val="22"/>
    </w:rPr>
  </w:style>
  <w:style w:type="character" w:customStyle="1" w:styleId="238">
    <w:name w:val="正文文本 Char2_0"/>
    <w:link w:val="239"/>
    <w:qFormat/>
    <w:uiPriority w:val="0"/>
    <w:rPr>
      <w:kern w:val="2"/>
      <w:sz w:val="21"/>
      <w:szCs w:val="24"/>
    </w:rPr>
  </w:style>
  <w:style w:type="paragraph" w:customStyle="1" w:styleId="239">
    <w:name w:val="正文文本_0"/>
    <w:basedOn w:val="228"/>
    <w:link w:val="238"/>
    <w:qFormat/>
    <w:uiPriority w:val="0"/>
    <w:pPr>
      <w:spacing w:after="120"/>
    </w:pPr>
    <w:rPr>
      <w:rFonts w:ascii="Times New Roman" w:hAnsi="Times New Roman"/>
      <w:szCs w:val="24"/>
    </w:rPr>
  </w:style>
  <w:style w:type="character" w:customStyle="1" w:styleId="240">
    <w:name w:val="副标题 Char1"/>
    <w:qFormat/>
    <w:uiPriority w:val="11"/>
    <w:rPr>
      <w:rFonts w:hint="default" w:ascii="Cambria" w:hAnsi="Cambria" w:cs="Times New Roman"/>
      <w:b/>
      <w:bCs/>
      <w:kern w:val="28"/>
      <w:sz w:val="32"/>
      <w:szCs w:val="32"/>
    </w:rPr>
  </w:style>
  <w:style w:type="character" w:customStyle="1" w:styleId="241">
    <w:name w:val="正文文本缩进 Char1"/>
    <w:semiHidden/>
    <w:qFormat/>
    <w:uiPriority w:val="99"/>
    <w:rPr>
      <w:kern w:val="2"/>
      <w:sz w:val="21"/>
      <w:szCs w:val="21"/>
    </w:rPr>
  </w:style>
  <w:style w:type="character" w:customStyle="1" w:styleId="242">
    <w:name w:val="页眉 Char1"/>
    <w:semiHidden/>
    <w:qFormat/>
    <w:uiPriority w:val="99"/>
    <w:rPr>
      <w:kern w:val="2"/>
      <w:sz w:val="18"/>
      <w:szCs w:val="18"/>
    </w:rPr>
  </w:style>
  <w:style w:type="character" w:customStyle="1" w:styleId="243">
    <w:name w:val="fontstyle41"/>
    <w:qFormat/>
    <w:uiPriority w:val="0"/>
    <w:rPr>
      <w:rFonts w:hint="default" w:ascii="Times New Roman" w:hAnsi="Times New Roman" w:cs="Times New Roman"/>
      <w:color w:val="000000"/>
      <w:sz w:val="18"/>
      <w:szCs w:val="18"/>
    </w:rPr>
  </w:style>
  <w:style w:type="character" w:customStyle="1" w:styleId="244">
    <w:name w:val="fontstyle21"/>
    <w:qFormat/>
    <w:uiPriority w:val="0"/>
    <w:rPr>
      <w:rFonts w:hint="default" w:ascii="Times New Roman" w:hAnsi="Times New Roman" w:cs="Times New Roman"/>
      <w:b/>
      <w:bCs/>
      <w:color w:val="000000"/>
      <w:sz w:val="22"/>
      <w:szCs w:val="22"/>
    </w:rPr>
  </w:style>
  <w:style w:type="character" w:customStyle="1" w:styleId="245">
    <w:name w:val="页脚 Char1"/>
    <w:semiHidden/>
    <w:qFormat/>
    <w:uiPriority w:val="99"/>
    <w:rPr>
      <w:kern w:val="2"/>
      <w:sz w:val="18"/>
      <w:szCs w:val="18"/>
    </w:rPr>
  </w:style>
  <w:style w:type="character" w:customStyle="1" w:styleId="246">
    <w:name w:val="标题 3 Char_0"/>
    <w:link w:val="247"/>
    <w:qFormat/>
    <w:uiPriority w:val="99"/>
    <w:rPr>
      <w:b/>
      <w:bCs/>
      <w:kern w:val="2"/>
      <w:sz w:val="32"/>
      <w:szCs w:val="32"/>
    </w:rPr>
  </w:style>
  <w:style w:type="paragraph" w:customStyle="1" w:styleId="247">
    <w:name w:val="标题 3_0"/>
    <w:basedOn w:val="228"/>
    <w:next w:val="228"/>
    <w:link w:val="246"/>
    <w:unhideWhenUsed/>
    <w:qFormat/>
    <w:uiPriority w:val="99"/>
    <w:pPr>
      <w:keepNext/>
      <w:keepLines/>
      <w:spacing w:before="260" w:after="260" w:line="416" w:lineRule="auto"/>
      <w:outlineLvl w:val="2"/>
    </w:pPr>
    <w:rPr>
      <w:rFonts w:ascii="Times New Roman" w:hAnsi="Times New Roman"/>
      <w:b/>
      <w:bCs/>
      <w:sz w:val="32"/>
      <w:szCs w:val="32"/>
    </w:rPr>
  </w:style>
  <w:style w:type="character" w:customStyle="1" w:styleId="248">
    <w:name w:val="批注框文本 Char2"/>
    <w:semiHidden/>
    <w:qFormat/>
    <w:uiPriority w:val="99"/>
    <w:rPr>
      <w:kern w:val="2"/>
      <w:sz w:val="18"/>
      <w:szCs w:val="18"/>
    </w:rPr>
  </w:style>
  <w:style w:type="character" w:customStyle="1" w:styleId="249">
    <w:name w:val="批注文字 Char3"/>
    <w:semiHidden/>
    <w:qFormat/>
    <w:locked/>
    <w:uiPriority w:val="0"/>
    <w:rPr>
      <w:kern w:val="2"/>
      <w:sz w:val="21"/>
      <w:szCs w:val="21"/>
    </w:rPr>
  </w:style>
  <w:style w:type="paragraph" w:customStyle="1" w:styleId="250">
    <w:name w:val="Normal_0"/>
    <w:qFormat/>
    <w:uiPriority w:val="0"/>
    <w:rPr>
      <w:rFonts w:ascii="Times New Roman" w:hAnsi="Times New Roman" w:eastAsia="Times New Roman" w:cs="Times New Roman"/>
      <w:sz w:val="24"/>
      <w:szCs w:val="24"/>
      <w:lang w:val="en-US" w:eastAsia="zh-CN" w:bidi="ar-SA"/>
    </w:rPr>
  </w:style>
  <w:style w:type="paragraph" w:customStyle="1" w:styleId="251">
    <w:name w:val="_Style 58"/>
    <w:semiHidden/>
    <w:qFormat/>
    <w:uiPriority w:val="99"/>
    <w:rPr>
      <w:rFonts w:ascii="Times New Roman" w:hAnsi="Times New Roman" w:eastAsia="宋体" w:cs="Times New Roman"/>
      <w:kern w:val="2"/>
      <w:sz w:val="21"/>
      <w:szCs w:val="21"/>
      <w:lang w:val="en-US" w:eastAsia="zh-CN" w:bidi="ar-SA"/>
    </w:rPr>
  </w:style>
  <w:style w:type="paragraph" w:customStyle="1" w:styleId="25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3">
    <w:name w:val="修订3"/>
    <w:semiHidden/>
    <w:qFormat/>
    <w:uiPriority w:val="99"/>
    <w:rPr>
      <w:rFonts w:ascii="Times New Roman" w:hAnsi="Times New Roman" w:eastAsia="宋体" w:cs="Times New Roman"/>
      <w:kern w:val="2"/>
      <w:sz w:val="21"/>
      <w:szCs w:val="21"/>
      <w:lang w:val="en-US" w:eastAsia="zh-CN" w:bidi="ar-SA"/>
    </w:rPr>
  </w:style>
  <w:style w:type="paragraph" w:customStyle="1" w:styleId="25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表格文字"/>
    <w:basedOn w:val="21"/>
    <w:qFormat/>
    <w:uiPriority w:val="0"/>
    <w:pPr>
      <w:spacing w:before="25" w:after="25"/>
      <w:jc w:val="left"/>
    </w:pPr>
    <w:rPr>
      <w:bCs/>
      <w:spacing w:val="10"/>
      <w:kern w:val="0"/>
      <w:sz w:val="24"/>
      <w:szCs w:val="20"/>
    </w:rPr>
  </w:style>
  <w:style w:type="paragraph" w:customStyle="1" w:styleId="256">
    <w:name w:val="正文_2_0"/>
    <w:next w:val="2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正文首行缩进_0"/>
    <w:basedOn w:val="258"/>
    <w:qFormat/>
    <w:uiPriority w:val="0"/>
    <w:pPr>
      <w:autoSpaceDE/>
      <w:autoSpaceDN/>
      <w:adjustRightInd/>
      <w:spacing w:after="120" w:line="240" w:lineRule="auto"/>
      <w:ind w:firstLine="420" w:firstLineChars="100"/>
    </w:pPr>
    <w:rPr>
      <w:rFonts w:ascii="Times New Roman" w:eastAsia="宋体"/>
      <w:color w:val="auto"/>
      <w:kern w:val="2"/>
      <w:sz w:val="21"/>
      <w:szCs w:val="24"/>
    </w:rPr>
  </w:style>
  <w:style w:type="paragraph" w:customStyle="1" w:styleId="258">
    <w:name w:val="正文文本_1"/>
    <w:basedOn w:val="256"/>
    <w:qFormat/>
    <w:uiPriority w:val="99"/>
    <w:pPr>
      <w:adjustRightInd w:val="0"/>
      <w:spacing w:after="60" w:line="360" w:lineRule="atLeast"/>
      <w:ind w:left="72" w:leftChars="30" w:right="30" w:rightChars="30"/>
      <w:jc w:val="center"/>
      <w:textAlignment w:val="baseline"/>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FC0D6-0906-427B-A67F-A6CF398BCD6C}">
  <ds:schemaRefs/>
</ds:datastoreItem>
</file>

<file path=docProps/app.xml><?xml version="1.0" encoding="utf-8"?>
<Properties xmlns="http://schemas.openxmlformats.org/officeDocument/2006/extended-properties" xmlns:vt="http://schemas.openxmlformats.org/officeDocument/2006/docPropsVTypes">
  <Template>Normal</Template>
  <Pages>108</Pages>
  <Words>19530</Words>
  <Characters>20332</Characters>
  <Lines>572</Lines>
  <Paragraphs>161</Paragraphs>
  <TotalTime>5</TotalTime>
  <ScaleCrop>false</ScaleCrop>
  <LinksUpToDate>false</LinksUpToDate>
  <CharactersWithSpaces>20655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2023-08-17T11:30:00Z</dcterms:created>
  <dc:creator>Administrator</dc:creator>
  <cp:lastModifiedBy>Administrator</cp:lastModifiedBy>
  <cp:lastPrinted>2023-12-13T07:42:00Z</cp:lastPrinted>
  <dcterms:modified xsi:type="dcterms:W3CDTF">2026-06-30T03:58:54Z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7C699795871746588CEA88EDAB5F7D10_13</vt:lpwstr>
  </property>
  <property fmtid="{D5CDD505-2E9C-101B-9397-08002B2CF9AE}" pid="4" name="KSOTemplateDocerSaveRecord">
    <vt:lpwstr>eyJoZGlkIjoiYTljMzc1ZDIyMTNjM2IxZTQ4NGM2MTAxZDE4YzZjYzYiLCJ1c2VySWQiOiIxNDU2MjM0MDA4In0=</vt:lpwstr>
  </property>
</Properties>
</file>