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0F52E">
      <w:pPr>
        <w:pStyle w:val="2"/>
        <w:rPr>
          <w:rFonts w:hAnsi="宋体" w:cs="宋体"/>
          <w:b/>
          <w:color w:val="auto"/>
          <w:sz w:val="44"/>
          <w:szCs w:val="44"/>
          <w:highlight w:val="none"/>
        </w:rPr>
      </w:pPr>
    </w:p>
    <w:p w14:paraId="486232AD">
      <w:pPr>
        <w:pStyle w:val="21"/>
        <w:snapToGrid w:val="0"/>
        <w:spacing w:line="480" w:lineRule="auto"/>
        <w:jc w:val="center"/>
        <w:rPr>
          <w:rFonts w:hint="eastAsia" w:hAnsi="宋体" w:eastAsia="宋体" w:cs="宋体"/>
          <w:b/>
          <w:bCs/>
          <w:color w:val="auto"/>
          <w:sz w:val="52"/>
          <w:szCs w:val="52"/>
          <w:highlight w:val="none"/>
          <w:lang w:eastAsia="zh-CN"/>
        </w:rPr>
      </w:pPr>
      <w:r>
        <w:rPr>
          <w:rFonts w:hint="eastAsia" w:hAnsi="宋体" w:cs="宋体"/>
          <w:b/>
          <w:bCs/>
          <w:color w:val="auto"/>
          <w:sz w:val="52"/>
          <w:szCs w:val="52"/>
          <w:highlight w:val="none"/>
          <w:lang w:eastAsia="zh-CN"/>
        </w:rPr>
        <w:t>广西北部湾宏亚建设管理有限公司</w:t>
      </w:r>
    </w:p>
    <w:p w14:paraId="4DFD7F67">
      <w:pPr>
        <w:rPr>
          <w:rFonts w:ascii="宋体" w:hAnsi="宋体" w:cs="宋体"/>
          <w:color w:val="auto"/>
          <w:sz w:val="52"/>
          <w:szCs w:val="52"/>
          <w:highlight w:val="none"/>
        </w:rPr>
      </w:pPr>
    </w:p>
    <w:p w14:paraId="75BA4301">
      <w:pPr>
        <w:snapToGrid w:val="0"/>
        <w:spacing w:beforeLines="50" w:line="360" w:lineRule="auto"/>
        <w:jc w:val="center"/>
        <w:rPr>
          <w:rFonts w:ascii="宋体" w:hAnsi="宋体" w:cs="宋体"/>
          <w:color w:val="auto"/>
          <w:sz w:val="96"/>
          <w:szCs w:val="96"/>
          <w:highlight w:val="none"/>
        </w:rPr>
      </w:pPr>
      <w:r>
        <w:rPr>
          <w:rFonts w:hint="eastAsia" w:ascii="宋体" w:hAnsi="宋体" w:cs="宋体"/>
          <w:color w:val="auto"/>
          <w:sz w:val="96"/>
          <w:szCs w:val="96"/>
          <w:highlight w:val="none"/>
        </w:rPr>
        <w:t>竞争性磋商文件</w:t>
      </w:r>
    </w:p>
    <w:p w14:paraId="4F431E80">
      <w:pPr>
        <w:snapToGrid w:val="0"/>
        <w:spacing w:beforeLines="50" w:line="360" w:lineRule="auto"/>
        <w:jc w:val="center"/>
        <w:rPr>
          <w:rFonts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3B01A192">
      <w:pPr>
        <w:pStyle w:val="2"/>
        <w:rPr>
          <w:color w:val="auto"/>
          <w:highlight w:val="none"/>
        </w:rPr>
      </w:pPr>
    </w:p>
    <w:p w14:paraId="07C61F62">
      <w:pPr>
        <w:snapToGrid w:val="0"/>
        <w:spacing w:line="360" w:lineRule="auto"/>
        <w:rPr>
          <w:rFonts w:ascii="宋体" w:hAnsi="宋体" w:cs="宋体"/>
          <w:b/>
          <w:color w:val="auto"/>
          <w:sz w:val="48"/>
          <w:szCs w:val="48"/>
          <w:highlight w:val="none"/>
        </w:rPr>
      </w:pPr>
    </w:p>
    <w:p w14:paraId="4D85D3F0">
      <w:pPr>
        <w:pStyle w:val="21"/>
        <w:snapToGrid w:val="0"/>
        <w:spacing w:line="360" w:lineRule="auto"/>
        <w:jc w:val="center"/>
        <w:rPr>
          <w:rFonts w:hAnsi="宋体" w:cs="宋体"/>
          <w:b/>
          <w:bCs/>
          <w:color w:val="auto"/>
          <w:sz w:val="30"/>
          <w:szCs w:val="30"/>
          <w:highlight w:val="none"/>
        </w:rPr>
      </w:pPr>
    </w:p>
    <w:p w14:paraId="45E96278">
      <w:pPr>
        <w:pStyle w:val="21"/>
        <w:snapToGrid w:val="0"/>
        <w:spacing w:line="480" w:lineRule="auto"/>
        <w:ind w:firstLine="1272" w:firstLineChars="396"/>
        <w:rPr>
          <w:rFonts w:ascii="仿宋_GB2312" w:hAnsi="宋体" w:eastAsia="仿宋_GB2312"/>
          <w:b/>
          <w:bCs/>
          <w:color w:val="auto"/>
          <w:sz w:val="32"/>
          <w:szCs w:val="32"/>
          <w:highlight w:val="none"/>
        </w:rPr>
      </w:pPr>
    </w:p>
    <w:p w14:paraId="0D5E1396">
      <w:pPr>
        <w:pStyle w:val="21"/>
        <w:snapToGrid w:val="0"/>
        <w:spacing w:line="480" w:lineRule="auto"/>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项目</w:t>
      </w:r>
      <w:r>
        <w:rPr>
          <w:rFonts w:hint="eastAsia" w:asciiTheme="minorEastAsia" w:hAnsiTheme="minorEastAsia" w:eastAsiaTheme="minorEastAsia" w:cstheme="minorEastAsia"/>
          <w:b/>
          <w:bCs/>
          <w:color w:val="auto"/>
          <w:w w:val="95"/>
          <w:sz w:val="32"/>
          <w:szCs w:val="32"/>
          <w:highlight w:val="none"/>
        </w:rPr>
        <w:t>名称</w:t>
      </w:r>
      <w:r>
        <w:rPr>
          <w:rFonts w:hint="eastAsia" w:asciiTheme="minorEastAsia" w:hAnsiTheme="minorEastAsia" w:eastAsiaTheme="minorEastAsia" w:cstheme="minorEastAsia"/>
          <w:b/>
          <w:bCs/>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钦州市教育发展研究中心2026年市本级教师培训项目</w:t>
      </w:r>
    </w:p>
    <w:p w14:paraId="2F6D638F">
      <w:pPr>
        <w:snapToGrid w:val="0"/>
        <w:spacing w:line="480" w:lineRule="auto"/>
        <w:rPr>
          <w:rFonts w:hint="eastAsia" w:asciiTheme="minorEastAsia" w:hAnsiTheme="minorEastAsia" w:eastAsiaTheme="minorEastAsia" w:cstheme="minorEastAsia"/>
          <w:b/>
          <w:bCs/>
          <w:color w:val="auto"/>
          <w:w w:val="95"/>
          <w:sz w:val="24"/>
          <w:szCs w:val="24"/>
          <w:highlight w:val="none"/>
          <w:lang w:val="en-US" w:eastAsia="zh-CN"/>
        </w:rPr>
      </w:pPr>
      <w:r>
        <w:rPr>
          <w:rFonts w:hint="eastAsia" w:asciiTheme="minorEastAsia" w:hAnsiTheme="minorEastAsia" w:eastAsiaTheme="minorEastAsia" w:cstheme="minorEastAsia"/>
          <w:b/>
          <w:bCs/>
          <w:color w:val="auto"/>
          <w:w w:val="95"/>
          <w:sz w:val="32"/>
          <w:szCs w:val="32"/>
          <w:highlight w:val="none"/>
        </w:rPr>
        <w:t>项目</w:t>
      </w:r>
      <w:r>
        <w:rPr>
          <w:rFonts w:hint="eastAsia" w:asciiTheme="minorEastAsia" w:hAnsiTheme="minorEastAsia" w:eastAsiaTheme="minorEastAsia" w:cstheme="minorEastAsia"/>
          <w:b/>
          <w:bCs/>
          <w:color w:val="auto"/>
          <w:sz w:val="32"/>
          <w:szCs w:val="32"/>
          <w:highlight w:val="none"/>
        </w:rPr>
        <w:t>编号</w:t>
      </w:r>
      <w:r>
        <w:rPr>
          <w:rFonts w:hint="eastAsia" w:asciiTheme="minorEastAsia" w:hAnsiTheme="minorEastAsia" w:eastAsiaTheme="minorEastAsia" w:cstheme="minorEastAsia"/>
          <w:b/>
          <w:bCs/>
          <w:color w:val="auto"/>
          <w:w w:val="95"/>
          <w:sz w:val="32"/>
          <w:szCs w:val="32"/>
          <w:highlight w:val="none"/>
        </w:rPr>
        <w:t>：</w:t>
      </w:r>
      <w:r>
        <w:rPr>
          <w:rFonts w:hint="eastAsia" w:asciiTheme="minorEastAsia" w:hAnsiTheme="minorEastAsia" w:eastAsiaTheme="minorEastAsia" w:cstheme="minorEastAsia"/>
          <w:b/>
          <w:bCs/>
          <w:color w:val="auto"/>
          <w:w w:val="95"/>
          <w:kern w:val="0"/>
          <w:sz w:val="32"/>
          <w:szCs w:val="32"/>
          <w:highlight w:val="none"/>
          <w:lang w:val="en-US" w:eastAsia="zh-CN" w:bidi="ar-SA"/>
        </w:rPr>
        <w:t xml:space="preserve"> QZZC2026-C3-990232-BBWH </w:t>
      </w:r>
    </w:p>
    <w:p w14:paraId="64D16959">
      <w:pPr>
        <w:pStyle w:val="21"/>
        <w:snapToGrid w:val="0"/>
        <w:spacing w:line="480" w:lineRule="auto"/>
        <w:rPr>
          <w:rFonts w:hint="eastAsia" w:asciiTheme="minorEastAsia" w:hAnsiTheme="minorEastAsia" w:eastAsiaTheme="minorEastAsia" w:cstheme="minorEastAsia"/>
          <w:b/>
          <w:bCs/>
          <w:color w:val="auto"/>
          <w:w w:val="95"/>
          <w:sz w:val="32"/>
          <w:szCs w:val="32"/>
          <w:highlight w:val="none"/>
        </w:rPr>
      </w:pPr>
      <w:r>
        <w:rPr>
          <w:rFonts w:hint="eastAsia" w:asciiTheme="minorEastAsia" w:hAnsiTheme="minorEastAsia" w:eastAsiaTheme="minorEastAsia" w:cstheme="minorEastAsia"/>
          <w:b/>
          <w:bCs/>
          <w:color w:val="auto"/>
          <w:w w:val="95"/>
          <w:kern w:val="0"/>
          <w:sz w:val="32"/>
          <w:szCs w:val="32"/>
          <w:highlight w:val="none"/>
          <w:lang w:val="en-US" w:eastAsia="zh-CN" w:bidi="ar-SA"/>
        </w:rPr>
        <w:t>采购计划：钦州政采[2026]1847号</w:t>
      </w:r>
    </w:p>
    <w:p w14:paraId="3B979A7E">
      <w:pPr>
        <w:pStyle w:val="21"/>
        <w:snapToGrid w:val="0"/>
        <w:spacing w:line="480" w:lineRule="auto"/>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 购 人：</w:t>
      </w:r>
      <w:r>
        <w:rPr>
          <w:rFonts w:hint="eastAsia" w:asciiTheme="minorEastAsia" w:hAnsiTheme="minorEastAsia" w:eastAsiaTheme="minorEastAsia" w:cstheme="minorEastAsia"/>
          <w:b/>
          <w:bCs/>
          <w:color w:val="auto"/>
          <w:w w:val="95"/>
          <w:sz w:val="32"/>
          <w:szCs w:val="32"/>
          <w:highlight w:val="none"/>
          <w:lang w:eastAsia="zh-CN"/>
        </w:rPr>
        <w:t>钦州市教育发展研究中心</w:t>
      </w:r>
    </w:p>
    <w:p w14:paraId="77A68BAF">
      <w:pPr>
        <w:pStyle w:val="21"/>
        <w:snapToGrid w:val="0"/>
        <w:spacing w:line="480" w:lineRule="auto"/>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采购代理机构：</w:t>
      </w:r>
      <w:r>
        <w:rPr>
          <w:rFonts w:hint="eastAsia" w:asciiTheme="minorEastAsia" w:hAnsiTheme="minorEastAsia" w:eastAsiaTheme="minorEastAsia" w:cstheme="minorEastAsia"/>
          <w:b/>
          <w:bCs/>
          <w:color w:val="auto"/>
          <w:w w:val="95"/>
          <w:sz w:val="32"/>
          <w:szCs w:val="32"/>
          <w:highlight w:val="none"/>
          <w:lang w:eastAsia="zh-CN"/>
        </w:rPr>
        <w:t>广西北部湾宏亚建设管理有限公司</w:t>
      </w:r>
    </w:p>
    <w:p w14:paraId="671EEA8C">
      <w:pPr>
        <w:pStyle w:val="21"/>
        <w:snapToGrid w:val="0"/>
        <w:spacing w:line="480" w:lineRule="auto"/>
        <w:jc w:val="center"/>
        <w:rPr>
          <w:rFonts w:hint="eastAsia" w:asciiTheme="minorEastAsia" w:hAnsiTheme="minorEastAsia" w:eastAsiaTheme="minorEastAsia" w:cstheme="minorEastAsia"/>
          <w:b/>
          <w:bCs/>
          <w:color w:val="auto"/>
          <w:w w:val="95"/>
          <w:sz w:val="32"/>
          <w:szCs w:val="32"/>
          <w:highlight w:val="none"/>
          <w:lang w:val="en-US" w:eastAsia="zh-CN"/>
        </w:rPr>
      </w:pPr>
    </w:p>
    <w:p w14:paraId="0CCDEE20">
      <w:pPr>
        <w:pStyle w:val="21"/>
        <w:snapToGrid w:val="0"/>
        <w:spacing w:line="480" w:lineRule="auto"/>
        <w:ind w:left="-619" w:leftChars="-295" w:firstLine="620" w:firstLineChars="203"/>
        <w:jc w:val="center"/>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lang w:val="en-US" w:eastAsia="zh-CN"/>
        </w:rPr>
        <w:t>2026</w:t>
      </w:r>
      <w:r>
        <w:rPr>
          <w:rFonts w:hint="eastAsia" w:asciiTheme="minorEastAsia" w:hAnsiTheme="minorEastAsia" w:eastAsiaTheme="minorEastAsia" w:cstheme="minorEastAsia"/>
          <w:b/>
          <w:bCs/>
          <w:color w:val="auto"/>
          <w:w w:val="95"/>
          <w:sz w:val="32"/>
          <w:szCs w:val="32"/>
          <w:highlight w:val="none"/>
          <w:lang w:eastAsia="zh-CN"/>
        </w:rPr>
        <w:t>年</w:t>
      </w:r>
      <w:r>
        <w:rPr>
          <w:rFonts w:hint="eastAsia" w:asciiTheme="minorEastAsia" w:hAnsiTheme="minorEastAsia" w:eastAsiaTheme="minorEastAsia" w:cstheme="minorEastAsia"/>
          <w:b/>
          <w:bCs/>
          <w:color w:val="auto"/>
          <w:w w:val="95"/>
          <w:sz w:val="32"/>
          <w:szCs w:val="32"/>
          <w:highlight w:val="none"/>
          <w:lang w:val="en-US" w:eastAsia="zh-CN"/>
        </w:rPr>
        <w:t>8</w:t>
      </w:r>
      <w:r>
        <w:rPr>
          <w:rFonts w:hint="eastAsia" w:asciiTheme="minorEastAsia" w:hAnsiTheme="minorEastAsia" w:eastAsiaTheme="minorEastAsia" w:cstheme="minorEastAsia"/>
          <w:b/>
          <w:bCs/>
          <w:color w:val="auto"/>
          <w:w w:val="95"/>
          <w:sz w:val="32"/>
          <w:szCs w:val="32"/>
          <w:highlight w:val="none"/>
          <w:lang w:eastAsia="zh-CN"/>
        </w:rPr>
        <w:t>月</w:t>
      </w:r>
      <w:r>
        <w:rPr>
          <w:rFonts w:hint="eastAsia" w:asciiTheme="minorEastAsia" w:hAnsiTheme="minorEastAsia" w:eastAsiaTheme="minorEastAsia" w:cstheme="minorEastAsia"/>
          <w:b/>
          <w:bCs/>
          <w:color w:val="auto"/>
          <w:w w:val="95"/>
          <w:sz w:val="32"/>
          <w:szCs w:val="32"/>
          <w:highlight w:val="none"/>
          <w:lang w:val="en-US" w:eastAsia="zh-CN"/>
        </w:rPr>
        <w:t>3</w:t>
      </w:r>
      <w:r>
        <w:rPr>
          <w:rFonts w:hint="eastAsia" w:asciiTheme="minorEastAsia" w:hAnsiTheme="minorEastAsia" w:eastAsiaTheme="minorEastAsia" w:cstheme="minorEastAsia"/>
          <w:b/>
          <w:bCs/>
          <w:color w:val="auto"/>
          <w:w w:val="95"/>
          <w:sz w:val="32"/>
          <w:szCs w:val="32"/>
          <w:highlight w:val="none"/>
          <w:lang w:eastAsia="zh-CN"/>
        </w:rPr>
        <w:t>日</w:t>
      </w:r>
    </w:p>
    <w:p w14:paraId="14CD7205">
      <w:pPr>
        <w:pStyle w:val="2"/>
        <w:rPr>
          <w:color w:val="auto"/>
          <w:highlight w:val="none"/>
        </w:rPr>
      </w:pPr>
    </w:p>
    <w:p w14:paraId="5578FA4A">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w:t>
      </w:r>
      <w:bookmarkStart w:id="175" w:name="_GoBack"/>
      <w:bookmarkEnd w:id="175"/>
      <w:r>
        <w:rPr>
          <w:rFonts w:hint="eastAsia" w:ascii="宋体" w:hAnsi="宋体" w:cs="宋体"/>
          <w:b/>
          <w:color w:val="auto"/>
          <w:sz w:val="44"/>
          <w:szCs w:val="44"/>
          <w:highlight w:val="none"/>
        </w:rPr>
        <w:t xml:space="preserve">  录</w:t>
      </w:r>
    </w:p>
    <w:p w14:paraId="37F3FE12">
      <w:pPr>
        <w:spacing w:line="400" w:lineRule="exact"/>
        <w:jc w:val="center"/>
        <w:rPr>
          <w:rFonts w:ascii="宋体" w:hAnsi="宋体" w:cs="宋体"/>
          <w:b/>
          <w:color w:val="auto"/>
          <w:sz w:val="44"/>
          <w:szCs w:val="44"/>
          <w:highlight w:val="none"/>
        </w:rPr>
      </w:pPr>
    </w:p>
    <w:p w14:paraId="27D04A9E">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TOC \o "1-2" \h \u </w:instrText>
      </w:r>
      <w:r>
        <w:rPr>
          <w:color w:val="auto"/>
          <w:sz w:val="24"/>
          <w:szCs w:val="24"/>
          <w:highlight w:val="none"/>
        </w:rPr>
        <w:fldChar w:fldCharType="separate"/>
      </w:r>
      <w:r>
        <w:rPr>
          <w:color w:val="auto"/>
          <w:sz w:val="24"/>
          <w:szCs w:val="24"/>
          <w:highlight w:val="none"/>
        </w:rPr>
        <w:fldChar w:fldCharType="begin"/>
      </w:r>
      <w:r>
        <w:rPr>
          <w:color w:val="auto"/>
          <w:sz w:val="24"/>
          <w:szCs w:val="24"/>
          <w:highlight w:val="none"/>
        </w:rPr>
        <w:instrText xml:space="preserve"> HYPERLINK \l _Toc17872 </w:instrText>
      </w:r>
      <w:r>
        <w:rPr>
          <w:color w:val="auto"/>
          <w:sz w:val="24"/>
          <w:szCs w:val="24"/>
          <w:highlight w:val="none"/>
        </w:rPr>
        <w:fldChar w:fldCharType="separate"/>
      </w:r>
      <w:r>
        <w:rPr>
          <w:rFonts w:hint="eastAsia" w:ascii="宋体" w:hAnsi="宋体" w:cs="宋体"/>
          <w:color w:val="auto"/>
          <w:sz w:val="24"/>
          <w:szCs w:val="24"/>
          <w:highlight w:val="none"/>
        </w:rPr>
        <w:t>第一章 竞争性磋商公告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_Toc17872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533EFE86">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_Toc20235 </w:instrText>
      </w:r>
      <w:r>
        <w:rPr>
          <w:color w:val="auto"/>
          <w:sz w:val="24"/>
          <w:szCs w:val="24"/>
          <w:highlight w:val="none"/>
        </w:rPr>
        <w:fldChar w:fldCharType="separate"/>
      </w:r>
      <w:r>
        <w:rPr>
          <w:rFonts w:hint="eastAsia" w:hAnsi="宋体" w:cs="宋体"/>
          <w:color w:val="auto"/>
          <w:sz w:val="24"/>
          <w:szCs w:val="24"/>
          <w:highlight w:val="none"/>
        </w:rPr>
        <w:t>第二章</w:t>
      </w:r>
      <w:r>
        <w:rPr>
          <w:rFonts w:hint="eastAsia" w:hAnsi="宋体" w:cs="宋体"/>
          <w:color w:val="auto"/>
          <w:sz w:val="24"/>
          <w:szCs w:val="24"/>
          <w:highlight w:val="none"/>
          <w:lang w:val="en-US" w:eastAsia="zh-CN"/>
        </w:rPr>
        <w:t xml:space="preserve"> </w:t>
      </w:r>
      <w:r>
        <w:rPr>
          <w:rFonts w:hint="eastAsia" w:hAnsi="宋体" w:cs="宋体"/>
          <w:color w:val="auto"/>
          <w:sz w:val="24"/>
          <w:szCs w:val="24"/>
          <w:highlight w:val="none"/>
        </w:rPr>
        <w:t>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_Toc20235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color w:val="auto"/>
          <w:sz w:val="24"/>
          <w:szCs w:val="24"/>
          <w:highlight w:val="none"/>
        </w:rPr>
        <w:fldChar w:fldCharType="end"/>
      </w:r>
    </w:p>
    <w:p w14:paraId="1598A662">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_Toc28944 </w:instrText>
      </w:r>
      <w:r>
        <w:rPr>
          <w:color w:val="auto"/>
          <w:sz w:val="24"/>
          <w:szCs w:val="24"/>
          <w:highlight w:val="none"/>
        </w:rPr>
        <w:fldChar w:fldCharType="separate"/>
      </w:r>
      <w:r>
        <w:rPr>
          <w:rFonts w:hint="eastAsia" w:ascii="宋体" w:hAnsi="宋体" w:cs="宋体"/>
          <w:color w:val="auto"/>
          <w:sz w:val="24"/>
          <w:szCs w:val="24"/>
          <w:highlight w:val="none"/>
        </w:rPr>
        <w:t>第三章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_Toc28944 \h </w:instrText>
      </w:r>
      <w:r>
        <w:rPr>
          <w:color w:val="auto"/>
          <w:sz w:val="24"/>
          <w:szCs w:val="24"/>
          <w:highlight w:val="none"/>
        </w:rPr>
        <w:fldChar w:fldCharType="separate"/>
      </w:r>
      <w:r>
        <w:rPr>
          <w:color w:val="auto"/>
          <w:sz w:val="24"/>
          <w:szCs w:val="24"/>
          <w:highlight w:val="none"/>
        </w:rPr>
        <w:t>34</w:t>
      </w:r>
      <w:r>
        <w:rPr>
          <w:color w:val="auto"/>
          <w:sz w:val="24"/>
          <w:szCs w:val="24"/>
          <w:highlight w:val="none"/>
        </w:rPr>
        <w:fldChar w:fldCharType="end"/>
      </w:r>
      <w:r>
        <w:rPr>
          <w:color w:val="auto"/>
          <w:sz w:val="24"/>
          <w:szCs w:val="24"/>
          <w:highlight w:val="none"/>
        </w:rPr>
        <w:fldChar w:fldCharType="end"/>
      </w:r>
    </w:p>
    <w:p w14:paraId="50D42DA0">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_Toc12116 </w:instrText>
      </w:r>
      <w:r>
        <w:rPr>
          <w:color w:val="auto"/>
          <w:sz w:val="24"/>
          <w:szCs w:val="24"/>
          <w:highlight w:val="none"/>
        </w:rPr>
        <w:fldChar w:fldCharType="separate"/>
      </w:r>
      <w:r>
        <w:rPr>
          <w:rFonts w:hint="eastAsia" w:ascii="宋体" w:hAnsi="宋体" w:cs="宋体"/>
          <w:color w:val="auto"/>
          <w:sz w:val="24"/>
          <w:szCs w:val="24"/>
          <w:highlight w:val="none"/>
        </w:rPr>
        <w:t>第四章 评审程序、评审方法和评审标准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_Toc12116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color w:val="auto"/>
          <w:sz w:val="24"/>
          <w:szCs w:val="24"/>
          <w:highlight w:val="none"/>
        </w:rPr>
        <w:fldChar w:fldCharType="end"/>
      </w:r>
    </w:p>
    <w:p w14:paraId="47FD268B">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_Toc11144 </w:instrText>
      </w:r>
      <w:r>
        <w:rPr>
          <w:color w:val="auto"/>
          <w:sz w:val="24"/>
          <w:szCs w:val="24"/>
          <w:highlight w:val="none"/>
        </w:rPr>
        <w:fldChar w:fldCharType="separate"/>
      </w:r>
      <w:r>
        <w:rPr>
          <w:rFonts w:hint="eastAsia" w:ascii="宋体" w:hAnsi="宋体"/>
          <w:color w:val="auto"/>
          <w:sz w:val="24"/>
          <w:szCs w:val="24"/>
          <w:highlight w:val="none"/>
        </w:rPr>
        <w:t>第一节 评审程序和评审方法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_Toc11144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color w:val="auto"/>
          <w:sz w:val="24"/>
          <w:szCs w:val="24"/>
          <w:highlight w:val="none"/>
        </w:rPr>
        <w:fldChar w:fldCharType="end"/>
      </w:r>
    </w:p>
    <w:p w14:paraId="3D5AA9A7">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_Toc13277 </w:instrText>
      </w:r>
      <w:r>
        <w:rPr>
          <w:color w:val="auto"/>
          <w:sz w:val="24"/>
          <w:szCs w:val="24"/>
          <w:highlight w:val="none"/>
        </w:rPr>
        <w:fldChar w:fldCharType="separate"/>
      </w:r>
      <w:r>
        <w:rPr>
          <w:rFonts w:hint="eastAsia" w:ascii="宋体" w:hAnsi="宋体"/>
          <w:color w:val="auto"/>
          <w:sz w:val="24"/>
          <w:szCs w:val="24"/>
          <w:highlight w:val="none"/>
        </w:rPr>
        <w:t>第二节 评审报告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_Toc13277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677F5CDB">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_Toc32317 </w:instrText>
      </w:r>
      <w:r>
        <w:rPr>
          <w:color w:val="auto"/>
          <w:sz w:val="24"/>
          <w:szCs w:val="24"/>
          <w:highlight w:val="none"/>
        </w:rPr>
        <w:fldChar w:fldCharType="separate"/>
      </w:r>
      <w:r>
        <w:rPr>
          <w:rFonts w:hint="eastAsia" w:ascii="宋体" w:hAnsi="宋体"/>
          <w:color w:val="auto"/>
          <w:sz w:val="24"/>
          <w:szCs w:val="24"/>
          <w:highlight w:val="none"/>
        </w:rPr>
        <w:t>第三节 评审过程的保密与录像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_Toc32317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color w:val="auto"/>
          <w:sz w:val="24"/>
          <w:szCs w:val="24"/>
          <w:highlight w:val="none"/>
        </w:rPr>
        <w:fldChar w:fldCharType="end"/>
      </w:r>
    </w:p>
    <w:p w14:paraId="235E1175">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_Toc9845 </w:instrText>
      </w:r>
      <w:r>
        <w:rPr>
          <w:color w:val="auto"/>
          <w:sz w:val="24"/>
          <w:szCs w:val="24"/>
          <w:highlight w:val="none"/>
        </w:rPr>
        <w:fldChar w:fldCharType="separate"/>
      </w:r>
      <w:r>
        <w:rPr>
          <w:rFonts w:hint="eastAsia" w:ascii="宋体" w:hAnsi="宋体" w:cs="宋体"/>
          <w:color w:val="auto"/>
          <w:sz w:val="24"/>
          <w:szCs w:val="24"/>
          <w:highlight w:val="none"/>
        </w:rPr>
        <w:t>第五章 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_Toc9845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77355987">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_Toc17271 </w:instrText>
      </w:r>
      <w:r>
        <w:rPr>
          <w:color w:val="auto"/>
          <w:sz w:val="24"/>
          <w:szCs w:val="24"/>
          <w:highlight w:val="none"/>
        </w:rPr>
        <w:fldChar w:fldCharType="separate"/>
      </w:r>
      <w:r>
        <w:rPr>
          <w:rFonts w:hint="eastAsia"/>
          <w:color w:val="auto"/>
          <w:sz w:val="24"/>
          <w:szCs w:val="24"/>
          <w:highlight w:val="none"/>
        </w:rPr>
        <w:t>一、封面格式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_Toc17271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6FBE7E5D">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_Toc26721 </w:instrText>
      </w:r>
      <w:r>
        <w:rPr>
          <w:color w:val="auto"/>
          <w:sz w:val="24"/>
          <w:szCs w:val="24"/>
          <w:highlight w:val="none"/>
        </w:rPr>
        <w:fldChar w:fldCharType="separate"/>
      </w:r>
      <w:r>
        <w:rPr>
          <w:rFonts w:hint="eastAsia"/>
          <w:color w:val="auto"/>
          <w:sz w:val="24"/>
          <w:szCs w:val="24"/>
          <w:highlight w:val="none"/>
        </w:rPr>
        <w:t>二、资格证明文件格式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_Toc26721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color w:val="auto"/>
          <w:sz w:val="24"/>
          <w:szCs w:val="24"/>
          <w:highlight w:val="none"/>
        </w:rPr>
        <w:fldChar w:fldCharType="end"/>
      </w:r>
    </w:p>
    <w:p w14:paraId="5531BEF5">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_Toc3842 </w:instrText>
      </w:r>
      <w:r>
        <w:rPr>
          <w:color w:val="auto"/>
          <w:sz w:val="24"/>
          <w:szCs w:val="24"/>
          <w:highlight w:val="none"/>
        </w:rPr>
        <w:fldChar w:fldCharType="separate"/>
      </w:r>
      <w:r>
        <w:rPr>
          <w:rFonts w:hint="eastAsia"/>
          <w:color w:val="auto"/>
          <w:sz w:val="24"/>
          <w:szCs w:val="24"/>
          <w:highlight w:val="none"/>
        </w:rPr>
        <w:t>三、商务技术文件格式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_Toc3842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color w:val="auto"/>
          <w:sz w:val="24"/>
          <w:szCs w:val="24"/>
          <w:highlight w:val="none"/>
        </w:rPr>
        <w:fldChar w:fldCharType="end"/>
      </w:r>
    </w:p>
    <w:p w14:paraId="6762F2E8">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_Toc32627 </w:instrText>
      </w:r>
      <w:r>
        <w:rPr>
          <w:color w:val="auto"/>
          <w:sz w:val="24"/>
          <w:szCs w:val="24"/>
          <w:highlight w:val="none"/>
        </w:rPr>
        <w:fldChar w:fldCharType="separate"/>
      </w:r>
      <w:r>
        <w:rPr>
          <w:rFonts w:hint="eastAsia"/>
          <w:color w:val="auto"/>
          <w:sz w:val="24"/>
          <w:szCs w:val="24"/>
          <w:highlight w:val="none"/>
        </w:rPr>
        <w:t>三、报价文件格式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_Toc32627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color w:val="auto"/>
          <w:sz w:val="24"/>
          <w:szCs w:val="24"/>
          <w:highlight w:val="none"/>
        </w:rPr>
        <w:fldChar w:fldCharType="end"/>
      </w:r>
    </w:p>
    <w:p w14:paraId="214C254A">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_Toc21458 </w:instrText>
      </w:r>
      <w:r>
        <w:rPr>
          <w:color w:val="auto"/>
          <w:sz w:val="24"/>
          <w:szCs w:val="24"/>
          <w:highlight w:val="none"/>
        </w:rPr>
        <w:fldChar w:fldCharType="separate"/>
      </w:r>
      <w:r>
        <w:rPr>
          <w:rFonts w:hint="eastAsia" w:ascii="宋体" w:hAnsi="宋体" w:cs="宋体"/>
          <w:color w:val="auto"/>
          <w:sz w:val="24"/>
          <w:szCs w:val="24"/>
          <w:highlight w:val="none"/>
        </w:rPr>
        <w:t>第六章 合同主要条款格式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_Toc21458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color w:val="auto"/>
          <w:sz w:val="24"/>
          <w:szCs w:val="24"/>
          <w:highlight w:val="none"/>
        </w:rPr>
        <w:fldChar w:fldCharType="end"/>
      </w:r>
    </w:p>
    <w:p w14:paraId="7157A3F4">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_Toc25754 </w:instrText>
      </w:r>
      <w:r>
        <w:rPr>
          <w:color w:val="auto"/>
          <w:sz w:val="24"/>
          <w:szCs w:val="24"/>
          <w:highlight w:val="none"/>
        </w:rPr>
        <w:fldChar w:fldCharType="separate"/>
      </w:r>
      <w:r>
        <w:rPr>
          <w:rFonts w:hint="eastAsia" w:ascii="宋体" w:hAnsi="宋体" w:cs="仿宋_GB2312"/>
          <w:color w:val="auto"/>
          <w:sz w:val="24"/>
          <w:szCs w:val="24"/>
          <w:highlight w:val="none"/>
        </w:rPr>
        <w:t>第七章 质疑、投诉材料格式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_Toc25754 \h </w:instrText>
      </w:r>
      <w:r>
        <w:rPr>
          <w:color w:val="auto"/>
          <w:sz w:val="24"/>
          <w:szCs w:val="24"/>
          <w:highlight w:val="none"/>
        </w:rPr>
        <w:fldChar w:fldCharType="separate"/>
      </w:r>
      <w:r>
        <w:rPr>
          <w:color w:val="auto"/>
          <w:sz w:val="24"/>
          <w:szCs w:val="24"/>
          <w:highlight w:val="none"/>
        </w:rPr>
        <w:t>110</w:t>
      </w:r>
      <w:r>
        <w:rPr>
          <w:color w:val="auto"/>
          <w:sz w:val="24"/>
          <w:szCs w:val="24"/>
          <w:highlight w:val="none"/>
        </w:rPr>
        <w:fldChar w:fldCharType="end"/>
      </w:r>
      <w:r>
        <w:rPr>
          <w:color w:val="auto"/>
          <w:sz w:val="24"/>
          <w:szCs w:val="24"/>
          <w:highlight w:val="none"/>
        </w:rPr>
        <w:fldChar w:fldCharType="end"/>
      </w:r>
    </w:p>
    <w:p w14:paraId="53A34132">
      <w:pPr>
        <w:spacing w:line="360" w:lineRule="auto"/>
        <w:jc w:val="left"/>
        <w:rPr>
          <w:color w:val="auto"/>
          <w:sz w:val="24"/>
          <w:szCs w:val="24"/>
          <w:highlight w:val="none"/>
        </w:rPr>
      </w:pPr>
      <w:r>
        <w:rPr>
          <w:color w:val="auto"/>
          <w:sz w:val="24"/>
          <w:szCs w:val="24"/>
          <w:highlight w:val="none"/>
        </w:rPr>
        <w:fldChar w:fldCharType="end"/>
      </w:r>
    </w:p>
    <w:p w14:paraId="5BF35C28">
      <w:pPr>
        <w:pStyle w:val="5"/>
        <w:spacing w:line="360" w:lineRule="auto"/>
        <w:jc w:val="center"/>
        <w:rPr>
          <w:rFonts w:hint="eastAsia" w:ascii="宋体" w:hAnsi="宋体" w:cs="宋体"/>
          <w:color w:val="auto"/>
          <w:highlight w:val="none"/>
        </w:rPr>
        <w:sectPr>
          <w:headerReference r:id="rId4" w:type="first"/>
          <w:headerReference r:id="rId3" w:type="default"/>
          <w:footerReference r:id="rId5" w:type="default"/>
          <w:pgSz w:w="11906" w:h="16838"/>
          <w:pgMar w:top="1417" w:right="1417" w:bottom="1417" w:left="1417" w:header="851" w:footer="567" w:gutter="0"/>
          <w:pgBorders>
            <w:top w:val="none" w:sz="0" w:space="0"/>
            <w:left w:val="none" w:sz="0" w:space="0"/>
            <w:bottom w:val="none" w:sz="0" w:space="0"/>
            <w:right w:val="none" w:sz="0" w:space="0"/>
          </w:pgBorders>
          <w:cols w:space="720" w:num="1"/>
          <w:titlePg/>
          <w:docGrid w:type="lines" w:linePitch="312" w:charSpace="0"/>
        </w:sectPr>
      </w:pPr>
      <w:bookmarkStart w:id="0" w:name="_Toc24449"/>
      <w:bookmarkStart w:id="1" w:name="_Toc27493"/>
      <w:bookmarkStart w:id="2" w:name="_Toc22622"/>
      <w:bookmarkStart w:id="3" w:name="_Toc24219"/>
      <w:bookmarkStart w:id="4" w:name="_Toc17872"/>
    </w:p>
    <w:p w14:paraId="01347CFB">
      <w:pPr>
        <w:pStyle w:val="5"/>
        <w:spacing w:line="360" w:lineRule="auto"/>
        <w:jc w:val="center"/>
        <w:rPr>
          <w:rFonts w:ascii="宋体" w:hAnsi="宋体" w:cs="宋体"/>
          <w:color w:val="auto"/>
          <w:highlight w:val="none"/>
        </w:rPr>
      </w:pPr>
      <w:r>
        <w:rPr>
          <w:rFonts w:hint="eastAsia" w:ascii="宋体" w:hAnsi="宋体" w:cs="宋体"/>
          <w:color w:val="auto"/>
          <w:highlight w:val="none"/>
        </w:rPr>
        <w:t>第一章 竞争性磋商公告</w:t>
      </w:r>
      <w:bookmarkEnd w:id="0"/>
      <w:bookmarkEnd w:id="1"/>
      <w:bookmarkEnd w:id="2"/>
      <w:bookmarkEnd w:id="3"/>
      <w:bookmarkEnd w:id="4"/>
    </w:p>
    <w:p w14:paraId="5C3E9AD2">
      <w:pPr>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eastAsia="zh-CN"/>
        </w:rPr>
        <w:t>广西北部湾宏亚建设管理有限公司关于钦州市教育发展研究中心2026年市本级教师培训项目</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eastAsia="zh-CN"/>
        </w:rPr>
        <w:t>QZZC2026-C3-990232-BBWH</w:t>
      </w:r>
      <w:r>
        <w:rPr>
          <w:rFonts w:hint="eastAsia" w:ascii="宋体" w:hAnsi="宋体" w:cs="宋体"/>
          <w:b/>
          <w:bCs/>
          <w:color w:val="auto"/>
          <w:sz w:val="28"/>
          <w:szCs w:val="28"/>
          <w:highlight w:val="none"/>
        </w:rPr>
        <w:t>）竞争性磋商公告</w:t>
      </w:r>
    </w:p>
    <w:p w14:paraId="34E10F16">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Cs w:val="21"/>
          <w:highlight w:val="none"/>
        </w:rPr>
      </w:pPr>
      <w:bookmarkStart w:id="5" w:name="_Hlk37430271"/>
      <w:r>
        <w:rPr>
          <w:rFonts w:hint="eastAsia" w:ascii="宋体" w:hAnsi="宋体" w:cs="宋体"/>
          <w:color w:val="auto"/>
          <w:szCs w:val="21"/>
          <w:highlight w:val="none"/>
        </w:rPr>
        <w:t>项目概况</w:t>
      </w:r>
    </w:p>
    <w:p w14:paraId="31CD2519">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 w:val="24"/>
          <w:highlight w:val="none"/>
        </w:rPr>
      </w:pPr>
      <w:r>
        <w:rPr>
          <w:rFonts w:hint="eastAsia" w:ascii="宋体" w:hAnsi="宋体"/>
          <w:color w:val="auto"/>
          <w:szCs w:val="21"/>
          <w:highlight w:val="none"/>
          <w:u w:val="single"/>
          <w:lang w:eastAsia="zh-CN"/>
        </w:rPr>
        <w:t>钦州市教育发展研究中心2026年市本级教师培训项目</w:t>
      </w:r>
      <w:r>
        <w:rPr>
          <w:rFonts w:hint="eastAsia" w:ascii="宋体" w:hAnsi="宋体"/>
          <w:color w:val="auto"/>
          <w:szCs w:val="21"/>
          <w:highlight w:val="none"/>
          <w:u w:val="none"/>
        </w:rPr>
        <w:t>项目</w:t>
      </w:r>
      <w:r>
        <w:rPr>
          <w:rFonts w:hint="eastAsia" w:ascii="宋体" w:hAnsi="宋体" w:cs="宋体"/>
          <w:color w:val="auto"/>
          <w:szCs w:val="21"/>
          <w:highlight w:val="none"/>
        </w:rPr>
        <w:t>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rPr>
        <w:t>获取采购文件，并于</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AEC08D2">
      <w:pPr>
        <w:keepNext w:val="0"/>
        <w:keepLines w:val="0"/>
        <w:pageBreakBefore w:val="0"/>
        <w:widowControl/>
        <w:kinsoku/>
        <w:wordWrap/>
        <w:overflowPunct/>
        <w:topLinePunct w:val="0"/>
        <w:autoSpaceDE/>
        <w:autoSpaceDN/>
        <w:bidi w:val="0"/>
        <w:adjustRightInd/>
        <w:snapToGrid w:val="0"/>
        <w:spacing w:line="480" w:lineRule="exact"/>
        <w:ind w:firstLine="482" w:firstLineChars="200"/>
        <w:textAlignment w:val="auto"/>
        <w:rPr>
          <w:rFonts w:ascii="宋体" w:hAnsi="宋体" w:cs="宋体"/>
          <w:b/>
          <w:color w:val="auto"/>
          <w:sz w:val="24"/>
          <w:highlight w:val="none"/>
        </w:rPr>
      </w:pPr>
      <w:bookmarkStart w:id="6" w:name="_Hlk37429674"/>
      <w:bookmarkStart w:id="7" w:name="_Toc35393636"/>
      <w:bookmarkStart w:id="8" w:name="_Toc44229885"/>
      <w:bookmarkStart w:id="9" w:name="_Toc28359095"/>
      <w:bookmarkStart w:id="10" w:name="_Toc35393805"/>
      <w:bookmarkStart w:id="11" w:name="_Toc28359018"/>
      <w:r>
        <w:rPr>
          <w:rFonts w:hint="eastAsia" w:ascii="宋体" w:hAnsi="宋体" w:cs="宋体"/>
          <w:b/>
          <w:color w:val="auto"/>
          <w:sz w:val="24"/>
          <w:highlight w:val="none"/>
        </w:rPr>
        <w:t>一、项目基本情况</w:t>
      </w:r>
    </w:p>
    <w:p w14:paraId="171B4576">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QZZC2026-C3-990232-BBWH</w:t>
      </w:r>
      <w:r>
        <w:rPr>
          <w:rFonts w:hint="eastAsia" w:ascii="宋体" w:hAnsi="宋体" w:cs="宋体"/>
          <w:color w:val="auto"/>
          <w:szCs w:val="21"/>
          <w:highlight w:val="none"/>
          <w:lang w:val="en-US" w:eastAsia="zh-CN"/>
        </w:rPr>
        <w:t xml:space="preserve"> </w:t>
      </w:r>
    </w:p>
    <w:p w14:paraId="6A896713">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采购计划：钦州政采[2026]1847号</w:t>
      </w:r>
    </w:p>
    <w:p w14:paraId="0CB74C74">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钦州市教育发展研究中心2026年市本级教师培训项目</w:t>
      </w:r>
    </w:p>
    <w:p w14:paraId="36B25556">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采购方式：竞争性磋商</w:t>
      </w:r>
    </w:p>
    <w:p w14:paraId="59A9D912">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1205000.00</w:t>
      </w:r>
    </w:p>
    <w:p w14:paraId="42BF6FEC">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采购需求：</w:t>
      </w:r>
      <w:r>
        <w:rPr>
          <w:rFonts w:hint="eastAsia"/>
          <w:lang w:eastAsia="zh-CN"/>
        </w:rPr>
        <w:t>各分标采购内容如下。</w:t>
      </w:r>
    </w:p>
    <w:tbl>
      <w:tblPr>
        <w:tblStyle w:val="34"/>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40"/>
        <w:gridCol w:w="741"/>
        <w:gridCol w:w="1425"/>
        <w:gridCol w:w="2850"/>
        <w:gridCol w:w="885"/>
        <w:gridCol w:w="914"/>
      </w:tblGrid>
      <w:tr w14:paraId="32E9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14:paraId="00DBD7B8">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分标号</w:t>
            </w:r>
          </w:p>
        </w:tc>
        <w:tc>
          <w:tcPr>
            <w:tcW w:w="740" w:type="dxa"/>
            <w:noWrap w:val="0"/>
            <w:vAlign w:val="center"/>
          </w:tcPr>
          <w:p w14:paraId="15DFFADE">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kern w:val="0"/>
                <w:szCs w:val="21"/>
                <w:lang w:eastAsia="zh-CN"/>
              </w:rPr>
            </w:pPr>
            <w:r>
              <w:rPr>
                <w:rFonts w:hint="eastAsia" w:ascii="宋体" w:hAnsi="宋体" w:cs="宋体"/>
                <w:b/>
                <w:kern w:val="0"/>
                <w:szCs w:val="21"/>
                <w:lang w:eastAsia="zh-CN"/>
              </w:rPr>
              <w:t>分项名称</w:t>
            </w:r>
          </w:p>
        </w:tc>
        <w:tc>
          <w:tcPr>
            <w:tcW w:w="741" w:type="dxa"/>
            <w:noWrap w:val="0"/>
            <w:vAlign w:val="center"/>
          </w:tcPr>
          <w:p w14:paraId="07F94CCF">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子项目</w:t>
            </w:r>
          </w:p>
          <w:p w14:paraId="3F0D0504">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 xml:space="preserve">名称 </w:t>
            </w:r>
          </w:p>
        </w:tc>
        <w:tc>
          <w:tcPr>
            <w:tcW w:w="1425" w:type="dxa"/>
            <w:noWrap w:val="0"/>
            <w:vAlign w:val="center"/>
          </w:tcPr>
          <w:p w14:paraId="29312B80">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kern w:val="0"/>
                <w:szCs w:val="21"/>
                <w:lang w:eastAsia="zh-CN"/>
              </w:rPr>
            </w:pPr>
            <w:r>
              <w:rPr>
                <w:rFonts w:hint="eastAsia" w:ascii="宋体" w:hAnsi="宋体" w:cs="宋体"/>
                <w:b/>
                <w:kern w:val="0"/>
                <w:szCs w:val="21"/>
              </w:rPr>
              <w:t>培训</w:t>
            </w:r>
            <w:r>
              <w:rPr>
                <w:rFonts w:hint="eastAsia" w:ascii="宋体" w:hAnsi="宋体" w:cs="宋体"/>
                <w:b/>
                <w:kern w:val="0"/>
                <w:szCs w:val="21"/>
                <w:lang w:eastAsia="zh-CN"/>
              </w:rPr>
              <w:t>对象</w:t>
            </w:r>
          </w:p>
        </w:tc>
        <w:tc>
          <w:tcPr>
            <w:tcW w:w="2850" w:type="dxa"/>
            <w:noWrap w:val="0"/>
            <w:vAlign w:val="center"/>
          </w:tcPr>
          <w:p w14:paraId="11715499">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培训内容</w:t>
            </w:r>
          </w:p>
        </w:tc>
        <w:tc>
          <w:tcPr>
            <w:tcW w:w="885" w:type="dxa"/>
            <w:noWrap w:val="0"/>
            <w:vAlign w:val="center"/>
          </w:tcPr>
          <w:p w14:paraId="0E0D9DA0">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经费 （万元）</w:t>
            </w:r>
          </w:p>
        </w:tc>
        <w:tc>
          <w:tcPr>
            <w:tcW w:w="914" w:type="dxa"/>
            <w:noWrap w:val="0"/>
            <w:vAlign w:val="center"/>
          </w:tcPr>
          <w:p w14:paraId="0D47D571">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标段最高限价（万元）</w:t>
            </w:r>
          </w:p>
        </w:tc>
      </w:tr>
      <w:tr w14:paraId="29FE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0" w:type="dxa"/>
            <w:vMerge w:val="restart"/>
            <w:shd w:val="clear" w:color="auto" w:fill="auto"/>
            <w:noWrap w:val="0"/>
            <w:vAlign w:val="center"/>
          </w:tcPr>
          <w:p w14:paraId="74958E6D">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r>
              <w:rPr>
                <w:rFonts w:hint="eastAsia" w:ascii="宋体" w:hAnsi="宋体" w:cs="宋体"/>
                <w:kern w:val="0"/>
                <w:szCs w:val="21"/>
              </w:rPr>
              <w:t>1</w:t>
            </w:r>
          </w:p>
        </w:tc>
        <w:tc>
          <w:tcPr>
            <w:tcW w:w="740" w:type="dxa"/>
            <w:vMerge w:val="restart"/>
            <w:shd w:val="clear" w:color="000000" w:fill="FFFFFF"/>
            <w:noWrap w:val="0"/>
            <w:vAlign w:val="center"/>
          </w:tcPr>
          <w:p w14:paraId="5159B8BD">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000000"/>
                <w:szCs w:val="21"/>
                <w:lang w:eastAsia="zh-CN"/>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1分标</w:t>
            </w:r>
            <w:r>
              <w:rPr>
                <w:rFonts w:hint="eastAsia" w:ascii="宋体" w:hAnsi="宋体" w:cs="宋体"/>
                <w:color w:val="auto"/>
                <w:szCs w:val="21"/>
                <w:highlight w:val="none"/>
                <w:lang w:eastAsia="zh-CN"/>
              </w:rPr>
              <w:t>）</w:t>
            </w:r>
            <w:r>
              <w:rPr>
                <w:rFonts w:hint="eastAsia" w:ascii="宋体" w:hAnsi="宋体" w:eastAsia="宋体" w:cs="宋体"/>
                <w:color w:val="000000"/>
                <w:szCs w:val="21"/>
                <w:lang w:eastAsia="zh-CN"/>
              </w:rPr>
              <w:t xml:space="preserve"> </w:t>
            </w:r>
          </w:p>
        </w:tc>
        <w:tc>
          <w:tcPr>
            <w:tcW w:w="741" w:type="dxa"/>
            <w:shd w:val="clear" w:color="000000" w:fill="FFFFFF"/>
            <w:noWrap w:val="0"/>
            <w:vAlign w:val="center"/>
          </w:tcPr>
          <w:p w14:paraId="13B41BCF">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r>
              <w:rPr>
                <w:rFonts w:hint="eastAsia" w:ascii="宋体" w:hAnsi="宋体" w:cs="宋体"/>
                <w:kern w:val="0"/>
                <w:szCs w:val="21"/>
              </w:rPr>
              <w:t>钦州市教研管理能力提升培训班</w:t>
            </w:r>
          </w:p>
        </w:tc>
        <w:tc>
          <w:tcPr>
            <w:tcW w:w="1425" w:type="dxa"/>
            <w:noWrap w:val="0"/>
            <w:vAlign w:val="center"/>
          </w:tcPr>
          <w:p w14:paraId="7B3AF9CD">
            <w:pPr>
              <w:keepNext w:val="0"/>
              <w:keepLines w:val="0"/>
              <w:pageBreakBefore w:val="0"/>
              <w:kinsoku/>
              <w:wordWrap/>
              <w:overflowPunct/>
              <w:topLinePunct w:val="0"/>
              <w:autoSpaceDE/>
              <w:autoSpaceDN/>
              <w:bidi w:val="0"/>
              <w:adjustRightInd/>
              <w:snapToGrid w:val="0"/>
              <w:spacing w:line="320" w:lineRule="exact"/>
              <w:textAlignment w:val="auto"/>
              <w:rPr>
                <w:rFonts w:hint="default" w:ascii="宋体" w:hAnsi="宋体" w:eastAsia="宋体" w:cs="宋体"/>
                <w:kern w:val="0"/>
                <w:szCs w:val="21"/>
                <w:lang w:val="en-US" w:eastAsia="zh-CN"/>
              </w:rPr>
            </w:pPr>
            <w:r>
              <w:rPr>
                <w:rFonts w:hint="eastAsia" w:ascii="宋体" w:hAnsi="宋体" w:cs="宋体"/>
                <w:kern w:val="0"/>
                <w:szCs w:val="21"/>
              </w:rPr>
              <w:t>市、县（区）教研机构教研员（含兼职教研员）</w:t>
            </w:r>
            <w:r>
              <w:rPr>
                <w:rFonts w:hint="eastAsia" w:ascii="宋体" w:hAnsi="宋体" w:cs="宋体"/>
                <w:kern w:val="0"/>
                <w:szCs w:val="21"/>
                <w:lang w:val="en-US" w:eastAsia="zh-CN"/>
              </w:rPr>
              <w:t>。</w:t>
            </w:r>
          </w:p>
        </w:tc>
        <w:tc>
          <w:tcPr>
            <w:tcW w:w="2850" w:type="dxa"/>
            <w:noWrap w:val="0"/>
            <w:vAlign w:val="center"/>
          </w:tcPr>
          <w:p w14:paraId="3D89E5CA">
            <w:pPr>
              <w:keepNext w:val="0"/>
              <w:keepLines w:val="0"/>
              <w:pageBreakBefore w:val="0"/>
              <w:kinsoku/>
              <w:wordWrap/>
              <w:overflowPunct/>
              <w:topLinePunct w:val="0"/>
              <w:autoSpaceDE/>
              <w:autoSpaceDN/>
              <w:bidi w:val="0"/>
              <w:adjustRightInd/>
              <w:snapToGrid w:val="0"/>
              <w:spacing w:line="320" w:lineRule="exact"/>
              <w:textAlignment w:val="auto"/>
              <w:rPr>
                <w:rFonts w:hint="eastAsia" w:ascii="宋体" w:hAnsi="宋体" w:cs="宋体"/>
                <w:kern w:val="0"/>
                <w:szCs w:val="21"/>
              </w:rPr>
            </w:pPr>
            <w:r>
              <w:rPr>
                <w:rFonts w:hint="eastAsia" w:ascii="宋体" w:hAnsi="宋体" w:cs="宋体"/>
                <w:kern w:val="0"/>
                <w:szCs w:val="21"/>
              </w:rPr>
              <w:t>围绕更新观念，</w:t>
            </w:r>
            <w:r>
              <w:rPr>
                <w:rFonts w:hint="eastAsia" w:ascii="宋体" w:hAnsi="宋体" w:cs="宋体"/>
                <w:kern w:val="0"/>
                <w:szCs w:val="21"/>
                <w:lang w:eastAsia="zh-CN"/>
              </w:rPr>
              <w:t>聚</w:t>
            </w:r>
            <w:r>
              <w:rPr>
                <w:rFonts w:hint="eastAsia" w:ascii="宋体" w:hAnsi="宋体" w:cs="宋体"/>
                <w:kern w:val="0"/>
                <w:szCs w:val="21"/>
              </w:rPr>
              <w:t>焦前沿教育的相关理论、特点、基本标准、评价和经典案例</w:t>
            </w:r>
            <w:r>
              <w:rPr>
                <w:rFonts w:hint="eastAsia" w:ascii="宋体" w:hAnsi="宋体" w:cs="宋体"/>
                <w:kern w:val="0"/>
                <w:szCs w:val="21"/>
                <w:lang w:eastAsia="zh-CN"/>
              </w:rPr>
              <w:t>；师德师风建设；如何开展教研视导工作。</w:t>
            </w:r>
            <w:r>
              <w:rPr>
                <w:rFonts w:hint="eastAsia" w:ascii="宋体" w:hAnsi="宋体" w:cs="宋体"/>
                <w:kern w:val="0"/>
                <w:szCs w:val="21"/>
              </w:rPr>
              <w:t xml:space="preserve"> 通过培训，</w:t>
            </w:r>
            <w:r>
              <w:rPr>
                <w:rFonts w:hint="eastAsia" w:ascii="宋体" w:hAnsi="宋体" w:cs="宋体"/>
                <w:kern w:val="0"/>
                <w:szCs w:val="21"/>
                <w:lang w:eastAsia="zh-CN"/>
              </w:rPr>
              <w:t>提升教研员的教研能力，</w:t>
            </w:r>
            <w:r>
              <w:rPr>
                <w:rFonts w:hint="eastAsia" w:ascii="宋体" w:hAnsi="宋体" w:cs="宋体"/>
                <w:kern w:val="0"/>
                <w:szCs w:val="21"/>
              </w:rPr>
              <w:t>推动</w:t>
            </w:r>
            <w:r>
              <w:rPr>
                <w:rFonts w:hint="eastAsia" w:ascii="宋体" w:hAnsi="宋体" w:cs="宋体"/>
                <w:kern w:val="0"/>
                <w:szCs w:val="21"/>
                <w:lang w:eastAsia="zh-CN"/>
              </w:rPr>
              <w:t>教育发展</w:t>
            </w:r>
            <w:r>
              <w:rPr>
                <w:rFonts w:hint="eastAsia" w:ascii="宋体" w:hAnsi="宋体" w:cs="宋体"/>
                <w:kern w:val="0"/>
                <w:szCs w:val="21"/>
              </w:rPr>
              <w:t xml:space="preserve"> 。</w:t>
            </w:r>
          </w:p>
        </w:tc>
        <w:tc>
          <w:tcPr>
            <w:tcW w:w="885" w:type="dxa"/>
            <w:noWrap w:val="0"/>
            <w:vAlign w:val="center"/>
          </w:tcPr>
          <w:p w14:paraId="2D41061C">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lang w:val="en-US" w:eastAsia="zh-CN"/>
              </w:rPr>
              <w:t>8</w:t>
            </w:r>
          </w:p>
        </w:tc>
        <w:tc>
          <w:tcPr>
            <w:tcW w:w="914" w:type="dxa"/>
            <w:vMerge w:val="restart"/>
            <w:noWrap w:val="0"/>
            <w:vAlign w:val="center"/>
          </w:tcPr>
          <w:p w14:paraId="696ADA86">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19</w:t>
            </w:r>
          </w:p>
        </w:tc>
      </w:tr>
      <w:tr w14:paraId="3512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770" w:type="dxa"/>
            <w:vMerge w:val="continue"/>
            <w:shd w:val="clear" w:color="auto" w:fill="auto"/>
            <w:noWrap w:val="0"/>
            <w:vAlign w:val="center"/>
          </w:tcPr>
          <w:p w14:paraId="23F537C9">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c>
          <w:tcPr>
            <w:tcW w:w="740" w:type="dxa"/>
            <w:vMerge w:val="continue"/>
            <w:shd w:val="clear" w:color="000000" w:fill="FFFFFF"/>
            <w:noWrap w:val="0"/>
            <w:vAlign w:val="center"/>
          </w:tcPr>
          <w:p w14:paraId="1113ADEA">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cs="宋体"/>
                <w:color w:val="000000"/>
                <w:szCs w:val="21"/>
              </w:rPr>
            </w:pPr>
          </w:p>
        </w:tc>
        <w:tc>
          <w:tcPr>
            <w:tcW w:w="741" w:type="dxa"/>
            <w:shd w:val="clear" w:color="000000" w:fill="FFFFFF"/>
            <w:noWrap w:val="0"/>
            <w:vAlign w:val="center"/>
          </w:tcPr>
          <w:p w14:paraId="7ECDF54B">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r>
              <w:rPr>
                <w:rFonts w:hint="eastAsia" w:ascii="宋体" w:hAnsi="宋体" w:cs="宋体"/>
                <w:kern w:val="0"/>
                <w:szCs w:val="21"/>
              </w:rPr>
              <w:t>钦州市教研管理能力提升培训班</w:t>
            </w:r>
          </w:p>
        </w:tc>
        <w:tc>
          <w:tcPr>
            <w:tcW w:w="1425" w:type="dxa"/>
            <w:noWrap w:val="0"/>
            <w:vAlign w:val="center"/>
          </w:tcPr>
          <w:p w14:paraId="5E455A31">
            <w:pPr>
              <w:keepNext w:val="0"/>
              <w:keepLines w:val="0"/>
              <w:pageBreakBefore w:val="0"/>
              <w:kinsoku/>
              <w:wordWrap/>
              <w:overflowPunct/>
              <w:topLinePunct w:val="0"/>
              <w:autoSpaceDE/>
              <w:autoSpaceDN/>
              <w:bidi w:val="0"/>
              <w:adjustRightInd/>
              <w:snapToGrid w:val="0"/>
              <w:spacing w:line="320" w:lineRule="exact"/>
              <w:textAlignment w:val="auto"/>
              <w:rPr>
                <w:rFonts w:hint="default" w:ascii="宋体" w:hAnsi="宋体" w:eastAsia="宋体" w:cs="宋体"/>
                <w:kern w:val="0"/>
                <w:szCs w:val="21"/>
                <w:lang w:val="en-US" w:eastAsia="zh-CN"/>
              </w:rPr>
            </w:pPr>
            <w:r>
              <w:rPr>
                <w:rFonts w:hint="eastAsia" w:ascii="宋体" w:hAnsi="宋体" w:cs="宋体"/>
                <w:kern w:val="0"/>
                <w:szCs w:val="21"/>
              </w:rPr>
              <w:t>市直学校教学科研管理干部</w:t>
            </w:r>
            <w:r>
              <w:rPr>
                <w:rFonts w:hint="eastAsia" w:ascii="宋体" w:hAnsi="宋体" w:cs="宋体"/>
                <w:kern w:val="0"/>
                <w:szCs w:val="21"/>
                <w:lang w:val="en-US" w:eastAsia="zh-CN"/>
              </w:rPr>
              <w:t>。</w:t>
            </w:r>
          </w:p>
        </w:tc>
        <w:tc>
          <w:tcPr>
            <w:tcW w:w="2850" w:type="dxa"/>
            <w:noWrap w:val="0"/>
            <w:vAlign w:val="center"/>
          </w:tcPr>
          <w:p w14:paraId="2503F0F6">
            <w:pPr>
              <w:keepNext w:val="0"/>
              <w:keepLines w:val="0"/>
              <w:pageBreakBefore w:val="0"/>
              <w:kinsoku/>
              <w:wordWrap/>
              <w:overflowPunct/>
              <w:topLinePunct w:val="0"/>
              <w:autoSpaceDE/>
              <w:autoSpaceDN/>
              <w:bidi w:val="0"/>
              <w:adjustRightInd/>
              <w:snapToGrid w:val="0"/>
              <w:spacing w:line="320" w:lineRule="exact"/>
              <w:textAlignment w:val="auto"/>
              <w:rPr>
                <w:rFonts w:hint="eastAsia" w:ascii="宋体" w:hAnsi="宋体" w:cs="宋体"/>
                <w:kern w:val="0"/>
                <w:szCs w:val="21"/>
              </w:rPr>
            </w:pPr>
            <w:r>
              <w:rPr>
                <w:rFonts w:hint="eastAsia" w:ascii="宋体" w:hAnsi="宋体" w:cs="宋体"/>
                <w:kern w:val="0"/>
                <w:szCs w:val="21"/>
              </w:rPr>
              <w:t>围绕更新观念，聚焦前沿教育的相关理论、特点、基本标准、评价和经典案例；师德师风建设；如何开展教研视导工作。 通过培训，提升教研员的教研能力，推动教育发展 。</w:t>
            </w:r>
          </w:p>
        </w:tc>
        <w:tc>
          <w:tcPr>
            <w:tcW w:w="885" w:type="dxa"/>
            <w:noWrap w:val="0"/>
            <w:vAlign w:val="center"/>
          </w:tcPr>
          <w:p w14:paraId="1BA48CCD">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11</w:t>
            </w:r>
          </w:p>
        </w:tc>
        <w:tc>
          <w:tcPr>
            <w:tcW w:w="914" w:type="dxa"/>
            <w:vMerge w:val="continue"/>
            <w:noWrap w:val="0"/>
            <w:vAlign w:val="center"/>
          </w:tcPr>
          <w:p w14:paraId="1BFBBF6B">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r>
      <w:tr w14:paraId="077B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770" w:type="dxa"/>
            <w:vMerge w:val="restart"/>
            <w:noWrap w:val="0"/>
            <w:vAlign w:val="center"/>
          </w:tcPr>
          <w:p w14:paraId="4CE492AA">
            <w:pPr>
              <w:keepNext w:val="0"/>
              <w:keepLines w:val="0"/>
              <w:pageBreakBefore w:val="0"/>
              <w:widowControl/>
              <w:kinsoku/>
              <w:wordWrap/>
              <w:overflowPunct/>
              <w:topLinePunct w:val="0"/>
              <w:autoSpaceDE/>
              <w:autoSpaceDN/>
              <w:bidi w:val="0"/>
              <w:adjustRightInd/>
              <w:snapToGrid w:val="0"/>
              <w:spacing w:line="320" w:lineRule="exact"/>
              <w:ind w:firstLine="210" w:firstLineChars="100"/>
              <w:jc w:val="left"/>
              <w:textAlignment w:val="auto"/>
              <w:rPr>
                <w:rFonts w:hint="eastAsia" w:ascii="宋体" w:hAnsi="宋体" w:cs="宋体"/>
                <w:kern w:val="0"/>
                <w:szCs w:val="21"/>
              </w:rPr>
            </w:pPr>
            <w:r>
              <w:rPr>
                <w:rFonts w:hint="eastAsia" w:ascii="宋体" w:hAnsi="宋体" w:cs="宋体"/>
                <w:kern w:val="0"/>
                <w:szCs w:val="21"/>
              </w:rPr>
              <w:t>2</w:t>
            </w:r>
          </w:p>
        </w:tc>
        <w:tc>
          <w:tcPr>
            <w:tcW w:w="740" w:type="dxa"/>
            <w:vMerge w:val="restart"/>
            <w:noWrap w:val="0"/>
            <w:vAlign w:val="center"/>
          </w:tcPr>
          <w:p w14:paraId="4BFA27E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kern w:val="0"/>
                <w:szCs w:val="21"/>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2分标</w:t>
            </w:r>
            <w:r>
              <w:rPr>
                <w:rFonts w:hint="eastAsia" w:ascii="宋体" w:hAnsi="宋体" w:cs="宋体"/>
                <w:color w:val="auto"/>
                <w:szCs w:val="21"/>
                <w:highlight w:val="none"/>
                <w:lang w:eastAsia="zh-CN"/>
              </w:rPr>
              <w:t>）</w:t>
            </w:r>
          </w:p>
        </w:tc>
        <w:tc>
          <w:tcPr>
            <w:tcW w:w="741" w:type="dxa"/>
            <w:noWrap w:val="0"/>
            <w:vAlign w:val="center"/>
          </w:tcPr>
          <w:p w14:paraId="5C8CCA8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kern w:val="0"/>
                <w:szCs w:val="21"/>
              </w:rPr>
            </w:pPr>
            <w:r>
              <w:rPr>
                <w:rFonts w:hint="eastAsia" w:ascii="宋体" w:hAnsi="宋体" w:cs="宋体"/>
                <w:kern w:val="0"/>
                <w:szCs w:val="21"/>
              </w:rPr>
              <w:t>钦州市初中学科教研员（兼职教研员）、学科中心组成员关键能力提升培训班</w:t>
            </w:r>
          </w:p>
        </w:tc>
        <w:tc>
          <w:tcPr>
            <w:tcW w:w="1425" w:type="dxa"/>
            <w:noWrap w:val="0"/>
            <w:vAlign w:val="center"/>
          </w:tcPr>
          <w:p w14:paraId="6DCC718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宋体" w:hAnsi="宋体" w:eastAsia="宋体" w:cs="宋体"/>
                <w:kern w:val="0"/>
                <w:szCs w:val="21"/>
                <w:lang w:val="en-US" w:eastAsia="zh-CN"/>
              </w:rPr>
            </w:pPr>
            <w:r>
              <w:rPr>
                <w:rFonts w:hint="eastAsia" w:ascii="宋体" w:hAnsi="宋体" w:cs="宋体"/>
                <w:kern w:val="0"/>
                <w:szCs w:val="21"/>
              </w:rPr>
              <w:t>初中学科教研员（兼职教研员）、学科中心组成员</w:t>
            </w:r>
            <w:r>
              <w:rPr>
                <w:rFonts w:hint="eastAsia" w:ascii="宋体" w:hAnsi="宋体" w:cs="宋体"/>
                <w:kern w:val="0"/>
                <w:szCs w:val="21"/>
                <w:lang w:val="en-US" w:eastAsia="zh-CN"/>
              </w:rPr>
              <w:t>。</w:t>
            </w:r>
          </w:p>
        </w:tc>
        <w:tc>
          <w:tcPr>
            <w:tcW w:w="2850" w:type="dxa"/>
            <w:noWrap w:val="0"/>
            <w:vAlign w:val="center"/>
          </w:tcPr>
          <w:p w14:paraId="699A1F64">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420" w:leftChars="200" w:firstLine="0" w:firstLineChars="0"/>
              <w:textAlignment w:val="auto"/>
              <w:rPr>
                <w:rFonts w:hint="eastAsia" w:ascii="宋体" w:hAnsi="宋体" w:cs="宋体"/>
                <w:kern w:val="0"/>
                <w:szCs w:val="21"/>
                <w:lang w:val="en-US" w:eastAsia="zh-CN"/>
              </w:rPr>
            </w:pPr>
            <w:r>
              <w:rPr>
                <w:rFonts w:hint="eastAsia" w:ascii="宋体" w:hAnsi="宋体" w:eastAsia="宋体" w:cs="宋体"/>
                <w:kern w:val="0"/>
                <w:sz w:val="21"/>
                <w:szCs w:val="21"/>
                <w:lang w:val="en-US" w:eastAsia="zh-CN" w:bidi="ar-SA"/>
              </w:rPr>
              <w:t>一、</w:t>
            </w:r>
            <w:r>
              <w:rPr>
                <w:rFonts w:hint="eastAsia" w:ascii="宋体" w:hAnsi="宋体" w:cs="宋体"/>
                <w:kern w:val="0"/>
                <w:szCs w:val="21"/>
              </w:rPr>
              <w:t>全班通识培训内容：</w:t>
            </w:r>
            <w:r>
              <w:rPr>
                <w:rFonts w:hint="eastAsia" w:ascii="宋体" w:hAnsi="宋体" w:cs="宋体"/>
                <w:kern w:val="0"/>
                <w:szCs w:val="21"/>
                <w:lang w:val="en-US" w:eastAsia="zh-CN"/>
              </w:rPr>
              <w:t>1.教研员师德师风建设；</w:t>
            </w:r>
          </w:p>
          <w:p w14:paraId="0E410CB0">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firstLine="420" w:firstLineChars="200"/>
              <w:textAlignment w:val="auto"/>
              <w:rPr>
                <w:rFonts w:hint="eastAsia" w:ascii="宋体" w:hAnsi="宋体" w:cs="宋体"/>
                <w:kern w:val="0"/>
                <w:szCs w:val="21"/>
                <w:lang w:val="en-US" w:eastAsia="zh-CN"/>
              </w:rPr>
            </w:pPr>
            <w:r>
              <w:rPr>
                <w:rFonts w:hint="eastAsia" w:ascii="宋体" w:hAnsi="宋体" w:cs="宋体"/>
                <w:kern w:val="0"/>
                <w:szCs w:val="21"/>
                <w:lang w:val="en-US" w:eastAsia="zh-CN"/>
              </w:rPr>
              <w:t>2.基于教学评一体化的教学设计能力；</w:t>
            </w:r>
          </w:p>
          <w:p w14:paraId="0D7C6A94">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firstLine="420" w:firstLineChars="200"/>
              <w:textAlignment w:val="auto"/>
              <w:rPr>
                <w:rFonts w:hint="eastAsia" w:ascii="宋体" w:hAnsi="宋体" w:cs="宋体"/>
                <w:kern w:val="0"/>
                <w:szCs w:val="21"/>
                <w:lang w:val="en-US" w:eastAsia="zh-CN"/>
              </w:rPr>
            </w:pPr>
            <w:r>
              <w:rPr>
                <w:rFonts w:hint="eastAsia" w:ascii="宋体" w:hAnsi="宋体" w:cs="宋体"/>
                <w:kern w:val="0"/>
                <w:szCs w:val="21"/>
                <w:lang w:val="en-US" w:eastAsia="zh-CN"/>
              </w:rPr>
              <w:t>3.人工智能赋能教学教研能力提升；</w:t>
            </w:r>
          </w:p>
          <w:p w14:paraId="56040FCD">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firstLine="420" w:firstLineChars="200"/>
              <w:textAlignment w:val="auto"/>
              <w:rPr>
                <w:rFonts w:hint="eastAsia" w:ascii="宋体" w:hAnsi="宋体" w:cs="宋体"/>
                <w:kern w:val="0"/>
                <w:szCs w:val="21"/>
                <w:lang w:val="en-US" w:eastAsia="zh-CN"/>
              </w:rPr>
            </w:pPr>
            <w:r>
              <w:rPr>
                <w:rFonts w:hint="eastAsia" w:ascii="宋体" w:hAnsi="宋体" w:cs="宋体"/>
                <w:kern w:val="0"/>
                <w:szCs w:val="21"/>
                <w:lang w:val="en-US" w:eastAsia="zh-CN"/>
              </w:rPr>
              <w:t>4.义务教育质量监测结果应用及教学改进；</w:t>
            </w:r>
          </w:p>
          <w:p w14:paraId="05C34937">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firstLine="420" w:firstLineChars="200"/>
              <w:textAlignment w:val="auto"/>
              <w:rPr>
                <w:rFonts w:hint="eastAsia" w:ascii="宋体" w:hAnsi="宋体" w:cs="宋体"/>
                <w:kern w:val="0"/>
                <w:szCs w:val="21"/>
                <w:lang w:val="en-US" w:eastAsia="zh-CN"/>
              </w:rPr>
            </w:pPr>
            <w:r>
              <w:rPr>
                <w:rFonts w:hint="eastAsia" w:ascii="宋体" w:hAnsi="宋体" w:cs="宋体"/>
                <w:kern w:val="0"/>
                <w:szCs w:val="21"/>
                <w:lang w:val="en-US" w:eastAsia="zh-CN"/>
              </w:rPr>
              <w:t>5.基于素养的中考学科命题能力。</w:t>
            </w:r>
          </w:p>
          <w:p w14:paraId="4C06722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 xml:space="preserve">    二、到学校跟岗学习。</w:t>
            </w:r>
          </w:p>
        </w:tc>
        <w:tc>
          <w:tcPr>
            <w:tcW w:w="885" w:type="dxa"/>
            <w:noWrap w:val="0"/>
            <w:vAlign w:val="center"/>
          </w:tcPr>
          <w:p w14:paraId="708C49B4">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13.75</w:t>
            </w:r>
          </w:p>
        </w:tc>
        <w:tc>
          <w:tcPr>
            <w:tcW w:w="914" w:type="dxa"/>
            <w:vMerge w:val="restart"/>
            <w:noWrap w:val="0"/>
            <w:vAlign w:val="center"/>
          </w:tcPr>
          <w:p w14:paraId="6F7AD306">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21.75</w:t>
            </w:r>
          </w:p>
        </w:tc>
      </w:tr>
      <w:tr w14:paraId="3329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0" w:type="dxa"/>
            <w:vMerge w:val="continue"/>
            <w:noWrap w:val="0"/>
            <w:vAlign w:val="center"/>
          </w:tcPr>
          <w:p w14:paraId="22D05AA6">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c>
          <w:tcPr>
            <w:tcW w:w="740" w:type="dxa"/>
            <w:vMerge w:val="continue"/>
            <w:noWrap w:val="0"/>
            <w:vAlign w:val="center"/>
          </w:tcPr>
          <w:p w14:paraId="6CC5F0B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kern w:val="0"/>
                <w:szCs w:val="21"/>
              </w:rPr>
            </w:pPr>
          </w:p>
        </w:tc>
        <w:tc>
          <w:tcPr>
            <w:tcW w:w="741" w:type="dxa"/>
            <w:noWrap w:val="0"/>
            <w:vAlign w:val="center"/>
          </w:tcPr>
          <w:p w14:paraId="6708E7B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kern w:val="0"/>
                <w:szCs w:val="21"/>
              </w:rPr>
            </w:pPr>
            <w:r>
              <w:rPr>
                <w:rFonts w:hint="eastAsia" w:ascii="宋体" w:hAnsi="宋体" w:cs="宋体"/>
                <w:kern w:val="0"/>
                <w:szCs w:val="21"/>
              </w:rPr>
              <w:t>心理健康教育伦理与边界专题培训班</w:t>
            </w:r>
          </w:p>
        </w:tc>
        <w:tc>
          <w:tcPr>
            <w:tcW w:w="1425" w:type="dxa"/>
            <w:noWrap w:val="0"/>
            <w:vAlign w:val="center"/>
          </w:tcPr>
          <w:p w14:paraId="765B9D9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宋体" w:hAnsi="宋体" w:eastAsia="宋体" w:cs="宋体"/>
                <w:kern w:val="0"/>
                <w:szCs w:val="21"/>
                <w:lang w:val="en-US" w:eastAsia="zh-CN"/>
              </w:rPr>
            </w:pPr>
            <w:r>
              <w:rPr>
                <w:rFonts w:hint="eastAsia" w:ascii="宋体" w:hAnsi="宋体" w:cs="宋体"/>
                <w:kern w:val="0"/>
                <w:szCs w:val="21"/>
              </w:rPr>
              <w:t>专兼职心理健康教研员、名师工作室成员、中心组成员</w:t>
            </w:r>
            <w:r>
              <w:rPr>
                <w:rFonts w:hint="eastAsia" w:ascii="宋体" w:hAnsi="宋体" w:cs="宋体"/>
                <w:kern w:val="0"/>
                <w:szCs w:val="21"/>
                <w:lang w:val="en-US" w:eastAsia="zh-CN"/>
              </w:rPr>
              <w:t>。</w:t>
            </w:r>
          </w:p>
        </w:tc>
        <w:tc>
          <w:tcPr>
            <w:tcW w:w="2850" w:type="dxa"/>
            <w:noWrap w:val="0"/>
            <w:vAlign w:val="center"/>
          </w:tcPr>
          <w:p w14:paraId="046E20F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kern w:val="0"/>
                <w:szCs w:val="21"/>
              </w:rPr>
            </w:pPr>
            <w:r>
              <w:rPr>
                <w:rFonts w:hint="eastAsia"/>
              </w:rPr>
              <w:t>1.心理健康教育伦理守则与职业规范；2.咨询关系中的角色边界与身份定位；3.来访者信息保密原则与保密例外，心理辅导使用AI方面的伦理；4.多重关系的识别、预防与处理策略；5.价值中立原则在咨询中的应用与挑战；6.心理危机干预中的伦理决策与责任；7.家校沟通中的伦理考量与协同机制；8.心理评估工具的专业使用与伦理规范；9.朋辈支持中的情感边界与伦理困境；10.伦理违规案例分析与应对框架。</w:t>
            </w:r>
          </w:p>
        </w:tc>
        <w:tc>
          <w:tcPr>
            <w:tcW w:w="885" w:type="dxa"/>
            <w:noWrap w:val="0"/>
            <w:vAlign w:val="center"/>
          </w:tcPr>
          <w:p w14:paraId="3AD5DE24">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lang w:val="en-US" w:eastAsia="zh-CN"/>
              </w:rPr>
              <w:t>8</w:t>
            </w:r>
          </w:p>
        </w:tc>
        <w:tc>
          <w:tcPr>
            <w:tcW w:w="914" w:type="dxa"/>
            <w:vMerge w:val="continue"/>
            <w:noWrap w:val="0"/>
            <w:vAlign w:val="center"/>
          </w:tcPr>
          <w:p w14:paraId="0E5B3680">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r>
      <w:tr w14:paraId="7A5A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jc w:val="center"/>
        </w:trPr>
        <w:tc>
          <w:tcPr>
            <w:tcW w:w="770" w:type="dxa"/>
            <w:vMerge w:val="restart"/>
            <w:noWrap w:val="0"/>
            <w:vAlign w:val="center"/>
          </w:tcPr>
          <w:p w14:paraId="3A85694B">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r>
              <w:rPr>
                <w:rFonts w:hint="eastAsia" w:ascii="宋体" w:hAnsi="宋体" w:cs="宋体"/>
                <w:kern w:val="0"/>
                <w:szCs w:val="21"/>
              </w:rPr>
              <w:t>3</w:t>
            </w:r>
          </w:p>
          <w:p w14:paraId="28A204E1">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 w:val="21"/>
                <w:szCs w:val="21"/>
                <w:lang w:val="en-US" w:eastAsia="zh-CN" w:bidi="ar-SA"/>
              </w:rPr>
            </w:pPr>
          </w:p>
        </w:tc>
        <w:tc>
          <w:tcPr>
            <w:tcW w:w="740" w:type="dxa"/>
            <w:vMerge w:val="restart"/>
            <w:shd w:val="clear" w:color="auto" w:fill="auto"/>
            <w:noWrap w:val="0"/>
            <w:vAlign w:val="center"/>
          </w:tcPr>
          <w:p w14:paraId="360128B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3分标</w:t>
            </w:r>
            <w:r>
              <w:rPr>
                <w:rFonts w:hint="eastAsia" w:ascii="宋体" w:hAnsi="宋体" w:cs="宋体"/>
                <w:color w:val="auto"/>
                <w:szCs w:val="21"/>
                <w:highlight w:val="none"/>
                <w:lang w:eastAsia="zh-CN"/>
              </w:rPr>
              <w:t>）</w:t>
            </w:r>
            <w:r>
              <w:rPr>
                <w:rFonts w:hint="eastAsia" w:asciiTheme="minorEastAsia" w:hAnsiTheme="minorEastAsia" w:eastAsiaTheme="minorEastAsia" w:cstheme="minorEastAsia"/>
                <w:kern w:val="2"/>
                <w:sz w:val="21"/>
                <w:szCs w:val="21"/>
                <w:vertAlign w:val="baseline"/>
                <w:lang w:val="en-US" w:eastAsia="zh-CN" w:bidi="ar-SA"/>
              </w:rPr>
              <w:t xml:space="preserve"> </w:t>
            </w:r>
          </w:p>
        </w:tc>
        <w:tc>
          <w:tcPr>
            <w:tcW w:w="741" w:type="dxa"/>
            <w:shd w:val="clear" w:color="auto" w:fill="auto"/>
            <w:noWrap w:val="0"/>
            <w:vAlign w:val="center"/>
          </w:tcPr>
          <w:p w14:paraId="660B69A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钦州市小学学科教研员（兼职教研员）、学科中心组成员关键能力提升</w:t>
            </w:r>
            <w:r>
              <w:rPr>
                <w:rFonts w:hint="eastAsia" w:asciiTheme="minorEastAsia" w:hAnsiTheme="minorEastAsia" w:eastAsiaTheme="minorEastAsia" w:cstheme="minorEastAsia"/>
                <w:kern w:val="0"/>
                <w:sz w:val="21"/>
                <w:szCs w:val="21"/>
                <w:lang w:eastAsia="zh-CN"/>
              </w:rPr>
              <w:t>项目</w:t>
            </w:r>
          </w:p>
        </w:tc>
        <w:tc>
          <w:tcPr>
            <w:tcW w:w="1425" w:type="dxa"/>
            <w:noWrap w:val="0"/>
            <w:vAlign w:val="center"/>
          </w:tcPr>
          <w:p w14:paraId="0F5921CD">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小学学科教研员（兼职教研员）、学科中心组成员</w:t>
            </w:r>
            <w:r>
              <w:rPr>
                <w:rFonts w:hint="eastAsia" w:ascii="宋体" w:hAnsi="宋体" w:cs="宋体"/>
                <w:kern w:val="0"/>
                <w:szCs w:val="21"/>
                <w:lang w:val="en-US" w:eastAsia="zh-CN"/>
              </w:rPr>
              <w:t>。</w:t>
            </w:r>
          </w:p>
        </w:tc>
        <w:tc>
          <w:tcPr>
            <w:tcW w:w="2850" w:type="dxa"/>
            <w:noWrap w:val="0"/>
            <w:vAlign w:val="center"/>
          </w:tcPr>
          <w:p w14:paraId="5E08BB15">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bidi="ar-SA"/>
              </w:rPr>
              <w:t>一、</w:t>
            </w:r>
            <w:r>
              <w:rPr>
                <w:rFonts w:hint="eastAsia" w:asciiTheme="minorEastAsia" w:hAnsiTheme="minorEastAsia" w:eastAsiaTheme="minorEastAsia" w:cstheme="minorEastAsia"/>
                <w:kern w:val="0"/>
                <w:sz w:val="21"/>
                <w:szCs w:val="21"/>
                <w:lang w:eastAsia="zh-CN"/>
              </w:rPr>
              <w:t>开展小学学科教研员教育教学能力培训活动</w:t>
            </w:r>
          </w:p>
          <w:p w14:paraId="7E59F654">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1.师德师风建设主题</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2.教学评一体化设计能力主题</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3.信息技术或AI赋能教学教研能力主题。</w:t>
            </w:r>
          </w:p>
          <w:p w14:paraId="763B0007">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both"/>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 xml:space="preserve">    二、开展小学学科教研员能力提升对策研究</w:t>
            </w:r>
          </w:p>
          <w:p w14:paraId="4108FD61">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命题能力主题</w:t>
            </w:r>
            <w:r>
              <w:rPr>
                <w:rFonts w:hint="eastAsia" w:asciiTheme="minorEastAsia" w:hAnsiTheme="minorEastAsia" w:eastAsiaTheme="minorEastAsia" w:cstheme="minorEastAsia"/>
                <w:kern w:val="0"/>
                <w:sz w:val="21"/>
                <w:szCs w:val="21"/>
                <w:lang w:eastAsia="zh-CN"/>
              </w:rPr>
              <w:t>方面；</w:t>
            </w:r>
          </w:p>
          <w:p w14:paraId="18231C4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.教育质量监测结果运用及教学改进能力主题</w:t>
            </w:r>
            <w:r>
              <w:rPr>
                <w:rFonts w:hint="eastAsia" w:asciiTheme="minorEastAsia" w:hAnsiTheme="minorEastAsia" w:eastAsiaTheme="minorEastAsia" w:cstheme="minorEastAsia"/>
                <w:kern w:val="0"/>
                <w:sz w:val="21"/>
                <w:szCs w:val="21"/>
                <w:lang w:eastAsia="zh-CN"/>
              </w:rPr>
              <w:t>。</w:t>
            </w:r>
          </w:p>
          <w:p w14:paraId="1F1C61B5">
            <w:pPr>
              <w:pStyle w:val="5"/>
              <w:pageBreakBefore w:val="0"/>
              <w:widowControl w:val="0"/>
              <w:numPr>
                <w:ilvl w:val="0"/>
                <w:numId w:val="0"/>
              </w:numPr>
              <w:kinsoku/>
              <w:wordWrap/>
              <w:overflowPunct/>
              <w:topLinePunct w:val="0"/>
              <w:autoSpaceDE/>
              <w:autoSpaceDN/>
              <w:bidi w:val="0"/>
              <w:adjustRightInd/>
              <w:spacing w:before="0" w:after="0" w:line="240" w:lineRule="exact"/>
              <w:ind w:firstLine="420" w:firstLineChars="200"/>
              <w:textAlignment w:val="auto"/>
              <w:rPr>
                <w:rFonts w:hint="eastAsia" w:eastAsia="宋体"/>
                <w:b w:val="0"/>
                <w:bCs w:val="0"/>
                <w:sz w:val="21"/>
                <w:szCs w:val="21"/>
                <w:lang w:eastAsia="zh-CN"/>
              </w:rPr>
            </w:pPr>
            <w:r>
              <w:rPr>
                <w:rFonts w:hint="eastAsia"/>
                <w:b w:val="0"/>
                <w:bCs w:val="0"/>
                <w:sz w:val="21"/>
                <w:szCs w:val="21"/>
                <w:lang w:val="en-US" w:eastAsia="zh-CN"/>
              </w:rPr>
              <w:t>三、开展小学学科教研员教师能力提升专题研讨及教研观摩活动。</w:t>
            </w:r>
          </w:p>
        </w:tc>
        <w:tc>
          <w:tcPr>
            <w:tcW w:w="885" w:type="dxa"/>
            <w:noWrap w:val="0"/>
            <w:vAlign w:val="center"/>
          </w:tcPr>
          <w:p w14:paraId="54D3D3C3">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914" w:type="dxa"/>
            <w:vMerge w:val="restart"/>
            <w:noWrap w:val="0"/>
            <w:vAlign w:val="center"/>
          </w:tcPr>
          <w:p w14:paraId="12A45B4B">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w:t>
            </w:r>
          </w:p>
        </w:tc>
      </w:tr>
      <w:tr w14:paraId="6E95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0" w:hRule="atLeast"/>
          <w:jc w:val="center"/>
        </w:trPr>
        <w:tc>
          <w:tcPr>
            <w:tcW w:w="770" w:type="dxa"/>
            <w:vMerge w:val="continue"/>
            <w:shd w:val="clear" w:color="auto" w:fill="auto"/>
            <w:noWrap w:val="0"/>
            <w:vAlign w:val="center"/>
          </w:tcPr>
          <w:p w14:paraId="6D1B19B2">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 w:val="21"/>
                <w:szCs w:val="21"/>
                <w:lang w:val="en-US" w:eastAsia="zh-CN" w:bidi="ar-SA"/>
              </w:rPr>
            </w:pPr>
          </w:p>
        </w:tc>
        <w:tc>
          <w:tcPr>
            <w:tcW w:w="740" w:type="dxa"/>
            <w:vMerge w:val="continue"/>
            <w:shd w:val="clear" w:color="auto" w:fill="auto"/>
            <w:noWrap w:val="0"/>
            <w:vAlign w:val="center"/>
          </w:tcPr>
          <w:p w14:paraId="6EA20DF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 w:val="21"/>
                <w:szCs w:val="21"/>
                <w:lang w:val="en-US" w:eastAsia="zh-CN" w:bidi="ar-SA"/>
              </w:rPr>
            </w:pPr>
          </w:p>
        </w:tc>
        <w:tc>
          <w:tcPr>
            <w:tcW w:w="741" w:type="dxa"/>
            <w:shd w:val="clear" w:color="auto" w:fill="auto"/>
            <w:noWrap w:val="0"/>
            <w:vAlign w:val="center"/>
          </w:tcPr>
          <w:p w14:paraId="7739EEE5">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心理健康教育骨干教师能力提升</w:t>
            </w:r>
            <w:r>
              <w:rPr>
                <w:rFonts w:hint="eastAsia" w:ascii="宋体" w:hAnsi="宋体" w:cs="宋体"/>
                <w:kern w:val="0"/>
                <w:szCs w:val="21"/>
                <w:lang w:eastAsia="zh-CN"/>
              </w:rPr>
              <w:t>项目</w:t>
            </w:r>
          </w:p>
        </w:tc>
        <w:tc>
          <w:tcPr>
            <w:tcW w:w="1425" w:type="dxa"/>
            <w:shd w:val="clear" w:color="auto" w:fill="auto"/>
            <w:noWrap w:val="0"/>
            <w:vAlign w:val="center"/>
          </w:tcPr>
          <w:p w14:paraId="3BD4644B">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eastAsia="宋体" w:cs="宋体"/>
                <w:kern w:val="0"/>
                <w:sz w:val="21"/>
                <w:szCs w:val="21"/>
                <w:lang w:val="en-US" w:eastAsia="zh-CN" w:bidi="ar-SA"/>
              </w:rPr>
            </w:pPr>
            <w:r>
              <w:rPr>
                <w:rFonts w:hint="eastAsia" w:ascii="宋体" w:hAnsi="宋体" w:cs="宋体"/>
                <w:kern w:val="0"/>
                <w:szCs w:val="21"/>
              </w:rPr>
              <w:t>心理健康教育骨干教师</w:t>
            </w:r>
          </w:p>
        </w:tc>
        <w:tc>
          <w:tcPr>
            <w:tcW w:w="2850" w:type="dxa"/>
            <w:shd w:val="clear" w:color="auto" w:fill="auto"/>
            <w:noWrap w:val="0"/>
            <w:vAlign w:val="center"/>
          </w:tcPr>
          <w:p w14:paraId="7A91BA2B">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一、开展心理健康教师教育教学能力培训活动</w:t>
            </w:r>
          </w:p>
          <w:p w14:paraId="480AB9AD">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1.新时代心理健康教育政策与理念解读；</w:t>
            </w:r>
          </w:p>
          <w:p w14:paraId="50B13160">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2.青少年心理发展规律与常见问题识别；</w:t>
            </w:r>
          </w:p>
          <w:p w14:paraId="133DB4DC">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3.心理健康教育课程设计与授课技巧；</w:t>
            </w:r>
          </w:p>
          <w:p w14:paraId="1DE26AAF">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4.心理健康团体辅导的组织与实施；</w:t>
            </w:r>
          </w:p>
          <w:p w14:paraId="461C90ED">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lang w:val="en-US" w:eastAsia="zh-CN"/>
              </w:rPr>
              <w:t>5</w:t>
            </w:r>
            <w:r>
              <w:rPr>
                <w:rFonts w:hint="eastAsia"/>
              </w:rPr>
              <w:t>.人工智能技术赋能心理健康教育；</w:t>
            </w:r>
          </w:p>
          <w:p w14:paraId="6A065E71">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lang w:val="en-US" w:eastAsia="zh-CN"/>
              </w:rPr>
              <w:t>6</w:t>
            </w:r>
            <w:r>
              <w:rPr>
                <w:rFonts w:hint="eastAsia"/>
              </w:rPr>
              <w:t>. AI工具在心理健康教育科研中的应用。</w:t>
            </w:r>
          </w:p>
          <w:p w14:paraId="46904887">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二、开展心理健康教师能力提升对策研究</w:t>
            </w:r>
          </w:p>
          <w:p w14:paraId="38347FAF">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1.基于核心素养的高效课堂与课题研究；</w:t>
            </w:r>
          </w:p>
          <w:p w14:paraId="472041C1">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2.教师压力管理与自我心理调适。</w:t>
            </w:r>
          </w:p>
          <w:p w14:paraId="0E25C07B">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三、开展心理健康教师能力提升专题研讨及教研观摩活动</w:t>
            </w:r>
          </w:p>
          <w:p w14:paraId="7C5318EF">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rPr>
            </w:pPr>
            <w:r>
              <w:rPr>
                <w:rFonts w:hint="eastAsia"/>
              </w:rPr>
              <w:t>1.心理健康教师个案督导与干预策略实操；</w:t>
            </w:r>
          </w:p>
          <w:p w14:paraId="4D87B0FF">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ascii="宋体" w:hAnsi="宋体" w:eastAsia="宋体" w:cs="宋体"/>
                <w:kern w:val="0"/>
                <w:sz w:val="21"/>
                <w:szCs w:val="21"/>
                <w:lang w:val="en-US" w:eastAsia="zh-CN" w:bidi="ar-SA"/>
              </w:rPr>
            </w:pPr>
            <w:r>
              <w:rPr>
                <w:rFonts w:hint="eastAsia"/>
              </w:rPr>
              <w:t>2.校园心理危机预防与干预全流程模拟。</w:t>
            </w:r>
          </w:p>
        </w:tc>
        <w:tc>
          <w:tcPr>
            <w:tcW w:w="885" w:type="dxa"/>
            <w:shd w:val="clear" w:color="auto" w:fill="auto"/>
            <w:noWrap w:val="0"/>
            <w:vAlign w:val="center"/>
          </w:tcPr>
          <w:p w14:paraId="1984DD02">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8</w:t>
            </w:r>
          </w:p>
        </w:tc>
        <w:tc>
          <w:tcPr>
            <w:tcW w:w="914" w:type="dxa"/>
            <w:vMerge w:val="continue"/>
            <w:tcBorders/>
            <w:shd w:val="clear" w:color="auto" w:fill="auto"/>
            <w:noWrap w:val="0"/>
            <w:vAlign w:val="center"/>
          </w:tcPr>
          <w:p w14:paraId="1ACE5247">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 w:val="21"/>
                <w:szCs w:val="21"/>
                <w:lang w:val="en-US" w:eastAsia="zh-CN" w:bidi="ar-SA"/>
              </w:rPr>
            </w:pPr>
          </w:p>
        </w:tc>
      </w:tr>
      <w:tr w14:paraId="070E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0" w:hRule="atLeast"/>
          <w:jc w:val="center"/>
        </w:trPr>
        <w:tc>
          <w:tcPr>
            <w:tcW w:w="770" w:type="dxa"/>
            <w:vMerge w:val="restart"/>
            <w:noWrap w:val="0"/>
            <w:vAlign w:val="center"/>
          </w:tcPr>
          <w:p w14:paraId="5392448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4</w:t>
            </w:r>
          </w:p>
        </w:tc>
        <w:tc>
          <w:tcPr>
            <w:tcW w:w="740" w:type="dxa"/>
            <w:vMerge w:val="restart"/>
            <w:noWrap w:val="0"/>
            <w:vAlign w:val="center"/>
          </w:tcPr>
          <w:p w14:paraId="46D6CF6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4分标</w:t>
            </w:r>
            <w:r>
              <w:rPr>
                <w:rFonts w:hint="eastAsia" w:ascii="宋体" w:hAnsi="宋体" w:cs="宋体"/>
                <w:color w:val="auto"/>
                <w:szCs w:val="21"/>
                <w:highlight w:val="none"/>
                <w:lang w:eastAsia="zh-CN"/>
              </w:rPr>
              <w:t>）</w:t>
            </w:r>
            <w:r>
              <w:rPr>
                <w:rFonts w:hint="eastAsia" w:ascii="宋体" w:hAnsi="宋体" w:eastAsia="宋体" w:cs="宋体"/>
                <w:kern w:val="0"/>
                <w:szCs w:val="21"/>
                <w:lang w:eastAsia="zh-CN"/>
              </w:rPr>
              <w:t xml:space="preserve"> </w:t>
            </w:r>
          </w:p>
        </w:tc>
        <w:tc>
          <w:tcPr>
            <w:tcW w:w="741" w:type="dxa"/>
            <w:noWrap w:val="0"/>
            <w:vAlign w:val="center"/>
          </w:tcPr>
          <w:p w14:paraId="05B8D15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新高考数学物理命题素养能力提升研修班</w:t>
            </w:r>
          </w:p>
        </w:tc>
        <w:tc>
          <w:tcPr>
            <w:tcW w:w="1425" w:type="dxa"/>
            <w:noWrap w:val="0"/>
            <w:vAlign w:val="center"/>
          </w:tcPr>
          <w:p w14:paraId="1800C3EF">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普通高中数学、物理骨干教师</w:t>
            </w:r>
            <w:r>
              <w:rPr>
                <w:rFonts w:hint="eastAsia" w:ascii="宋体" w:hAnsi="宋体" w:cs="宋体"/>
                <w:kern w:val="0"/>
                <w:szCs w:val="21"/>
                <w:lang w:val="en-US" w:eastAsia="zh-CN"/>
              </w:rPr>
              <w:t>。</w:t>
            </w:r>
          </w:p>
        </w:tc>
        <w:tc>
          <w:tcPr>
            <w:tcW w:w="2850" w:type="dxa"/>
            <w:noWrap w:val="0"/>
            <w:vAlign w:val="center"/>
          </w:tcPr>
          <w:p w14:paraId="5D6468F3">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一、全员综合通识培训授课内容 ：数学物理学科新课标育人要求、新高考命题改革整体趋势解读；素养立意命题通用理论、试题质量评价统一规范、原创命题完整流程；高考阅卷评分底层逻辑、命题成果反哺课堂教学的通用实施路径。</w:t>
            </w:r>
          </w:p>
          <w:p w14:paraId="0DF320E8">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二、分学科培训内容。1.数学学科：数学课标、教新高考数学命题趋势与试卷结构深度解析，围绕数学六大核心素养，结合函数、几何、概率统计等主干知识，重点培训情境化、探究性、开放性试题的设计方法，数学核心素养专项命题实操。2.物理学科：物理课标、新高考物理命题体系与趋势解读；关键能力与实验创新命题研修；物理原创试题命制、变式与组卷实操。</w:t>
            </w:r>
          </w:p>
        </w:tc>
        <w:tc>
          <w:tcPr>
            <w:tcW w:w="885" w:type="dxa"/>
            <w:noWrap w:val="0"/>
            <w:vAlign w:val="center"/>
          </w:tcPr>
          <w:p w14:paraId="4760D0EB">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13.</w:t>
            </w:r>
            <w:r>
              <w:rPr>
                <w:rFonts w:hint="eastAsia" w:ascii="宋体" w:hAnsi="宋体" w:cs="宋体"/>
                <w:kern w:val="0"/>
                <w:szCs w:val="21"/>
                <w:lang w:val="en-US" w:eastAsia="zh-CN"/>
              </w:rPr>
              <w:t>7</w:t>
            </w:r>
            <w:r>
              <w:rPr>
                <w:rFonts w:hint="eastAsia" w:ascii="宋体" w:hAnsi="宋体" w:cs="宋体"/>
                <w:kern w:val="0"/>
                <w:szCs w:val="21"/>
              </w:rPr>
              <w:t>5</w:t>
            </w:r>
          </w:p>
        </w:tc>
        <w:tc>
          <w:tcPr>
            <w:tcW w:w="914" w:type="dxa"/>
            <w:vMerge w:val="restart"/>
            <w:noWrap w:val="0"/>
            <w:vAlign w:val="center"/>
          </w:tcPr>
          <w:p w14:paraId="065474B7">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23.75</w:t>
            </w:r>
          </w:p>
        </w:tc>
      </w:tr>
      <w:tr w14:paraId="5585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0" w:hRule="atLeast"/>
          <w:jc w:val="center"/>
        </w:trPr>
        <w:tc>
          <w:tcPr>
            <w:tcW w:w="770" w:type="dxa"/>
            <w:vMerge w:val="continue"/>
            <w:noWrap w:val="0"/>
            <w:vAlign w:val="center"/>
          </w:tcPr>
          <w:p w14:paraId="4FF93EA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p>
        </w:tc>
        <w:tc>
          <w:tcPr>
            <w:tcW w:w="740" w:type="dxa"/>
            <w:vMerge w:val="continue"/>
            <w:noWrap w:val="0"/>
            <w:vAlign w:val="center"/>
          </w:tcPr>
          <w:p w14:paraId="2F486FFB">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p>
        </w:tc>
        <w:tc>
          <w:tcPr>
            <w:tcW w:w="741" w:type="dxa"/>
            <w:noWrap w:val="0"/>
            <w:vAlign w:val="center"/>
          </w:tcPr>
          <w:p w14:paraId="3A495965">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高中化学生物地理学科命题素养能力提升研修班</w:t>
            </w:r>
          </w:p>
        </w:tc>
        <w:tc>
          <w:tcPr>
            <w:tcW w:w="1425" w:type="dxa"/>
            <w:noWrap w:val="0"/>
            <w:vAlign w:val="center"/>
          </w:tcPr>
          <w:p w14:paraId="04249038">
            <w:pPr>
              <w:keepNext w:val="0"/>
              <w:keepLines w:val="0"/>
              <w:pageBreakBefore w:val="0"/>
              <w:kinsoku/>
              <w:wordWrap/>
              <w:overflowPunct/>
              <w:topLinePunct w:val="0"/>
              <w:autoSpaceDE/>
              <w:autoSpaceDN/>
              <w:bidi w:val="0"/>
              <w:adjustRightInd/>
              <w:snapToGrid w:val="0"/>
              <w:spacing w:line="26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普通高中化学、生物和地理骨干教师</w:t>
            </w:r>
            <w:r>
              <w:rPr>
                <w:rFonts w:hint="eastAsia" w:ascii="宋体" w:hAnsi="宋体" w:cs="宋体"/>
                <w:kern w:val="0"/>
                <w:szCs w:val="21"/>
                <w:lang w:val="en-US" w:eastAsia="zh-CN"/>
              </w:rPr>
              <w:t>。</w:t>
            </w:r>
          </w:p>
        </w:tc>
        <w:tc>
          <w:tcPr>
            <w:tcW w:w="2850" w:type="dxa"/>
            <w:noWrap w:val="0"/>
            <w:vAlign w:val="center"/>
          </w:tcPr>
          <w:p w14:paraId="1FDFC800">
            <w:pPr>
              <w:keepNext w:val="0"/>
              <w:keepLines w:val="0"/>
              <w:pageBreakBefore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一、全员综合通识培训授课内容：理科综合新高考命题政策、自然科学类试题素养设计通用标准；图表、实验、情境类试题通用命题技术、试题校验通用规范；理科探究类题目设计思路、教学与命题融合通用方法。</w:t>
            </w:r>
          </w:p>
          <w:p w14:paraId="62E5732F">
            <w:pPr>
              <w:keepNext w:val="0"/>
              <w:keepLines w:val="0"/>
              <w:pageBreakBefore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二、分学科培训内容。1.化学学科：化学实验、工艺流程类原创命题实操、高考化学真题解构；化学学科课标落地、探究题型命题规范。2.生物学科：生物实验、遗传图表类试题设计、高考生物真题解构；生命素养情境命题、校本生物题库搭建实操。3.地理学科：地理图表、区域情境类原创命题、高考地理真题解构；人地协调观类试题设计、地理探究命题实操。</w:t>
            </w:r>
          </w:p>
        </w:tc>
        <w:tc>
          <w:tcPr>
            <w:tcW w:w="885" w:type="dxa"/>
            <w:noWrap w:val="0"/>
            <w:vAlign w:val="center"/>
          </w:tcPr>
          <w:p w14:paraId="600D6E13">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rPr>
              <w:t>1</w:t>
            </w:r>
            <w:r>
              <w:rPr>
                <w:rFonts w:hint="eastAsia" w:ascii="宋体" w:hAnsi="宋体" w:cs="宋体"/>
                <w:kern w:val="0"/>
                <w:szCs w:val="21"/>
                <w:lang w:val="en-US" w:eastAsia="zh-CN"/>
              </w:rPr>
              <w:t>0</w:t>
            </w:r>
          </w:p>
        </w:tc>
        <w:tc>
          <w:tcPr>
            <w:tcW w:w="914" w:type="dxa"/>
            <w:vMerge w:val="continue"/>
            <w:noWrap w:val="0"/>
            <w:vAlign w:val="center"/>
          </w:tcPr>
          <w:p w14:paraId="1843504E">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r>
      <w:tr w14:paraId="3388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5" w:hRule="atLeast"/>
          <w:jc w:val="center"/>
        </w:trPr>
        <w:tc>
          <w:tcPr>
            <w:tcW w:w="770" w:type="dxa"/>
            <w:noWrap w:val="0"/>
            <w:vAlign w:val="center"/>
          </w:tcPr>
          <w:p w14:paraId="47F456C5">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740" w:type="dxa"/>
            <w:noWrap w:val="0"/>
            <w:vAlign w:val="center"/>
          </w:tcPr>
          <w:p w14:paraId="0C0CC816">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5分标</w:t>
            </w:r>
            <w:r>
              <w:rPr>
                <w:rFonts w:hint="eastAsia" w:ascii="宋体" w:hAnsi="宋体" w:cs="宋体"/>
                <w:color w:val="auto"/>
                <w:szCs w:val="21"/>
                <w:highlight w:val="none"/>
                <w:lang w:eastAsia="zh-CN"/>
              </w:rPr>
              <w:t>）</w:t>
            </w:r>
          </w:p>
        </w:tc>
        <w:tc>
          <w:tcPr>
            <w:tcW w:w="741" w:type="dxa"/>
            <w:noWrap w:val="0"/>
            <w:vAlign w:val="center"/>
          </w:tcPr>
          <w:p w14:paraId="57328B59">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高中语文英语学科素养能力提升研修班</w:t>
            </w:r>
          </w:p>
        </w:tc>
        <w:tc>
          <w:tcPr>
            <w:tcW w:w="1425" w:type="dxa"/>
            <w:noWrap w:val="0"/>
            <w:vAlign w:val="center"/>
          </w:tcPr>
          <w:p w14:paraId="13D7F1BC">
            <w:pPr>
              <w:keepNext w:val="0"/>
              <w:keepLines w:val="0"/>
              <w:pageBreakBefore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普通高中语文、英语骨干教师</w:t>
            </w:r>
            <w:r>
              <w:rPr>
                <w:rFonts w:hint="eastAsia" w:ascii="宋体" w:hAnsi="宋体" w:cs="宋体"/>
                <w:kern w:val="0"/>
                <w:szCs w:val="21"/>
                <w:lang w:val="en-US" w:eastAsia="zh-CN"/>
              </w:rPr>
              <w:t>。</w:t>
            </w:r>
          </w:p>
        </w:tc>
        <w:tc>
          <w:tcPr>
            <w:tcW w:w="2850" w:type="dxa"/>
            <w:noWrap w:val="0"/>
            <w:vAlign w:val="center"/>
          </w:tcPr>
          <w:p w14:paraId="34FC3151">
            <w:pPr>
              <w:keepNext w:val="0"/>
              <w:keepLines w:val="0"/>
              <w:pageBreakBefore w:val="0"/>
              <w:kinsoku/>
              <w:wordWrap/>
              <w:overflowPunct/>
              <w:topLinePunct w:val="0"/>
              <w:autoSpaceDE/>
              <w:autoSpaceDN/>
              <w:bidi w:val="0"/>
              <w:adjustRightInd/>
              <w:snapToGrid w:val="0"/>
              <w:spacing w:line="24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一、全员综合通识培训授课内容 ：语言类学科新课标育人要求、新高考命题改革整体趋势解读；素养立意命题通用理论、试题质量评价统一规范、原创命题完整流程；高考阅卷评分底层逻辑、命题成果反哺课堂教学的通用实施路径。</w:t>
            </w:r>
          </w:p>
          <w:p w14:paraId="051EDAB6">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宋体" w:hAnsi="宋体" w:eastAsia="宋体" w:cs="宋体"/>
                <w:kern w:val="0"/>
                <w:szCs w:val="21"/>
                <w:lang w:eastAsia="zh-CN"/>
              </w:rPr>
            </w:pPr>
            <w:r>
              <w:rPr>
                <w:rFonts w:hint="eastAsia" w:ascii="宋体" w:hAnsi="宋体" w:cs="宋体"/>
                <w:kern w:val="0"/>
                <w:szCs w:val="21"/>
              </w:rPr>
              <w:t xml:space="preserve">    二、分学科培训内容。1.语文学科：语文学科课标对标命题要点，现代文、古诗文、语言文字应用、写作题型命题逻辑拆解；新高考语文真题深度解构、情境化原创试题设计实操、命题质量打磨规范；依托命题调整阅读、写作课堂教学的实操策略、命题实操训练。2.英语学科：英语学科课标对应考点命题框架，听力、阅读、完形、书面表达命题规律分析；新高考英语真题解构、跨文化情境试题原创设计、命题校验实操训练；以命题为导向优化语言技能课堂教学实施路径。</w:t>
            </w:r>
          </w:p>
        </w:tc>
        <w:tc>
          <w:tcPr>
            <w:tcW w:w="885" w:type="dxa"/>
            <w:noWrap w:val="0"/>
            <w:vAlign w:val="center"/>
          </w:tcPr>
          <w:p w14:paraId="2F8DC4BB">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914" w:type="dxa"/>
            <w:noWrap w:val="0"/>
            <w:vAlign w:val="center"/>
          </w:tcPr>
          <w:p w14:paraId="5B3E7F3E">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r>
      <w:tr w14:paraId="2E80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770" w:type="dxa"/>
            <w:vMerge w:val="restart"/>
            <w:noWrap w:val="0"/>
            <w:vAlign w:val="center"/>
          </w:tcPr>
          <w:p w14:paraId="02951DD8">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6</w:t>
            </w:r>
          </w:p>
        </w:tc>
        <w:tc>
          <w:tcPr>
            <w:tcW w:w="740" w:type="dxa"/>
            <w:vMerge w:val="restart"/>
            <w:noWrap w:val="0"/>
            <w:vAlign w:val="center"/>
          </w:tcPr>
          <w:p w14:paraId="24386DEC">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6分标</w:t>
            </w:r>
            <w:r>
              <w:rPr>
                <w:rFonts w:hint="eastAsia" w:ascii="宋体" w:hAnsi="宋体" w:cs="宋体"/>
                <w:color w:val="auto"/>
                <w:szCs w:val="21"/>
                <w:highlight w:val="none"/>
                <w:lang w:eastAsia="zh-CN"/>
              </w:rPr>
              <w:t>）</w:t>
            </w:r>
          </w:p>
        </w:tc>
        <w:tc>
          <w:tcPr>
            <w:tcW w:w="741" w:type="dxa"/>
            <w:noWrap w:val="0"/>
            <w:vAlign w:val="center"/>
          </w:tcPr>
          <w:p w14:paraId="28853BA1">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劳动教育骨干教师能力提升班</w:t>
            </w:r>
          </w:p>
        </w:tc>
        <w:tc>
          <w:tcPr>
            <w:tcW w:w="1425" w:type="dxa"/>
            <w:noWrap w:val="0"/>
            <w:vAlign w:val="center"/>
          </w:tcPr>
          <w:p w14:paraId="22E16F42">
            <w:pPr>
              <w:keepNext w:val="0"/>
              <w:keepLines w:val="0"/>
              <w:pageBreakBefore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劳动教育骨干教师</w:t>
            </w:r>
            <w:r>
              <w:rPr>
                <w:rFonts w:hint="eastAsia" w:ascii="宋体" w:hAnsi="宋体" w:cs="宋体"/>
                <w:kern w:val="0"/>
                <w:szCs w:val="21"/>
                <w:lang w:val="en-US" w:eastAsia="zh-CN"/>
              </w:rPr>
              <w:t>。</w:t>
            </w:r>
          </w:p>
        </w:tc>
        <w:tc>
          <w:tcPr>
            <w:tcW w:w="2850" w:type="dxa"/>
            <w:noWrap w:val="0"/>
            <w:vAlign w:val="center"/>
          </w:tcPr>
          <w:p w14:paraId="3357096C">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rPr>
              <w:t>1.新时代劳动教育政策解读与理念创新；2.劳动教育课程开发与校本化实施策略；3.跨学科融合劳动项目设计与实践指导；4.劳动教育中的安全防护与风险应对；5.劳动素养多元评价体系构建与应用；6. AI技术在劳动教育课程资源开发中的应用；7.人工智能与劳动教育融合的课题研究方法；8.劳动教育典型案例分析与沙盘推演；9.家校社协同推进劳动教育的实践路径；10.教师劳动技能实操与教学基本功竞赛。</w:t>
            </w:r>
          </w:p>
        </w:tc>
        <w:tc>
          <w:tcPr>
            <w:tcW w:w="885" w:type="dxa"/>
            <w:noWrap w:val="0"/>
            <w:vAlign w:val="center"/>
          </w:tcPr>
          <w:p w14:paraId="5E8ACBCD">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914" w:type="dxa"/>
            <w:vMerge w:val="restart"/>
            <w:noWrap w:val="0"/>
            <w:vAlign w:val="center"/>
          </w:tcPr>
          <w:p w14:paraId="14458F51">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18</w:t>
            </w:r>
          </w:p>
        </w:tc>
      </w:tr>
      <w:tr w14:paraId="51A4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770" w:type="dxa"/>
            <w:vMerge w:val="continue"/>
            <w:noWrap w:val="0"/>
            <w:vAlign w:val="center"/>
          </w:tcPr>
          <w:p w14:paraId="6860A13C">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0" w:type="dxa"/>
            <w:vMerge w:val="continue"/>
            <w:noWrap w:val="0"/>
            <w:vAlign w:val="center"/>
          </w:tcPr>
          <w:p w14:paraId="4B746BBD">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1" w:type="dxa"/>
            <w:noWrap w:val="0"/>
            <w:vAlign w:val="center"/>
          </w:tcPr>
          <w:p w14:paraId="0D3A791A">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新时代幼儿园保教质量提升培训班</w:t>
            </w:r>
          </w:p>
        </w:tc>
        <w:tc>
          <w:tcPr>
            <w:tcW w:w="1425" w:type="dxa"/>
            <w:noWrap w:val="0"/>
            <w:vAlign w:val="center"/>
          </w:tcPr>
          <w:p w14:paraId="33C58905">
            <w:pPr>
              <w:keepNext w:val="0"/>
              <w:keepLines w:val="0"/>
              <w:pageBreakBefore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全市幼儿园保教主任、骨干教师</w:t>
            </w:r>
            <w:r>
              <w:rPr>
                <w:rFonts w:hint="eastAsia" w:ascii="宋体" w:hAnsi="宋体" w:cs="宋体"/>
                <w:kern w:val="0"/>
                <w:szCs w:val="21"/>
                <w:lang w:val="en-US" w:eastAsia="zh-CN"/>
              </w:rPr>
              <w:t>。</w:t>
            </w:r>
          </w:p>
        </w:tc>
        <w:tc>
          <w:tcPr>
            <w:tcW w:w="2850" w:type="dxa"/>
            <w:noWrap w:val="0"/>
            <w:vAlign w:val="center"/>
          </w:tcPr>
          <w:p w14:paraId="74C7FA89">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习近平总书记关于教育的重要论述</w:t>
            </w: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rPr>
              <w:t>师德师风建设；</w:t>
            </w:r>
            <w:r>
              <w:rPr>
                <w:rFonts w:hint="eastAsia" w:ascii="宋体" w:hAnsi="宋体" w:cs="宋体"/>
                <w:kern w:val="0"/>
                <w:szCs w:val="21"/>
                <w:lang w:val="en-US" w:eastAsia="zh-CN"/>
              </w:rPr>
              <w:t>3.意识形态教育；4.</w:t>
            </w:r>
            <w:r>
              <w:rPr>
                <w:rFonts w:hint="eastAsia" w:ascii="宋体" w:hAnsi="宋体" w:cs="宋体"/>
                <w:kern w:val="0"/>
                <w:szCs w:val="21"/>
              </w:rPr>
              <w:t>新时代教师职业行为十项准则</w:t>
            </w:r>
            <w:r>
              <w:rPr>
                <w:rFonts w:hint="eastAsia" w:ascii="宋体" w:hAnsi="宋体" w:cs="宋体"/>
                <w:kern w:val="0"/>
                <w:szCs w:val="21"/>
                <w:lang w:eastAsia="zh-CN"/>
              </w:rPr>
              <w:t>；</w:t>
            </w:r>
            <w:r>
              <w:rPr>
                <w:rFonts w:hint="eastAsia" w:ascii="宋体" w:hAnsi="宋体" w:cs="宋体"/>
                <w:kern w:val="0"/>
                <w:szCs w:val="21"/>
                <w:lang w:val="en-US" w:eastAsia="zh-CN"/>
              </w:rPr>
              <w:t>5.</w:t>
            </w:r>
            <w:r>
              <w:rPr>
                <w:rFonts w:hint="eastAsia" w:ascii="宋体" w:hAnsi="宋体" w:cs="宋体"/>
                <w:kern w:val="0"/>
                <w:szCs w:val="21"/>
                <w:lang w:eastAsia="zh-CN"/>
              </w:rPr>
              <w:t>落实科学保教理念，聚焦评估活动组织、师幼互动、家园共育等过程质量的核心内容，学习幼儿园保教质量自我评估与持续改进方法；</w:t>
            </w:r>
            <w:r>
              <w:rPr>
                <w:rFonts w:hint="eastAsia" w:ascii="宋体" w:hAnsi="宋体" w:cs="宋体"/>
                <w:kern w:val="0"/>
                <w:szCs w:val="21"/>
                <w:lang w:val="en-US" w:eastAsia="zh-CN"/>
              </w:rPr>
              <w:t>6.</w:t>
            </w:r>
            <w:r>
              <w:rPr>
                <w:rFonts w:hint="eastAsia" w:ascii="宋体" w:hAnsi="宋体" w:cs="宋体"/>
                <w:kern w:val="0"/>
                <w:szCs w:val="21"/>
              </w:rPr>
              <w:t>自主游戏观察与指导；</w:t>
            </w:r>
            <w:r>
              <w:rPr>
                <w:rFonts w:hint="eastAsia" w:ascii="宋体" w:hAnsi="宋体" w:cs="宋体"/>
                <w:kern w:val="0"/>
                <w:szCs w:val="21"/>
                <w:lang w:val="en-US" w:eastAsia="zh-CN"/>
              </w:rPr>
              <w:t>7.</w:t>
            </w:r>
            <w:r>
              <w:rPr>
                <w:rFonts w:hint="eastAsia" w:ascii="宋体" w:hAnsi="宋体" w:cs="宋体"/>
                <w:kern w:val="0"/>
                <w:szCs w:val="21"/>
              </w:rPr>
              <w:t>示范课展示和案例研讨。</w:t>
            </w:r>
          </w:p>
        </w:tc>
        <w:tc>
          <w:tcPr>
            <w:tcW w:w="885" w:type="dxa"/>
            <w:noWrap w:val="0"/>
            <w:vAlign w:val="center"/>
          </w:tcPr>
          <w:p w14:paraId="62CB6CAC">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914" w:type="dxa"/>
            <w:vMerge w:val="continue"/>
            <w:noWrap w:val="0"/>
            <w:vAlign w:val="center"/>
          </w:tcPr>
          <w:p w14:paraId="4F6D523E">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r>
      <w:tr w14:paraId="3344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770" w:type="dxa"/>
            <w:vMerge w:val="continue"/>
            <w:noWrap w:val="0"/>
            <w:vAlign w:val="center"/>
          </w:tcPr>
          <w:p w14:paraId="691221D1">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0" w:type="dxa"/>
            <w:vMerge w:val="continue"/>
            <w:noWrap w:val="0"/>
            <w:vAlign w:val="center"/>
          </w:tcPr>
          <w:p w14:paraId="415D1082">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p>
        </w:tc>
        <w:tc>
          <w:tcPr>
            <w:tcW w:w="741" w:type="dxa"/>
            <w:noWrap w:val="0"/>
            <w:vAlign w:val="center"/>
          </w:tcPr>
          <w:p w14:paraId="7486A3A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全市特殊教育融合教育培训班</w:t>
            </w:r>
          </w:p>
        </w:tc>
        <w:tc>
          <w:tcPr>
            <w:tcW w:w="1425" w:type="dxa"/>
            <w:noWrap w:val="0"/>
            <w:vAlign w:val="center"/>
          </w:tcPr>
          <w:p w14:paraId="1D7B7A8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全市中小学校、特殊教育学校骨干教师</w:t>
            </w:r>
            <w:r>
              <w:rPr>
                <w:rFonts w:hint="eastAsia" w:ascii="宋体" w:hAnsi="宋体" w:cs="宋体"/>
                <w:kern w:val="0"/>
                <w:szCs w:val="21"/>
                <w:lang w:val="en-US" w:eastAsia="zh-CN"/>
              </w:rPr>
              <w:t>。</w:t>
            </w:r>
          </w:p>
        </w:tc>
        <w:tc>
          <w:tcPr>
            <w:tcW w:w="2850" w:type="dxa"/>
            <w:noWrap w:val="0"/>
            <w:vAlign w:val="center"/>
          </w:tcPr>
          <w:p w14:paraId="6A42432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习近平总书记关于教育的重要论述</w:t>
            </w: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rPr>
              <w:t>师德师风建设；</w:t>
            </w:r>
            <w:r>
              <w:rPr>
                <w:rFonts w:hint="eastAsia" w:ascii="宋体" w:hAnsi="宋体" w:cs="宋体"/>
                <w:kern w:val="0"/>
                <w:szCs w:val="21"/>
                <w:lang w:val="en-US" w:eastAsia="zh-CN"/>
              </w:rPr>
              <w:t>3.意识形态教育；4.系统解读国家及地方融合教育政策；5.学习《“十四五”特殊教育发展提升行动计划》；6.特殊教育发展新进展与新形势；7.学习普特融合课堂的差异化教学方法与评估策略；8.典型案例分享与交流研讨。</w:t>
            </w:r>
          </w:p>
        </w:tc>
        <w:tc>
          <w:tcPr>
            <w:tcW w:w="885" w:type="dxa"/>
            <w:noWrap w:val="0"/>
            <w:vAlign w:val="center"/>
          </w:tcPr>
          <w:p w14:paraId="41AA789B">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914" w:type="dxa"/>
            <w:vMerge w:val="continue"/>
            <w:noWrap w:val="0"/>
            <w:vAlign w:val="center"/>
          </w:tcPr>
          <w:p w14:paraId="22417CBE">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r>
      <w:tr w14:paraId="38E3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0" w:hRule="atLeast"/>
          <w:jc w:val="center"/>
        </w:trPr>
        <w:tc>
          <w:tcPr>
            <w:tcW w:w="770" w:type="dxa"/>
            <w:noWrap w:val="0"/>
            <w:vAlign w:val="center"/>
          </w:tcPr>
          <w:p w14:paraId="02F80ABE">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7</w:t>
            </w:r>
          </w:p>
        </w:tc>
        <w:tc>
          <w:tcPr>
            <w:tcW w:w="740" w:type="dxa"/>
            <w:noWrap w:val="0"/>
            <w:vAlign w:val="center"/>
          </w:tcPr>
          <w:p w14:paraId="01EA555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w:t>
            </w:r>
            <w:r>
              <w:rPr>
                <w:rFonts w:hint="eastAsia" w:ascii="宋体" w:hAnsi="宋体" w:cs="宋体"/>
                <w:color w:val="auto"/>
                <w:szCs w:val="21"/>
                <w:highlight w:val="none"/>
                <w:lang w:val="en-US" w:eastAsia="zh-CN"/>
              </w:rPr>
              <w:t>7分标</w:t>
            </w:r>
            <w:r>
              <w:rPr>
                <w:rFonts w:hint="eastAsia" w:ascii="宋体" w:hAnsi="宋体" w:cs="宋体"/>
                <w:color w:val="auto"/>
                <w:szCs w:val="21"/>
                <w:highlight w:val="none"/>
                <w:lang w:eastAsia="zh-CN"/>
              </w:rPr>
              <w:t>）</w:t>
            </w:r>
          </w:p>
        </w:tc>
        <w:tc>
          <w:tcPr>
            <w:tcW w:w="741" w:type="dxa"/>
            <w:noWrap w:val="0"/>
            <w:vAlign w:val="center"/>
          </w:tcPr>
          <w:p w14:paraId="6F41F8E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高中政治历史学科命题素养能力提升研修班</w:t>
            </w:r>
          </w:p>
        </w:tc>
        <w:tc>
          <w:tcPr>
            <w:tcW w:w="1425" w:type="dxa"/>
            <w:noWrap w:val="0"/>
            <w:vAlign w:val="center"/>
          </w:tcPr>
          <w:p w14:paraId="0B05776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普通高中政治、历史骨干教师</w:t>
            </w:r>
            <w:r>
              <w:rPr>
                <w:rFonts w:hint="eastAsia" w:ascii="宋体" w:hAnsi="宋体" w:cs="宋体"/>
                <w:kern w:val="0"/>
                <w:szCs w:val="21"/>
                <w:lang w:val="en-US" w:eastAsia="zh-CN"/>
              </w:rPr>
              <w:t>。</w:t>
            </w:r>
          </w:p>
        </w:tc>
        <w:tc>
          <w:tcPr>
            <w:tcW w:w="2850" w:type="dxa"/>
            <w:noWrap w:val="0"/>
            <w:vAlign w:val="center"/>
          </w:tcPr>
          <w:p w14:paraId="4B7CEB91">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rPr>
              <w:t>一、全员综合通识培训授课内容：文科综合新高考命题政策、素养立意命题通用理论框架；主观题命题底层逻辑、试题质量评价通用规范、原创命题通用流程；史政学科育人目标、情境化试题设计通用技巧。</w:t>
            </w:r>
          </w:p>
          <w:p w14:paraId="022916F4">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rPr>
              <w:t xml:space="preserve">    二、分科培训内容。1.政治学科：政治学科课标、时政情境命题、主观题原创命题实操；高考政治真题解构、校本命题资源开发。2.历史学科：历史时空观念类试题设计、史料类原创命题实操；高考历史真题解构、材料分析题型打磨规范。</w:t>
            </w:r>
          </w:p>
        </w:tc>
        <w:tc>
          <w:tcPr>
            <w:tcW w:w="885" w:type="dxa"/>
            <w:noWrap w:val="0"/>
            <w:vAlign w:val="center"/>
          </w:tcPr>
          <w:p w14:paraId="16C08D3C">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914" w:type="dxa"/>
            <w:noWrap w:val="0"/>
            <w:vAlign w:val="center"/>
          </w:tcPr>
          <w:p w14:paraId="040101B7">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r>
      <w:tr w14:paraId="7EF1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526" w:type="dxa"/>
            <w:gridSpan w:val="5"/>
            <w:noWrap w:val="0"/>
            <w:vAlign w:val="center"/>
          </w:tcPr>
          <w:p w14:paraId="04D669BA">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lang w:eastAsia="zh-CN"/>
              </w:rPr>
              <w:t>合计</w:t>
            </w:r>
          </w:p>
        </w:tc>
        <w:tc>
          <w:tcPr>
            <w:tcW w:w="885" w:type="dxa"/>
            <w:noWrap w:val="0"/>
            <w:vAlign w:val="center"/>
          </w:tcPr>
          <w:p w14:paraId="1F5EF387">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20.5</w:t>
            </w:r>
          </w:p>
        </w:tc>
        <w:tc>
          <w:tcPr>
            <w:tcW w:w="914" w:type="dxa"/>
            <w:noWrap w:val="0"/>
            <w:vAlign w:val="center"/>
          </w:tcPr>
          <w:p w14:paraId="2928520B">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120.5</w:t>
            </w:r>
          </w:p>
        </w:tc>
      </w:tr>
      <w:tr w14:paraId="1E01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325" w:type="dxa"/>
            <w:gridSpan w:val="7"/>
            <w:noWrap w:val="0"/>
            <w:vAlign w:val="center"/>
          </w:tcPr>
          <w:p w14:paraId="62ACD8F3">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具体</w:t>
            </w:r>
            <w:r>
              <w:rPr>
                <w:rFonts w:hint="eastAsia" w:ascii="宋体" w:hAnsi="宋体" w:cs="宋体"/>
                <w:color w:val="auto"/>
                <w:szCs w:val="21"/>
                <w:highlight w:val="none"/>
              </w:rPr>
              <w:t>采购需求</w:t>
            </w:r>
            <w:r>
              <w:rPr>
                <w:rFonts w:hint="eastAsia" w:ascii="宋体" w:hAnsi="宋体" w:cs="宋体"/>
                <w:kern w:val="0"/>
                <w:szCs w:val="21"/>
                <w:lang w:val="en-US" w:eastAsia="zh-CN"/>
              </w:rPr>
              <w:t>内容详见竞争性磋商文件</w:t>
            </w:r>
          </w:p>
        </w:tc>
      </w:tr>
    </w:tbl>
    <w:p w14:paraId="7D654200">
      <w:pPr>
        <w:widowControl/>
        <w:spacing w:line="360" w:lineRule="auto"/>
        <w:ind w:firstLine="482" w:firstLineChars="200"/>
        <w:rPr>
          <w:rFonts w:hint="eastAsia" w:ascii="宋体" w:hAnsi="宋体" w:cs="宋体"/>
          <w:b/>
          <w:color w:val="auto"/>
          <w:sz w:val="24"/>
          <w:highlight w:val="none"/>
        </w:rPr>
      </w:pPr>
    </w:p>
    <w:p w14:paraId="55C35F6C">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二、申请人的资格条件：</w:t>
      </w:r>
    </w:p>
    <w:p w14:paraId="585DF1ED">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4B423F7">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cs="宋体"/>
          <w:color w:val="auto"/>
          <w:sz w:val="21"/>
          <w:szCs w:val="21"/>
          <w:highlight w:val="none"/>
          <w:lang w:eastAsia="zh-CN"/>
        </w:rPr>
        <w:t>非</w:t>
      </w:r>
      <w:r>
        <w:rPr>
          <w:rFonts w:hint="eastAsia" w:ascii="宋体" w:hAnsi="宋体" w:eastAsia="宋体" w:cs="宋体"/>
          <w:color w:val="auto"/>
          <w:sz w:val="21"/>
          <w:szCs w:val="21"/>
          <w:highlight w:val="none"/>
        </w:rPr>
        <w:t>专门面向中小</w:t>
      </w:r>
      <w:r>
        <w:rPr>
          <w:rFonts w:hint="eastAsia" w:ascii="宋体" w:hAnsi="宋体" w:eastAsia="宋体" w:cs="宋体"/>
          <w:color w:val="auto"/>
          <w:sz w:val="21"/>
          <w:szCs w:val="21"/>
          <w:highlight w:val="none"/>
          <w:lang w:eastAsia="zh-CN"/>
        </w:rPr>
        <w:t>微</w:t>
      </w:r>
      <w:r>
        <w:rPr>
          <w:rFonts w:hint="eastAsia" w:ascii="宋体" w:hAnsi="宋体" w:eastAsia="宋体" w:cs="宋体"/>
          <w:color w:val="auto"/>
          <w:sz w:val="21"/>
          <w:szCs w:val="21"/>
          <w:highlight w:val="none"/>
        </w:rPr>
        <w:t>企业采购（供应商应为中小微企业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监狱企业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残疾人福利性单位)</w:t>
      </w:r>
    </w:p>
    <w:p w14:paraId="3BDDD8C8">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4777AE52">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单位负责人为同一人或者存在直接控股、管理关系的不同供应商，不得参加本项目同一合同项下的政府采购活动。</w:t>
      </w:r>
    </w:p>
    <w:p w14:paraId="33A8F748">
      <w:pPr>
        <w:keepNext w:val="0"/>
        <w:keepLines w:val="0"/>
        <w:pageBreakBefore w:val="0"/>
        <w:widowControl w:val="0"/>
        <w:kinsoku/>
        <w:wordWrap/>
        <w:overflowPunct/>
        <w:topLinePunct w:val="0"/>
        <w:autoSpaceDE/>
        <w:autoSpaceDN/>
        <w:bidi w:val="0"/>
        <w:adjustRightInd/>
        <w:snapToGrid w:val="0"/>
        <w:spacing w:line="400" w:lineRule="exact"/>
        <w:ind w:left="399" w:leftChars="190" w:firstLine="0" w:firstLineChars="0"/>
        <w:textAlignment w:val="auto"/>
        <w:rPr>
          <w:rFonts w:hint="eastAsia" w:ascii="宋体" w:hAnsi="宋体" w:eastAsia="宋体" w:cs="宋体"/>
          <w:bCs w:val="0"/>
          <w:color w:val="auto"/>
          <w:sz w:val="21"/>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未被列入失信被执行人、重大税收违法失信主体、政府采购严重违法失信行为记录名单。</w:t>
      </w:r>
      <w:r>
        <w:rPr>
          <w:rFonts w:hint="eastAsia" w:ascii="宋体" w:hAnsi="宋体" w:cs="宋体"/>
          <w:color w:val="auto"/>
          <w:szCs w:val="21"/>
          <w:highlight w:val="none"/>
        </w:rPr>
        <w:br w:type="textWrapping"/>
      </w:r>
      <w:r>
        <w:rPr>
          <w:rFonts w:hint="eastAsia" w:ascii="宋体" w:hAnsi="宋体" w:cs="宋体"/>
          <w:color w:val="auto"/>
          <w:szCs w:val="21"/>
          <w:highlight w:val="none"/>
          <w:lang w:val="en-US" w:eastAsia="zh-CN"/>
        </w:rPr>
        <w:t>6.</w:t>
      </w:r>
      <w:r>
        <w:rPr>
          <w:rFonts w:hint="eastAsia" w:ascii="宋体" w:hAnsi="宋体" w:eastAsia="宋体" w:cs="宋体"/>
          <w:b w:val="0"/>
          <w:bCs w:val="0"/>
          <w:color w:val="auto"/>
          <w:spacing w:val="0"/>
          <w:kern w:val="2"/>
          <w:sz w:val="21"/>
          <w:szCs w:val="21"/>
          <w:highlight w:val="none"/>
          <w:lang w:val="en-US" w:eastAsia="zh-CN"/>
        </w:rPr>
        <w:t>本项目不接受联合体投标。</w:t>
      </w:r>
    </w:p>
    <w:p w14:paraId="0DAFDB64">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三、获取采购文件</w:t>
      </w:r>
    </w:p>
    <w:p w14:paraId="7BE2FD68">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11 </w:t>
      </w:r>
      <w:r>
        <w:rPr>
          <w:rFonts w:hint="eastAsia" w:ascii="宋体" w:hAnsi="宋体" w:cs="宋体"/>
          <w:color w:val="auto"/>
          <w:szCs w:val="21"/>
          <w:highlight w:val="none"/>
        </w:rPr>
        <w:t>日，每天上午00:00至1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，下午12:00至23:59（北京时间，法定节假日除外）</w:t>
      </w:r>
      <w:r>
        <w:rPr>
          <w:rFonts w:hint="eastAsia" w:ascii="宋体" w:hAnsi="宋体" w:cs="宋体"/>
          <w:bCs/>
          <w:color w:val="auto"/>
          <w:kern w:val="0"/>
          <w:szCs w:val="21"/>
          <w:highlight w:val="none"/>
        </w:rPr>
        <w:t>。</w:t>
      </w:r>
    </w:p>
    <w:p w14:paraId="685C2440">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562D2E6E">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方式：网上下载。本项目不发放纸质采购文件，供应商可自行在广西政府采购云平台（https://www.gcy.zfcg.gxzf.gov.cn/）下载采购文件（操作路径：登录广西</w:t>
      </w:r>
      <w:r>
        <w:rPr>
          <w:rFonts w:hint="eastAsia" w:ascii="宋体" w:hAnsi="宋体" w:cs="宋体"/>
          <w:bCs/>
          <w:color w:val="auto"/>
          <w:kern w:val="0"/>
          <w:szCs w:val="21"/>
          <w:highlight w:val="none"/>
          <w:lang w:eastAsia="zh-CN"/>
        </w:rPr>
        <w:t>政府采购云</w:t>
      </w:r>
      <w:r>
        <w:rPr>
          <w:rFonts w:hint="eastAsia" w:ascii="宋体" w:hAnsi="宋体" w:cs="宋体"/>
          <w:bCs/>
          <w:color w:val="auto"/>
          <w:kern w:val="0"/>
          <w:szCs w:val="21"/>
          <w:highlight w:val="none"/>
        </w:rPr>
        <w:t>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4B25FEFC">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bCs/>
          <w:color w:val="auto"/>
          <w:kern w:val="0"/>
          <w:szCs w:val="21"/>
          <w:highlight w:val="none"/>
        </w:rPr>
        <w:t>售价：0元。</w:t>
      </w:r>
    </w:p>
    <w:p w14:paraId="18ABE4BD">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四、响应文件提交</w:t>
      </w:r>
    </w:p>
    <w:p w14:paraId="640BD24E">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14 </w:t>
      </w:r>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09:30（北京时间）</w:t>
      </w:r>
    </w:p>
    <w:p w14:paraId="701A0CDD">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地点（网址）：本项目为全流程电子化项目，无现场递交投标文件及现场开标环节，通过广西政府采购云平台实行在线电子投标，供应商应先安装“广西政府采购云平台投标客户端”（请自行前往广西政府采购云平台进行下载），并按照本项目招标文件和广西政府采购云平台的要求使用CA认证编制、加密投标文件后在投标截止时间前上传至广西政府采购云平台，供应商在广西政府采购云平台提交电子版投标文件时，请填写参加远程开标活动经办人联系方式。</w:t>
      </w:r>
    </w:p>
    <w:p w14:paraId="16FE3204">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五、响应文件开启</w:t>
      </w:r>
    </w:p>
    <w:p w14:paraId="013BF45C">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开启时间：</w:t>
      </w:r>
      <w:r>
        <w:rPr>
          <w:rFonts w:hint="eastAsia" w:ascii="宋体" w:hAnsi="宋体" w:cs="宋体"/>
          <w:bCs/>
          <w:color w:val="auto"/>
          <w:szCs w:val="21"/>
          <w:highlight w:val="none"/>
          <w:lang w:eastAsia="zh-CN"/>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lang w:eastAsia="zh-CN"/>
        </w:rPr>
        <w:t>年</w:t>
      </w:r>
      <w:r>
        <w:rPr>
          <w:rFonts w:hint="eastAsia" w:ascii="宋体" w:hAnsi="宋体" w:cs="宋体"/>
          <w:bCs/>
          <w:color w:val="auto"/>
          <w:szCs w:val="21"/>
          <w:highlight w:val="none"/>
          <w:lang w:val="en-US" w:eastAsia="zh-CN"/>
        </w:rPr>
        <w:t xml:space="preserve"> 8 </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 xml:space="preserve"> 14 </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 xml:space="preserve"> 09:30 （北京时间）</w:t>
      </w:r>
    </w:p>
    <w:p w14:paraId="4DC20624">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地点：供应商登录广西政府采购云平台电子开标大厅开标。</w:t>
      </w:r>
    </w:p>
    <w:p w14:paraId="4393AE10">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六、公告期限</w:t>
      </w:r>
    </w:p>
    <w:p w14:paraId="7C836137">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718C39E">
      <w:pPr>
        <w:keepNext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七、</w:t>
      </w:r>
      <w:r>
        <w:rPr>
          <w:rFonts w:hint="eastAsia" w:ascii="宋体" w:hAnsi="宋体" w:cs="宋体"/>
          <w:b/>
          <w:color w:val="auto"/>
          <w:sz w:val="24"/>
          <w:highlight w:val="none"/>
        </w:rPr>
        <w:t>其他补充事宜</w:t>
      </w:r>
      <w:r>
        <w:rPr>
          <w:rFonts w:hint="eastAsia" w:ascii="宋体" w:hAnsi="宋体" w:cs="宋体"/>
          <w:color w:val="auto"/>
          <w:sz w:val="24"/>
          <w:highlight w:val="none"/>
        </w:rPr>
        <w:t>：</w:t>
      </w:r>
    </w:p>
    <w:p w14:paraId="64C12674">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1.磋商保证金：本项目不收取投标保证金</w:t>
      </w:r>
    </w:p>
    <w:p w14:paraId="6402EED5">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2.网上公告媒体查询</w:t>
      </w:r>
    </w:p>
    <w:p w14:paraId="5776DCAC">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中国政府采购网（http：//www.ccgp.gov.cn）、广西政府采购网（http：//zfcg.gxzf.gov.cn）</w:t>
      </w:r>
    </w:p>
    <w:p w14:paraId="478B810F">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3.本项目需要落实的政府采购政策</w:t>
      </w:r>
    </w:p>
    <w:p w14:paraId="4981694C">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8D0AEEF">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73F2979">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5288AC0B">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36898B28">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6"/>
    <w:p w14:paraId="2327D2E6">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4.注意事项：</w:t>
      </w:r>
    </w:p>
    <w:p w14:paraId="0B40CD88">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8C7995D">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0C441327">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获取采小蜜智能服务管家帮助或点击右侧帮助文档查看供应商指南或拨打广西政府采购云平台服务热线</w:t>
      </w:r>
      <w:r>
        <w:rPr>
          <w:rFonts w:hint="eastAsia" w:ascii="宋体" w:hAnsi="宋体" w:cs="宋体"/>
          <w:b/>
          <w:bCs/>
          <w:color w:val="auto"/>
          <w:kern w:val="0"/>
          <w:szCs w:val="21"/>
          <w:highlight w:val="none"/>
        </w:rPr>
        <w:t>95763</w:t>
      </w:r>
      <w:r>
        <w:rPr>
          <w:rFonts w:hint="eastAsia" w:ascii="宋体" w:hAnsi="宋体" w:cs="宋体"/>
          <w:color w:val="auto"/>
          <w:kern w:val="0"/>
          <w:szCs w:val="21"/>
          <w:highlight w:val="none"/>
        </w:rPr>
        <w:t>获取热线服务帮助。</w:t>
      </w:r>
    </w:p>
    <w:p w14:paraId="2033EB23">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7"/>
      <w:bookmarkEnd w:id="8"/>
      <w:bookmarkEnd w:id="9"/>
      <w:bookmarkEnd w:id="10"/>
      <w:bookmarkEnd w:id="11"/>
    </w:p>
    <w:p w14:paraId="102F5243">
      <w:pPr>
        <w:keepNext w:val="0"/>
        <w:keepLines/>
        <w:pageBreakBefore w:val="0"/>
        <w:widowControl w:val="0"/>
        <w:kinsoku/>
        <w:wordWrap/>
        <w:overflowPunct/>
        <w:topLinePunct w:val="0"/>
        <w:autoSpaceDE/>
        <w:autoSpaceDN/>
        <w:bidi w:val="0"/>
        <w:adjustRightInd/>
        <w:snapToGrid w:val="0"/>
        <w:spacing w:before="0" w:line="400" w:lineRule="exact"/>
        <w:ind w:left="0" w:right="0" w:firstLine="444" w:firstLineChars="200"/>
        <w:textAlignment w:val="auto"/>
        <w:outlineLvl w:val="9"/>
        <w:rPr>
          <w:rFonts w:hint="eastAsia" w:ascii="宋体" w:hAnsi="宋体" w:eastAsia="宋体" w:cs="宋体"/>
          <w:color w:val="auto"/>
          <w:sz w:val="21"/>
          <w:szCs w:val="21"/>
          <w:highlight w:val="none"/>
        </w:rPr>
      </w:pPr>
      <w:bookmarkStart w:id="12" w:name="_Toc35393806"/>
      <w:bookmarkStart w:id="13" w:name="_Toc35393637"/>
      <w:bookmarkStart w:id="14" w:name="_Toc28359096"/>
      <w:bookmarkStart w:id="15" w:name="_Toc28359019"/>
      <w:r>
        <w:rPr>
          <w:rFonts w:hint="eastAsia" w:ascii="宋体" w:hAnsi="宋体" w:eastAsia="宋体" w:cs="宋体"/>
          <w:color w:val="auto"/>
          <w:spacing w:val="6"/>
          <w:position w:val="1"/>
          <w:sz w:val="21"/>
          <w:szCs w:val="21"/>
          <w:highlight w:val="none"/>
        </w:rPr>
        <w:t>1</w:t>
      </w:r>
      <w:r>
        <w:rPr>
          <w:rFonts w:hint="eastAsia" w:ascii="宋体" w:hAnsi="宋体" w:eastAsia="宋体" w:cs="宋体"/>
          <w:color w:val="auto"/>
          <w:spacing w:val="5"/>
          <w:position w:val="1"/>
          <w:sz w:val="21"/>
          <w:szCs w:val="21"/>
          <w:highlight w:val="none"/>
        </w:rPr>
        <w:t>.采购人信息</w:t>
      </w:r>
    </w:p>
    <w:p w14:paraId="3D516B0A">
      <w:pPr>
        <w:keepNext w:val="0"/>
        <w:keepLines/>
        <w:pageBreakBefore w:val="0"/>
        <w:widowControl w:val="0"/>
        <w:kinsoku/>
        <w:wordWrap/>
        <w:overflowPunct/>
        <w:topLinePunct w:val="0"/>
        <w:autoSpaceDE/>
        <w:autoSpaceDN/>
        <w:bidi w:val="0"/>
        <w:adjustRightInd/>
        <w:snapToGrid w:val="0"/>
        <w:spacing w:before="0" w:line="400" w:lineRule="exact"/>
        <w:ind w:left="0" w:right="0" w:firstLine="476"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4"/>
          <w:sz w:val="21"/>
          <w:szCs w:val="21"/>
          <w:highlight w:val="none"/>
        </w:rPr>
        <w:t>名</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7"/>
          <w:sz w:val="21"/>
          <w:szCs w:val="21"/>
          <w:highlight w:val="none"/>
        </w:rPr>
        <w:t xml:space="preserve">   称：</w:t>
      </w:r>
      <w:r>
        <w:rPr>
          <w:rFonts w:hint="eastAsia" w:ascii="宋体" w:hAnsi="宋体" w:cs="宋体"/>
          <w:color w:val="auto"/>
          <w:spacing w:val="7"/>
          <w:sz w:val="21"/>
          <w:szCs w:val="21"/>
          <w:highlight w:val="none"/>
          <w:lang w:eastAsia="zh-CN"/>
        </w:rPr>
        <w:t>钦州市教育发展研究中心</w:t>
      </w:r>
    </w:p>
    <w:p w14:paraId="0F3FEC9F">
      <w:pPr>
        <w:keepNext w:val="0"/>
        <w:keepLines/>
        <w:pageBreakBefore w:val="0"/>
        <w:widowControl w:val="0"/>
        <w:kinsoku/>
        <w:wordWrap/>
        <w:overflowPunct/>
        <w:topLinePunct w:val="0"/>
        <w:autoSpaceDE/>
        <w:autoSpaceDN/>
        <w:bidi w:val="0"/>
        <w:adjustRightInd/>
        <w:snapToGrid w:val="0"/>
        <w:spacing w:before="0" w:line="400" w:lineRule="exact"/>
        <w:ind w:left="0" w:right="0" w:firstLine="428"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地    址：</w:t>
      </w:r>
      <w:r>
        <w:rPr>
          <w:rFonts w:hint="eastAsia" w:ascii="宋体" w:hAnsi="宋体" w:cs="宋体"/>
          <w:color w:val="auto"/>
          <w:spacing w:val="2"/>
          <w:sz w:val="21"/>
          <w:szCs w:val="21"/>
          <w:highlight w:val="none"/>
          <w:lang w:eastAsia="zh-CN"/>
        </w:rPr>
        <w:t>钦州市钦南区乘风大道51号</w:t>
      </w:r>
    </w:p>
    <w:p w14:paraId="2C1A760E">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eastAsia="zh-CN"/>
        </w:rPr>
        <w:t>联系方式：</w:t>
      </w:r>
      <w:r>
        <w:rPr>
          <w:rFonts w:hint="eastAsia" w:ascii="宋体" w:hAnsi="宋体" w:cs="宋体"/>
          <w:color w:val="auto"/>
          <w:spacing w:val="3"/>
          <w:sz w:val="21"/>
          <w:szCs w:val="21"/>
          <w:highlight w:val="none"/>
          <w:lang w:val="en-US" w:eastAsia="zh-CN"/>
        </w:rPr>
        <w:t>梁老师</w:t>
      </w:r>
      <w:r>
        <w:rPr>
          <w:rFonts w:hint="eastAsia" w:ascii="宋体" w:hAnsi="宋体" w:eastAsia="宋体" w:cs="宋体"/>
          <w:color w:val="auto"/>
          <w:spacing w:val="3"/>
          <w:sz w:val="21"/>
          <w:szCs w:val="21"/>
          <w:highlight w:val="none"/>
          <w:lang w:eastAsia="zh-CN"/>
        </w:rPr>
        <w:t xml:space="preserve">  </w:t>
      </w:r>
      <w:r>
        <w:rPr>
          <w:rFonts w:hint="eastAsia" w:ascii="宋体" w:hAnsi="宋体" w:cs="宋体"/>
          <w:color w:val="auto"/>
          <w:spacing w:val="3"/>
          <w:sz w:val="21"/>
          <w:szCs w:val="21"/>
          <w:highlight w:val="none"/>
          <w:lang w:eastAsia="zh-CN"/>
        </w:rPr>
        <w:t>0777-32162</w:t>
      </w:r>
      <w:r>
        <w:rPr>
          <w:rFonts w:hint="eastAsia" w:ascii="宋体" w:hAnsi="宋体" w:cs="宋体"/>
          <w:color w:val="auto"/>
          <w:spacing w:val="3"/>
          <w:sz w:val="21"/>
          <w:szCs w:val="21"/>
          <w:highlight w:val="none"/>
          <w:lang w:val="en-US" w:eastAsia="zh-CN"/>
        </w:rPr>
        <w:t>8</w:t>
      </w:r>
      <w:r>
        <w:rPr>
          <w:rFonts w:hint="eastAsia" w:ascii="宋体" w:hAnsi="宋体" w:cs="宋体"/>
          <w:color w:val="auto"/>
          <w:spacing w:val="3"/>
          <w:sz w:val="21"/>
          <w:szCs w:val="21"/>
          <w:highlight w:val="none"/>
          <w:lang w:eastAsia="zh-CN"/>
        </w:rPr>
        <w:t>9</w:t>
      </w:r>
    </w:p>
    <w:p w14:paraId="667D5DBE">
      <w:pPr>
        <w:keepNext w:val="0"/>
        <w:keepLines/>
        <w:pageBreakBefore w:val="0"/>
        <w:widowControl w:val="0"/>
        <w:kinsoku/>
        <w:wordWrap/>
        <w:overflowPunct/>
        <w:topLinePunct w:val="0"/>
        <w:autoSpaceDE/>
        <w:autoSpaceDN/>
        <w:bidi w:val="0"/>
        <w:adjustRightInd/>
        <w:snapToGrid w:val="0"/>
        <w:spacing w:before="0" w:line="400" w:lineRule="exact"/>
        <w:ind w:left="0" w:right="0" w:firstLine="45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8"/>
          <w:position w:val="1"/>
          <w:sz w:val="21"/>
          <w:szCs w:val="21"/>
          <w:highlight w:val="none"/>
        </w:rPr>
        <w:t>2.采购代理机构信</w:t>
      </w:r>
      <w:r>
        <w:rPr>
          <w:rFonts w:hint="eastAsia" w:ascii="宋体" w:hAnsi="宋体" w:eastAsia="宋体" w:cs="宋体"/>
          <w:color w:val="auto"/>
          <w:spacing w:val="6"/>
          <w:position w:val="1"/>
          <w:sz w:val="21"/>
          <w:szCs w:val="21"/>
          <w:highlight w:val="none"/>
        </w:rPr>
        <w:t>息</w:t>
      </w:r>
    </w:p>
    <w:p w14:paraId="45876308">
      <w:pPr>
        <w:keepNext w:val="0"/>
        <w:keepLines/>
        <w:pageBreakBefore w:val="0"/>
        <w:widowControl w:val="0"/>
        <w:kinsoku/>
        <w:wordWrap/>
        <w:overflowPunct/>
        <w:topLinePunct w:val="0"/>
        <w:autoSpaceDE/>
        <w:autoSpaceDN/>
        <w:bidi w:val="0"/>
        <w:adjustRightInd/>
        <w:snapToGrid w:val="0"/>
        <w:spacing w:before="0" w:line="400" w:lineRule="exact"/>
        <w:ind w:left="0" w:right="0" w:firstLine="464"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名</w:t>
      </w:r>
      <w:r>
        <w:rPr>
          <w:rFonts w:hint="eastAsia" w:ascii="宋体" w:hAnsi="宋体" w:eastAsia="宋体" w:cs="宋体"/>
          <w:color w:val="auto"/>
          <w:spacing w:val="8"/>
          <w:sz w:val="21"/>
          <w:szCs w:val="21"/>
          <w:highlight w:val="none"/>
        </w:rPr>
        <w:t xml:space="preserve">    称：</w:t>
      </w:r>
      <w:r>
        <w:rPr>
          <w:rFonts w:hint="eastAsia" w:ascii="宋体" w:hAnsi="宋体" w:cs="宋体"/>
          <w:color w:val="auto"/>
          <w:spacing w:val="8"/>
          <w:sz w:val="21"/>
          <w:szCs w:val="21"/>
          <w:highlight w:val="none"/>
          <w:lang w:eastAsia="zh-CN"/>
        </w:rPr>
        <w:t>广西北部湾宏亚建设管理有限公司</w:t>
      </w:r>
    </w:p>
    <w:p w14:paraId="0B700E1A">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eastAsia="宋体"/>
          <w:color w:val="auto"/>
          <w:highlight w:val="none"/>
          <w:lang w:eastAsia="zh-CN"/>
        </w:rPr>
      </w:pPr>
      <w:r>
        <w:rPr>
          <w:rFonts w:hint="eastAsia" w:ascii="宋体" w:hAnsi="宋体" w:eastAsia="宋体" w:cs="宋体"/>
          <w:color w:val="auto"/>
          <w:spacing w:val="3"/>
          <w:sz w:val="21"/>
          <w:szCs w:val="21"/>
          <w:highlight w:val="none"/>
        </w:rPr>
        <w:t>地    址：</w:t>
      </w:r>
      <w:r>
        <w:rPr>
          <w:rFonts w:hint="eastAsia" w:ascii="宋体" w:hAnsi="宋体" w:eastAsia="宋体" w:cs="宋体"/>
          <w:color w:val="auto"/>
          <w:spacing w:val="3"/>
          <w:sz w:val="21"/>
          <w:szCs w:val="21"/>
          <w:highlight w:val="none"/>
          <w:lang w:eastAsia="zh-CN"/>
        </w:rPr>
        <w:t>钦州市蓬莱大道鸿亭街33</w:t>
      </w:r>
      <w:r>
        <w:rPr>
          <w:rFonts w:hint="eastAsia" w:ascii="宋体" w:hAnsi="宋体" w:eastAsia="宋体" w:cs="宋体"/>
          <w:color w:val="auto"/>
          <w:spacing w:val="3"/>
          <w:sz w:val="21"/>
          <w:szCs w:val="21"/>
          <w:highlight w:val="none"/>
          <w:lang w:val="en-US" w:eastAsia="zh-CN"/>
        </w:rPr>
        <w:t>3</w:t>
      </w:r>
      <w:r>
        <w:rPr>
          <w:rFonts w:hint="eastAsia" w:ascii="宋体" w:hAnsi="宋体" w:eastAsia="宋体" w:cs="宋体"/>
          <w:color w:val="auto"/>
          <w:spacing w:val="3"/>
          <w:sz w:val="21"/>
          <w:szCs w:val="21"/>
          <w:highlight w:val="none"/>
          <w:lang w:eastAsia="zh-CN"/>
        </w:rPr>
        <w:t>号皇庭天麓湖小区183栋203室</w:t>
      </w:r>
    </w:p>
    <w:p w14:paraId="4C5B3AE3">
      <w:pPr>
        <w:keepNext w:val="0"/>
        <w:keepLines/>
        <w:pageBreakBefore w:val="0"/>
        <w:widowControl w:val="0"/>
        <w:kinsoku/>
        <w:wordWrap/>
        <w:overflowPunct/>
        <w:topLinePunct w:val="0"/>
        <w:autoSpaceDE/>
        <w:autoSpaceDN/>
        <w:bidi w:val="0"/>
        <w:adjustRightInd/>
        <w:snapToGrid w:val="0"/>
        <w:spacing w:before="0" w:line="400" w:lineRule="exact"/>
        <w:ind w:left="0" w:right="0" w:firstLine="448" w:firstLineChars="200"/>
        <w:textAlignment w:val="auto"/>
        <w:outlineLvl w:val="9"/>
        <w:rPr>
          <w:rFonts w:hint="eastAsia" w:ascii="宋体" w:hAnsi="宋体" w:eastAsia="宋体" w:cs="宋体"/>
          <w:color w:val="auto"/>
          <w:spacing w:val="7"/>
          <w:position w:val="1"/>
          <w:sz w:val="21"/>
          <w:szCs w:val="21"/>
          <w:highlight w:val="none"/>
          <w:lang w:eastAsia="zh-CN"/>
        </w:rPr>
      </w:pPr>
      <w:r>
        <w:rPr>
          <w:rFonts w:hint="eastAsia" w:ascii="宋体" w:hAnsi="宋体" w:eastAsia="宋体" w:cs="宋体"/>
          <w:color w:val="auto"/>
          <w:spacing w:val="7"/>
          <w:position w:val="1"/>
          <w:sz w:val="21"/>
          <w:szCs w:val="21"/>
          <w:highlight w:val="none"/>
        </w:rPr>
        <w:t>联系电话：</w:t>
      </w:r>
      <w:r>
        <w:rPr>
          <w:rFonts w:hint="eastAsia" w:ascii="宋体" w:hAnsi="宋体" w:cs="宋体"/>
          <w:color w:val="auto"/>
          <w:spacing w:val="7"/>
          <w:position w:val="1"/>
          <w:sz w:val="21"/>
          <w:szCs w:val="21"/>
          <w:highlight w:val="none"/>
          <w:lang w:eastAsia="zh-CN"/>
        </w:rPr>
        <w:t>0777-2800211</w:t>
      </w:r>
    </w:p>
    <w:p w14:paraId="5D8A46E4">
      <w:pPr>
        <w:keepNext w:val="0"/>
        <w:keepLines/>
        <w:pageBreakBefore w:val="0"/>
        <w:widowControl w:val="0"/>
        <w:kinsoku/>
        <w:wordWrap/>
        <w:overflowPunct/>
        <w:topLinePunct w:val="0"/>
        <w:autoSpaceDE/>
        <w:autoSpaceDN/>
        <w:bidi w:val="0"/>
        <w:adjustRightInd/>
        <w:snapToGrid w:val="0"/>
        <w:spacing w:before="0" w:line="400" w:lineRule="exact"/>
        <w:ind w:left="0" w:right="0" w:firstLine="448"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3.项目联系方式</w:t>
      </w:r>
    </w:p>
    <w:p w14:paraId="2BC95DD7">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rPr>
        <w:t>项目联系人：</w:t>
      </w:r>
      <w:r>
        <w:rPr>
          <w:rFonts w:hint="eastAsia" w:ascii="宋体" w:hAnsi="宋体" w:cs="宋体"/>
          <w:color w:val="auto"/>
          <w:spacing w:val="3"/>
          <w:sz w:val="21"/>
          <w:szCs w:val="21"/>
          <w:highlight w:val="none"/>
          <w:lang w:eastAsia="zh-CN"/>
        </w:rPr>
        <w:t>邱小玲</w:t>
      </w:r>
    </w:p>
    <w:p w14:paraId="433638C1">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 xml:space="preserve">电    话： </w:t>
      </w:r>
      <w:r>
        <w:rPr>
          <w:rFonts w:hint="eastAsia" w:ascii="宋体" w:hAnsi="宋体" w:cs="宋体"/>
          <w:color w:val="auto"/>
          <w:spacing w:val="3"/>
          <w:sz w:val="21"/>
          <w:szCs w:val="21"/>
          <w:highlight w:val="none"/>
          <w:lang w:eastAsia="zh-CN"/>
        </w:rPr>
        <w:t>0777-2800211</w:t>
      </w:r>
    </w:p>
    <w:p w14:paraId="1406EB64">
      <w:pPr>
        <w:keepNext w:val="0"/>
        <w:pageBreakBefore w:val="0"/>
        <w:kinsoku/>
        <w:wordWrap/>
        <w:overflowPunct/>
        <w:topLinePunct w:val="0"/>
        <w:autoSpaceDE/>
        <w:autoSpaceDN/>
        <w:bidi w:val="0"/>
        <w:adjustRightInd/>
        <w:snapToGrid w:val="0"/>
        <w:spacing w:line="400" w:lineRule="exact"/>
        <w:ind w:firstLine="567" w:firstLineChars="270"/>
        <w:jc w:val="left"/>
        <w:textAlignment w:val="auto"/>
        <w:rPr>
          <w:rFonts w:ascii="宋体" w:hAnsi="宋体" w:cs="宋体"/>
          <w:color w:val="auto"/>
          <w:szCs w:val="21"/>
          <w:highlight w:val="none"/>
        </w:rPr>
      </w:pPr>
    </w:p>
    <w:bookmarkEnd w:id="5"/>
    <w:bookmarkEnd w:id="12"/>
    <w:bookmarkEnd w:id="13"/>
    <w:bookmarkEnd w:id="14"/>
    <w:bookmarkEnd w:id="15"/>
    <w:p w14:paraId="6084D3E1">
      <w:pPr>
        <w:keepNext w:val="0"/>
        <w:pageBreakBefore w:val="0"/>
        <w:kinsoku/>
        <w:wordWrap/>
        <w:overflowPunct/>
        <w:topLinePunct w:val="0"/>
        <w:autoSpaceDE/>
        <w:autoSpaceDN/>
        <w:bidi w:val="0"/>
        <w:adjustRightInd/>
        <w:snapToGrid w:val="0"/>
        <w:spacing w:line="400" w:lineRule="exact"/>
        <w:ind w:firstLine="567" w:firstLineChars="27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广西北部湾宏亚建设管理有限公司</w:t>
      </w:r>
    </w:p>
    <w:p w14:paraId="4D0C7F4D">
      <w:pPr>
        <w:keepNext w:val="0"/>
        <w:pageBreakBefore w:val="0"/>
        <w:kinsoku/>
        <w:wordWrap/>
        <w:overflowPunct/>
        <w:topLinePunct w:val="0"/>
        <w:autoSpaceDE/>
        <w:autoSpaceDN/>
        <w:bidi w:val="0"/>
        <w:adjustRightInd/>
        <w:snapToGrid w:val="0"/>
        <w:spacing w:line="400" w:lineRule="exact"/>
        <w:ind w:firstLine="567" w:firstLineChars="27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3 </w:t>
      </w:r>
      <w:r>
        <w:rPr>
          <w:rFonts w:hint="eastAsia" w:ascii="宋体" w:hAnsi="宋体" w:cs="宋体"/>
          <w:color w:val="auto"/>
          <w:szCs w:val="21"/>
          <w:highlight w:val="none"/>
          <w:lang w:eastAsia="zh-CN"/>
        </w:rPr>
        <w:t>日</w:t>
      </w:r>
    </w:p>
    <w:p w14:paraId="658C7FDA">
      <w:pPr>
        <w:pStyle w:val="5"/>
        <w:jc w:val="center"/>
        <w:rPr>
          <w:rFonts w:hAnsi="宋体" w:cs="宋体"/>
          <w:color w:val="auto"/>
          <w:highlight w:val="none"/>
        </w:rPr>
      </w:pPr>
      <w:r>
        <w:rPr>
          <w:rFonts w:hint="eastAsia" w:hAnsi="宋体" w:cs="宋体"/>
          <w:color w:val="auto"/>
          <w:highlight w:val="none"/>
        </w:rPr>
        <w:br w:type="page"/>
      </w:r>
      <w:bookmarkStart w:id="16" w:name="_Toc7391"/>
      <w:bookmarkStart w:id="17" w:name="_Toc20235"/>
      <w:bookmarkStart w:id="18" w:name="_Toc7075"/>
      <w:bookmarkStart w:id="19" w:name="_Toc13104"/>
      <w:bookmarkStart w:id="20" w:name="_Toc16584"/>
      <w:r>
        <w:rPr>
          <w:rFonts w:hint="eastAsia" w:hAnsi="宋体" w:cs="宋体"/>
          <w:color w:val="auto"/>
          <w:highlight w:val="none"/>
        </w:rPr>
        <w:t>第二章采购需求</w:t>
      </w:r>
      <w:bookmarkEnd w:id="16"/>
      <w:bookmarkEnd w:id="17"/>
      <w:bookmarkEnd w:id="18"/>
      <w:bookmarkEnd w:id="19"/>
      <w:bookmarkEnd w:id="20"/>
    </w:p>
    <w:p w14:paraId="79940C87">
      <w:pPr>
        <w:spacing w:line="360" w:lineRule="auto"/>
        <w:jc w:val="left"/>
        <w:rPr>
          <w:rFonts w:ascii="宋体" w:hAnsi="宋体" w:cs="宋体"/>
          <w:color w:val="auto"/>
          <w:sz w:val="24"/>
          <w:highlight w:val="none"/>
        </w:rPr>
      </w:pPr>
      <w:r>
        <w:rPr>
          <w:rFonts w:hint="eastAsia" w:ascii="宋体" w:hAnsi="宋体" w:cs="宋体"/>
          <w:color w:val="auto"/>
          <w:sz w:val="24"/>
          <w:highlight w:val="none"/>
        </w:rPr>
        <w:t>说明：</w:t>
      </w:r>
    </w:p>
    <w:p w14:paraId="503894B1">
      <w:pPr>
        <w:spacing w:line="360" w:lineRule="auto"/>
        <w:ind w:firstLine="424" w:firstLineChars="202"/>
        <w:jc w:val="left"/>
        <w:rPr>
          <w:color w:val="auto"/>
          <w:highlight w:val="none"/>
        </w:rPr>
      </w:pPr>
      <w:r>
        <w:rPr>
          <w:rFonts w:hint="eastAsia"/>
          <w:color w:val="auto"/>
          <w:highlight w:val="none"/>
        </w:rPr>
        <w:t>1.为落实政府采购政策需满足的要求（根据项目实际情况填写内容）</w:t>
      </w:r>
    </w:p>
    <w:p w14:paraId="380078F0">
      <w:pPr>
        <w:spacing w:line="360" w:lineRule="auto"/>
        <w:ind w:firstLine="424" w:firstLineChars="202"/>
        <w:jc w:val="left"/>
        <w:rPr>
          <w:color w:val="auto"/>
          <w:highlight w:val="none"/>
        </w:rPr>
      </w:pPr>
      <w:r>
        <w:rPr>
          <w:rFonts w:hint="eastAsia"/>
          <w:color w:val="auto"/>
          <w:highlight w:val="none"/>
        </w:rPr>
        <w:t>（1）本采购文件所称中小企业必须符合《政府采购促进中小企业发展管理办法》（财库〔2020〕46号）的规定。</w:t>
      </w:r>
    </w:p>
    <w:p w14:paraId="683B93BC">
      <w:pPr>
        <w:spacing w:line="360" w:lineRule="auto"/>
        <w:ind w:firstLine="424" w:firstLineChars="202"/>
        <w:jc w:val="left"/>
        <w:rPr>
          <w:color w:val="auto"/>
          <w:highlight w:val="none"/>
        </w:rPr>
      </w:pPr>
      <w:r>
        <w:rPr>
          <w:rFonts w:hint="eastAsia"/>
          <w:color w:val="auto"/>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14:paraId="3D6BC3D7">
      <w:pPr>
        <w:spacing w:line="360" w:lineRule="auto"/>
        <w:ind w:firstLine="424" w:firstLineChars="202"/>
        <w:jc w:val="left"/>
        <w:rPr>
          <w:color w:val="auto"/>
          <w:highlight w:val="none"/>
        </w:rPr>
      </w:pPr>
      <w:r>
        <w:rPr>
          <w:rFonts w:hint="eastAsia"/>
          <w:color w:val="auto"/>
          <w:highlight w:val="none"/>
        </w:rPr>
        <w:t>（3）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信息安全认证中心授予的有效的信息安全产品认证证书（加盖投标人公章），否则投标文件作无效处理。</w:t>
      </w:r>
    </w:p>
    <w:p w14:paraId="5060BF6F">
      <w:pPr>
        <w:spacing w:line="360" w:lineRule="auto"/>
        <w:ind w:firstLine="424" w:firstLineChars="202"/>
        <w:jc w:val="left"/>
        <w:rPr>
          <w:rFonts w:hint="eastAsia"/>
          <w:color w:val="auto"/>
          <w:highlight w:val="none"/>
        </w:rPr>
      </w:pPr>
      <w:r>
        <w:rPr>
          <w:rFonts w:hint="eastAsia"/>
          <w:color w:val="auto"/>
          <w:highlight w:val="none"/>
        </w:rPr>
        <w:t>2.“实质性要求”是指采购文件中已经指明不满足则响应文件按无效响应处理的条款，或者不能负偏离的条款，或者采购需求中带“▲”的条款。</w:t>
      </w:r>
    </w:p>
    <w:p w14:paraId="542993D1">
      <w:pPr>
        <w:spacing w:line="360" w:lineRule="auto"/>
        <w:ind w:firstLine="424" w:firstLineChars="202"/>
        <w:jc w:val="left"/>
        <w:rPr>
          <w:rFonts w:hint="eastAsia" w:eastAsia="宋体"/>
          <w:color w:val="auto"/>
          <w:highlight w:val="none"/>
          <w:lang w:eastAsia="zh-CN"/>
        </w:rPr>
      </w:pPr>
      <w:r>
        <w:rPr>
          <w:rFonts w:hint="eastAsia"/>
          <w:color w:val="auto"/>
          <w:highlight w:val="none"/>
        </w:rPr>
        <w:t>3．如竞标产品存在侵犯他人的知识产权或者专利成果行为的，</w:t>
      </w:r>
      <w:r>
        <w:rPr>
          <w:rFonts w:hint="eastAsia"/>
          <w:color w:val="auto"/>
          <w:highlight w:val="none"/>
          <w:lang w:eastAsia="zh-CN"/>
        </w:rPr>
        <w:t>供应商</w:t>
      </w:r>
      <w:r>
        <w:rPr>
          <w:rFonts w:hint="eastAsia"/>
          <w:color w:val="auto"/>
          <w:highlight w:val="none"/>
        </w:rPr>
        <w:t>应承担相应法律责任。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r>
        <w:rPr>
          <w:rFonts w:hint="eastAsia"/>
          <w:color w:val="auto"/>
          <w:highlight w:val="none"/>
          <w:lang w:eastAsia="zh-CN"/>
        </w:rPr>
        <w:t>。</w:t>
      </w:r>
    </w:p>
    <w:p w14:paraId="61596189">
      <w:pPr>
        <w:spacing w:line="360" w:lineRule="auto"/>
        <w:ind w:firstLine="424" w:firstLineChars="202"/>
        <w:jc w:val="left"/>
        <w:rPr>
          <w:rFonts w:hint="eastAsia"/>
          <w:b/>
          <w:bCs/>
          <w:color w:val="auto"/>
          <w:highlight w:val="none"/>
          <w:u w:val="single"/>
        </w:rPr>
      </w:pP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本项目所有分标</w:t>
      </w:r>
      <w:r>
        <w:rPr>
          <w:rFonts w:hint="eastAsia"/>
          <w:color w:val="auto"/>
          <w:highlight w:val="none"/>
        </w:rPr>
        <w:t>中小企业划分标准所属行业名称（行业名称及划分见本章附件2）：</w:t>
      </w:r>
      <w:r>
        <w:rPr>
          <w:rFonts w:hint="eastAsia"/>
          <w:b/>
          <w:bCs/>
          <w:color w:val="auto"/>
          <w:highlight w:val="none"/>
          <w:u w:val="single"/>
        </w:rPr>
        <w:t>其他未列明行业</w:t>
      </w:r>
    </w:p>
    <w:p w14:paraId="06EE98DD">
      <w:pPr>
        <w:spacing w:line="360" w:lineRule="auto"/>
        <w:ind w:firstLine="487" w:firstLineChars="202"/>
        <w:jc w:val="left"/>
        <w:rPr>
          <w:rFonts w:hint="default"/>
          <w:color w:val="auto"/>
          <w:highlight w:val="none"/>
          <w:lang w:val="en-US" w:eastAsia="zh-CN"/>
        </w:rPr>
        <w:sectPr>
          <w:footerReference r:id="rId7" w:type="first"/>
          <w:footerReference r:id="rId6" w:type="default"/>
          <w:pgSz w:w="11906" w:h="16838"/>
          <w:pgMar w:top="1417" w:right="1417" w:bottom="1417" w:left="1417" w:header="851" w:footer="567"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本项目设</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个分标，供应商可选择一个或多个分标参与投标，但只能成为一个分标的成交人。由磋商小组根据各分标各供应商综合得分进行排名，并按分标1→分标2→分标3→分标4→分标</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→分标</w:t>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→分标</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的顺序确定分标1至分标</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各分标成交候选人。按规定的顺序成为第一成交候选人的供应商不再推荐为其余分标的成交候选人。</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100"/>
        <w:gridCol w:w="1104"/>
        <w:gridCol w:w="46"/>
        <w:gridCol w:w="867"/>
        <w:gridCol w:w="2217"/>
        <w:gridCol w:w="1185"/>
        <w:gridCol w:w="1185"/>
        <w:gridCol w:w="1185"/>
        <w:gridCol w:w="1185"/>
        <w:gridCol w:w="976"/>
        <w:gridCol w:w="984"/>
        <w:gridCol w:w="1595"/>
      </w:tblGrid>
      <w:tr w14:paraId="1199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3"/>
            <w:vAlign w:val="center"/>
          </w:tcPr>
          <w:p w14:paraId="1530F0B2">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1 服务需求一览表</w:t>
            </w:r>
          </w:p>
        </w:tc>
      </w:tr>
      <w:tr w14:paraId="0F35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13B74B9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1100" w:type="dxa"/>
            <w:vAlign w:val="center"/>
          </w:tcPr>
          <w:p w14:paraId="2CAD808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1150" w:type="dxa"/>
            <w:gridSpan w:val="2"/>
            <w:vAlign w:val="center"/>
          </w:tcPr>
          <w:p w14:paraId="4F7E3FD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867" w:type="dxa"/>
            <w:vAlign w:val="center"/>
          </w:tcPr>
          <w:p w14:paraId="1AD00AA9">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217" w:type="dxa"/>
            <w:vAlign w:val="center"/>
          </w:tcPr>
          <w:p w14:paraId="56F03FEC">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1185" w:type="dxa"/>
            <w:vAlign w:val="center"/>
          </w:tcPr>
          <w:p w14:paraId="21D7912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1185" w:type="dxa"/>
            <w:vAlign w:val="center"/>
          </w:tcPr>
          <w:p w14:paraId="7D59855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1185" w:type="dxa"/>
            <w:vAlign w:val="center"/>
          </w:tcPr>
          <w:p w14:paraId="2E021FF8">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1185" w:type="dxa"/>
            <w:vAlign w:val="center"/>
          </w:tcPr>
          <w:p w14:paraId="588280C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976" w:type="dxa"/>
            <w:vAlign w:val="center"/>
          </w:tcPr>
          <w:p w14:paraId="3019F85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41AC671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984" w:type="dxa"/>
            <w:vAlign w:val="center"/>
          </w:tcPr>
          <w:p w14:paraId="2AEEBD69">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标段最高限价</w:t>
            </w:r>
          </w:p>
          <w:p w14:paraId="26EB95D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1595" w:type="dxa"/>
            <w:vAlign w:val="center"/>
          </w:tcPr>
          <w:p w14:paraId="69C8534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3937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Merge w:val="restart"/>
            <w:vAlign w:val="center"/>
          </w:tcPr>
          <w:p w14:paraId="589F1948">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1100" w:type="dxa"/>
            <w:vAlign w:val="center"/>
          </w:tcPr>
          <w:p w14:paraId="1B81AB9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钦州市教研管理能力提升培训班</w:t>
            </w:r>
          </w:p>
        </w:tc>
        <w:tc>
          <w:tcPr>
            <w:tcW w:w="1150" w:type="dxa"/>
            <w:gridSpan w:val="2"/>
            <w:vAlign w:val="center"/>
          </w:tcPr>
          <w:p w14:paraId="20CBC96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市、县（区）教研机构教研员（含兼职教研员）</w:t>
            </w:r>
          </w:p>
        </w:tc>
        <w:tc>
          <w:tcPr>
            <w:tcW w:w="867" w:type="dxa"/>
            <w:vAlign w:val="center"/>
          </w:tcPr>
          <w:p w14:paraId="06995F1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w:t>
            </w:r>
          </w:p>
        </w:tc>
        <w:tc>
          <w:tcPr>
            <w:tcW w:w="2217" w:type="dxa"/>
            <w:vAlign w:val="center"/>
          </w:tcPr>
          <w:p w14:paraId="2B2D0AA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围绕更新观念，</w:t>
            </w:r>
            <w:r>
              <w:rPr>
                <w:rFonts w:hint="eastAsia" w:asciiTheme="minorEastAsia" w:hAnsiTheme="minorEastAsia" w:eastAsiaTheme="minorEastAsia" w:cstheme="minorEastAsia"/>
                <w:kern w:val="0"/>
                <w:sz w:val="21"/>
                <w:szCs w:val="21"/>
                <w:lang w:eastAsia="zh-CN"/>
              </w:rPr>
              <w:t>聚</w:t>
            </w:r>
            <w:r>
              <w:rPr>
                <w:rFonts w:hint="eastAsia" w:asciiTheme="minorEastAsia" w:hAnsiTheme="minorEastAsia" w:eastAsiaTheme="minorEastAsia" w:cstheme="minorEastAsia"/>
                <w:kern w:val="0"/>
                <w:sz w:val="21"/>
                <w:szCs w:val="21"/>
              </w:rPr>
              <w:t>焦前沿教育的相关理论、特点、基本标准、评价和经典案例</w:t>
            </w:r>
            <w:r>
              <w:rPr>
                <w:rFonts w:hint="eastAsia" w:asciiTheme="minorEastAsia" w:hAnsiTheme="minorEastAsia" w:eastAsiaTheme="minorEastAsia" w:cstheme="minorEastAsia"/>
                <w:kern w:val="0"/>
                <w:sz w:val="21"/>
                <w:szCs w:val="21"/>
                <w:lang w:eastAsia="zh-CN"/>
              </w:rPr>
              <w:t>；师德师风建设；如何开展教研视导工作。</w:t>
            </w:r>
            <w:r>
              <w:rPr>
                <w:rFonts w:hint="eastAsia" w:asciiTheme="minorEastAsia" w:hAnsiTheme="minorEastAsia" w:eastAsiaTheme="minorEastAsia" w:cstheme="minorEastAsia"/>
                <w:kern w:val="0"/>
                <w:sz w:val="21"/>
                <w:szCs w:val="21"/>
              </w:rPr>
              <w:t xml:space="preserve"> 通过培训，</w:t>
            </w:r>
            <w:r>
              <w:rPr>
                <w:rFonts w:hint="eastAsia" w:asciiTheme="minorEastAsia" w:hAnsiTheme="minorEastAsia" w:eastAsiaTheme="minorEastAsia" w:cstheme="minorEastAsia"/>
                <w:kern w:val="0"/>
                <w:sz w:val="21"/>
                <w:szCs w:val="21"/>
                <w:lang w:eastAsia="zh-CN"/>
              </w:rPr>
              <w:t>提升教研员的教研能力，</w:t>
            </w:r>
            <w:r>
              <w:rPr>
                <w:rFonts w:hint="eastAsia" w:asciiTheme="minorEastAsia" w:hAnsiTheme="minorEastAsia" w:eastAsiaTheme="minorEastAsia" w:cstheme="minorEastAsia"/>
                <w:kern w:val="0"/>
                <w:sz w:val="21"/>
                <w:szCs w:val="21"/>
              </w:rPr>
              <w:t>推动</w:t>
            </w:r>
            <w:r>
              <w:rPr>
                <w:rFonts w:hint="eastAsia" w:asciiTheme="minorEastAsia" w:hAnsiTheme="minorEastAsia" w:eastAsiaTheme="minorEastAsia" w:cstheme="minorEastAsia"/>
                <w:kern w:val="0"/>
                <w:sz w:val="21"/>
                <w:szCs w:val="21"/>
                <w:lang w:eastAsia="zh-CN"/>
              </w:rPr>
              <w:t>教育发展</w:t>
            </w:r>
            <w:r>
              <w:rPr>
                <w:rFonts w:hint="eastAsia" w:asciiTheme="minorEastAsia" w:hAnsiTheme="minorEastAsia" w:eastAsiaTheme="minorEastAsia" w:cstheme="minorEastAsia"/>
                <w:kern w:val="0"/>
                <w:sz w:val="21"/>
                <w:szCs w:val="21"/>
              </w:rPr>
              <w:t xml:space="preserve"> 。</w:t>
            </w:r>
          </w:p>
        </w:tc>
        <w:tc>
          <w:tcPr>
            <w:tcW w:w="1185" w:type="dxa"/>
            <w:vAlign w:val="center"/>
          </w:tcPr>
          <w:p w14:paraId="4FFBEC7C">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p>
        </w:tc>
        <w:tc>
          <w:tcPr>
            <w:tcW w:w="1185" w:type="dxa"/>
            <w:vAlign w:val="center"/>
          </w:tcPr>
          <w:p w14:paraId="6770A477">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1185" w:type="dxa"/>
            <w:vAlign w:val="center"/>
          </w:tcPr>
          <w:p w14:paraId="4498ACF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区内（桂林市）</w:t>
            </w:r>
          </w:p>
        </w:tc>
        <w:tc>
          <w:tcPr>
            <w:tcW w:w="1185" w:type="dxa"/>
            <w:vAlign w:val="center"/>
          </w:tcPr>
          <w:p w14:paraId="7C1F6D4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元/天.人</w:t>
            </w:r>
          </w:p>
        </w:tc>
        <w:tc>
          <w:tcPr>
            <w:tcW w:w="976" w:type="dxa"/>
            <w:vAlign w:val="center"/>
          </w:tcPr>
          <w:p w14:paraId="0178D657">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8</w:t>
            </w:r>
          </w:p>
        </w:tc>
        <w:tc>
          <w:tcPr>
            <w:tcW w:w="984" w:type="dxa"/>
            <w:vMerge w:val="restart"/>
            <w:vAlign w:val="center"/>
          </w:tcPr>
          <w:p w14:paraId="1539379A">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595" w:type="dxa"/>
            <w:vMerge w:val="restart"/>
            <w:vAlign w:val="center"/>
          </w:tcPr>
          <w:p w14:paraId="466DB6B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师资要求：副高级及以上专业技术职称人员</w:t>
            </w:r>
            <w:r>
              <w:rPr>
                <w:rFonts w:hint="eastAsia" w:asciiTheme="minorEastAsia" w:hAnsiTheme="minorEastAsia" w:eastAsiaTheme="minorEastAsia" w:cstheme="minorEastAsia"/>
                <w:color w:val="000000"/>
                <w:sz w:val="21"/>
                <w:szCs w:val="21"/>
                <w:lang w:eastAsia="zh-CN"/>
              </w:rPr>
              <w:t>（教研员、教研机构管理人员）</w:t>
            </w:r>
            <w:r>
              <w:rPr>
                <w:rFonts w:hint="eastAsia" w:asciiTheme="minorEastAsia" w:hAnsiTheme="minorEastAsia" w:eastAsiaTheme="minorEastAsia" w:cstheme="minorEastAsia"/>
                <w:color w:val="000000"/>
                <w:sz w:val="21"/>
                <w:szCs w:val="21"/>
              </w:rPr>
              <w:t>、处级领导干部、专家学者</w:t>
            </w:r>
            <w:r>
              <w:rPr>
                <w:rFonts w:hint="eastAsia" w:asciiTheme="minorEastAsia" w:hAnsiTheme="minorEastAsia" w:eastAsiaTheme="minorEastAsia" w:cstheme="minorEastAsia"/>
                <w:color w:val="000000"/>
                <w:sz w:val="21"/>
                <w:szCs w:val="21"/>
                <w:lang w:eastAsia="zh-CN"/>
              </w:rPr>
              <w:t>。</w:t>
            </w:r>
          </w:p>
        </w:tc>
      </w:tr>
      <w:tr w14:paraId="2361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1" w:hRule="atLeast"/>
        </w:trPr>
        <w:tc>
          <w:tcPr>
            <w:tcW w:w="591" w:type="dxa"/>
            <w:vMerge w:val="continue"/>
          </w:tcPr>
          <w:p w14:paraId="2F345A10">
            <w:pPr>
              <w:pStyle w:val="43"/>
              <w:pageBreakBefore w:val="0"/>
              <w:kinsoku/>
              <w:wordWrap/>
              <w:overflowPunct/>
              <w:topLinePunct w:val="0"/>
              <w:autoSpaceDE/>
              <w:autoSpaceDN/>
              <w:bidi w:val="0"/>
              <w:adjustRightInd/>
              <w:spacing w:line="380" w:lineRule="exact"/>
              <w:rPr>
                <w:rFonts w:hint="eastAsia" w:asciiTheme="minorEastAsia" w:hAnsiTheme="minorEastAsia" w:eastAsiaTheme="minorEastAsia" w:cstheme="minorEastAsia"/>
                <w:sz w:val="21"/>
                <w:szCs w:val="21"/>
                <w:vertAlign w:val="baseline"/>
                <w:lang w:eastAsia="zh-CN"/>
              </w:rPr>
            </w:pPr>
          </w:p>
        </w:tc>
        <w:tc>
          <w:tcPr>
            <w:tcW w:w="1100" w:type="dxa"/>
            <w:vAlign w:val="center"/>
          </w:tcPr>
          <w:p w14:paraId="5589671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钦州市教研管理能力提升培训班</w:t>
            </w:r>
          </w:p>
        </w:tc>
        <w:tc>
          <w:tcPr>
            <w:tcW w:w="1150" w:type="dxa"/>
            <w:gridSpan w:val="2"/>
            <w:vAlign w:val="center"/>
          </w:tcPr>
          <w:p w14:paraId="010C490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市直学校教学科研管理干部</w:t>
            </w:r>
          </w:p>
        </w:tc>
        <w:tc>
          <w:tcPr>
            <w:tcW w:w="867" w:type="dxa"/>
            <w:vAlign w:val="center"/>
          </w:tcPr>
          <w:p w14:paraId="6D32621C">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w:t>
            </w:r>
          </w:p>
        </w:tc>
        <w:tc>
          <w:tcPr>
            <w:tcW w:w="2217" w:type="dxa"/>
            <w:vAlign w:val="center"/>
          </w:tcPr>
          <w:p w14:paraId="08314E5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both"/>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围绕更新观念，聚焦前沿教育的相关理论、特点、基本标准、评价和经典案例；师德师风建设；如何开展教研视导工作。 通过培训，提升教研员的教研能力，推动教育发展 。</w:t>
            </w:r>
          </w:p>
        </w:tc>
        <w:tc>
          <w:tcPr>
            <w:tcW w:w="1185" w:type="dxa"/>
            <w:vAlign w:val="center"/>
          </w:tcPr>
          <w:p w14:paraId="54C16F6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p>
        </w:tc>
        <w:tc>
          <w:tcPr>
            <w:tcW w:w="1185" w:type="dxa"/>
            <w:vAlign w:val="center"/>
          </w:tcPr>
          <w:p w14:paraId="1EF07FB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1185" w:type="dxa"/>
            <w:vAlign w:val="center"/>
          </w:tcPr>
          <w:p w14:paraId="4AB724D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区外（青岛市）</w:t>
            </w:r>
          </w:p>
        </w:tc>
        <w:tc>
          <w:tcPr>
            <w:tcW w:w="1185" w:type="dxa"/>
            <w:vAlign w:val="center"/>
          </w:tcPr>
          <w:p w14:paraId="2DED85D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550</w:t>
            </w:r>
            <w:r>
              <w:rPr>
                <w:rFonts w:hint="eastAsia" w:asciiTheme="minorEastAsia" w:hAnsiTheme="minorEastAsia" w:eastAsiaTheme="minorEastAsia" w:cstheme="minorEastAsia"/>
                <w:color w:val="000000"/>
                <w:sz w:val="21"/>
                <w:szCs w:val="21"/>
              </w:rPr>
              <w:t>元/天.人</w:t>
            </w:r>
          </w:p>
        </w:tc>
        <w:tc>
          <w:tcPr>
            <w:tcW w:w="976" w:type="dxa"/>
            <w:vAlign w:val="center"/>
          </w:tcPr>
          <w:p w14:paraId="00D6FC2C">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11</w:t>
            </w:r>
          </w:p>
        </w:tc>
        <w:tc>
          <w:tcPr>
            <w:tcW w:w="984" w:type="dxa"/>
            <w:vMerge w:val="continue"/>
          </w:tcPr>
          <w:p w14:paraId="23E47839">
            <w:pPr>
              <w:pStyle w:val="43"/>
              <w:pageBreakBefore w:val="0"/>
              <w:kinsoku/>
              <w:wordWrap/>
              <w:overflowPunct/>
              <w:topLinePunct w:val="0"/>
              <w:autoSpaceDE/>
              <w:autoSpaceDN/>
              <w:bidi w:val="0"/>
              <w:adjustRightInd/>
              <w:spacing w:line="380" w:lineRule="exact"/>
              <w:rPr>
                <w:rFonts w:hint="eastAsia" w:asciiTheme="minorEastAsia" w:hAnsiTheme="minorEastAsia" w:eastAsiaTheme="minorEastAsia" w:cstheme="minorEastAsia"/>
                <w:sz w:val="21"/>
                <w:szCs w:val="21"/>
                <w:vertAlign w:val="baseline"/>
                <w:lang w:eastAsia="zh-CN"/>
              </w:rPr>
            </w:pPr>
          </w:p>
        </w:tc>
        <w:tc>
          <w:tcPr>
            <w:tcW w:w="1595" w:type="dxa"/>
            <w:vMerge w:val="continue"/>
          </w:tcPr>
          <w:p w14:paraId="084E90B0">
            <w:pPr>
              <w:pStyle w:val="43"/>
              <w:pageBreakBefore w:val="0"/>
              <w:kinsoku/>
              <w:wordWrap/>
              <w:overflowPunct/>
              <w:topLinePunct w:val="0"/>
              <w:autoSpaceDE/>
              <w:autoSpaceDN/>
              <w:bidi w:val="0"/>
              <w:adjustRightInd/>
              <w:spacing w:line="380" w:lineRule="exact"/>
              <w:rPr>
                <w:rFonts w:hint="eastAsia" w:asciiTheme="minorEastAsia" w:hAnsiTheme="minorEastAsia" w:eastAsiaTheme="minorEastAsia" w:cstheme="minorEastAsia"/>
                <w:sz w:val="21"/>
                <w:szCs w:val="21"/>
                <w:vertAlign w:val="baseline"/>
                <w:lang w:eastAsia="zh-CN"/>
              </w:rPr>
            </w:pPr>
          </w:p>
        </w:tc>
      </w:tr>
      <w:tr w14:paraId="0BA0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3"/>
            <w:vAlign w:val="center"/>
          </w:tcPr>
          <w:p w14:paraId="10FF5AB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60E4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5" w:type="dxa"/>
            <w:gridSpan w:val="3"/>
            <w:vAlign w:val="center"/>
          </w:tcPr>
          <w:p w14:paraId="6177DE0D">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425" w:type="dxa"/>
            <w:gridSpan w:val="10"/>
            <w:vAlign w:val="center"/>
          </w:tcPr>
          <w:p w14:paraId="2219C865">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699F766A">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6F86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5" w:type="dxa"/>
            <w:gridSpan w:val="3"/>
            <w:vAlign w:val="center"/>
          </w:tcPr>
          <w:p w14:paraId="147C4624">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425" w:type="dxa"/>
            <w:gridSpan w:val="10"/>
            <w:vAlign w:val="center"/>
          </w:tcPr>
          <w:p w14:paraId="31A37E2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5E11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2795" w:type="dxa"/>
            <w:gridSpan w:val="3"/>
            <w:vAlign w:val="center"/>
          </w:tcPr>
          <w:p w14:paraId="74B0EFDD">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425" w:type="dxa"/>
            <w:gridSpan w:val="10"/>
            <w:vAlign w:val="center"/>
          </w:tcPr>
          <w:p w14:paraId="787A617D">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14E5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2795" w:type="dxa"/>
            <w:gridSpan w:val="3"/>
            <w:vAlign w:val="center"/>
          </w:tcPr>
          <w:p w14:paraId="548AB3F5">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425" w:type="dxa"/>
            <w:gridSpan w:val="10"/>
            <w:vAlign w:val="center"/>
          </w:tcPr>
          <w:p w14:paraId="44290D60">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211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795" w:type="dxa"/>
            <w:gridSpan w:val="3"/>
            <w:vAlign w:val="center"/>
          </w:tcPr>
          <w:p w14:paraId="4664DC44">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425" w:type="dxa"/>
            <w:gridSpan w:val="10"/>
            <w:vAlign w:val="center"/>
          </w:tcPr>
          <w:p w14:paraId="69F5250F">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0865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2795" w:type="dxa"/>
            <w:gridSpan w:val="3"/>
            <w:vAlign w:val="center"/>
          </w:tcPr>
          <w:p w14:paraId="25DD3B8F">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425" w:type="dxa"/>
            <w:gridSpan w:val="10"/>
            <w:vAlign w:val="center"/>
          </w:tcPr>
          <w:p w14:paraId="02DC9127">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57F23537">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66B8B02D">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106BAA1A">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100"/>
        <w:gridCol w:w="1150"/>
        <w:gridCol w:w="783"/>
        <w:gridCol w:w="2733"/>
        <w:gridCol w:w="950"/>
        <w:gridCol w:w="734"/>
        <w:gridCol w:w="883"/>
        <w:gridCol w:w="783"/>
        <w:gridCol w:w="1017"/>
        <w:gridCol w:w="1017"/>
        <w:gridCol w:w="2479"/>
      </w:tblGrid>
      <w:tr w14:paraId="07FF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2"/>
            <w:vAlign w:val="center"/>
          </w:tcPr>
          <w:p w14:paraId="1274FF8F">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2服务需求一览表</w:t>
            </w:r>
          </w:p>
        </w:tc>
      </w:tr>
      <w:tr w14:paraId="068F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6F00BCA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1100" w:type="dxa"/>
            <w:vAlign w:val="center"/>
          </w:tcPr>
          <w:p w14:paraId="205EA54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1150" w:type="dxa"/>
            <w:vAlign w:val="center"/>
          </w:tcPr>
          <w:p w14:paraId="6572509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783" w:type="dxa"/>
            <w:vAlign w:val="center"/>
          </w:tcPr>
          <w:p w14:paraId="6E661C9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733" w:type="dxa"/>
            <w:vAlign w:val="center"/>
          </w:tcPr>
          <w:p w14:paraId="170FFF0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950" w:type="dxa"/>
            <w:vAlign w:val="center"/>
          </w:tcPr>
          <w:p w14:paraId="4C168BA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734" w:type="dxa"/>
            <w:vAlign w:val="center"/>
          </w:tcPr>
          <w:p w14:paraId="2EFC055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883" w:type="dxa"/>
            <w:vAlign w:val="center"/>
          </w:tcPr>
          <w:p w14:paraId="1963DB0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783" w:type="dxa"/>
            <w:vAlign w:val="center"/>
          </w:tcPr>
          <w:p w14:paraId="23A531B9">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1017" w:type="dxa"/>
            <w:vAlign w:val="center"/>
          </w:tcPr>
          <w:p w14:paraId="56ACCFD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5CCF250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1017" w:type="dxa"/>
            <w:vAlign w:val="center"/>
          </w:tcPr>
          <w:p w14:paraId="6C854FB8">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标段最高限价</w:t>
            </w:r>
          </w:p>
          <w:p w14:paraId="030570B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2479" w:type="dxa"/>
            <w:vAlign w:val="center"/>
          </w:tcPr>
          <w:p w14:paraId="5C26B4DF">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4B3D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5" w:hRule="atLeast"/>
        </w:trPr>
        <w:tc>
          <w:tcPr>
            <w:tcW w:w="591" w:type="dxa"/>
            <w:vMerge w:val="restart"/>
            <w:vAlign w:val="center"/>
          </w:tcPr>
          <w:p w14:paraId="4A56483A">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1100" w:type="dxa"/>
            <w:vAlign w:val="center"/>
          </w:tcPr>
          <w:p w14:paraId="0A2363F8">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钦州市初中学科教研员（兼职教研员）、学科中心组成员关键能力提升培训班</w:t>
            </w:r>
          </w:p>
        </w:tc>
        <w:tc>
          <w:tcPr>
            <w:tcW w:w="1150" w:type="dxa"/>
            <w:vAlign w:val="center"/>
          </w:tcPr>
          <w:p w14:paraId="47D2A760">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初中学科教研员(兼职教研员)、学科中心组成员</w:t>
            </w:r>
          </w:p>
        </w:tc>
        <w:tc>
          <w:tcPr>
            <w:tcW w:w="783" w:type="dxa"/>
            <w:vAlign w:val="center"/>
          </w:tcPr>
          <w:p w14:paraId="76D0630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733" w:type="dxa"/>
            <w:vAlign w:val="center"/>
          </w:tcPr>
          <w:p w14:paraId="18380F5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1.教研员师德师风建设；</w:t>
            </w:r>
          </w:p>
          <w:p w14:paraId="7607F11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2.基于教学评一体化的教学设计能力；</w:t>
            </w:r>
          </w:p>
          <w:p w14:paraId="4630C99D">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3.人工智能赋能教学教研能力提升；</w:t>
            </w:r>
          </w:p>
          <w:p w14:paraId="463608C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4.义务教育质量监测结果应用及教学改进；</w:t>
            </w:r>
          </w:p>
          <w:p w14:paraId="6C1ACA8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5.基于素养的中考学科命题能力。</w:t>
            </w:r>
          </w:p>
          <w:p w14:paraId="2BB73FA3">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Theme="minorEastAsia" w:hAnsiTheme="minorEastAsia" w:eastAsiaTheme="minorEastAsia" w:cstheme="minorEastAsia"/>
                <w:sz w:val="21"/>
                <w:szCs w:val="21"/>
                <w:vertAlign w:val="baseline"/>
                <w:lang w:eastAsia="zh-CN"/>
              </w:rPr>
            </w:pPr>
          </w:p>
        </w:tc>
        <w:tc>
          <w:tcPr>
            <w:tcW w:w="950" w:type="dxa"/>
            <w:vAlign w:val="center"/>
          </w:tcPr>
          <w:p w14:paraId="5FF97296">
            <w:pPr>
              <w:keepNext w:val="0"/>
              <w:keepLines w:val="0"/>
              <w:pageBreakBefore w:val="0"/>
              <w:widowControl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r>
              <w:rPr>
                <w:rFonts w:hint="eastAsia" w:asciiTheme="minorEastAsia" w:hAnsiTheme="minorEastAsia" w:eastAsiaTheme="minorEastAsia" w:cstheme="minorEastAsia"/>
                <w:color w:val="000000"/>
                <w:sz w:val="21"/>
                <w:szCs w:val="21"/>
                <w:lang w:val="en-US" w:eastAsia="zh-CN"/>
              </w:rPr>
              <w:t>+跟岗研修</w:t>
            </w:r>
          </w:p>
        </w:tc>
        <w:tc>
          <w:tcPr>
            <w:tcW w:w="734" w:type="dxa"/>
            <w:vAlign w:val="center"/>
          </w:tcPr>
          <w:p w14:paraId="211C787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883" w:type="dxa"/>
            <w:vAlign w:val="center"/>
          </w:tcPr>
          <w:p w14:paraId="5B984FE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区外（太原市）</w:t>
            </w:r>
          </w:p>
        </w:tc>
        <w:tc>
          <w:tcPr>
            <w:tcW w:w="783" w:type="dxa"/>
            <w:vAlign w:val="center"/>
          </w:tcPr>
          <w:p w14:paraId="062A9A9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550</w:t>
            </w:r>
            <w:r>
              <w:rPr>
                <w:rFonts w:hint="eastAsia" w:asciiTheme="minorEastAsia" w:hAnsiTheme="minorEastAsia" w:eastAsiaTheme="minorEastAsia" w:cstheme="minorEastAsia"/>
                <w:color w:val="000000"/>
                <w:sz w:val="21"/>
                <w:szCs w:val="21"/>
              </w:rPr>
              <w:t>元/天.人</w:t>
            </w:r>
          </w:p>
        </w:tc>
        <w:tc>
          <w:tcPr>
            <w:tcW w:w="1017" w:type="dxa"/>
            <w:vAlign w:val="center"/>
          </w:tcPr>
          <w:p w14:paraId="13D505C8">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13.75</w:t>
            </w:r>
          </w:p>
        </w:tc>
        <w:tc>
          <w:tcPr>
            <w:tcW w:w="1017" w:type="dxa"/>
            <w:vAlign w:val="center"/>
          </w:tcPr>
          <w:p w14:paraId="415D480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sz w:val="21"/>
                <w:szCs w:val="21"/>
                <w:lang w:val="en-US" w:eastAsia="zh-CN"/>
              </w:rPr>
              <w:t>21.75</w:t>
            </w:r>
          </w:p>
        </w:tc>
        <w:tc>
          <w:tcPr>
            <w:tcW w:w="2479" w:type="dxa"/>
            <w:vAlign w:val="center"/>
          </w:tcPr>
          <w:p w14:paraId="0F7861C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left"/>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一、培训项目均设置两大培训阶段，第一阶段开展对应学段全员综合通识培训，第二阶段进校跟岗研修，安排到对应学段优质学校开展入校实地跟岗学习。</w:t>
            </w:r>
          </w:p>
          <w:p w14:paraId="1510F0C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left"/>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二、到太原市一所优质初中观摩日常授课半天，并与学科备课组进行交流等。</w:t>
            </w:r>
          </w:p>
          <w:p w14:paraId="75620D5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三、师资要求：副高级技术职称及以上专业人员、处级领导干部、专家学者。</w:t>
            </w:r>
          </w:p>
        </w:tc>
      </w:tr>
      <w:tr w14:paraId="7950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5" w:hRule="atLeast"/>
        </w:trPr>
        <w:tc>
          <w:tcPr>
            <w:tcW w:w="591" w:type="dxa"/>
            <w:vMerge w:val="continue"/>
          </w:tcPr>
          <w:p w14:paraId="08146E9E">
            <w:pPr>
              <w:pStyle w:val="43"/>
              <w:pageBreakBefore w:val="0"/>
              <w:kinsoku/>
              <w:wordWrap/>
              <w:overflowPunct/>
              <w:topLinePunct w:val="0"/>
              <w:autoSpaceDE/>
              <w:autoSpaceDN/>
              <w:bidi w:val="0"/>
              <w:adjustRightInd/>
              <w:spacing w:line="380" w:lineRule="exact"/>
              <w:rPr>
                <w:rFonts w:hint="eastAsia" w:asciiTheme="minorEastAsia" w:hAnsiTheme="minorEastAsia" w:eastAsiaTheme="minorEastAsia" w:cstheme="minorEastAsia"/>
                <w:sz w:val="21"/>
                <w:szCs w:val="21"/>
                <w:vertAlign w:val="baseline"/>
                <w:lang w:eastAsia="zh-CN"/>
              </w:rPr>
            </w:pPr>
          </w:p>
        </w:tc>
        <w:tc>
          <w:tcPr>
            <w:tcW w:w="1100" w:type="dxa"/>
            <w:vAlign w:val="center"/>
          </w:tcPr>
          <w:p w14:paraId="6167D92A">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心理健康教育伦理与边界专题培训班</w:t>
            </w:r>
          </w:p>
        </w:tc>
        <w:tc>
          <w:tcPr>
            <w:tcW w:w="1150" w:type="dxa"/>
            <w:vAlign w:val="center"/>
          </w:tcPr>
          <w:p w14:paraId="6225F70A">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专兼职心理健康教研员、名师工作室成员、中心组成员</w:t>
            </w:r>
            <w:r>
              <w:rPr>
                <w:rFonts w:hint="eastAsia" w:asciiTheme="minorEastAsia" w:hAnsiTheme="minorEastAsia" w:eastAsiaTheme="minorEastAsia" w:cstheme="minorEastAsia"/>
                <w:kern w:val="0"/>
                <w:sz w:val="21"/>
                <w:szCs w:val="21"/>
                <w:lang w:val="en-US" w:eastAsia="zh-CN"/>
              </w:rPr>
              <w:t>。</w:t>
            </w:r>
          </w:p>
        </w:tc>
        <w:tc>
          <w:tcPr>
            <w:tcW w:w="783" w:type="dxa"/>
            <w:vAlign w:val="center"/>
          </w:tcPr>
          <w:p w14:paraId="580609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w:t>
            </w:r>
          </w:p>
        </w:tc>
        <w:tc>
          <w:tcPr>
            <w:tcW w:w="2733" w:type="dxa"/>
            <w:vAlign w:val="center"/>
          </w:tcPr>
          <w:p w14:paraId="38419CE4">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1.心理健康教育伦理守则与职业规范；2.咨询关系中的角色边界与身份定位；3.来访者信息保密原则与保密例外，心理辅导使用AI方面的伦理；4.多重关系的识别、预防与处理策略；5.价值中立原则在咨询中的应用与挑战；6.心理危机干预中的伦理决策与责任；7.家校沟通中的伦理考量与协同机制；8.心理评估工具的专业使用与伦理规范；9.朋辈支持中的情感边界与伦理困境；10.伦理违规案例分析与应对框架。</w:t>
            </w:r>
          </w:p>
        </w:tc>
        <w:tc>
          <w:tcPr>
            <w:tcW w:w="950" w:type="dxa"/>
            <w:vAlign w:val="center"/>
          </w:tcPr>
          <w:p w14:paraId="2029B234">
            <w:pPr>
              <w:keepNext w:val="0"/>
              <w:keepLines w:val="0"/>
              <w:pageBreakBefore w:val="0"/>
              <w:widowControl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p>
        </w:tc>
        <w:tc>
          <w:tcPr>
            <w:tcW w:w="734" w:type="dxa"/>
            <w:vAlign w:val="center"/>
          </w:tcPr>
          <w:p w14:paraId="0A5ED83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883" w:type="dxa"/>
            <w:vAlign w:val="center"/>
          </w:tcPr>
          <w:p w14:paraId="3E0DA59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区内</w:t>
            </w:r>
          </w:p>
        </w:tc>
        <w:tc>
          <w:tcPr>
            <w:tcW w:w="783" w:type="dxa"/>
            <w:vAlign w:val="center"/>
          </w:tcPr>
          <w:p w14:paraId="639D81C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元/天.人</w:t>
            </w:r>
          </w:p>
        </w:tc>
        <w:tc>
          <w:tcPr>
            <w:tcW w:w="1017" w:type="dxa"/>
            <w:vAlign w:val="center"/>
          </w:tcPr>
          <w:p w14:paraId="1329881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8</w:t>
            </w:r>
          </w:p>
        </w:tc>
        <w:tc>
          <w:tcPr>
            <w:tcW w:w="1017" w:type="dxa"/>
            <w:vAlign w:val="center"/>
          </w:tcPr>
          <w:p w14:paraId="560C708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2479" w:type="dxa"/>
            <w:vAlign w:val="center"/>
          </w:tcPr>
          <w:p w14:paraId="2A27C505">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师资要求：</w:t>
            </w:r>
            <w:r>
              <w:rPr>
                <w:rFonts w:hint="eastAsia" w:asciiTheme="minorEastAsia" w:hAnsiTheme="minorEastAsia" w:eastAsiaTheme="minorEastAsia" w:cstheme="minorEastAsia"/>
                <w:color w:val="000000"/>
                <w:sz w:val="21"/>
                <w:szCs w:val="21"/>
                <w:lang w:eastAsia="zh-CN"/>
              </w:rPr>
              <w:t>心理</w:t>
            </w:r>
            <w:r>
              <w:rPr>
                <w:rFonts w:hint="eastAsia" w:asciiTheme="minorEastAsia" w:hAnsiTheme="minorEastAsia" w:eastAsiaTheme="minorEastAsia" w:cstheme="minorEastAsia"/>
                <w:color w:val="000000"/>
                <w:sz w:val="21"/>
                <w:szCs w:val="21"/>
              </w:rPr>
              <w:t>教育方面副高级技术职称及以上专业人员、处级领导干部、专家学者</w:t>
            </w:r>
          </w:p>
        </w:tc>
      </w:tr>
      <w:tr w14:paraId="08DF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2"/>
            <w:vAlign w:val="center"/>
          </w:tcPr>
          <w:p w14:paraId="3568B60C">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1783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4" w:type="dxa"/>
            <w:gridSpan w:val="4"/>
            <w:vAlign w:val="center"/>
          </w:tcPr>
          <w:p w14:paraId="7E62DC00">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0596" w:type="dxa"/>
            <w:gridSpan w:val="8"/>
            <w:vAlign w:val="center"/>
          </w:tcPr>
          <w:p w14:paraId="3D56BC62">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33CDC3F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5AF6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624" w:type="dxa"/>
            <w:gridSpan w:val="4"/>
            <w:vAlign w:val="center"/>
          </w:tcPr>
          <w:p w14:paraId="4B346AF2">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0596" w:type="dxa"/>
            <w:gridSpan w:val="8"/>
            <w:vAlign w:val="center"/>
          </w:tcPr>
          <w:p w14:paraId="1043F65D">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05F8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3624" w:type="dxa"/>
            <w:gridSpan w:val="4"/>
            <w:vAlign w:val="center"/>
          </w:tcPr>
          <w:p w14:paraId="0CFE5200">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0596" w:type="dxa"/>
            <w:gridSpan w:val="8"/>
            <w:vAlign w:val="center"/>
          </w:tcPr>
          <w:p w14:paraId="6AC66CE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4D19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3624" w:type="dxa"/>
            <w:gridSpan w:val="4"/>
            <w:vAlign w:val="center"/>
          </w:tcPr>
          <w:p w14:paraId="13207CE4">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0596" w:type="dxa"/>
            <w:gridSpan w:val="8"/>
            <w:vAlign w:val="center"/>
          </w:tcPr>
          <w:p w14:paraId="4A2E0656">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4BB3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3624" w:type="dxa"/>
            <w:gridSpan w:val="4"/>
            <w:vAlign w:val="center"/>
          </w:tcPr>
          <w:p w14:paraId="6D715CC0">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0596" w:type="dxa"/>
            <w:gridSpan w:val="8"/>
            <w:vAlign w:val="center"/>
          </w:tcPr>
          <w:p w14:paraId="78BE0641">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6108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3624" w:type="dxa"/>
            <w:gridSpan w:val="4"/>
            <w:vAlign w:val="center"/>
          </w:tcPr>
          <w:p w14:paraId="0242460B">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0596" w:type="dxa"/>
            <w:gridSpan w:val="8"/>
            <w:vAlign w:val="center"/>
          </w:tcPr>
          <w:p w14:paraId="057D3FCC">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5F9CEE29">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28EDCC1C">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33C621F8">
      <w:pPr>
        <w:pStyle w:val="43"/>
        <w:pageBreakBefore w:val="0"/>
        <w:kinsoku/>
        <w:wordWrap/>
        <w:overflowPunct/>
        <w:topLinePunct w:val="0"/>
        <w:autoSpaceDE/>
        <w:autoSpaceDN/>
        <w:bidi w:val="0"/>
        <w:adjustRightInd/>
        <w:spacing w:line="380" w:lineRule="exact"/>
        <w:rPr>
          <w:rFonts w:hint="eastAsia"/>
          <w:lang w:eastAsia="zh-CN"/>
        </w:rPr>
      </w:pPr>
    </w:p>
    <w:p w14:paraId="2320F196">
      <w:pPr>
        <w:pStyle w:val="43"/>
        <w:pageBreakBefore w:val="0"/>
        <w:kinsoku/>
        <w:wordWrap/>
        <w:overflowPunct/>
        <w:topLinePunct w:val="0"/>
        <w:autoSpaceDE/>
        <w:autoSpaceDN/>
        <w:bidi w:val="0"/>
        <w:adjustRightInd/>
        <w:spacing w:line="380" w:lineRule="exact"/>
        <w:rPr>
          <w:rFonts w:hint="eastAsia"/>
          <w:lang w:eastAsia="zh-CN"/>
        </w:rPr>
      </w:pPr>
    </w:p>
    <w:p w14:paraId="229F3AF3">
      <w:pPr>
        <w:pStyle w:val="43"/>
        <w:pageBreakBefore w:val="0"/>
        <w:kinsoku/>
        <w:wordWrap/>
        <w:overflowPunct/>
        <w:topLinePunct w:val="0"/>
        <w:autoSpaceDE/>
        <w:autoSpaceDN/>
        <w:bidi w:val="0"/>
        <w:adjustRightInd/>
        <w:spacing w:line="380" w:lineRule="exact"/>
        <w:rPr>
          <w:rFonts w:hint="eastAsia"/>
          <w:lang w:eastAsia="zh-CN"/>
        </w:rPr>
      </w:pPr>
    </w:p>
    <w:p w14:paraId="3353ABCF">
      <w:pPr>
        <w:pStyle w:val="43"/>
        <w:pageBreakBefore w:val="0"/>
        <w:kinsoku/>
        <w:wordWrap/>
        <w:overflowPunct/>
        <w:topLinePunct w:val="0"/>
        <w:autoSpaceDE/>
        <w:autoSpaceDN/>
        <w:bidi w:val="0"/>
        <w:adjustRightInd/>
        <w:spacing w:line="380" w:lineRule="exact"/>
        <w:rPr>
          <w:rFonts w:hint="eastAsia"/>
          <w:lang w:eastAsia="zh-CN"/>
        </w:rPr>
      </w:pPr>
    </w:p>
    <w:p w14:paraId="0817AF02">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100"/>
        <w:gridCol w:w="1048"/>
        <w:gridCol w:w="102"/>
        <w:gridCol w:w="867"/>
        <w:gridCol w:w="2518"/>
        <w:gridCol w:w="850"/>
        <w:gridCol w:w="816"/>
        <w:gridCol w:w="817"/>
        <w:gridCol w:w="933"/>
        <w:gridCol w:w="984"/>
        <w:gridCol w:w="1000"/>
        <w:gridCol w:w="2594"/>
      </w:tblGrid>
      <w:tr w14:paraId="5359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3"/>
            <w:vAlign w:val="center"/>
          </w:tcPr>
          <w:p w14:paraId="6D7831E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3 服务需求一览表</w:t>
            </w:r>
          </w:p>
        </w:tc>
      </w:tr>
      <w:tr w14:paraId="7882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160BCA5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1100" w:type="dxa"/>
            <w:vAlign w:val="center"/>
          </w:tcPr>
          <w:p w14:paraId="12A3829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1150" w:type="dxa"/>
            <w:gridSpan w:val="2"/>
            <w:vAlign w:val="center"/>
          </w:tcPr>
          <w:p w14:paraId="6621BE0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867" w:type="dxa"/>
            <w:vAlign w:val="center"/>
          </w:tcPr>
          <w:p w14:paraId="646EB7F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518" w:type="dxa"/>
            <w:vAlign w:val="center"/>
          </w:tcPr>
          <w:p w14:paraId="169005D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850" w:type="dxa"/>
            <w:vAlign w:val="center"/>
          </w:tcPr>
          <w:p w14:paraId="74BC3508">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816" w:type="dxa"/>
            <w:vAlign w:val="center"/>
          </w:tcPr>
          <w:p w14:paraId="18EF220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817" w:type="dxa"/>
            <w:vAlign w:val="center"/>
          </w:tcPr>
          <w:p w14:paraId="601791EF">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933" w:type="dxa"/>
            <w:vAlign w:val="center"/>
          </w:tcPr>
          <w:p w14:paraId="0A6B38D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984" w:type="dxa"/>
            <w:vAlign w:val="center"/>
          </w:tcPr>
          <w:p w14:paraId="550C4447">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58D3329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1000" w:type="dxa"/>
            <w:vAlign w:val="center"/>
          </w:tcPr>
          <w:p w14:paraId="63864B1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标段最高限价</w:t>
            </w:r>
          </w:p>
          <w:p w14:paraId="7FF8FFD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2594" w:type="dxa"/>
            <w:vAlign w:val="center"/>
          </w:tcPr>
          <w:p w14:paraId="0F01172F">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3B67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0" w:hRule="atLeast"/>
        </w:trPr>
        <w:tc>
          <w:tcPr>
            <w:tcW w:w="591" w:type="dxa"/>
            <w:vMerge w:val="restart"/>
            <w:vAlign w:val="center"/>
          </w:tcPr>
          <w:p w14:paraId="53032F8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3</w:t>
            </w:r>
          </w:p>
        </w:tc>
        <w:tc>
          <w:tcPr>
            <w:tcW w:w="1100" w:type="dxa"/>
            <w:vAlign w:val="center"/>
          </w:tcPr>
          <w:p w14:paraId="03E6DFA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钦州市小学学科教研员（兼职教研员）、学科中心组成员关键能力提升</w:t>
            </w:r>
            <w:r>
              <w:rPr>
                <w:rFonts w:hint="eastAsia" w:asciiTheme="minorEastAsia" w:hAnsiTheme="minorEastAsia" w:eastAsiaTheme="minorEastAsia" w:cstheme="minorEastAsia"/>
                <w:kern w:val="0"/>
                <w:sz w:val="21"/>
                <w:szCs w:val="21"/>
                <w:lang w:eastAsia="zh-CN"/>
              </w:rPr>
              <w:t>项目</w:t>
            </w:r>
          </w:p>
        </w:tc>
        <w:tc>
          <w:tcPr>
            <w:tcW w:w="1150" w:type="dxa"/>
            <w:gridSpan w:val="2"/>
            <w:vAlign w:val="center"/>
          </w:tcPr>
          <w:p w14:paraId="76944DF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小学学科教研员（兼职教研员）、学科中心组成员</w:t>
            </w:r>
            <w:r>
              <w:rPr>
                <w:rFonts w:hint="eastAsia" w:asciiTheme="minorEastAsia" w:hAnsiTheme="minorEastAsia" w:eastAsiaTheme="minorEastAsia" w:cstheme="minorEastAsia"/>
                <w:kern w:val="0"/>
                <w:sz w:val="21"/>
                <w:szCs w:val="21"/>
                <w:lang w:eastAsia="zh-CN"/>
              </w:rPr>
              <w:t>。</w:t>
            </w:r>
          </w:p>
        </w:tc>
        <w:tc>
          <w:tcPr>
            <w:tcW w:w="867" w:type="dxa"/>
            <w:vAlign w:val="center"/>
          </w:tcPr>
          <w:p w14:paraId="50500C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518" w:type="dxa"/>
            <w:vAlign w:val="center"/>
          </w:tcPr>
          <w:p w14:paraId="207E6C37">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bidi="ar-SA"/>
              </w:rPr>
              <w:t>一、</w:t>
            </w:r>
            <w:r>
              <w:rPr>
                <w:rFonts w:hint="eastAsia" w:asciiTheme="minorEastAsia" w:hAnsiTheme="minorEastAsia" w:eastAsiaTheme="minorEastAsia" w:cstheme="minorEastAsia"/>
                <w:kern w:val="0"/>
                <w:sz w:val="21"/>
                <w:szCs w:val="21"/>
                <w:lang w:eastAsia="zh-CN"/>
              </w:rPr>
              <w:t>开展小学学科教研员教育教学能力培训活动</w:t>
            </w:r>
          </w:p>
          <w:p w14:paraId="7402D401">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1.师德师风建设主题</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2.教学评一体化设计能力主题</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3.信息技术或AI赋能教学教研能力主题。</w:t>
            </w:r>
          </w:p>
          <w:p w14:paraId="1D933CD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both"/>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 xml:space="preserve">    二、开展小学学科教研员能力提升对策研究</w:t>
            </w:r>
          </w:p>
          <w:p w14:paraId="0843045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命题能力主题</w:t>
            </w:r>
            <w:r>
              <w:rPr>
                <w:rFonts w:hint="eastAsia" w:asciiTheme="minorEastAsia" w:hAnsiTheme="minorEastAsia" w:eastAsiaTheme="minorEastAsia" w:cstheme="minorEastAsia"/>
                <w:kern w:val="0"/>
                <w:sz w:val="21"/>
                <w:szCs w:val="21"/>
                <w:lang w:eastAsia="zh-CN"/>
              </w:rPr>
              <w:t>方面；</w:t>
            </w:r>
          </w:p>
          <w:p w14:paraId="3AFF063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.教育质量监测结果运用及教学改进能力主题</w:t>
            </w:r>
            <w:r>
              <w:rPr>
                <w:rFonts w:hint="eastAsia" w:asciiTheme="minorEastAsia" w:hAnsiTheme="minorEastAsia" w:eastAsiaTheme="minorEastAsia" w:cstheme="minorEastAsia"/>
                <w:kern w:val="0"/>
                <w:sz w:val="21"/>
                <w:szCs w:val="21"/>
                <w:lang w:eastAsia="zh-CN"/>
              </w:rPr>
              <w:t>。</w:t>
            </w:r>
          </w:p>
          <w:p w14:paraId="39183BF3">
            <w:pPr>
              <w:pStyle w:val="5"/>
              <w:keepNext/>
              <w:keepLines/>
              <w:pageBreakBefore w:val="0"/>
              <w:widowControl w:val="0"/>
              <w:kinsoku/>
              <w:wordWrap/>
              <w:overflowPunct/>
              <w:topLinePunct w:val="0"/>
              <w:autoSpaceDE/>
              <w:autoSpaceDN/>
              <w:bidi w:val="0"/>
              <w:adjustRightInd/>
              <w:snapToGrid w:val="0"/>
              <w:spacing w:before="0" w:after="0" w:line="280" w:lineRule="exact"/>
              <w:textAlignment w:val="auto"/>
              <w:rPr>
                <w:rFonts w:hint="default"/>
                <w:b w:val="0"/>
                <w:bCs w:val="0"/>
                <w:sz w:val="21"/>
                <w:szCs w:val="21"/>
                <w:lang w:val="en-US" w:eastAsia="zh-CN"/>
              </w:rPr>
            </w:pPr>
            <w:r>
              <w:rPr>
                <w:rFonts w:hint="eastAsia"/>
                <w:b w:val="0"/>
                <w:bCs w:val="0"/>
                <w:sz w:val="21"/>
                <w:szCs w:val="21"/>
                <w:lang w:val="en-US" w:eastAsia="zh-CN"/>
              </w:rPr>
              <w:t xml:space="preserve">    三、开展小学学科教研员教师能力提升专题研讨及教研观摩活动。</w:t>
            </w:r>
          </w:p>
        </w:tc>
        <w:tc>
          <w:tcPr>
            <w:tcW w:w="850" w:type="dxa"/>
            <w:vAlign w:val="center"/>
          </w:tcPr>
          <w:p w14:paraId="3362AEFD">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r>
              <w:rPr>
                <w:rFonts w:hint="eastAsia" w:asciiTheme="minorEastAsia" w:hAnsiTheme="minorEastAsia" w:eastAsiaTheme="minorEastAsia" w:cstheme="minorEastAsia"/>
                <w:color w:val="000000"/>
                <w:sz w:val="21"/>
                <w:szCs w:val="21"/>
                <w:lang w:eastAsia="zh-CN"/>
              </w:rPr>
              <w:t>研讨</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eastAsia="zh-CN"/>
              </w:rPr>
              <w:t>教</w:t>
            </w:r>
            <w:r>
              <w:rPr>
                <w:rFonts w:hint="eastAsia" w:asciiTheme="minorEastAsia" w:hAnsiTheme="minorEastAsia" w:eastAsiaTheme="minorEastAsia" w:cstheme="minorEastAsia"/>
                <w:color w:val="000000"/>
                <w:sz w:val="21"/>
                <w:szCs w:val="21"/>
              </w:rPr>
              <w:t>研</w:t>
            </w:r>
            <w:r>
              <w:rPr>
                <w:rFonts w:hint="eastAsia" w:asciiTheme="minorEastAsia" w:hAnsiTheme="minorEastAsia" w:eastAsiaTheme="minorEastAsia" w:cstheme="minorEastAsia"/>
                <w:color w:val="000000"/>
                <w:sz w:val="21"/>
                <w:szCs w:val="21"/>
                <w:lang w:eastAsia="zh-CN"/>
              </w:rPr>
              <w:t>观摩</w:t>
            </w:r>
          </w:p>
        </w:tc>
        <w:tc>
          <w:tcPr>
            <w:tcW w:w="816" w:type="dxa"/>
            <w:vAlign w:val="center"/>
          </w:tcPr>
          <w:p w14:paraId="5BFCB29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817" w:type="dxa"/>
            <w:vAlign w:val="center"/>
          </w:tcPr>
          <w:p w14:paraId="448F3FF7">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区内（钦州市、东兴市）</w:t>
            </w:r>
          </w:p>
        </w:tc>
        <w:tc>
          <w:tcPr>
            <w:tcW w:w="933" w:type="dxa"/>
            <w:vAlign w:val="center"/>
          </w:tcPr>
          <w:p w14:paraId="5F42746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元/天.人</w:t>
            </w:r>
          </w:p>
        </w:tc>
        <w:tc>
          <w:tcPr>
            <w:tcW w:w="984" w:type="dxa"/>
            <w:vAlign w:val="center"/>
          </w:tcPr>
          <w:p w14:paraId="5EB9D0D1">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1000" w:type="dxa"/>
            <w:vMerge w:val="restart"/>
            <w:vAlign w:val="center"/>
          </w:tcPr>
          <w:p w14:paraId="3A5FA097">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sz w:val="21"/>
                <w:szCs w:val="21"/>
                <w:lang w:val="en-US" w:eastAsia="zh-CN"/>
              </w:rPr>
              <w:t>18</w:t>
            </w:r>
          </w:p>
        </w:tc>
        <w:tc>
          <w:tcPr>
            <w:tcW w:w="2594" w:type="dxa"/>
            <w:vAlign w:val="center"/>
          </w:tcPr>
          <w:p w14:paraId="4647B6E2">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right="0" w:rightChars="0" w:firstLine="420" w:firstLineChars="200"/>
              <w:jc w:val="both"/>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一、</w:t>
            </w:r>
            <w:r>
              <w:rPr>
                <w:rFonts w:hint="eastAsia" w:asciiTheme="minorEastAsia" w:hAnsiTheme="minorEastAsia" w:eastAsiaTheme="minorEastAsia" w:cstheme="minorEastAsia"/>
                <w:color w:val="000000"/>
                <w:sz w:val="21"/>
                <w:szCs w:val="21"/>
              </w:rPr>
              <w:t>项目设置培训</w:t>
            </w:r>
            <w:r>
              <w:rPr>
                <w:rFonts w:hint="eastAsia" w:asciiTheme="minorEastAsia" w:hAnsiTheme="minorEastAsia" w:eastAsiaTheme="minorEastAsia" w:cstheme="minorEastAsia"/>
                <w:color w:val="000000"/>
                <w:sz w:val="21"/>
                <w:szCs w:val="21"/>
                <w:lang w:eastAsia="zh-CN"/>
              </w:rPr>
              <w:t>和</w:t>
            </w:r>
            <w:r>
              <w:rPr>
                <w:rFonts w:hint="eastAsia" w:asciiTheme="minorEastAsia" w:hAnsiTheme="minorEastAsia" w:eastAsiaTheme="minorEastAsia" w:cstheme="minorEastAsia"/>
                <w:color w:val="000000"/>
                <w:sz w:val="21"/>
                <w:szCs w:val="21"/>
              </w:rPr>
              <w:t>进校专题研讨及教研观摩活动，安排到对应学段优质学校教研观摩活动。</w:t>
            </w:r>
          </w:p>
          <w:p w14:paraId="5B065411">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right="0" w:rightChars="0" w:firstLine="420" w:firstLineChars="200"/>
              <w:jc w:val="both"/>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二、到东兴市一所优质小学开展</w:t>
            </w:r>
            <w:r>
              <w:rPr>
                <w:rFonts w:hint="eastAsia" w:asciiTheme="minorEastAsia" w:hAnsiTheme="minorEastAsia" w:eastAsiaTheme="minorEastAsia" w:cstheme="minorEastAsia"/>
                <w:color w:val="000000"/>
                <w:sz w:val="21"/>
                <w:szCs w:val="21"/>
              </w:rPr>
              <w:t>教研观摩活动</w:t>
            </w:r>
            <w:r>
              <w:rPr>
                <w:rFonts w:hint="eastAsia" w:asciiTheme="minorEastAsia" w:hAnsiTheme="minorEastAsia" w:eastAsiaTheme="minorEastAsia" w:cstheme="minorEastAsia"/>
                <w:color w:val="000000"/>
                <w:sz w:val="21"/>
                <w:szCs w:val="21"/>
                <w:lang w:eastAsia="zh-CN"/>
              </w:rPr>
              <w:t>半天</w:t>
            </w:r>
            <w:r>
              <w:rPr>
                <w:rFonts w:hint="eastAsia" w:asciiTheme="minorEastAsia" w:hAnsiTheme="minorEastAsia" w:eastAsiaTheme="minorEastAsia" w:cstheme="minorEastAsia"/>
                <w:color w:val="000000"/>
                <w:kern w:val="2"/>
                <w:sz w:val="21"/>
                <w:szCs w:val="21"/>
                <w:lang w:val="en-US" w:eastAsia="zh-CN" w:bidi="ar-SA"/>
              </w:rPr>
              <w:t>。</w:t>
            </w:r>
          </w:p>
          <w:p w14:paraId="27A09EDB">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kern w:val="2"/>
                <w:sz w:val="21"/>
                <w:szCs w:val="21"/>
                <w:lang w:val="en-US" w:eastAsia="zh-CN" w:bidi="ar-SA"/>
              </w:rPr>
              <w:t>三、团队</w:t>
            </w:r>
            <w:r>
              <w:rPr>
                <w:rFonts w:hint="eastAsia" w:asciiTheme="minorEastAsia" w:hAnsiTheme="minorEastAsia" w:eastAsiaTheme="minorEastAsia" w:cstheme="minorEastAsia"/>
                <w:color w:val="000000"/>
                <w:sz w:val="21"/>
                <w:szCs w:val="21"/>
              </w:rPr>
              <w:t>师资要求：小学教育教研管理处级干部、对应主题的研究专家（副高及以上）。</w:t>
            </w:r>
          </w:p>
        </w:tc>
      </w:tr>
      <w:tr w14:paraId="6DCC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5" w:hRule="atLeast"/>
        </w:trPr>
        <w:tc>
          <w:tcPr>
            <w:tcW w:w="591" w:type="dxa"/>
            <w:vMerge w:val="continue"/>
            <w:shd w:val="clear" w:color="auto" w:fill="auto"/>
            <w:vAlign w:val="center"/>
          </w:tcPr>
          <w:p w14:paraId="2DDA3FC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default" w:asciiTheme="minorEastAsia" w:hAnsiTheme="minorEastAsia" w:eastAsiaTheme="minorEastAsia" w:cstheme="minorEastAsia"/>
                <w:kern w:val="2"/>
                <w:sz w:val="21"/>
                <w:szCs w:val="21"/>
                <w:vertAlign w:val="baseline"/>
                <w:lang w:val="en-US" w:eastAsia="zh-CN" w:bidi="ar-SA"/>
              </w:rPr>
            </w:pPr>
          </w:p>
        </w:tc>
        <w:tc>
          <w:tcPr>
            <w:tcW w:w="1100" w:type="dxa"/>
            <w:shd w:val="clear" w:color="auto" w:fill="auto"/>
            <w:vAlign w:val="center"/>
          </w:tcPr>
          <w:p w14:paraId="78ED4A3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0"/>
                <w:sz w:val="21"/>
                <w:szCs w:val="21"/>
              </w:rPr>
              <w:t>心理健康教育骨干教师能力提升</w:t>
            </w:r>
            <w:r>
              <w:rPr>
                <w:rFonts w:hint="eastAsia" w:asciiTheme="minorEastAsia" w:hAnsiTheme="minorEastAsia" w:eastAsiaTheme="minorEastAsia" w:cstheme="minorEastAsia"/>
                <w:kern w:val="0"/>
                <w:sz w:val="21"/>
                <w:szCs w:val="21"/>
                <w:lang w:eastAsia="zh-CN"/>
              </w:rPr>
              <w:t>项目</w:t>
            </w:r>
          </w:p>
        </w:tc>
        <w:tc>
          <w:tcPr>
            <w:tcW w:w="1150" w:type="dxa"/>
            <w:gridSpan w:val="2"/>
            <w:shd w:val="clear" w:color="auto" w:fill="auto"/>
            <w:vAlign w:val="center"/>
          </w:tcPr>
          <w:p w14:paraId="4A371185">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0"/>
                <w:sz w:val="21"/>
                <w:szCs w:val="21"/>
              </w:rPr>
              <w:t>心理健康教育骨干教师</w:t>
            </w:r>
            <w:r>
              <w:rPr>
                <w:rFonts w:hint="eastAsia" w:asciiTheme="minorEastAsia" w:hAnsiTheme="minorEastAsia" w:eastAsiaTheme="minorEastAsia" w:cstheme="minorEastAsia"/>
                <w:kern w:val="0"/>
                <w:sz w:val="21"/>
                <w:szCs w:val="21"/>
                <w:lang w:val="en-US" w:eastAsia="zh-CN"/>
              </w:rPr>
              <w:t>。</w:t>
            </w:r>
          </w:p>
        </w:tc>
        <w:tc>
          <w:tcPr>
            <w:tcW w:w="867" w:type="dxa"/>
            <w:shd w:val="clear" w:color="auto" w:fill="auto"/>
            <w:vAlign w:val="center"/>
          </w:tcPr>
          <w:p w14:paraId="02AF7965">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lang w:val="en-US" w:eastAsia="zh-CN"/>
              </w:rPr>
              <w:t>40</w:t>
            </w:r>
          </w:p>
        </w:tc>
        <w:tc>
          <w:tcPr>
            <w:tcW w:w="2518" w:type="dxa"/>
            <w:shd w:val="clear" w:color="auto" w:fill="auto"/>
            <w:vAlign w:val="center"/>
          </w:tcPr>
          <w:p w14:paraId="088FA92F">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bidi="ar-SA"/>
              </w:rPr>
              <w:t>一、</w:t>
            </w:r>
            <w:r>
              <w:rPr>
                <w:rFonts w:hint="eastAsia" w:asciiTheme="minorEastAsia" w:hAnsiTheme="minorEastAsia" w:eastAsiaTheme="minorEastAsia" w:cstheme="minorEastAsia"/>
                <w:kern w:val="0"/>
                <w:sz w:val="21"/>
                <w:szCs w:val="21"/>
              </w:rPr>
              <w:t>开展心理健康教师教育教学能力培训活动</w:t>
            </w:r>
          </w:p>
          <w:p w14:paraId="3E6980C4">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1.新时代心理健康教育政策与理念解读</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2.青少年心理发展规律与常见问题识别</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3.心理健康教育课程设计与授课技巧</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4.心理健康团体辅导的组织与实施</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6.人工智能技术赋能心理健康教育</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7. AI工具在心理健康教育科研中的应用</w:t>
            </w:r>
            <w:r>
              <w:rPr>
                <w:rFonts w:hint="eastAsia" w:asciiTheme="minorEastAsia" w:hAnsiTheme="minorEastAsia" w:eastAsiaTheme="minorEastAsia" w:cstheme="minorEastAsia"/>
                <w:kern w:val="0"/>
                <w:sz w:val="21"/>
                <w:szCs w:val="21"/>
                <w:lang w:eastAsia="zh-CN"/>
              </w:rPr>
              <w:t>。</w:t>
            </w:r>
          </w:p>
          <w:p w14:paraId="70FB822C">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eastAsia="zh-CN"/>
              </w:rPr>
              <w:t>二、开展心理健康教师能力提升对策研究</w:t>
            </w:r>
          </w:p>
          <w:p w14:paraId="07A5DBBE">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.基于核心素养的高效课堂与课题研究</w:t>
            </w:r>
            <w:r>
              <w:rPr>
                <w:rFonts w:hint="eastAsia" w:asciiTheme="minorEastAsia" w:hAnsiTheme="minorEastAsia" w:eastAsiaTheme="minorEastAsia" w:cstheme="minorEastAsia"/>
                <w:kern w:val="0"/>
                <w:sz w:val="21"/>
                <w:szCs w:val="21"/>
                <w:lang w:eastAsia="zh-CN"/>
              </w:rPr>
              <w:t>；</w:t>
            </w:r>
          </w:p>
          <w:p w14:paraId="750A339A">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.教师压力管理与自我心理调适。</w:t>
            </w:r>
          </w:p>
          <w:p w14:paraId="11CCA9CA">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eastAsia="zh-CN"/>
              </w:rPr>
              <w:t>三、开展心理健康教师能力提升专题研讨及教研观摩活动</w:t>
            </w:r>
          </w:p>
          <w:p w14:paraId="3DA645DB">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.心理健康教师个案督导与干预策略实操</w:t>
            </w:r>
            <w:r>
              <w:rPr>
                <w:rFonts w:hint="eastAsia" w:asciiTheme="minorEastAsia" w:hAnsiTheme="minorEastAsia" w:eastAsiaTheme="minorEastAsia" w:cstheme="minorEastAsia"/>
                <w:kern w:val="0"/>
                <w:sz w:val="21"/>
                <w:szCs w:val="21"/>
                <w:lang w:eastAsia="zh-CN"/>
              </w:rPr>
              <w:t>；</w:t>
            </w:r>
          </w:p>
          <w:p w14:paraId="0356A94B">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280" w:lineRule="exact"/>
              <w:ind w:left="0" w:leftChars="0" w:right="0" w:rightChars="0" w:firstLine="420" w:firstLineChars="200"/>
              <w:jc w:val="both"/>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.校园心理危机预防与干预全流程模拟</w:t>
            </w:r>
            <w:r>
              <w:rPr>
                <w:rFonts w:hint="eastAsia" w:asciiTheme="minorEastAsia" w:hAnsiTheme="minorEastAsia" w:eastAsiaTheme="minorEastAsia" w:cstheme="minorEastAsia"/>
                <w:kern w:val="0"/>
                <w:sz w:val="21"/>
                <w:szCs w:val="21"/>
                <w:lang w:eastAsia="zh-CN"/>
              </w:rPr>
              <w:t>。</w:t>
            </w:r>
          </w:p>
        </w:tc>
        <w:tc>
          <w:tcPr>
            <w:tcW w:w="850" w:type="dxa"/>
            <w:shd w:val="clear" w:color="auto" w:fill="auto"/>
            <w:vAlign w:val="center"/>
          </w:tcPr>
          <w:p w14:paraId="29D798F2">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rPr>
              <w:t>培训</w:t>
            </w:r>
            <w:r>
              <w:rPr>
                <w:rFonts w:hint="eastAsia" w:asciiTheme="minorEastAsia" w:hAnsiTheme="minorEastAsia" w:eastAsiaTheme="minorEastAsia" w:cstheme="minorEastAsia"/>
                <w:color w:val="000000"/>
                <w:sz w:val="21"/>
                <w:szCs w:val="21"/>
                <w:lang w:eastAsia="zh-CN"/>
              </w:rPr>
              <w:t>、研讨</w:t>
            </w:r>
          </w:p>
        </w:tc>
        <w:tc>
          <w:tcPr>
            <w:tcW w:w="816" w:type="dxa"/>
            <w:shd w:val="clear" w:color="auto" w:fill="auto"/>
            <w:vAlign w:val="center"/>
          </w:tcPr>
          <w:p w14:paraId="328218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lang w:val="en-US" w:eastAsia="zh-CN"/>
              </w:rPr>
              <w:t>5天</w:t>
            </w:r>
          </w:p>
        </w:tc>
        <w:tc>
          <w:tcPr>
            <w:tcW w:w="817" w:type="dxa"/>
            <w:shd w:val="clear" w:color="auto" w:fill="auto"/>
            <w:vAlign w:val="center"/>
          </w:tcPr>
          <w:p w14:paraId="37176F4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lang w:val="en-US" w:eastAsia="zh-CN"/>
              </w:rPr>
              <w:t>区内（钦州）</w:t>
            </w:r>
          </w:p>
        </w:tc>
        <w:tc>
          <w:tcPr>
            <w:tcW w:w="933" w:type="dxa"/>
            <w:shd w:val="clear" w:color="auto" w:fill="auto"/>
            <w:vAlign w:val="center"/>
          </w:tcPr>
          <w:p w14:paraId="250B48C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元/天.人</w:t>
            </w:r>
          </w:p>
        </w:tc>
        <w:tc>
          <w:tcPr>
            <w:tcW w:w="984" w:type="dxa"/>
            <w:shd w:val="clear" w:color="auto" w:fill="auto"/>
            <w:vAlign w:val="center"/>
          </w:tcPr>
          <w:p w14:paraId="082E791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lang w:val="en-US" w:eastAsia="zh-CN"/>
              </w:rPr>
              <w:t>8</w:t>
            </w:r>
          </w:p>
        </w:tc>
        <w:tc>
          <w:tcPr>
            <w:tcW w:w="1000" w:type="dxa"/>
            <w:vMerge w:val="continue"/>
            <w:shd w:val="clear" w:color="auto" w:fill="auto"/>
            <w:vAlign w:val="center"/>
          </w:tcPr>
          <w:p w14:paraId="1AC2190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p>
        </w:tc>
        <w:tc>
          <w:tcPr>
            <w:tcW w:w="2594" w:type="dxa"/>
            <w:shd w:val="clear" w:color="auto" w:fill="auto"/>
            <w:vAlign w:val="center"/>
          </w:tcPr>
          <w:p w14:paraId="1B55FD0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280" w:lineRule="exact"/>
              <w:ind w:left="0" w:leftChars="0" w:right="0" w:rightChars="0" w:firstLine="0" w:firstLineChars="0"/>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lang w:eastAsia="zh-CN"/>
              </w:rPr>
              <w:t>团队</w:t>
            </w:r>
            <w:r>
              <w:rPr>
                <w:rFonts w:hint="eastAsia" w:asciiTheme="minorEastAsia" w:hAnsiTheme="minorEastAsia" w:eastAsiaTheme="minorEastAsia" w:cstheme="minorEastAsia"/>
                <w:color w:val="000000"/>
                <w:sz w:val="21"/>
                <w:szCs w:val="21"/>
              </w:rPr>
              <w:t>师资要求：</w:t>
            </w:r>
            <w:r>
              <w:rPr>
                <w:rFonts w:hint="eastAsia" w:asciiTheme="minorEastAsia" w:hAnsiTheme="minorEastAsia" w:eastAsiaTheme="minorEastAsia" w:cstheme="minorEastAsia"/>
                <w:color w:val="000000"/>
                <w:sz w:val="21"/>
                <w:szCs w:val="21"/>
                <w:lang w:eastAsia="zh-CN"/>
              </w:rPr>
              <w:t>心理学</w:t>
            </w:r>
            <w:r>
              <w:rPr>
                <w:rFonts w:hint="eastAsia" w:asciiTheme="minorEastAsia" w:hAnsiTheme="minorEastAsia" w:eastAsiaTheme="minorEastAsia" w:cstheme="minorEastAsia"/>
                <w:color w:val="000000"/>
                <w:sz w:val="21"/>
                <w:szCs w:val="21"/>
              </w:rPr>
              <w:t>副高级技术职称及以上专业人员、处级领导干部、专家学者</w:t>
            </w:r>
          </w:p>
        </w:tc>
      </w:tr>
      <w:tr w14:paraId="3B4C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3"/>
            <w:vAlign w:val="center"/>
          </w:tcPr>
          <w:p w14:paraId="32B5860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1901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gridSpan w:val="3"/>
            <w:vAlign w:val="center"/>
          </w:tcPr>
          <w:p w14:paraId="3FA17142">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481" w:type="dxa"/>
            <w:gridSpan w:val="10"/>
            <w:vAlign w:val="center"/>
          </w:tcPr>
          <w:p w14:paraId="663B6639">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2B65602D">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1912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739" w:type="dxa"/>
            <w:gridSpan w:val="3"/>
            <w:vAlign w:val="center"/>
          </w:tcPr>
          <w:p w14:paraId="084E9D7F">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481" w:type="dxa"/>
            <w:gridSpan w:val="10"/>
            <w:vAlign w:val="center"/>
          </w:tcPr>
          <w:p w14:paraId="7C0C60DE">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635C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2739" w:type="dxa"/>
            <w:gridSpan w:val="3"/>
            <w:vAlign w:val="center"/>
          </w:tcPr>
          <w:p w14:paraId="7C979817">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481" w:type="dxa"/>
            <w:gridSpan w:val="10"/>
            <w:vAlign w:val="center"/>
          </w:tcPr>
          <w:p w14:paraId="3A45FEDB">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35FF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2739" w:type="dxa"/>
            <w:gridSpan w:val="3"/>
            <w:vAlign w:val="center"/>
          </w:tcPr>
          <w:p w14:paraId="599356ED">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481" w:type="dxa"/>
            <w:gridSpan w:val="10"/>
            <w:vAlign w:val="center"/>
          </w:tcPr>
          <w:p w14:paraId="4DC6FD0B">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48F4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739" w:type="dxa"/>
            <w:gridSpan w:val="3"/>
            <w:vAlign w:val="center"/>
          </w:tcPr>
          <w:p w14:paraId="05BA0339">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481" w:type="dxa"/>
            <w:gridSpan w:val="10"/>
            <w:vAlign w:val="center"/>
          </w:tcPr>
          <w:p w14:paraId="6B2FDD01">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3AB8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trPr>
        <w:tc>
          <w:tcPr>
            <w:tcW w:w="2739" w:type="dxa"/>
            <w:gridSpan w:val="3"/>
            <w:vAlign w:val="center"/>
          </w:tcPr>
          <w:p w14:paraId="4E9DAC4A">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481" w:type="dxa"/>
            <w:gridSpan w:val="10"/>
            <w:vAlign w:val="center"/>
          </w:tcPr>
          <w:p w14:paraId="5F9FF369">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273D5121">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45BCB1E">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4B38775B">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818"/>
        <w:gridCol w:w="350"/>
        <w:gridCol w:w="533"/>
        <w:gridCol w:w="834"/>
        <w:gridCol w:w="2250"/>
        <w:gridCol w:w="833"/>
        <w:gridCol w:w="639"/>
        <w:gridCol w:w="917"/>
        <w:gridCol w:w="1016"/>
        <w:gridCol w:w="895"/>
        <w:gridCol w:w="850"/>
        <w:gridCol w:w="3694"/>
      </w:tblGrid>
      <w:tr w14:paraId="3288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3"/>
            <w:vAlign w:val="center"/>
          </w:tcPr>
          <w:p w14:paraId="0D224FFA">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4服务需求一览表</w:t>
            </w:r>
          </w:p>
        </w:tc>
      </w:tr>
      <w:tr w14:paraId="27A6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6EB1EA7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818" w:type="dxa"/>
            <w:vAlign w:val="center"/>
          </w:tcPr>
          <w:p w14:paraId="63AB8D3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883" w:type="dxa"/>
            <w:gridSpan w:val="2"/>
            <w:vAlign w:val="center"/>
          </w:tcPr>
          <w:p w14:paraId="609E75C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834" w:type="dxa"/>
            <w:vAlign w:val="center"/>
          </w:tcPr>
          <w:p w14:paraId="315ABF6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250" w:type="dxa"/>
            <w:vAlign w:val="center"/>
          </w:tcPr>
          <w:p w14:paraId="37B4F66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833" w:type="dxa"/>
            <w:vAlign w:val="center"/>
          </w:tcPr>
          <w:p w14:paraId="1CF44E4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639" w:type="dxa"/>
            <w:vAlign w:val="center"/>
          </w:tcPr>
          <w:p w14:paraId="3CC45DA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917" w:type="dxa"/>
            <w:vAlign w:val="center"/>
          </w:tcPr>
          <w:p w14:paraId="16522E9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1016" w:type="dxa"/>
            <w:vAlign w:val="center"/>
          </w:tcPr>
          <w:p w14:paraId="1454676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895" w:type="dxa"/>
            <w:vAlign w:val="center"/>
          </w:tcPr>
          <w:p w14:paraId="1516F47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582F0DB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850" w:type="dxa"/>
            <w:vAlign w:val="center"/>
          </w:tcPr>
          <w:p w14:paraId="5EA3376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标段最高限价</w:t>
            </w: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694" w:type="dxa"/>
            <w:vAlign w:val="center"/>
          </w:tcPr>
          <w:p w14:paraId="17E67EF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74F3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5" w:hRule="atLeast"/>
        </w:trPr>
        <w:tc>
          <w:tcPr>
            <w:tcW w:w="591" w:type="dxa"/>
            <w:vMerge w:val="restart"/>
            <w:vAlign w:val="center"/>
          </w:tcPr>
          <w:p w14:paraId="1BD69B16">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818" w:type="dxa"/>
            <w:vAlign w:val="center"/>
          </w:tcPr>
          <w:p w14:paraId="31A4A22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宋体" w:hAnsi="宋体" w:cs="宋体"/>
                <w:kern w:val="0"/>
                <w:szCs w:val="21"/>
              </w:rPr>
              <w:t>新高考数学物理命题素养能力提升研修班</w:t>
            </w:r>
          </w:p>
        </w:tc>
        <w:tc>
          <w:tcPr>
            <w:tcW w:w="883" w:type="dxa"/>
            <w:gridSpan w:val="2"/>
            <w:vAlign w:val="center"/>
          </w:tcPr>
          <w:p w14:paraId="404EBE2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普通高中数学、物理骨干教师</w:t>
            </w:r>
          </w:p>
        </w:tc>
        <w:tc>
          <w:tcPr>
            <w:tcW w:w="834" w:type="dxa"/>
            <w:vAlign w:val="center"/>
          </w:tcPr>
          <w:p w14:paraId="276107A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250" w:type="dxa"/>
            <w:vAlign w:val="center"/>
          </w:tcPr>
          <w:p w14:paraId="7004806B">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eastAsia="zh-CN"/>
              </w:rPr>
              <w:t>一、全员综合通识培训授课内容 ：数学物理学科新课标育人要求、新高考命题改革整体趋势解读；素养立意命题通用理论、试题质量评价统一规范、原创命题完整流程；高考阅卷评分底层逻辑、命题成果反哺课堂教学的通用实施路径。</w:t>
            </w:r>
          </w:p>
          <w:p w14:paraId="182276D1">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eastAsia="zh-CN"/>
              </w:rPr>
              <w:t>二、分学科培训内容。1.数学学科：数学课标、教新高考数学命题趋势与试卷结构深度解析，围绕数学六大核心素养，结合函数、几何、概率统计等主干知识，重点培训情境化、探究性、开放性试题的设计方法，数学核心素养专项命题实操。2.物理学科：物理课标、新高考物理命题体系与趋势解读；关键能力与实验创新命题研修；物理原创试题命制、变式与组卷实操。</w:t>
            </w:r>
          </w:p>
        </w:tc>
        <w:tc>
          <w:tcPr>
            <w:tcW w:w="833" w:type="dxa"/>
            <w:vAlign w:val="center"/>
          </w:tcPr>
          <w:p w14:paraId="7D3A134F">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集中培训</w:t>
            </w:r>
            <w:r>
              <w:rPr>
                <w:rFonts w:hint="eastAsia" w:asciiTheme="minorEastAsia" w:hAnsiTheme="minorEastAsia" w:eastAsiaTheme="minorEastAsia" w:cstheme="minorEastAsia"/>
                <w:sz w:val="21"/>
                <w:szCs w:val="21"/>
                <w:lang w:val="en-US" w:eastAsia="zh-CN"/>
              </w:rPr>
              <w:t>4天</w:t>
            </w:r>
            <w:r>
              <w:rPr>
                <w:rFonts w:hint="eastAsia" w:asciiTheme="minorEastAsia" w:hAnsiTheme="minorEastAsia" w:eastAsiaTheme="minorEastAsia" w:cstheme="minorEastAsia"/>
                <w:sz w:val="21"/>
                <w:szCs w:val="21"/>
              </w:rPr>
              <w:t>+跟岗研修</w:t>
            </w:r>
            <w:r>
              <w:rPr>
                <w:rFonts w:hint="eastAsia" w:asciiTheme="minorEastAsia" w:hAnsiTheme="minorEastAsia" w:eastAsiaTheme="minorEastAsia" w:cstheme="minorEastAsia"/>
                <w:sz w:val="21"/>
                <w:szCs w:val="21"/>
                <w:lang w:val="en-US" w:eastAsia="zh-CN"/>
              </w:rPr>
              <w:t>半天</w:t>
            </w:r>
          </w:p>
        </w:tc>
        <w:tc>
          <w:tcPr>
            <w:tcW w:w="639" w:type="dxa"/>
            <w:vAlign w:val="center"/>
          </w:tcPr>
          <w:p w14:paraId="5C2EADC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917" w:type="dxa"/>
            <w:vAlign w:val="center"/>
          </w:tcPr>
          <w:p w14:paraId="7D25EA18">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区外（武汉市）</w:t>
            </w:r>
          </w:p>
        </w:tc>
        <w:tc>
          <w:tcPr>
            <w:tcW w:w="1016" w:type="dxa"/>
            <w:vAlign w:val="center"/>
          </w:tcPr>
          <w:p w14:paraId="111088C3">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550</w:t>
            </w:r>
            <w:r>
              <w:rPr>
                <w:rFonts w:hint="eastAsia" w:asciiTheme="minorEastAsia" w:hAnsiTheme="minorEastAsia" w:eastAsiaTheme="minorEastAsia" w:cstheme="minorEastAsia"/>
                <w:color w:val="000000"/>
                <w:sz w:val="21"/>
                <w:szCs w:val="21"/>
              </w:rPr>
              <w:t>元/天.人</w:t>
            </w:r>
          </w:p>
        </w:tc>
        <w:tc>
          <w:tcPr>
            <w:tcW w:w="895" w:type="dxa"/>
            <w:vAlign w:val="center"/>
          </w:tcPr>
          <w:p w14:paraId="0DEF830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13.75</w:t>
            </w:r>
          </w:p>
        </w:tc>
        <w:tc>
          <w:tcPr>
            <w:tcW w:w="850" w:type="dxa"/>
            <w:vMerge w:val="restart"/>
            <w:vAlign w:val="center"/>
          </w:tcPr>
          <w:p w14:paraId="7ACE8AF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23.75</w:t>
            </w:r>
          </w:p>
        </w:tc>
        <w:tc>
          <w:tcPr>
            <w:tcW w:w="3694" w:type="dxa"/>
            <w:vAlign w:val="center"/>
          </w:tcPr>
          <w:p w14:paraId="171BFAFB">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firstLine="420" w:firstLineChars="20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68C213B8">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right="0" w:rightChars="0" w:firstLine="422" w:firstLineChars="200"/>
              <w:jc w:val="left"/>
              <w:textAlignment w:val="auto"/>
              <w:rPr>
                <w:rFonts w:hint="eastAsia" w:asciiTheme="minorEastAsia" w:hAnsiTheme="minorEastAsia" w:eastAsiaTheme="minorEastAsia" w:cstheme="minorEastAsia"/>
                <w:b w:val="0"/>
                <w:bCs w:val="0"/>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 xml:space="preserve"> 二、师资要求：（一）全员综合通识培训</w:t>
            </w:r>
            <w:r>
              <w:rPr>
                <w:rFonts w:hint="eastAsia" w:asciiTheme="minorEastAsia" w:hAnsiTheme="minorEastAsia" w:eastAsiaTheme="minorEastAsia" w:cstheme="minorEastAsia"/>
                <w:color w:val="000000"/>
                <w:sz w:val="21"/>
                <w:szCs w:val="21"/>
                <w:lang w:val="en-US" w:eastAsia="zh-CN"/>
              </w:rPr>
              <w:t>：高中教育教研管理处级干部、跨学科新高考研究专家（副高及以上）；</w:t>
            </w:r>
            <w:r>
              <w:rPr>
                <w:rFonts w:hint="eastAsia" w:asciiTheme="minorEastAsia" w:hAnsiTheme="minorEastAsia" w:eastAsiaTheme="minorEastAsia" w:cstheme="minorEastAsia"/>
                <w:b/>
                <w:bCs/>
                <w:color w:val="000000"/>
                <w:sz w:val="21"/>
                <w:szCs w:val="21"/>
                <w:lang w:val="en-US" w:eastAsia="zh-CN"/>
              </w:rPr>
              <w:t>（二）分学科</w:t>
            </w:r>
            <w:r>
              <w:rPr>
                <w:rFonts w:hint="eastAsia" w:asciiTheme="minorEastAsia" w:hAnsiTheme="minorEastAsia" w:eastAsiaTheme="minorEastAsia" w:cstheme="minorEastAsia"/>
                <w:b w:val="0"/>
                <w:bCs w:val="0"/>
                <w:color w:val="000000"/>
                <w:sz w:val="21"/>
                <w:szCs w:val="21"/>
                <w:lang w:val="en-US" w:eastAsia="zh-CN"/>
              </w:rPr>
              <w:t>：1.</w:t>
            </w:r>
            <w:r>
              <w:rPr>
                <w:rFonts w:hint="eastAsia" w:asciiTheme="minorEastAsia" w:hAnsiTheme="minorEastAsia" w:eastAsiaTheme="minorEastAsia" w:cstheme="minorEastAsia"/>
                <w:b/>
                <w:bCs/>
                <w:color w:val="000000"/>
                <w:sz w:val="21"/>
                <w:szCs w:val="21"/>
                <w:lang w:val="en-US" w:eastAsia="zh-CN"/>
              </w:rPr>
              <w:t>数学学科</w:t>
            </w:r>
            <w:r>
              <w:rPr>
                <w:rFonts w:hint="eastAsia" w:asciiTheme="minorEastAsia" w:hAnsiTheme="minorEastAsia" w:eastAsiaTheme="minorEastAsia" w:cstheme="minorEastAsia"/>
                <w:b w:val="0"/>
                <w:bCs w:val="0"/>
                <w:color w:val="000000"/>
                <w:sz w:val="21"/>
                <w:szCs w:val="21"/>
                <w:lang w:val="en-US" w:eastAsia="zh-CN"/>
              </w:rPr>
              <w:t>，高中数学副高/正高级学科专家；2.物理学科，高中物理副高/正高级学科专家。</w:t>
            </w:r>
          </w:p>
          <w:p w14:paraId="0BEF3B8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b w:val="0"/>
                <w:bCs w:val="0"/>
                <w:color w:val="000000"/>
                <w:sz w:val="21"/>
                <w:szCs w:val="21"/>
                <w:lang w:val="en-US" w:eastAsia="zh-CN"/>
              </w:rPr>
            </w:pPr>
            <w:r>
              <w:rPr>
                <w:rFonts w:hint="eastAsia" w:asciiTheme="minorEastAsia" w:hAnsiTheme="minorEastAsia" w:eastAsiaTheme="minorEastAsia" w:cstheme="minorEastAsia"/>
                <w:b w:val="0"/>
                <w:bCs w:val="0"/>
                <w:color w:val="000000"/>
                <w:sz w:val="21"/>
                <w:szCs w:val="21"/>
                <w:lang w:val="en-US" w:eastAsia="zh-CN"/>
              </w:rPr>
              <w:t>三、进校跟岗学校研修要求：（一）数学学科：武汉当地省级示范高中（数学学科特色校）观摩示范高中常态化命题教研流程，跟岗名师带教实操。（二）</w:t>
            </w:r>
            <w:r>
              <w:rPr>
                <w:rFonts w:hint="eastAsia" w:asciiTheme="minorEastAsia" w:hAnsiTheme="minorEastAsia" w:eastAsiaTheme="minorEastAsia" w:cstheme="minorEastAsia"/>
                <w:b/>
                <w:bCs/>
                <w:color w:val="000000"/>
                <w:sz w:val="21"/>
                <w:szCs w:val="21"/>
                <w:lang w:val="en-US" w:eastAsia="zh-CN"/>
              </w:rPr>
              <w:t>物理学科：</w:t>
            </w:r>
            <w:r>
              <w:rPr>
                <w:rFonts w:hint="eastAsia" w:asciiTheme="minorEastAsia" w:hAnsiTheme="minorEastAsia" w:eastAsiaTheme="minorEastAsia" w:cstheme="minorEastAsia"/>
                <w:b w:val="0"/>
                <w:bCs w:val="0"/>
                <w:color w:val="000000"/>
                <w:sz w:val="21"/>
                <w:szCs w:val="21"/>
                <w:lang w:val="en-US" w:eastAsia="zh-CN"/>
              </w:rPr>
              <w:t>武汉当地省级示范高中，学习名校单元检测、月度统考、模拟联考的命题组织模式、集体备课命题机制、试题打磨评审流程。</w:t>
            </w:r>
          </w:p>
          <w:p w14:paraId="1D7E1A9D">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color w:val="000000"/>
                <w:sz w:val="21"/>
                <w:szCs w:val="21"/>
                <w:lang w:val="en-US" w:eastAsia="zh-CN"/>
              </w:rPr>
            </w:pPr>
          </w:p>
          <w:p w14:paraId="429E4579">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sz w:val="21"/>
                <w:szCs w:val="21"/>
                <w:vertAlign w:val="baseline"/>
                <w:lang w:eastAsia="zh-CN"/>
              </w:rPr>
            </w:pPr>
          </w:p>
        </w:tc>
      </w:tr>
      <w:tr w14:paraId="422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trPr>
        <w:tc>
          <w:tcPr>
            <w:tcW w:w="591" w:type="dxa"/>
            <w:vMerge w:val="continue"/>
            <w:vAlign w:val="center"/>
          </w:tcPr>
          <w:p w14:paraId="399EEFA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818" w:type="dxa"/>
            <w:vAlign w:val="center"/>
          </w:tcPr>
          <w:p w14:paraId="1840BA1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高中化学生物地理学科命题素养能力提升研修班</w:t>
            </w:r>
          </w:p>
        </w:tc>
        <w:tc>
          <w:tcPr>
            <w:tcW w:w="883" w:type="dxa"/>
            <w:gridSpan w:val="2"/>
            <w:vAlign w:val="center"/>
          </w:tcPr>
          <w:p w14:paraId="02FB5B0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普通高中化学、生物和地理骨干教师</w:t>
            </w:r>
          </w:p>
        </w:tc>
        <w:tc>
          <w:tcPr>
            <w:tcW w:w="834" w:type="dxa"/>
            <w:vAlign w:val="center"/>
          </w:tcPr>
          <w:p w14:paraId="2C764B8E">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250" w:type="dxa"/>
            <w:vAlign w:val="center"/>
          </w:tcPr>
          <w:p w14:paraId="7F0BB3EF">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一、</w:t>
            </w:r>
            <w:r>
              <w:rPr>
                <w:rFonts w:hint="eastAsia" w:asciiTheme="minorEastAsia" w:hAnsiTheme="minorEastAsia" w:eastAsiaTheme="minorEastAsia" w:cstheme="minorEastAsia"/>
                <w:b w:val="0"/>
                <w:bCs w:val="0"/>
                <w:color w:val="000000"/>
                <w:sz w:val="21"/>
                <w:szCs w:val="21"/>
              </w:rPr>
              <w:t>全员综合通识培训授课内容</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理科综合新高考命题政策、自然科学类试题素养设计通用标准</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图表、实验、情境类试题通用命题技术、试题校验通用规范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理科探究类题目设计思路、教学与命题融合通用方法</w:t>
            </w:r>
            <w:r>
              <w:rPr>
                <w:rFonts w:hint="eastAsia" w:asciiTheme="minorEastAsia" w:hAnsiTheme="minorEastAsia" w:eastAsiaTheme="minorEastAsia" w:cstheme="minorEastAsia"/>
                <w:b w:val="0"/>
                <w:bCs w:val="0"/>
                <w:color w:val="000000"/>
                <w:sz w:val="21"/>
                <w:szCs w:val="21"/>
                <w:lang w:eastAsia="zh-CN"/>
              </w:rPr>
              <w:t>。</w:t>
            </w:r>
          </w:p>
          <w:p w14:paraId="7B3F7782">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8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lang w:eastAsia="zh-CN"/>
              </w:rPr>
              <w:t>二、分学科培训内容。</w:t>
            </w:r>
            <w:r>
              <w:rPr>
                <w:rFonts w:hint="eastAsia" w:asciiTheme="minorEastAsia" w:hAnsiTheme="minorEastAsia" w:eastAsiaTheme="minorEastAsia" w:cstheme="minorEastAsia"/>
                <w:sz w:val="21"/>
                <w:szCs w:val="21"/>
                <w:lang w:val="en-US" w:eastAsia="zh-CN"/>
              </w:rPr>
              <w:t>1.化学学科：化学实验、工艺流程类原创命题实操、高考化学真题解构；化学学科课标落地、探究题型命题规范。2.生物学科：生物实验、遗传图表类试题设计、高考生物真题解构；生命素养情境命题、校本生物题库搭建实操。3.地理学科：</w:t>
            </w:r>
            <w:r>
              <w:rPr>
                <w:rFonts w:hint="eastAsia" w:asciiTheme="minorEastAsia" w:hAnsiTheme="minorEastAsia" w:eastAsiaTheme="minorEastAsia" w:cstheme="minorEastAsia"/>
                <w:color w:val="000000"/>
                <w:sz w:val="21"/>
                <w:szCs w:val="21"/>
              </w:rPr>
              <w:t>地理图表、区域情境类原创命题、高考地理真题解构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人地协调观类试题设计、地理探究命题实操</w:t>
            </w:r>
            <w:r>
              <w:rPr>
                <w:rFonts w:hint="eastAsia" w:asciiTheme="minorEastAsia" w:hAnsiTheme="minorEastAsia" w:eastAsiaTheme="minorEastAsia" w:cstheme="minorEastAsia"/>
                <w:color w:val="000000"/>
                <w:sz w:val="21"/>
                <w:szCs w:val="21"/>
                <w:lang w:eastAsia="zh-CN"/>
              </w:rPr>
              <w:t>。</w:t>
            </w:r>
          </w:p>
        </w:tc>
        <w:tc>
          <w:tcPr>
            <w:tcW w:w="833" w:type="dxa"/>
            <w:vAlign w:val="center"/>
          </w:tcPr>
          <w:p w14:paraId="5763B3C0">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r>
              <w:rPr>
                <w:rFonts w:hint="eastAsia" w:asciiTheme="minorEastAsia" w:hAnsiTheme="minorEastAsia" w:eastAsiaTheme="minorEastAsia" w:cstheme="minorEastAsia"/>
                <w:color w:val="000000"/>
                <w:sz w:val="21"/>
                <w:szCs w:val="21"/>
                <w:lang w:val="en-US" w:eastAsia="zh-CN"/>
              </w:rPr>
              <w:t>4天</w:t>
            </w:r>
            <w:r>
              <w:rPr>
                <w:rFonts w:hint="eastAsia" w:asciiTheme="minorEastAsia" w:hAnsiTheme="minorEastAsia" w:eastAsiaTheme="minorEastAsia" w:cstheme="minorEastAsia"/>
                <w:color w:val="000000"/>
                <w:sz w:val="21"/>
                <w:szCs w:val="21"/>
              </w:rPr>
              <w:t>+跟岗研修</w:t>
            </w:r>
            <w:r>
              <w:rPr>
                <w:rFonts w:hint="eastAsia" w:asciiTheme="minorEastAsia" w:hAnsiTheme="minorEastAsia" w:eastAsiaTheme="minorEastAsia" w:cstheme="minorEastAsia"/>
                <w:color w:val="000000"/>
                <w:sz w:val="21"/>
                <w:szCs w:val="21"/>
                <w:lang w:val="en-US" w:eastAsia="zh-CN"/>
              </w:rPr>
              <w:t>半天</w:t>
            </w:r>
          </w:p>
        </w:tc>
        <w:tc>
          <w:tcPr>
            <w:tcW w:w="639" w:type="dxa"/>
            <w:vAlign w:val="center"/>
          </w:tcPr>
          <w:p w14:paraId="0EDEFF9E">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917" w:type="dxa"/>
            <w:vAlign w:val="center"/>
          </w:tcPr>
          <w:p w14:paraId="638D6069">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区内（柳州市）</w:t>
            </w:r>
          </w:p>
        </w:tc>
        <w:tc>
          <w:tcPr>
            <w:tcW w:w="1016" w:type="dxa"/>
            <w:vAlign w:val="center"/>
          </w:tcPr>
          <w:p w14:paraId="684AB541">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895" w:type="dxa"/>
            <w:vAlign w:val="center"/>
          </w:tcPr>
          <w:p w14:paraId="0DE0C77F">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850" w:type="dxa"/>
            <w:vMerge w:val="continue"/>
            <w:vAlign w:val="center"/>
          </w:tcPr>
          <w:p w14:paraId="1AFCF26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694" w:type="dxa"/>
            <w:vAlign w:val="center"/>
          </w:tcPr>
          <w:p w14:paraId="61296CC5">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firstLine="420" w:firstLineChars="20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60EF655E">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lang w:val="en-US" w:eastAsia="zh-CN"/>
              </w:rPr>
              <w:t xml:space="preserve"> 二、师资要求</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b/>
                <w:bCs/>
                <w:color w:val="000000"/>
                <w:sz w:val="21"/>
                <w:szCs w:val="21"/>
                <w:lang w:val="en-US" w:eastAsia="zh-CN"/>
              </w:rPr>
              <w:t>（一）全员综合通识培训</w:t>
            </w:r>
            <w:r>
              <w:rPr>
                <w:rFonts w:hint="eastAsia" w:asciiTheme="minorEastAsia" w:hAnsiTheme="minorEastAsia" w:eastAsiaTheme="minorEastAsia" w:cstheme="minorEastAsia"/>
                <w:color w:val="000000"/>
                <w:sz w:val="21"/>
                <w:szCs w:val="21"/>
                <w:lang w:val="en-US" w:eastAsia="zh-CN"/>
              </w:rPr>
              <w:t>：理科教研管理处级干部、理综命题综合专家（副高及以上）；</w:t>
            </w:r>
            <w:r>
              <w:rPr>
                <w:rFonts w:hint="eastAsia" w:asciiTheme="minorEastAsia" w:hAnsiTheme="minorEastAsia" w:eastAsiaTheme="minorEastAsia" w:cstheme="minorEastAsia"/>
                <w:b/>
                <w:bCs/>
                <w:color w:val="000000"/>
                <w:sz w:val="21"/>
                <w:szCs w:val="21"/>
                <w:lang w:val="en-US" w:eastAsia="zh-CN"/>
              </w:rPr>
              <w:t>（二）分学科：1.化学学科</w:t>
            </w:r>
            <w:r>
              <w:rPr>
                <w:rFonts w:hint="eastAsia" w:asciiTheme="minorEastAsia" w:hAnsiTheme="minorEastAsia" w:eastAsiaTheme="minorEastAsia" w:cstheme="minorEastAsia"/>
                <w:color w:val="000000"/>
                <w:sz w:val="21"/>
                <w:szCs w:val="21"/>
                <w:lang w:val="en-US" w:eastAsia="zh-CN"/>
              </w:rPr>
              <w:t>，高中化学副高/正高级学科命题专家；2.</w:t>
            </w:r>
            <w:r>
              <w:rPr>
                <w:rFonts w:hint="eastAsia" w:asciiTheme="minorEastAsia" w:hAnsiTheme="minorEastAsia" w:eastAsiaTheme="minorEastAsia" w:cstheme="minorEastAsia"/>
                <w:b/>
                <w:bCs/>
                <w:color w:val="000000"/>
                <w:sz w:val="21"/>
                <w:szCs w:val="21"/>
                <w:lang w:val="en-US" w:eastAsia="zh-CN"/>
              </w:rPr>
              <w:t>生物学科</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color w:val="000000"/>
                <w:sz w:val="21"/>
                <w:szCs w:val="21"/>
              </w:rPr>
              <w:t xml:space="preserve">高中生物副高 </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color w:val="000000"/>
                <w:sz w:val="21"/>
                <w:szCs w:val="21"/>
              </w:rPr>
              <w:t>正高级学科命题专家</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b/>
                <w:bCs/>
                <w:color w:val="000000"/>
                <w:sz w:val="21"/>
                <w:szCs w:val="21"/>
                <w:lang w:val="en-US" w:eastAsia="zh-CN"/>
              </w:rPr>
              <w:t>.地理学科</w:t>
            </w:r>
            <w:r>
              <w:rPr>
                <w:rFonts w:hint="eastAsia" w:asciiTheme="minorEastAsia" w:hAnsiTheme="minorEastAsia" w:eastAsiaTheme="minorEastAsia" w:cstheme="minorEastAsia"/>
                <w:color w:val="000000"/>
                <w:sz w:val="21"/>
                <w:szCs w:val="21"/>
                <w:lang w:val="en-US" w:eastAsia="zh-CN"/>
              </w:rPr>
              <w:t>，高中地理副高或正高级学科命题专家。</w:t>
            </w:r>
          </w:p>
          <w:p w14:paraId="305C9B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80" w:lineRule="exact"/>
              <w:ind w:right="0" w:rightChars="0" w:firstLine="422" w:firstLineChars="200"/>
              <w:jc w:val="both"/>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三、进校跟岗学校研修要求</w:t>
            </w:r>
            <w:r>
              <w:rPr>
                <w:rFonts w:hint="eastAsia" w:asciiTheme="minorEastAsia" w:hAnsiTheme="minorEastAsia" w:eastAsiaTheme="minorEastAsia" w:cstheme="minorEastAsia"/>
                <w:color w:val="000000"/>
                <w:sz w:val="21"/>
                <w:szCs w:val="21"/>
                <w:lang w:val="en-US" w:eastAsia="zh-CN"/>
              </w:rPr>
              <w:t>：（一）</w:t>
            </w:r>
            <w:r>
              <w:rPr>
                <w:rFonts w:hint="eastAsia" w:asciiTheme="minorEastAsia" w:hAnsiTheme="minorEastAsia" w:eastAsiaTheme="minorEastAsia" w:cstheme="minorEastAsia"/>
                <w:b/>
                <w:bCs/>
                <w:color w:val="000000"/>
                <w:sz w:val="21"/>
                <w:szCs w:val="21"/>
                <w:lang w:val="en-US" w:eastAsia="zh-CN"/>
              </w:rPr>
              <w:t>化学学科</w:t>
            </w:r>
            <w:r>
              <w:rPr>
                <w:rFonts w:hint="eastAsia" w:asciiTheme="minorEastAsia" w:hAnsiTheme="minorEastAsia" w:eastAsiaTheme="minorEastAsia" w:cstheme="minorEastAsia"/>
                <w:color w:val="000000"/>
                <w:sz w:val="21"/>
                <w:szCs w:val="21"/>
                <w:lang w:val="en-US" w:eastAsia="zh-CN"/>
              </w:rPr>
              <w:t>：柳州市内理科特色示范高中，观摩化学实验探究题型命题、校内月考命题研讨。（二）</w:t>
            </w:r>
            <w:r>
              <w:rPr>
                <w:rFonts w:hint="eastAsia" w:asciiTheme="minorEastAsia" w:hAnsiTheme="minorEastAsia" w:eastAsiaTheme="minorEastAsia" w:cstheme="minorEastAsia"/>
                <w:b/>
                <w:bCs/>
                <w:color w:val="000000"/>
                <w:sz w:val="21"/>
                <w:szCs w:val="21"/>
                <w:lang w:val="en-US" w:eastAsia="zh-CN"/>
              </w:rPr>
              <w:t>生物理学科</w:t>
            </w:r>
            <w:r>
              <w:rPr>
                <w:rFonts w:hint="eastAsia" w:asciiTheme="minorEastAsia" w:hAnsiTheme="minorEastAsia" w:eastAsiaTheme="minorEastAsia" w:cstheme="minorEastAsia"/>
                <w:color w:val="000000"/>
                <w:sz w:val="21"/>
                <w:szCs w:val="21"/>
                <w:lang w:val="en-US" w:eastAsia="zh-CN"/>
              </w:rPr>
              <w:t>：柳州</w:t>
            </w:r>
            <w:r>
              <w:rPr>
                <w:rFonts w:hint="eastAsia" w:asciiTheme="minorEastAsia" w:hAnsiTheme="minorEastAsia" w:eastAsiaTheme="minorEastAsia" w:cstheme="minorEastAsia"/>
                <w:color w:val="000000"/>
                <w:sz w:val="21"/>
                <w:szCs w:val="21"/>
              </w:rPr>
              <w:t>市内理科特色示范高中，跟岗学习遗传图表、实验类试题原创设计流程</w:t>
            </w:r>
            <w:r>
              <w:rPr>
                <w:rFonts w:hint="eastAsia" w:asciiTheme="minorEastAsia" w:hAnsiTheme="minorEastAsia" w:eastAsiaTheme="minorEastAsia" w:cstheme="minorEastAsia"/>
                <w:color w:val="000000"/>
                <w:sz w:val="21"/>
                <w:szCs w:val="21"/>
                <w:lang w:val="en-US" w:eastAsia="zh-CN"/>
              </w:rPr>
              <w:t>。（三）</w:t>
            </w:r>
            <w:r>
              <w:rPr>
                <w:rFonts w:hint="eastAsia" w:asciiTheme="minorEastAsia" w:hAnsiTheme="minorEastAsia" w:eastAsiaTheme="minorEastAsia" w:cstheme="minorEastAsia"/>
                <w:b/>
                <w:bCs/>
                <w:color w:val="000000"/>
                <w:sz w:val="21"/>
                <w:szCs w:val="21"/>
                <w:lang w:val="en-US" w:eastAsia="zh-CN"/>
              </w:rPr>
              <w:t>地理学科</w:t>
            </w:r>
            <w:r>
              <w:rPr>
                <w:rFonts w:hint="eastAsia" w:asciiTheme="minorEastAsia" w:hAnsiTheme="minorEastAsia" w:eastAsiaTheme="minorEastAsia" w:cstheme="minorEastAsia"/>
                <w:color w:val="000000"/>
                <w:sz w:val="21"/>
                <w:szCs w:val="21"/>
                <w:lang w:val="en-US" w:eastAsia="zh-CN"/>
              </w:rPr>
              <w:t>：柳州市内地理教研示范高中，实地学习区域图、等值线图表类命题实操。</w:t>
            </w:r>
          </w:p>
          <w:p w14:paraId="0FB1085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r>
      <w:tr w14:paraId="796A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3"/>
            <w:vAlign w:val="center"/>
          </w:tcPr>
          <w:p w14:paraId="55857027">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04A6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759" w:type="dxa"/>
            <w:gridSpan w:val="3"/>
            <w:vAlign w:val="center"/>
          </w:tcPr>
          <w:p w14:paraId="67019BA9">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2461" w:type="dxa"/>
            <w:gridSpan w:val="10"/>
            <w:vAlign w:val="center"/>
          </w:tcPr>
          <w:p w14:paraId="6DC853F5">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719D0CAE">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6FF3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59" w:type="dxa"/>
            <w:gridSpan w:val="3"/>
            <w:vAlign w:val="center"/>
          </w:tcPr>
          <w:p w14:paraId="22C068E5">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2461" w:type="dxa"/>
            <w:gridSpan w:val="10"/>
            <w:vAlign w:val="center"/>
          </w:tcPr>
          <w:p w14:paraId="1A3CEC34">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7F0B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1759" w:type="dxa"/>
            <w:gridSpan w:val="3"/>
            <w:vAlign w:val="center"/>
          </w:tcPr>
          <w:p w14:paraId="27CB57E1">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2461" w:type="dxa"/>
            <w:gridSpan w:val="10"/>
            <w:vAlign w:val="center"/>
          </w:tcPr>
          <w:p w14:paraId="2492EED0">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76B2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759" w:type="dxa"/>
            <w:gridSpan w:val="3"/>
            <w:vAlign w:val="center"/>
          </w:tcPr>
          <w:p w14:paraId="0DE5856E">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2461" w:type="dxa"/>
            <w:gridSpan w:val="10"/>
            <w:vAlign w:val="center"/>
          </w:tcPr>
          <w:p w14:paraId="14452D62">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03B4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759" w:type="dxa"/>
            <w:gridSpan w:val="3"/>
            <w:vAlign w:val="center"/>
          </w:tcPr>
          <w:p w14:paraId="37185C4A">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2461" w:type="dxa"/>
            <w:gridSpan w:val="10"/>
            <w:vAlign w:val="center"/>
          </w:tcPr>
          <w:p w14:paraId="36A32CBF">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7222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atLeast"/>
        </w:trPr>
        <w:tc>
          <w:tcPr>
            <w:tcW w:w="1759" w:type="dxa"/>
            <w:gridSpan w:val="3"/>
            <w:vAlign w:val="center"/>
          </w:tcPr>
          <w:p w14:paraId="62F25199">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2461" w:type="dxa"/>
            <w:gridSpan w:val="10"/>
            <w:vAlign w:val="center"/>
          </w:tcPr>
          <w:p w14:paraId="6C802AD2">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3C53F545">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680FF8C">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0409ED8C">
      <w:pPr>
        <w:pStyle w:val="43"/>
        <w:pageBreakBefore w:val="0"/>
        <w:kinsoku/>
        <w:wordWrap/>
        <w:overflowPunct/>
        <w:topLinePunct w:val="0"/>
        <w:autoSpaceDE/>
        <w:autoSpaceDN/>
        <w:bidi w:val="0"/>
        <w:adjustRightInd/>
        <w:spacing w:line="380" w:lineRule="exact"/>
        <w:rPr>
          <w:rFonts w:hint="eastAsia"/>
          <w:lang w:eastAsia="zh-CN"/>
        </w:rPr>
      </w:pPr>
    </w:p>
    <w:p w14:paraId="41E15963">
      <w:pPr>
        <w:pStyle w:val="43"/>
        <w:pageBreakBefore w:val="0"/>
        <w:kinsoku/>
        <w:wordWrap/>
        <w:overflowPunct/>
        <w:topLinePunct w:val="0"/>
        <w:autoSpaceDE/>
        <w:autoSpaceDN/>
        <w:bidi w:val="0"/>
        <w:adjustRightInd/>
        <w:spacing w:line="380" w:lineRule="exact"/>
        <w:rPr>
          <w:rFonts w:hint="eastAsia"/>
          <w:lang w:eastAsia="zh-CN"/>
        </w:rPr>
      </w:pPr>
    </w:p>
    <w:p w14:paraId="0E5EF447">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951"/>
        <w:gridCol w:w="950"/>
        <w:gridCol w:w="650"/>
        <w:gridCol w:w="2917"/>
        <w:gridCol w:w="717"/>
        <w:gridCol w:w="783"/>
        <w:gridCol w:w="783"/>
        <w:gridCol w:w="634"/>
        <w:gridCol w:w="833"/>
        <w:gridCol w:w="933"/>
        <w:gridCol w:w="3478"/>
      </w:tblGrid>
      <w:tr w14:paraId="285C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2"/>
            <w:vAlign w:val="center"/>
          </w:tcPr>
          <w:p w14:paraId="168A60E3">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5 服务需求一览表</w:t>
            </w:r>
          </w:p>
        </w:tc>
      </w:tr>
      <w:tr w14:paraId="5ADC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5363478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951" w:type="dxa"/>
            <w:vAlign w:val="center"/>
          </w:tcPr>
          <w:p w14:paraId="69F1258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950" w:type="dxa"/>
            <w:vAlign w:val="center"/>
          </w:tcPr>
          <w:p w14:paraId="5B0F683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650" w:type="dxa"/>
            <w:vAlign w:val="center"/>
          </w:tcPr>
          <w:p w14:paraId="29EA363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917" w:type="dxa"/>
            <w:vAlign w:val="center"/>
          </w:tcPr>
          <w:p w14:paraId="6F61C21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717" w:type="dxa"/>
            <w:vAlign w:val="center"/>
          </w:tcPr>
          <w:p w14:paraId="471F097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783" w:type="dxa"/>
            <w:vAlign w:val="center"/>
          </w:tcPr>
          <w:p w14:paraId="4122EBB9">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783" w:type="dxa"/>
            <w:vAlign w:val="center"/>
          </w:tcPr>
          <w:p w14:paraId="5BBB217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634" w:type="dxa"/>
            <w:vAlign w:val="center"/>
          </w:tcPr>
          <w:p w14:paraId="001C415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833" w:type="dxa"/>
            <w:vAlign w:val="center"/>
          </w:tcPr>
          <w:p w14:paraId="06975B2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1739360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933" w:type="dxa"/>
            <w:vAlign w:val="center"/>
          </w:tcPr>
          <w:p w14:paraId="1758F59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标段最高限价</w:t>
            </w:r>
          </w:p>
          <w:p w14:paraId="720C805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478" w:type="dxa"/>
            <w:vAlign w:val="center"/>
          </w:tcPr>
          <w:p w14:paraId="1C98C93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5F7F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591" w:type="dxa"/>
            <w:vAlign w:val="center"/>
          </w:tcPr>
          <w:p w14:paraId="4DFE201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w:t>
            </w:r>
          </w:p>
        </w:tc>
        <w:tc>
          <w:tcPr>
            <w:tcW w:w="951" w:type="dxa"/>
            <w:vAlign w:val="center"/>
          </w:tcPr>
          <w:p w14:paraId="3A14F9FD">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高中语文英语学科</w:t>
            </w:r>
            <w:r>
              <w:rPr>
                <w:rFonts w:hint="eastAsia" w:asciiTheme="minorEastAsia" w:hAnsiTheme="minorEastAsia" w:eastAsiaTheme="minorEastAsia" w:cstheme="minorEastAsia"/>
                <w:color w:val="000000"/>
                <w:sz w:val="21"/>
                <w:szCs w:val="21"/>
                <w:lang w:eastAsia="zh-CN"/>
              </w:rPr>
              <w:t>命题</w:t>
            </w:r>
            <w:r>
              <w:rPr>
                <w:rFonts w:hint="eastAsia" w:asciiTheme="minorEastAsia" w:hAnsiTheme="minorEastAsia" w:eastAsiaTheme="minorEastAsia" w:cstheme="minorEastAsia"/>
                <w:color w:val="000000"/>
                <w:sz w:val="21"/>
                <w:szCs w:val="21"/>
              </w:rPr>
              <w:t>素养能力提升研修班</w:t>
            </w:r>
          </w:p>
        </w:tc>
        <w:tc>
          <w:tcPr>
            <w:tcW w:w="950" w:type="dxa"/>
            <w:vAlign w:val="center"/>
          </w:tcPr>
          <w:p w14:paraId="410122D1">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普通高中语文、英语骨干教师</w:t>
            </w:r>
          </w:p>
        </w:tc>
        <w:tc>
          <w:tcPr>
            <w:tcW w:w="650" w:type="dxa"/>
            <w:vAlign w:val="center"/>
          </w:tcPr>
          <w:p w14:paraId="0936495A">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917" w:type="dxa"/>
            <w:vAlign w:val="center"/>
          </w:tcPr>
          <w:p w14:paraId="063BD671">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一、</w:t>
            </w:r>
            <w:r>
              <w:rPr>
                <w:rFonts w:hint="eastAsia" w:asciiTheme="minorEastAsia" w:hAnsiTheme="minorEastAsia" w:eastAsiaTheme="minorEastAsia" w:cstheme="minorEastAsia"/>
                <w:b w:val="0"/>
                <w:bCs w:val="0"/>
                <w:color w:val="000000"/>
                <w:sz w:val="21"/>
                <w:szCs w:val="21"/>
              </w:rPr>
              <w:t xml:space="preserve">全员综合通识培训授课内容 </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语言类学科新课标育人要求、新高考命题改革整体趋势解读</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素养立意命题通用理论、试题质量评价统一规范、原创命题完整流程</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高考阅卷评分底层逻辑、命题成果反哺课堂教学的通用实施路径</w:t>
            </w:r>
            <w:r>
              <w:rPr>
                <w:rFonts w:hint="eastAsia" w:asciiTheme="minorEastAsia" w:hAnsiTheme="minorEastAsia" w:eastAsiaTheme="minorEastAsia" w:cstheme="minorEastAsia"/>
                <w:b w:val="0"/>
                <w:bCs w:val="0"/>
                <w:color w:val="000000"/>
                <w:sz w:val="21"/>
                <w:szCs w:val="21"/>
                <w:lang w:eastAsia="zh-CN"/>
              </w:rPr>
              <w:t>。</w:t>
            </w:r>
          </w:p>
          <w:p w14:paraId="2DA0029A">
            <w:pPr>
              <w:pStyle w:val="5"/>
              <w:keepNext w:val="0"/>
              <w:keepLines w:val="0"/>
              <w:pageBreakBefore w:val="0"/>
              <w:widowControl w:val="0"/>
              <w:numPr>
                <w:ilvl w:val="0"/>
                <w:numId w:val="0"/>
              </w:numPr>
              <w:kinsoku/>
              <w:wordWrap/>
              <w:overflowPunct/>
              <w:topLinePunct w:val="0"/>
              <w:autoSpaceDE/>
              <w:autoSpaceDN/>
              <w:bidi w:val="0"/>
              <w:adjustRightInd/>
              <w:snapToGrid w:val="0"/>
              <w:spacing w:before="0" w:after="0" w:line="380" w:lineRule="exac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sz w:val="21"/>
                <w:szCs w:val="21"/>
                <w:lang w:val="en-US" w:eastAsia="zh-CN"/>
              </w:rPr>
              <w:t xml:space="preserve">    二、分学科培训内容。1.语文学科：语文学科课标对标命题要点，现代文、古诗文、语言文字应用、写作题型命题逻辑拆解；新高考语文真题深度解构、情境化原创试题设计实操、命题质量打磨规范；依托命题调整阅读、写作课堂教学的实操策略、命题实操训练。2.英语学科：英语学科课标对应考点命题框架，听力、阅读、完形、书面表达命题规律分析；新高考英语真题解构、跨文化情境试题原创设计、命题校验实操训练；以命题为导向优化语言技能课堂教学实施路径。</w:t>
            </w:r>
          </w:p>
        </w:tc>
        <w:tc>
          <w:tcPr>
            <w:tcW w:w="717" w:type="dxa"/>
            <w:vAlign w:val="center"/>
          </w:tcPr>
          <w:p w14:paraId="11A123F1">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集中培训</w:t>
            </w:r>
            <w:r>
              <w:rPr>
                <w:rFonts w:hint="eastAsia" w:asciiTheme="minorEastAsia" w:hAnsiTheme="minorEastAsia" w:eastAsiaTheme="minorEastAsia" w:cstheme="minorEastAsia"/>
                <w:sz w:val="21"/>
                <w:szCs w:val="21"/>
                <w:lang w:val="en-US" w:eastAsia="zh-CN"/>
              </w:rPr>
              <w:t>4天</w:t>
            </w:r>
            <w:r>
              <w:rPr>
                <w:rFonts w:hint="eastAsia" w:asciiTheme="minorEastAsia" w:hAnsiTheme="minorEastAsia" w:eastAsiaTheme="minorEastAsia" w:cstheme="minorEastAsia"/>
                <w:sz w:val="21"/>
                <w:szCs w:val="21"/>
              </w:rPr>
              <w:t>+跟岗研修</w:t>
            </w:r>
            <w:r>
              <w:rPr>
                <w:rFonts w:hint="eastAsia" w:asciiTheme="minorEastAsia" w:hAnsiTheme="minorEastAsia" w:eastAsiaTheme="minorEastAsia" w:cstheme="minorEastAsia"/>
                <w:sz w:val="21"/>
                <w:szCs w:val="21"/>
                <w:lang w:eastAsia="zh-CN"/>
              </w:rPr>
              <w:t>半</w:t>
            </w:r>
            <w:r>
              <w:rPr>
                <w:rFonts w:hint="eastAsia" w:asciiTheme="minorEastAsia" w:hAnsiTheme="minorEastAsia" w:eastAsiaTheme="minorEastAsia" w:cstheme="minorEastAsia"/>
                <w:sz w:val="21"/>
                <w:szCs w:val="21"/>
                <w:lang w:val="en-US" w:eastAsia="zh-CN"/>
              </w:rPr>
              <w:t>天</w:t>
            </w:r>
          </w:p>
        </w:tc>
        <w:tc>
          <w:tcPr>
            <w:tcW w:w="783" w:type="dxa"/>
            <w:vAlign w:val="center"/>
          </w:tcPr>
          <w:p w14:paraId="7A43DA0D">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83" w:type="dxa"/>
            <w:vAlign w:val="center"/>
          </w:tcPr>
          <w:p w14:paraId="527EB08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区内（桂林市）</w:t>
            </w:r>
          </w:p>
        </w:tc>
        <w:tc>
          <w:tcPr>
            <w:tcW w:w="634" w:type="dxa"/>
            <w:vAlign w:val="center"/>
          </w:tcPr>
          <w:p w14:paraId="19AC81E9">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833" w:type="dxa"/>
            <w:vAlign w:val="center"/>
          </w:tcPr>
          <w:p w14:paraId="0A86E9BE">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933" w:type="dxa"/>
            <w:vAlign w:val="center"/>
          </w:tcPr>
          <w:p w14:paraId="0AEFFDDD">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3478" w:type="dxa"/>
            <w:vAlign w:val="center"/>
          </w:tcPr>
          <w:p w14:paraId="16555F8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343F58E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二、</w:t>
            </w:r>
            <w:r>
              <w:rPr>
                <w:rFonts w:hint="eastAsia" w:asciiTheme="minorEastAsia" w:hAnsiTheme="minorEastAsia" w:eastAsiaTheme="minorEastAsia" w:cstheme="minorEastAsia"/>
                <w:b/>
                <w:bCs/>
                <w:color w:val="000000"/>
                <w:sz w:val="21"/>
                <w:szCs w:val="21"/>
              </w:rPr>
              <w:t>师资要求</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b/>
                <w:bCs/>
                <w:color w:val="000000"/>
                <w:sz w:val="21"/>
                <w:szCs w:val="21"/>
              </w:rPr>
              <w:t>（一）全员综合通识培训</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eastAsia="zh-CN"/>
              </w:rPr>
              <w:t>高中</w:t>
            </w:r>
            <w:r>
              <w:rPr>
                <w:rFonts w:hint="eastAsia" w:asciiTheme="minorEastAsia" w:hAnsiTheme="minorEastAsia" w:eastAsiaTheme="minorEastAsia" w:cstheme="minorEastAsia"/>
                <w:color w:val="000000"/>
                <w:sz w:val="21"/>
                <w:szCs w:val="21"/>
              </w:rPr>
              <w:t>文科教研管理处级干部、高考综合命题研究专家（副高及以上）；</w:t>
            </w:r>
            <w:r>
              <w:rPr>
                <w:rFonts w:hint="eastAsia" w:asciiTheme="minorEastAsia" w:hAnsiTheme="minorEastAsia" w:eastAsiaTheme="minorEastAsia" w:cstheme="minorEastAsia"/>
                <w:b/>
                <w:bCs/>
                <w:color w:val="000000"/>
                <w:sz w:val="21"/>
                <w:szCs w:val="21"/>
              </w:rPr>
              <w:t>（二）分学科</w:t>
            </w:r>
            <w:r>
              <w:rPr>
                <w:rFonts w:hint="eastAsia" w:asciiTheme="minorEastAsia" w:hAnsiTheme="minorEastAsia" w:eastAsiaTheme="minorEastAsia" w:cstheme="minorEastAsia"/>
                <w:color w:val="000000"/>
                <w:sz w:val="21"/>
                <w:szCs w:val="21"/>
              </w:rPr>
              <w:t>：1.</w:t>
            </w:r>
            <w:r>
              <w:rPr>
                <w:rFonts w:hint="eastAsia" w:asciiTheme="minorEastAsia" w:hAnsiTheme="minorEastAsia" w:eastAsiaTheme="minorEastAsia" w:cstheme="minorEastAsia"/>
                <w:b/>
                <w:bCs/>
                <w:color w:val="000000"/>
                <w:sz w:val="21"/>
                <w:szCs w:val="21"/>
                <w:lang w:eastAsia="zh-CN"/>
              </w:rPr>
              <w:t>语文</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，高中语文副高 / 正高级学科命题专家；2.</w:t>
            </w:r>
            <w:r>
              <w:rPr>
                <w:rFonts w:hint="eastAsia" w:asciiTheme="minorEastAsia" w:hAnsiTheme="minorEastAsia" w:eastAsiaTheme="minorEastAsia" w:cstheme="minorEastAsia"/>
                <w:b/>
                <w:bCs/>
                <w:color w:val="000000"/>
                <w:sz w:val="21"/>
                <w:szCs w:val="21"/>
                <w:lang w:eastAsia="zh-CN"/>
              </w:rPr>
              <w:t>英语</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，高中英语副高 / 正高级学科命题专家。</w:t>
            </w:r>
          </w:p>
          <w:p w14:paraId="045B1F8D">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2"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rPr>
              <w:t>三、进校跟岗学校研修要求：</w:t>
            </w:r>
            <w:r>
              <w:rPr>
                <w:rFonts w:hint="eastAsia" w:asciiTheme="minorEastAsia" w:hAnsiTheme="minorEastAsia" w:eastAsiaTheme="minorEastAsia" w:cstheme="minorEastAsia"/>
                <w:color w:val="000000"/>
                <w:sz w:val="21"/>
                <w:szCs w:val="21"/>
              </w:rPr>
              <w:t>（一）</w:t>
            </w:r>
            <w:r>
              <w:rPr>
                <w:rFonts w:hint="eastAsia" w:asciiTheme="minorEastAsia" w:hAnsiTheme="minorEastAsia" w:eastAsiaTheme="minorEastAsia" w:cstheme="minorEastAsia"/>
                <w:b/>
                <w:bCs/>
                <w:color w:val="000000"/>
                <w:sz w:val="21"/>
                <w:szCs w:val="21"/>
                <w:lang w:eastAsia="zh-CN"/>
              </w:rPr>
              <w:t>语文</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：桂林市内自治区级示范高中（语文命题教研基地校），观摩校内命题备课组、单元命题打磨、考题讲评课堂。（二）</w:t>
            </w:r>
            <w:r>
              <w:rPr>
                <w:rFonts w:hint="eastAsia" w:asciiTheme="minorEastAsia" w:hAnsiTheme="minorEastAsia" w:eastAsiaTheme="minorEastAsia" w:cstheme="minorEastAsia"/>
                <w:b/>
                <w:bCs/>
                <w:color w:val="000000"/>
                <w:sz w:val="21"/>
                <w:szCs w:val="21"/>
                <w:lang w:eastAsia="zh-CN"/>
              </w:rPr>
              <w:t>英语</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：桂林市内自治区级示范高中（英语学科教研示范校），跟岗学习校内单元卷、模拟卷整套命题全流程。</w:t>
            </w:r>
          </w:p>
          <w:p w14:paraId="79679ABE">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r>
      <w:tr w14:paraId="3E02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220" w:type="dxa"/>
            <w:gridSpan w:val="12"/>
            <w:vAlign w:val="center"/>
          </w:tcPr>
          <w:p w14:paraId="6E8420F1">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10E2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1CC3097B">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078" w:type="dxa"/>
            <w:gridSpan w:val="8"/>
            <w:vAlign w:val="center"/>
          </w:tcPr>
          <w:p w14:paraId="0FF9F7B4">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097177D4">
            <w:pPr>
              <w:pStyle w:val="2"/>
              <w:keepNext w:val="0"/>
              <w:keepLines w:val="0"/>
              <w:pageBreakBefore w:val="0"/>
              <w:numPr>
                <w:ilvl w:val="0"/>
                <w:numId w:val="0"/>
              </w:numPr>
              <w:kinsoku/>
              <w:wordWrap/>
              <w:overflowPunct/>
              <w:topLinePunct w:val="0"/>
              <w:autoSpaceDE/>
              <w:autoSpaceDN/>
              <w:bidi w:val="0"/>
              <w:adjustRightInd/>
              <w:snapToGrid w:val="0"/>
              <w:spacing w:line="2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0C24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1DC9E4C5">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078" w:type="dxa"/>
            <w:gridSpan w:val="8"/>
            <w:vAlign w:val="center"/>
          </w:tcPr>
          <w:p w14:paraId="4B96F0A3">
            <w:pPr>
              <w:pStyle w:val="2"/>
              <w:keepNext w:val="0"/>
              <w:keepLines w:val="0"/>
              <w:pageBreakBefore w:val="0"/>
              <w:numPr>
                <w:ilvl w:val="0"/>
                <w:numId w:val="0"/>
              </w:numPr>
              <w:kinsoku/>
              <w:wordWrap/>
              <w:overflowPunct/>
              <w:topLinePunct w:val="0"/>
              <w:autoSpaceDE/>
              <w:autoSpaceDN/>
              <w:bidi w:val="0"/>
              <w:adjustRightInd/>
              <w:snapToGrid w:val="0"/>
              <w:spacing w:line="2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7AD1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743729BC">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078" w:type="dxa"/>
            <w:gridSpan w:val="8"/>
            <w:vAlign w:val="center"/>
          </w:tcPr>
          <w:p w14:paraId="5F11DB82">
            <w:pPr>
              <w:pStyle w:val="2"/>
              <w:keepNext w:val="0"/>
              <w:keepLines w:val="0"/>
              <w:pageBreakBefore w:val="0"/>
              <w:numPr>
                <w:ilvl w:val="0"/>
                <w:numId w:val="0"/>
              </w:numPr>
              <w:kinsoku/>
              <w:wordWrap/>
              <w:overflowPunct/>
              <w:topLinePunct w:val="0"/>
              <w:autoSpaceDE/>
              <w:autoSpaceDN/>
              <w:bidi w:val="0"/>
              <w:adjustRightInd/>
              <w:snapToGrid w:val="0"/>
              <w:spacing w:line="2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72C7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78EB1E19">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078" w:type="dxa"/>
            <w:gridSpan w:val="8"/>
            <w:vAlign w:val="center"/>
          </w:tcPr>
          <w:p w14:paraId="7A8B6B39">
            <w:pPr>
              <w:pStyle w:val="2"/>
              <w:keepNext w:val="0"/>
              <w:keepLines w:val="0"/>
              <w:pageBreakBefore w:val="0"/>
              <w:numPr>
                <w:ilvl w:val="0"/>
                <w:numId w:val="0"/>
              </w:numPr>
              <w:kinsoku/>
              <w:wordWrap/>
              <w:overflowPunct/>
              <w:topLinePunct w:val="0"/>
              <w:autoSpaceDE/>
              <w:autoSpaceDN/>
              <w:bidi w:val="0"/>
              <w:adjustRightInd/>
              <w:snapToGrid w:val="0"/>
              <w:spacing w:line="2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76AF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0CA93DDF">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078" w:type="dxa"/>
            <w:gridSpan w:val="8"/>
            <w:vAlign w:val="center"/>
          </w:tcPr>
          <w:p w14:paraId="72357A52">
            <w:pPr>
              <w:pStyle w:val="2"/>
              <w:keepNext w:val="0"/>
              <w:keepLines w:val="0"/>
              <w:pageBreakBefore w:val="0"/>
              <w:numPr>
                <w:ilvl w:val="0"/>
                <w:numId w:val="0"/>
              </w:numPr>
              <w:kinsoku/>
              <w:wordWrap/>
              <w:overflowPunct/>
              <w:topLinePunct w:val="0"/>
              <w:autoSpaceDE/>
              <w:autoSpaceDN/>
              <w:bidi w:val="0"/>
              <w:adjustRightInd/>
              <w:snapToGrid w:val="0"/>
              <w:spacing w:line="2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376A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0CF94426">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078" w:type="dxa"/>
            <w:gridSpan w:val="8"/>
            <w:vAlign w:val="center"/>
          </w:tcPr>
          <w:p w14:paraId="4ACE1534">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280" w:lineRule="exact"/>
              <w:ind w:firstLine="420" w:firstLineChars="200"/>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0D99E7DC">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280" w:lineRule="exact"/>
              <w:ind w:firstLine="420" w:firstLineChars="200"/>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35A0B90">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280" w:lineRule="exact"/>
              <w:ind w:left="0" w:leftChars="0" w:firstLine="420" w:firstLineChars="200"/>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30935AA4">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951"/>
        <w:gridCol w:w="950"/>
        <w:gridCol w:w="650"/>
        <w:gridCol w:w="3134"/>
        <w:gridCol w:w="683"/>
        <w:gridCol w:w="650"/>
        <w:gridCol w:w="733"/>
        <w:gridCol w:w="700"/>
        <w:gridCol w:w="734"/>
        <w:gridCol w:w="850"/>
        <w:gridCol w:w="3594"/>
      </w:tblGrid>
      <w:tr w14:paraId="4D93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4220" w:type="dxa"/>
            <w:gridSpan w:val="12"/>
            <w:vAlign w:val="center"/>
          </w:tcPr>
          <w:p w14:paraId="4F30BF62">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6 服务需求一览表</w:t>
            </w:r>
          </w:p>
        </w:tc>
      </w:tr>
      <w:tr w14:paraId="3EE5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08D5726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951" w:type="dxa"/>
            <w:vAlign w:val="center"/>
          </w:tcPr>
          <w:p w14:paraId="0665D3D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950" w:type="dxa"/>
            <w:vAlign w:val="center"/>
          </w:tcPr>
          <w:p w14:paraId="72753068">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650" w:type="dxa"/>
            <w:vAlign w:val="center"/>
          </w:tcPr>
          <w:p w14:paraId="7E3C4A9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3134" w:type="dxa"/>
            <w:vAlign w:val="center"/>
          </w:tcPr>
          <w:p w14:paraId="7BA5D03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683" w:type="dxa"/>
            <w:vAlign w:val="center"/>
          </w:tcPr>
          <w:p w14:paraId="7B1770F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650" w:type="dxa"/>
            <w:vAlign w:val="center"/>
          </w:tcPr>
          <w:p w14:paraId="1B481B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733" w:type="dxa"/>
            <w:vAlign w:val="center"/>
          </w:tcPr>
          <w:p w14:paraId="0EA2DF62">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700" w:type="dxa"/>
            <w:vAlign w:val="center"/>
          </w:tcPr>
          <w:p w14:paraId="7D20D27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734" w:type="dxa"/>
            <w:vAlign w:val="center"/>
          </w:tcPr>
          <w:p w14:paraId="711F672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3C8FCBA5">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850" w:type="dxa"/>
            <w:vAlign w:val="center"/>
          </w:tcPr>
          <w:p w14:paraId="68435AB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标段最高限价</w:t>
            </w: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594" w:type="dxa"/>
            <w:vAlign w:val="center"/>
          </w:tcPr>
          <w:p w14:paraId="3B23F07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7C18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5" w:hRule="atLeast"/>
        </w:trPr>
        <w:tc>
          <w:tcPr>
            <w:tcW w:w="591" w:type="dxa"/>
            <w:vMerge w:val="restart"/>
            <w:vAlign w:val="center"/>
          </w:tcPr>
          <w:p w14:paraId="3CD5ED7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951" w:type="dxa"/>
            <w:vAlign w:val="center"/>
          </w:tcPr>
          <w:p w14:paraId="7A0F82E2">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劳动教育骨干教师能力提升班</w:t>
            </w:r>
          </w:p>
        </w:tc>
        <w:tc>
          <w:tcPr>
            <w:tcW w:w="950" w:type="dxa"/>
            <w:vAlign w:val="center"/>
          </w:tcPr>
          <w:p w14:paraId="04903C87">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劳动教育骨干教师</w:t>
            </w:r>
          </w:p>
        </w:tc>
        <w:tc>
          <w:tcPr>
            <w:tcW w:w="650" w:type="dxa"/>
            <w:vAlign w:val="center"/>
          </w:tcPr>
          <w:p w14:paraId="3760E69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3134" w:type="dxa"/>
            <w:vAlign w:val="center"/>
          </w:tcPr>
          <w:p w14:paraId="6A24272A">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1.新时代劳动教育政策解读与理念创新；2.劳动教育课程开发与校本化实施策略；3.跨学科融合劳动项目设计与实践指导；4.劳动教育中的安全防护与风险应对；5.劳动素养多元评价体系构建与应用；6. AI技术在劳动教育课程资源开发中的应用；7.人工智能与劳动教育融合的课题研究方法；8.劳动教育典型案例分析与沙盘推演；9.家校社协同推进劳动教育的实践路径；10.教师劳动技能实操与教学基本功竞赛。</w:t>
            </w:r>
          </w:p>
        </w:tc>
        <w:tc>
          <w:tcPr>
            <w:tcW w:w="683" w:type="dxa"/>
            <w:vAlign w:val="center"/>
          </w:tcPr>
          <w:p w14:paraId="115602D0">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2989F21D">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014D51B8">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27E8D8A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740D26B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850" w:type="dxa"/>
            <w:vMerge w:val="restart"/>
            <w:vAlign w:val="center"/>
          </w:tcPr>
          <w:p w14:paraId="2C479A5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18</w:t>
            </w:r>
          </w:p>
        </w:tc>
        <w:tc>
          <w:tcPr>
            <w:tcW w:w="3594" w:type="dxa"/>
            <w:vAlign w:val="center"/>
          </w:tcPr>
          <w:p w14:paraId="717CB0E8">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师资要求：根据项目组建一支专兼职数量足、结构合理、水平高、熟悉劳动教育实践的培训专家团队，主要构成是副高技术职称以上专业技术人员，处级领导干部、专家学者，研究专长与申报项目（内容、领域）相一致，在全区范围内有一定的影响力。培训团队高级职称人数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0%，安排有区内专家和优秀教师。</w:t>
            </w:r>
          </w:p>
        </w:tc>
      </w:tr>
      <w:tr w14:paraId="39D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trPr>
        <w:tc>
          <w:tcPr>
            <w:tcW w:w="591" w:type="dxa"/>
            <w:vMerge w:val="continue"/>
            <w:vAlign w:val="center"/>
          </w:tcPr>
          <w:p w14:paraId="09E8A4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951" w:type="dxa"/>
            <w:vAlign w:val="center"/>
          </w:tcPr>
          <w:p w14:paraId="6140CD5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新时代幼儿园保教质量提升培训班</w:t>
            </w:r>
          </w:p>
        </w:tc>
        <w:tc>
          <w:tcPr>
            <w:tcW w:w="950" w:type="dxa"/>
            <w:vAlign w:val="center"/>
          </w:tcPr>
          <w:p w14:paraId="3E84C74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全市幼儿园保教主任、骨干教师</w:t>
            </w:r>
          </w:p>
        </w:tc>
        <w:tc>
          <w:tcPr>
            <w:tcW w:w="650" w:type="dxa"/>
            <w:vAlign w:val="center"/>
          </w:tcPr>
          <w:p w14:paraId="000FBB9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20</w:t>
            </w:r>
          </w:p>
        </w:tc>
        <w:tc>
          <w:tcPr>
            <w:tcW w:w="3134" w:type="dxa"/>
            <w:vAlign w:val="center"/>
          </w:tcPr>
          <w:p w14:paraId="684ACBE8">
            <w:pPr>
              <w:keepNext w:val="0"/>
              <w:keepLines w:val="0"/>
              <w:pageBreakBefore w:val="0"/>
              <w:widowControl w:val="0"/>
              <w:kinsoku/>
              <w:wordWrap/>
              <w:overflowPunct/>
              <w:topLinePunct w:val="0"/>
              <w:autoSpaceDE/>
              <w:autoSpaceDN/>
              <w:bidi w:val="0"/>
              <w:adjustRightInd/>
              <w:snapToGrid w:val="0"/>
              <w:spacing w:line="320" w:lineRule="exact"/>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习近平总书记关于教育的重要论述</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师德师风建设；</w:t>
            </w:r>
            <w:r>
              <w:rPr>
                <w:rFonts w:hint="eastAsia" w:asciiTheme="minorEastAsia" w:hAnsiTheme="minorEastAsia" w:eastAsiaTheme="minorEastAsia" w:cstheme="minorEastAsia"/>
                <w:kern w:val="0"/>
                <w:sz w:val="21"/>
                <w:szCs w:val="21"/>
                <w:lang w:val="en-US" w:eastAsia="zh-CN"/>
              </w:rPr>
              <w:t>3.意识形态教育；4.</w:t>
            </w:r>
            <w:r>
              <w:rPr>
                <w:rFonts w:hint="eastAsia" w:asciiTheme="minorEastAsia" w:hAnsiTheme="minorEastAsia" w:eastAsiaTheme="minorEastAsia" w:cstheme="minorEastAsia"/>
                <w:kern w:val="0"/>
                <w:sz w:val="21"/>
                <w:szCs w:val="21"/>
              </w:rPr>
              <w:t>新时代教师职业行为十项准则</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5.</w:t>
            </w:r>
            <w:r>
              <w:rPr>
                <w:rFonts w:hint="eastAsia" w:asciiTheme="minorEastAsia" w:hAnsiTheme="minorEastAsia" w:eastAsiaTheme="minorEastAsia" w:cstheme="minorEastAsia"/>
                <w:kern w:val="0"/>
                <w:sz w:val="21"/>
                <w:szCs w:val="21"/>
                <w:lang w:eastAsia="zh-CN"/>
              </w:rPr>
              <w:t>落实科学保教理念，聚焦评估活动组织、师幼互动、家园共育等过程质量的核心内容，学习幼儿园保教质量自我评估与持续改进方法；</w:t>
            </w:r>
            <w:r>
              <w:rPr>
                <w:rFonts w:hint="eastAsia" w:asciiTheme="minorEastAsia" w:hAnsiTheme="minorEastAsia" w:eastAsiaTheme="minorEastAsia" w:cstheme="minorEastAsia"/>
                <w:kern w:val="0"/>
                <w:sz w:val="21"/>
                <w:szCs w:val="21"/>
                <w:lang w:val="en-US" w:eastAsia="zh-CN"/>
              </w:rPr>
              <w:t>6.</w:t>
            </w:r>
            <w:r>
              <w:rPr>
                <w:rFonts w:hint="eastAsia" w:asciiTheme="minorEastAsia" w:hAnsiTheme="minorEastAsia" w:eastAsiaTheme="minorEastAsia" w:cstheme="minorEastAsia"/>
                <w:kern w:val="0"/>
                <w:sz w:val="21"/>
                <w:szCs w:val="21"/>
              </w:rPr>
              <w:t>自主游戏观察与指导；</w:t>
            </w:r>
            <w:r>
              <w:rPr>
                <w:rFonts w:hint="eastAsia" w:asciiTheme="minorEastAsia" w:hAnsiTheme="minorEastAsia" w:eastAsiaTheme="minorEastAsia" w:cstheme="minorEastAsia"/>
                <w:kern w:val="0"/>
                <w:sz w:val="21"/>
                <w:szCs w:val="21"/>
                <w:lang w:val="en-US" w:eastAsia="zh-CN"/>
              </w:rPr>
              <w:t>7.</w:t>
            </w:r>
            <w:r>
              <w:rPr>
                <w:rFonts w:hint="eastAsia" w:asciiTheme="minorEastAsia" w:hAnsiTheme="minorEastAsia" w:eastAsiaTheme="minorEastAsia" w:cstheme="minorEastAsia"/>
                <w:kern w:val="0"/>
                <w:sz w:val="21"/>
                <w:szCs w:val="21"/>
              </w:rPr>
              <w:t>示范课展示和案例研讨。</w:t>
            </w:r>
          </w:p>
        </w:tc>
        <w:tc>
          <w:tcPr>
            <w:tcW w:w="683" w:type="dxa"/>
            <w:vAlign w:val="center"/>
          </w:tcPr>
          <w:p w14:paraId="0A023077">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6040050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6BBFC862">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1CF7E151">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73599C9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w:t>
            </w:r>
          </w:p>
        </w:tc>
        <w:tc>
          <w:tcPr>
            <w:tcW w:w="850" w:type="dxa"/>
            <w:vMerge w:val="continue"/>
            <w:vAlign w:val="center"/>
          </w:tcPr>
          <w:p w14:paraId="142877F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594" w:type="dxa"/>
            <w:vAlign w:val="center"/>
          </w:tcPr>
          <w:p w14:paraId="0C5B087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授课师资：根据项目组建一支专兼职数量足、结构合理、水平高、熟悉幼儿园保教实践的培训专家团队。实行首席专家制度，学科首席专家</w:t>
            </w:r>
            <w:r>
              <w:rPr>
                <w:rFonts w:hint="eastAsia" w:asciiTheme="minorEastAsia" w:hAnsiTheme="minorEastAsia" w:eastAsiaTheme="minorEastAsia" w:cstheme="minorEastAsia"/>
                <w:color w:val="000000"/>
                <w:sz w:val="21"/>
                <w:szCs w:val="21"/>
                <w:lang w:eastAsia="zh-CN"/>
              </w:rPr>
              <w:t>是</w:t>
            </w:r>
            <w:r>
              <w:rPr>
                <w:rFonts w:hint="eastAsia" w:asciiTheme="minorEastAsia" w:hAnsiTheme="minorEastAsia" w:eastAsiaTheme="minorEastAsia" w:cstheme="minorEastAsia"/>
                <w:color w:val="000000"/>
                <w:sz w:val="21"/>
                <w:szCs w:val="21"/>
              </w:rPr>
              <w:t>高级职称以上</w:t>
            </w:r>
            <w:r>
              <w:rPr>
                <w:rFonts w:hint="eastAsia" w:asciiTheme="minorEastAsia" w:hAnsiTheme="minorEastAsia" w:eastAsiaTheme="minorEastAsia" w:cstheme="minorEastAsia"/>
                <w:color w:val="000000"/>
                <w:sz w:val="21"/>
                <w:szCs w:val="21"/>
                <w:lang w:eastAsia="zh-CN"/>
              </w:rPr>
              <w:t>专业技术人员</w:t>
            </w:r>
            <w:r>
              <w:rPr>
                <w:rFonts w:hint="eastAsia" w:asciiTheme="minorEastAsia" w:hAnsiTheme="minorEastAsia" w:eastAsiaTheme="minorEastAsia" w:cstheme="minorEastAsia"/>
                <w:color w:val="000000"/>
                <w:sz w:val="21"/>
                <w:szCs w:val="21"/>
              </w:rPr>
              <w:t>，研究专长与申报项目（内容、领域）相一致，有较深的学术造诣，在全区范围内有一定的影响力。培训团队高级职称人数不少于60%，幼儿园一线优秀教师和教研员不少于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0%，安排有省外专家和优秀教师，要优先遴选区培专家库专家</w:t>
            </w:r>
            <w:r>
              <w:rPr>
                <w:rFonts w:hint="eastAsia" w:asciiTheme="minorEastAsia" w:hAnsiTheme="minorEastAsia" w:eastAsiaTheme="minorEastAsia" w:cstheme="minorEastAsia"/>
                <w:color w:val="000000"/>
                <w:sz w:val="21"/>
                <w:szCs w:val="21"/>
                <w:lang w:eastAsia="zh-CN"/>
              </w:rPr>
              <w:t>。</w:t>
            </w:r>
          </w:p>
        </w:tc>
      </w:tr>
      <w:tr w14:paraId="04DA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591" w:type="dxa"/>
            <w:vMerge w:val="continue"/>
            <w:vAlign w:val="center"/>
          </w:tcPr>
          <w:p w14:paraId="3F280CB1">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951" w:type="dxa"/>
            <w:vAlign w:val="center"/>
          </w:tcPr>
          <w:p w14:paraId="1D127C2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全市特殊教育融合教育培训班</w:t>
            </w:r>
          </w:p>
        </w:tc>
        <w:tc>
          <w:tcPr>
            <w:tcW w:w="950" w:type="dxa"/>
            <w:vAlign w:val="center"/>
          </w:tcPr>
          <w:p w14:paraId="3923A7E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全市中小学校、特殊教育学校骨干教师</w:t>
            </w:r>
          </w:p>
        </w:tc>
        <w:tc>
          <w:tcPr>
            <w:tcW w:w="650" w:type="dxa"/>
            <w:vAlign w:val="center"/>
          </w:tcPr>
          <w:p w14:paraId="6B654AE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20</w:t>
            </w:r>
          </w:p>
        </w:tc>
        <w:tc>
          <w:tcPr>
            <w:tcW w:w="3134" w:type="dxa"/>
            <w:vAlign w:val="center"/>
          </w:tcPr>
          <w:p w14:paraId="3F45CA72">
            <w:pPr>
              <w:keepNext w:val="0"/>
              <w:keepLines w:val="0"/>
              <w:pageBreakBefore w:val="0"/>
              <w:widowControl w:val="0"/>
              <w:kinsoku/>
              <w:wordWrap/>
              <w:overflowPunct/>
              <w:topLinePunct w:val="0"/>
              <w:autoSpaceDE/>
              <w:autoSpaceDN/>
              <w:bidi w:val="0"/>
              <w:adjustRightInd/>
              <w:snapToGrid w:val="0"/>
              <w:spacing w:line="320" w:lineRule="exact"/>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习近平总书记关于教育的重要论述</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师德师风建设；</w:t>
            </w:r>
            <w:r>
              <w:rPr>
                <w:rFonts w:hint="eastAsia" w:asciiTheme="minorEastAsia" w:hAnsiTheme="minorEastAsia" w:eastAsiaTheme="minorEastAsia" w:cstheme="minorEastAsia"/>
                <w:kern w:val="0"/>
                <w:sz w:val="21"/>
                <w:szCs w:val="21"/>
                <w:lang w:val="en-US" w:eastAsia="zh-CN"/>
              </w:rPr>
              <w:t>3.意识形态教育；4.系统解读国家及地方融合教育政策；5.学习《“十四五”特殊教育发展提升行动计划》；6.特殊教育发展新进展与新形势；7.学习普特融合课堂的差异化教学方法与评估策略；8.典型案例分享与交流研。</w:t>
            </w:r>
          </w:p>
        </w:tc>
        <w:tc>
          <w:tcPr>
            <w:tcW w:w="683" w:type="dxa"/>
            <w:vAlign w:val="center"/>
          </w:tcPr>
          <w:p w14:paraId="170AA03F">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4E166458">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4FC429ED">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1838E4A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1783958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w:t>
            </w:r>
          </w:p>
        </w:tc>
        <w:tc>
          <w:tcPr>
            <w:tcW w:w="850" w:type="dxa"/>
            <w:vMerge w:val="continue"/>
            <w:vAlign w:val="center"/>
          </w:tcPr>
          <w:p w14:paraId="2E800E6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594" w:type="dxa"/>
            <w:vAlign w:val="center"/>
          </w:tcPr>
          <w:p w14:paraId="4CFA885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授课师资：根据项目组建一支专兼职数量足、结构合理、水平高、熟悉特殊教育（融合教育）教学实践的培训专家团队。实行首席专家制度，学科首席专家是高级职称以上专业技术人员，研究专长与申报项目（内容、领域）相一致，在全区范围内有一定的影响力。培训团队高级职称人数不少于60%，特殊教育（融合教育）一线优秀教师</w:t>
            </w:r>
            <w:r>
              <w:rPr>
                <w:rFonts w:hint="eastAsia" w:asciiTheme="minorEastAsia" w:hAnsiTheme="minorEastAsia" w:eastAsiaTheme="minorEastAsia" w:cstheme="minorEastAsia"/>
                <w:color w:val="000000"/>
                <w:sz w:val="21"/>
                <w:szCs w:val="21"/>
                <w:lang w:eastAsia="zh-CN"/>
              </w:rPr>
              <w:t>占比</w:t>
            </w:r>
            <w:r>
              <w:rPr>
                <w:rFonts w:hint="eastAsia" w:asciiTheme="minorEastAsia" w:hAnsiTheme="minorEastAsia" w:eastAsiaTheme="minorEastAsia" w:cstheme="minorEastAsia"/>
                <w:color w:val="000000"/>
                <w:sz w:val="21"/>
                <w:szCs w:val="21"/>
              </w:rPr>
              <w:t>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0%。优先遴选区培专家库专家。</w:t>
            </w:r>
          </w:p>
          <w:p w14:paraId="1682322A">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r>
      <w:tr w14:paraId="51BD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2"/>
            <w:vAlign w:val="center"/>
          </w:tcPr>
          <w:p w14:paraId="5E4647AF">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7556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68C1696D">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078" w:type="dxa"/>
            <w:gridSpan w:val="8"/>
            <w:vAlign w:val="center"/>
          </w:tcPr>
          <w:p w14:paraId="0ACB6B83">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4B52F7A8">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5FAB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597F0DCB">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078" w:type="dxa"/>
            <w:gridSpan w:val="8"/>
            <w:vAlign w:val="center"/>
          </w:tcPr>
          <w:p w14:paraId="25E80B4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7321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4F970D91">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078" w:type="dxa"/>
            <w:gridSpan w:val="8"/>
            <w:vAlign w:val="center"/>
          </w:tcPr>
          <w:p w14:paraId="2C4D364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0D81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5A0C3FA5">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078" w:type="dxa"/>
            <w:gridSpan w:val="8"/>
            <w:vAlign w:val="center"/>
          </w:tcPr>
          <w:p w14:paraId="416F4784">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6692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3082F78F">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078" w:type="dxa"/>
            <w:gridSpan w:val="8"/>
            <w:vAlign w:val="center"/>
          </w:tcPr>
          <w:p w14:paraId="5590AE0A">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0866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1C3CE4A6">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078" w:type="dxa"/>
            <w:gridSpan w:val="8"/>
            <w:vAlign w:val="center"/>
          </w:tcPr>
          <w:p w14:paraId="2B674689">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1D80E526">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CC7A59B">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20F4970A">
      <w:pPr>
        <w:pStyle w:val="43"/>
        <w:pageBreakBefore w:val="0"/>
        <w:kinsoku/>
        <w:wordWrap/>
        <w:overflowPunct/>
        <w:topLinePunct w:val="0"/>
        <w:autoSpaceDE/>
        <w:autoSpaceDN/>
        <w:bidi w:val="0"/>
        <w:adjustRightInd/>
        <w:spacing w:line="380" w:lineRule="exact"/>
        <w:rPr>
          <w:rFonts w:hint="eastAsia"/>
          <w:lang w:eastAsia="zh-CN"/>
        </w:rPr>
      </w:pPr>
    </w:p>
    <w:p w14:paraId="417FFFB9">
      <w:pPr>
        <w:pStyle w:val="43"/>
        <w:pageBreakBefore w:val="0"/>
        <w:kinsoku/>
        <w:wordWrap/>
        <w:overflowPunct/>
        <w:topLinePunct w:val="0"/>
        <w:autoSpaceDE/>
        <w:autoSpaceDN/>
        <w:bidi w:val="0"/>
        <w:adjustRightInd/>
        <w:spacing w:line="380" w:lineRule="exact"/>
        <w:rPr>
          <w:rFonts w:hint="eastAsia"/>
          <w:lang w:eastAsia="zh-CN"/>
        </w:rPr>
      </w:pPr>
    </w:p>
    <w:p w14:paraId="775F6310">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951"/>
        <w:gridCol w:w="950"/>
        <w:gridCol w:w="650"/>
        <w:gridCol w:w="2184"/>
        <w:gridCol w:w="672"/>
        <w:gridCol w:w="850"/>
        <w:gridCol w:w="917"/>
        <w:gridCol w:w="911"/>
        <w:gridCol w:w="783"/>
        <w:gridCol w:w="1083"/>
        <w:gridCol w:w="3678"/>
      </w:tblGrid>
      <w:tr w14:paraId="1B09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2"/>
            <w:vAlign w:val="center"/>
          </w:tcPr>
          <w:p w14:paraId="59C930B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分标</w:t>
            </w:r>
            <w:r>
              <w:rPr>
                <w:rFonts w:hint="eastAsia" w:asciiTheme="minorEastAsia" w:hAnsiTheme="minorEastAsia" w:eastAsiaTheme="minorEastAsia" w:cstheme="minorEastAsia"/>
                <w:b/>
                <w:bCs/>
                <w:sz w:val="28"/>
                <w:szCs w:val="28"/>
                <w:lang w:val="en-US" w:eastAsia="zh-CN"/>
              </w:rPr>
              <w:t>7 服务需求一览表</w:t>
            </w:r>
          </w:p>
        </w:tc>
      </w:tr>
      <w:tr w14:paraId="01A6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7B6EEBCF">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951" w:type="dxa"/>
            <w:vAlign w:val="center"/>
          </w:tcPr>
          <w:p w14:paraId="0158A89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950" w:type="dxa"/>
            <w:vAlign w:val="center"/>
          </w:tcPr>
          <w:p w14:paraId="7DABB44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650" w:type="dxa"/>
            <w:vAlign w:val="center"/>
          </w:tcPr>
          <w:p w14:paraId="031869F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184" w:type="dxa"/>
            <w:vAlign w:val="center"/>
          </w:tcPr>
          <w:p w14:paraId="75E3FE8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672" w:type="dxa"/>
            <w:vAlign w:val="center"/>
          </w:tcPr>
          <w:p w14:paraId="3D179AE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850" w:type="dxa"/>
            <w:vAlign w:val="center"/>
          </w:tcPr>
          <w:p w14:paraId="5E600CC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917" w:type="dxa"/>
            <w:vAlign w:val="center"/>
          </w:tcPr>
          <w:p w14:paraId="6E0C8FE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911" w:type="dxa"/>
            <w:vAlign w:val="center"/>
          </w:tcPr>
          <w:p w14:paraId="0C2DA8F1">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783" w:type="dxa"/>
            <w:vAlign w:val="center"/>
          </w:tcPr>
          <w:p w14:paraId="6BFB869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698C0BE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1083" w:type="dxa"/>
            <w:vAlign w:val="center"/>
          </w:tcPr>
          <w:p w14:paraId="69EA1B7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标段最高限价</w:t>
            </w: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678" w:type="dxa"/>
            <w:vAlign w:val="center"/>
          </w:tcPr>
          <w:p w14:paraId="36E287A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065F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591" w:type="dxa"/>
            <w:vAlign w:val="center"/>
          </w:tcPr>
          <w:p w14:paraId="53A9C35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951" w:type="dxa"/>
            <w:vAlign w:val="center"/>
          </w:tcPr>
          <w:p w14:paraId="6D84CCE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高中政治历史学科</w:t>
            </w:r>
            <w:r>
              <w:rPr>
                <w:rFonts w:hint="eastAsia" w:asciiTheme="minorEastAsia" w:hAnsiTheme="minorEastAsia" w:eastAsiaTheme="minorEastAsia" w:cstheme="minorEastAsia"/>
                <w:color w:val="000000"/>
                <w:sz w:val="21"/>
                <w:szCs w:val="21"/>
                <w:lang w:eastAsia="zh-CN"/>
              </w:rPr>
              <w:t>命</w:t>
            </w:r>
            <w:r>
              <w:rPr>
                <w:rFonts w:hint="eastAsia" w:asciiTheme="minorEastAsia" w:hAnsiTheme="minorEastAsia" w:eastAsiaTheme="minorEastAsia" w:cstheme="minorEastAsia"/>
                <w:color w:val="000000"/>
                <w:sz w:val="21"/>
                <w:szCs w:val="21"/>
              </w:rPr>
              <w:t>题素养能力提升研修班</w:t>
            </w:r>
          </w:p>
        </w:tc>
        <w:tc>
          <w:tcPr>
            <w:tcW w:w="950" w:type="dxa"/>
            <w:vAlign w:val="center"/>
          </w:tcPr>
          <w:p w14:paraId="35E6C58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普通高中政治、历史骨干教师</w:t>
            </w:r>
          </w:p>
        </w:tc>
        <w:tc>
          <w:tcPr>
            <w:tcW w:w="650" w:type="dxa"/>
            <w:vAlign w:val="center"/>
          </w:tcPr>
          <w:p w14:paraId="650C78E0">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184" w:type="dxa"/>
            <w:vAlign w:val="center"/>
          </w:tcPr>
          <w:p w14:paraId="27AA7059">
            <w:pPr>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一、</w:t>
            </w:r>
            <w:r>
              <w:rPr>
                <w:rFonts w:hint="eastAsia" w:asciiTheme="minorEastAsia" w:hAnsiTheme="minorEastAsia" w:eastAsiaTheme="minorEastAsia" w:cstheme="minorEastAsia"/>
                <w:b w:val="0"/>
                <w:bCs w:val="0"/>
                <w:color w:val="000000"/>
                <w:sz w:val="21"/>
                <w:szCs w:val="21"/>
                <w:lang w:eastAsia="zh-CN"/>
              </w:rPr>
              <w:t>全员综合通识培训授课内容：文科综合新高考命题政策、素养立意命题通用理论框架；主观题命题底层逻辑、试题质量评价通用规范、原创命题通用流程；史政学科育人目标、情境化试题设计通用技巧。</w:t>
            </w:r>
          </w:p>
          <w:p w14:paraId="7A6ED355">
            <w:pPr>
              <w:pStyle w:val="5"/>
              <w:keepNext/>
              <w:keepLines/>
              <w:pageBreakBefore w:val="0"/>
              <w:widowControl w:val="0"/>
              <w:numPr>
                <w:ilvl w:val="0"/>
                <w:numId w:val="0"/>
              </w:numPr>
              <w:kinsoku/>
              <w:wordWrap/>
              <w:overflowPunct/>
              <w:topLinePunct w:val="0"/>
              <w:autoSpaceDE/>
              <w:autoSpaceDN/>
              <w:bidi w:val="0"/>
              <w:adjustRightInd/>
              <w:snapToGrid w:val="0"/>
              <w:spacing w:before="0" w:after="0" w:line="380" w:lineRule="exact"/>
              <w:ind w:left="0" w:leftChars="0" w:firstLine="0" w:firstLineChars="0"/>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sz w:val="21"/>
                <w:szCs w:val="21"/>
                <w:lang w:val="en-US" w:eastAsia="zh-CN"/>
              </w:rPr>
              <w:t xml:space="preserve">    二、分科培训内容。1.政治学科：政治学科课标、时政情境命题、主观题原创命题实操；高考政治真题解构、校本命题资源开发。2.历史学科：历史时空观念类试题设计、史料类原创命题实操；高考历史真题解构、材料分析题型打磨规范。</w:t>
            </w:r>
          </w:p>
        </w:tc>
        <w:tc>
          <w:tcPr>
            <w:tcW w:w="672" w:type="dxa"/>
            <w:vAlign w:val="center"/>
          </w:tcPr>
          <w:p w14:paraId="52BC4819">
            <w:pPr>
              <w:pageBreakBefore w:val="0"/>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集中培训</w:t>
            </w:r>
            <w:r>
              <w:rPr>
                <w:rFonts w:hint="eastAsia" w:asciiTheme="minorEastAsia" w:hAnsiTheme="minorEastAsia" w:eastAsiaTheme="minorEastAsia" w:cstheme="minorEastAsia"/>
                <w:sz w:val="21"/>
                <w:szCs w:val="21"/>
                <w:lang w:val="en-US" w:eastAsia="zh-CN"/>
              </w:rPr>
              <w:t>4天</w:t>
            </w:r>
            <w:r>
              <w:rPr>
                <w:rFonts w:hint="eastAsia" w:asciiTheme="minorEastAsia" w:hAnsiTheme="minorEastAsia" w:eastAsiaTheme="minorEastAsia" w:cstheme="minorEastAsia"/>
                <w:sz w:val="21"/>
                <w:szCs w:val="21"/>
              </w:rPr>
              <w:t>+跟岗研修</w:t>
            </w:r>
            <w:r>
              <w:rPr>
                <w:rFonts w:hint="eastAsia" w:asciiTheme="minorEastAsia" w:hAnsiTheme="minorEastAsia" w:eastAsiaTheme="minorEastAsia" w:cstheme="minorEastAsia"/>
                <w:sz w:val="21"/>
                <w:szCs w:val="21"/>
                <w:lang w:eastAsia="zh-CN"/>
              </w:rPr>
              <w:t>半</w:t>
            </w:r>
            <w:r>
              <w:rPr>
                <w:rFonts w:hint="eastAsia" w:asciiTheme="minorEastAsia" w:hAnsiTheme="minorEastAsia" w:eastAsiaTheme="minorEastAsia" w:cstheme="minorEastAsia"/>
                <w:sz w:val="21"/>
                <w:szCs w:val="21"/>
                <w:lang w:val="en-US" w:eastAsia="zh-CN"/>
              </w:rPr>
              <w:t>天</w:t>
            </w:r>
          </w:p>
        </w:tc>
        <w:tc>
          <w:tcPr>
            <w:tcW w:w="850" w:type="dxa"/>
            <w:vAlign w:val="center"/>
          </w:tcPr>
          <w:p w14:paraId="1C97AE1A">
            <w:pPr>
              <w:pageBreakBefore w:val="0"/>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917" w:type="dxa"/>
            <w:vAlign w:val="center"/>
          </w:tcPr>
          <w:p w14:paraId="4CFA6F8C">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区内（桂林）</w:t>
            </w:r>
          </w:p>
        </w:tc>
        <w:tc>
          <w:tcPr>
            <w:tcW w:w="911" w:type="dxa"/>
            <w:vAlign w:val="center"/>
          </w:tcPr>
          <w:p w14:paraId="18EFFCA9">
            <w:pPr>
              <w:pageBreakBefore w:val="0"/>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83" w:type="dxa"/>
            <w:vAlign w:val="center"/>
          </w:tcPr>
          <w:p w14:paraId="29D354C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1083" w:type="dxa"/>
            <w:vAlign w:val="center"/>
          </w:tcPr>
          <w:p w14:paraId="599B46D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3678" w:type="dxa"/>
            <w:vAlign w:val="center"/>
          </w:tcPr>
          <w:p w14:paraId="1F2C702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1FD927C8">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二、</w:t>
            </w:r>
            <w:r>
              <w:rPr>
                <w:rFonts w:hint="eastAsia" w:asciiTheme="minorEastAsia" w:hAnsiTheme="minorEastAsia" w:eastAsiaTheme="minorEastAsia" w:cstheme="minorEastAsia"/>
                <w:b/>
                <w:bCs/>
                <w:color w:val="000000"/>
                <w:sz w:val="21"/>
                <w:szCs w:val="21"/>
              </w:rPr>
              <w:t>师资要求</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b/>
                <w:bCs/>
                <w:color w:val="000000"/>
                <w:sz w:val="21"/>
                <w:szCs w:val="21"/>
              </w:rPr>
              <w:t>（一）全员综合通识培训</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eastAsia="zh-CN"/>
              </w:rPr>
              <w:t>政史教研处级管理干部、高考文综命题研究专家（副高及以上）</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b/>
                <w:bCs/>
                <w:color w:val="000000"/>
                <w:sz w:val="21"/>
                <w:szCs w:val="21"/>
              </w:rPr>
              <w:t>（二）分学科</w:t>
            </w:r>
            <w:r>
              <w:rPr>
                <w:rFonts w:hint="eastAsia" w:asciiTheme="minorEastAsia" w:hAnsiTheme="minorEastAsia" w:eastAsiaTheme="minorEastAsia" w:cstheme="minorEastAsia"/>
                <w:color w:val="000000"/>
                <w:sz w:val="21"/>
                <w:szCs w:val="21"/>
              </w:rPr>
              <w:t>：1.</w:t>
            </w:r>
            <w:r>
              <w:rPr>
                <w:rFonts w:hint="eastAsia" w:asciiTheme="minorEastAsia" w:hAnsiTheme="minorEastAsia" w:eastAsiaTheme="minorEastAsia" w:cstheme="minorEastAsia"/>
                <w:b/>
                <w:bCs/>
                <w:color w:val="000000"/>
                <w:sz w:val="21"/>
                <w:szCs w:val="21"/>
                <w:lang w:eastAsia="zh-CN"/>
              </w:rPr>
              <w:t>政治</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，高中政治副高 / 正高级学科命题专家；2.</w:t>
            </w:r>
            <w:r>
              <w:rPr>
                <w:rFonts w:hint="eastAsia" w:asciiTheme="minorEastAsia" w:hAnsiTheme="minorEastAsia" w:eastAsiaTheme="minorEastAsia" w:cstheme="minorEastAsia"/>
                <w:b/>
                <w:bCs/>
                <w:color w:val="000000"/>
                <w:sz w:val="21"/>
                <w:szCs w:val="21"/>
                <w:lang w:eastAsia="zh-CN"/>
              </w:rPr>
              <w:t>历史</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，高中</w:t>
            </w:r>
            <w:r>
              <w:rPr>
                <w:rFonts w:hint="eastAsia" w:asciiTheme="minorEastAsia" w:hAnsiTheme="minorEastAsia" w:eastAsiaTheme="minorEastAsia" w:cstheme="minorEastAsia"/>
                <w:color w:val="000000"/>
                <w:sz w:val="21"/>
                <w:szCs w:val="21"/>
                <w:lang w:eastAsia="zh-CN"/>
              </w:rPr>
              <w:t>历史</w:t>
            </w:r>
            <w:r>
              <w:rPr>
                <w:rFonts w:hint="eastAsia" w:asciiTheme="minorEastAsia" w:hAnsiTheme="minorEastAsia" w:eastAsiaTheme="minorEastAsia" w:cstheme="minorEastAsia"/>
                <w:color w:val="000000"/>
                <w:sz w:val="21"/>
                <w:szCs w:val="21"/>
              </w:rPr>
              <w:t>副高 / 正高级学科命题专家。</w:t>
            </w:r>
          </w:p>
          <w:p w14:paraId="77BF5ABD">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2"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rPr>
              <w:t>三、进校跟岗学校研修要求：</w:t>
            </w:r>
            <w:r>
              <w:rPr>
                <w:rFonts w:hint="eastAsia" w:asciiTheme="minorEastAsia" w:hAnsiTheme="minorEastAsia" w:eastAsiaTheme="minorEastAsia" w:cstheme="minorEastAsia"/>
                <w:color w:val="000000"/>
                <w:sz w:val="21"/>
                <w:szCs w:val="21"/>
              </w:rPr>
              <w:t>（一）</w:t>
            </w:r>
            <w:r>
              <w:rPr>
                <w:rFonts w:hint="eastAsia" w:asciiTheme="minorEastAsia" w:hAnsiTheme="minorEastAsia" w:eastAsiaTheme="minorEastAsia" w:cstheme="minorEastAsia"/>
                <w:b/>
                <w:bCs/>
                <w:color w:val="000000"/>
                <w:sz w:val="21"/>
                <w:szCs w:val="21"/>
                <w:lang w:eastAsia="zh-CN"/>
              </w:rPr>
              <w:t>政治</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：桂林市内示范性高中（思政学科命题教研示范校），观摩时政情境试题研发、模考命题研讨全过程。（二）</w:t>
            </w:r>
            <w:r>
              <w:rPr>
                <w:rFonts w:hint="eastAsia" w:asciiTheme="minorEastAsia" w:hAnsiTheme="minorEastAsia" w:eastAsiaTheme="minorEastAsia" w:cstheme="minorEastAsia"/>
                <w:b/>
                <w:bCs/>
                <w:color w:val="000000"/>
                <w:sz w:val="21"/>
                <w:szCs w:val="21"/>
                <w:lang w:eastAsia="zh-CN"/>
              </w:rPr>
              <w:t>历史</w:t>
            </w:r>
            <w:r>
              <w:rPr>
                <w:rFonts w:hint="eastAsia" w:asciiTheme="minorEastAsia" w:hAnsiTheme="minorEastAsia" w:eastAsiaTheme="minorEastAsia" w:cstheme="minorEastAsia"/>
                <w:b/>
                <w:bCs/>
                <w:color w:val="000000"/>
                <w:sz w:val="21"/>
                <w:szCs w:val="21"/>
              </w:rPr>
              <w:t>学科</w:t>
            </w:r>
            <w:r>
              <w:rPr>
                <w:rFonts w:hint="eastAsia" w:asciiTheme="minorEastAsia" w:hAnsiTheme="minorEastAsia" w:eastAsiaTheme="minorEastAsia" w:cstheme="minorEastAsia"/>
                <w:color w:val="000000"/>
                <w:sz w:val="21"/>
                <w:szCs w:val="21"/>
              </w:rPr>
              <w:t>：桂林市内示范性高中（历史史料命题特色校），学习史料类原创试题设计、历史主观题命题打磨实操训练。</w:t>
            </w:r>
          </w:p>
          <w:p w14:paraId="66B417F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p>
        </w:tc>
      </w:tr>
      <w:tr w14:paraId="36A8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2"/>
            <w:vAlign w:val="center"/>
          </w:tcPr>
          <w:p w14:paraId="2FD5AF45">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6833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608761A8">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078" w:type="dxa"/>
            <w:gridSpan w:val="8"/>
            <w:vAlign w:val="center"/>
          </w:tcPr>
          <w:p w14:paraId="204E0863">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2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029FB5AC">
            <w:pPr>
              <w:pStyle w:val="2"/>
              <w:keepNext w:val="0"/>
              <w:keepLines w:val="0"/>
              <w:pageBreakBefore w:val="0"/>
              <w:numPr>
                <w:ilvl w:val="0"/>
                <w:numId w:val="0"/>
              </w:numPr>
              <w:kinsoku/>
              <w:wordWrap/>
              <w:overflowPunct/>
              <w:topLinePunct w:val="0"/>
              <w:autoSpaceDE/>
              <w:autoSpaceDN/>
              <w:bidi w:val="0"/>
              <w:adjustRightInd/>
              <w:snapToGrid w:val="0"/>
              <w:spacing w:line="32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5C97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43C763E4">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078" w:type="dxa"/>
            <w:gridSpan w:val="8"/>
            <w:vAlign w:val="center"/>
          </w:tcPr>
          <w:p w14:paraId="04B5220E">
            <w:pPr>
              <w:pStyle w:val="2"/>
              <w:keepNext w:val="0"/>
              <w:keepLines w:val="0"/>
              <w:pageBreakBefore w:val="0"/>
              <w:numPr>
                <w:ilvl w:val="0"/>
                <w:numId w:val="0"/>
              </w:numPr>
              <w:kinsoku/>
              <w:wordWrap/>
              <w:overflowPunct/>
              <w:topLinePunct w:val="0"/>
              <w:autoSpaceDE/>
              <w:autoSpaceDN/>
              <w:bidi w:val="0"/>
              <w:adjustRightInd/>
              <w:snapToGrid w:val="0"/>
              <w:spacing w:line="32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1162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18166965">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078" w:type="dxa"/>
            <w:gridSpan w:val="8"/>
            <w:vAlign w:val="center"/>
          </w:tcPr>
          <w:p w14:paraId="5D9A976D">
            <w:pPr>
              <w:pStyle w:val="2"/>
              <w:keepNext w:val="0"/>
              <w:keepLines w:val="0"/>
              <w:pageBreakBefore w:val="0"/>
              <w:numPr>
                <w:ilvl w:val="0"/>
                <w:numId w:val="0"/>
              </w:numPr>
              <w:kinsoku/>
              <w:wordWrap/>
              <w:overflowPunct/>
              <w:topLinePunct w:val="0"/>
              <w:autoSpaceDE/>
              <w:autoSpaceDN/>
              <w:bidi w:val="0"/>
              <w:adjustRightInd/>
              <w:snapToGrid w:val="0"/>
              <w:spacing w:line="32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64F1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36E7A8EB">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078" w:type="dxa"/>
            <w:gridSpan w:val="8"/>
            <w:vAlign w:val="center"/>
          </w:tcPr>
          <w:p w14:paraId="255BF4D4">
            <w:pPr>
              <w:pStyle w:val="2"/>
              <w:keepNext w:val="0"/>
              <w:keepLines w:val="0"/>
              <w:pageBreakBefore w:val="0"/>
              <w:numPr>
                <w:ilvl w:val="0"/>
                <w:numId w:val="0"/>
              </w:numPr>
              <w:kinsoku/>
              <w:wordWrap/>
              <w:overflowPunct/>
              <w:topLinePunct w:val="0"/>
              <w:autoSpaceDE/>
              <w:autoSpaceDN/>
              <w:bidi w:val="0"/>
              <w:adjustRightInd/>
              <w:snapToGrid w:val="0"/>
              <w:spacing w:line="32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72E3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08C1A0C3">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078" w:type="dxa"/>
            <w:gridSpan w:val="8"/>
            <w:vAlign w:val="center"/>
          </w:tcPr>
          <w:p w14:paraId="4097DB61">
            <w:pPr>
              <w:pStyle w:val="2"/>
              <w:keepNext w:val="0"/>
              <w:keepLines w:val="0"/>
              <w:pageBreakBefore w:val="0"/>
              <w:numPr>
                <w:ilvl w:val="0"/>
                <w:numId w:val="0"/>
              </w:numPr>
              <w:kinsoku/>
              <w:wordWrap/>
              <w:overflowPunct/>
              <w:topLinePunct w:val="0"/>
              <w:autoSpaceDE/>
              <w:autoSpaceDN/>
              <w:bidi w:val="0"/>
              <w:adjustRightInd/>
              <w:snapToGrid w:val="0"/>
              <w:spacing w:line="32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69F7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46974C15">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078" w:type="dxa"/>
            <w:gridSpan w:val="8"/>
            <w:vAlign w:val="center"/>
          </w:tcPr>
          <w:p w14:paraId="34A99BE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320" w:lineRule="exact"/>
              <w:ind w:firstLine="420" w:firstLineChars="200"/>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2D2A20E1">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320" w:lineRule="exact"/>
              <w:ind w:firstLine="420" w:firstLineChars="200"/>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49DBCC04">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320" w:lineRule="exact"/>
              <w:ind w:left="0" w:leftChars="0" w:firstLine="420" w:firstLineChars="200"/>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2E041069">
      <w:pPr>
        <w:pStyle w:val="43"/>
        <w:rPr>
          <w:rFonts w:hint="eastAsia"/>
          <w:sz w:val="21"/>
          <w:szCs w:val="21"/>
          <w:lang w:eastAsia="zh-CN"/>
        </w:rPr>
        <w:sectPr>
          <w:pgSz w:w="16838" w:h="11906" w:orient="landscape"/>
          <w:pgMar w:top="1417" w:right="1417" w:bottom="1417" w:left="1417" w:header="851" w:footer="567" w:gutter="0"/>
          <w:pgBorders>
            <w:top w:val="none" w:sz="0" w:space="0"/>
            <w:left w:val="none" w:sz="0" w:space="0"/>
            <w:bottom w:val="none" w:sz="0" w:space="0"/>
            <w:right w:val="none" w:sz="0" w:space="0"/>
          </w:pgBorders>
          <w:pgNumType w:fmt="decimal"/>
          <w:cols w:space="720" w:num="1"/>
          <w:titlePg/>
          <w:docGrid w:type="lines" w:linePitch="312" w:charSpace="0"/>
        </w:sectPr>
      </w:pPr>
    </w:p>
    <w:p w14:paraId="2394F260">
      <w:pPr>
        <w:spacing w:line="428" w:lineRule="exact"/>
        <w:rPr>
          <w:rFonts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05B3B2B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4"/>
        <w:tblW w:w="9220" w:type="dxa"/>
        <w:tblInd w:w="93" w:type="dxa"/>
        <w:tblLayout w:type="autofit"/>
        <w:tblCellMar>
          <w:top w:w="0" w:type="dxa"/>
          <w:left w:w="108" w:type="dxa"/>
          <w:bottom w:w="0" w:type="dxa"/>
          <w:right w:w="108" w:type="dxa"/>
        </w:tblCellMar>
      </w:tblPr>
      <w:tblGrid>
        <w:gridCol w:w="660"/>
        <w:gridCol w:w="1116"/>
        <w:gridCol w:w="1516"/>
        <w:gridCol w:w="1620"/>
        <w:gridCol w:w="4540"/>
      </w:tblGrid>
      <w:tr w14:paraId="32F5B6D6">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4BACC9C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11614D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5A2CF96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2D45300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F5F18B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2E0726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7F3E2E6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7EBEA4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0291F5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08A7D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3BE9A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3188B99">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37FBCC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693AD34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1718E7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DE163B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192058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867EA3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A9E7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128300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818E1D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655050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ACEB0F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6974E5C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5C8E8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353790C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F45DCE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4DF862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F7153F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46EC25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D0D1326">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4600D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32B1208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53E7D6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D54EB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2332D6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A3AF1C">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92ACB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406D9C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718A24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64B6F0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7DF8995">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CED9F5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1575D21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5A000D0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A761D60">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C3068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3765483">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01104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581200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311277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9771A9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054E4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248E86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2DE1AB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4BD72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0BE14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68938DA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BB1D9F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1F5723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176542D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FF7010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ECE36F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0ADCA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5E91E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10390A5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67032A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5AF140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95D1F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E2C735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4CD25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575E29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1AAF029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4474A44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052618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19E9F1A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42891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421B9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1779547">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63D4B89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0853B4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AA4F2B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41CB88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04E33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F93447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F32D1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1B24DF2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0078AA5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796285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0903E7D">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DCA91E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7B8C1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6C5B053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AAC586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8359D3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4CCF29F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C50AC3">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4878EF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54DE68D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E7A71E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2BB7CA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745888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6FEA1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1C923F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050A039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4D1629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B61D3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C1CE95D">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9FE0D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37B800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584211E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1B81ED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7849F1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77CD90E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23C747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704992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24A906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20652F1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A3CFEC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5BE562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7C2595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3675597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60999C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184D155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F59328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3E74E6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501DA6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527B1C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2218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67F01C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54D24C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4DE8FB9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41DCCD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647EF5C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ECE03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692647C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1396F8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F08432">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0F9F55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030E4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314B245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75A4FE5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C39209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B3DF8B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D5B31C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AE19EE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ign w:val="center"/>
          </w:tcPr>
          <w:p w14:paraId="29F35FF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C08338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61A247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C2925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2B023E">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B296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0A463D2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4A6D4FD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85CF15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87F825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A14E74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57AFC0E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4C831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4851932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E251E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4E1F00">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3A652B3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4CEBA3A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28EC35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DFDF7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4434B9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2AC3F0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A12AE0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1F3FB5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1640F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2E38E33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E14C6A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A90A3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932F34B">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8A62E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9DE574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667D1EB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F3D730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17C497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CE4921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0F61AB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5C1EF2B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0F7CDB6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76EB2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3C40FF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561A396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EF7F51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4C4E9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1EF57B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4D370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A24F09B">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1F5B0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B2B42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40A11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22DF1DA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205C48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8B1056">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3A30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460DF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0B87A9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4E67372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52A0FC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D6E1F1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0C2F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3984F5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873AB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7B60518">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7C33767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29559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3F3FC9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50BC8DD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4B0FC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4132F06B">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4EB109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5EB523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13530F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6E06FA3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72C0086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9ADCDB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45D1EE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449D90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5B90269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545D4D1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6848FC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5C2E5D1">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B08803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C61FBE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34B515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1DBD463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430B1B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0C37C2C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8AC758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01EAC0C">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517D11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06596D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C2F1AF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7AA4A4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C80382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A98511">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4FEE54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A2A9EE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65326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53F646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26D00A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B5717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6B2323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3E1195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D8F89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3F8ADFF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DF072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50B43E2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29F2B5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1A85C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E69578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4447A1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8D4488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0FB543F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68F1FB5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34956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BE4C64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6EBFC4F3">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1E17178B">
      <w:pPr>
        <w:spacing w:line="428" w:lineRule="exact"/>
        <w:rPr>
          <w:rFonts w:ascii="微软雅黑" w:hAnsi="微软雅黑" w:eastAsia="微软雅黑" w:cs="微软雅黑"/>
          <w:color w:val="auto"/>
          <w:sz w:val="32"/>
          <w:szCs w:val="32"/>
          <w:highlight w:val="none"/>
        </w:rPr>
      </w:pPr>
      <w:r>
        <w:rPr>
          <w:rFonts w:hint="eastAsia" w:ascii="宋体" w:hAnsi="Courier New"/>
          <w:color w:val="auto"/>
          <w:kern w:val="0"/>
          <w:sz w:val="20"/>
          <w:szCs w:val="21"/>
          <w:highlight w:val="none"/>
        </w:rPr>
        <w:t>2.以</w:t>
      </w:r>
      <w:r>
        <w:rPr>
          <w:rFonts w:ascii="宋体" w:hAnsi="Courier New"/>
          <w:color w:val="auto"/>
          <w:kern w:val="0"/>
          <w:sz w:val="20"/>
          <w:szCs w:val="21"/>
          <w:highlight w:val="none"/>
        </w:rPr>
        <w:t>“</w:t>
      </w:r>
      <w:r>
        <w:rPr>
          <w:rFonts w:hint="eastAsia" w:ascii="宋体" w:hAnsi="Courier New"/>
          <w:color w:val="auto"/>
          <w:kern w:val="0"/>
          <w:sz w:val="20"/>
          <w:szCs w:val="21"/>
          <w:highlight w:val="none"/>
        </w:rPr>
        <w:t>★</w:t>
      </w:r>
      <w:r>
        <w:rPr>
          <w:rFonts w:ascii="宋体" w:hAnsi="Courier New"/>
          <w:color w:val="auto"/>
          <w:kern w:val="0"/>
          <w:sz w:val="20"/>
          <w:szCs w:val="21"/>
          <w:highlight w:val="none"/>
        </w:rPr>
        <w:t>”</w:t>
      </w:r>
      <w:r>
        <w:rPr>
          <w:rFonts w:hint="eastAsia" w:ascii="宋体" w:hAnsi="Courier New"/>
          <w:color w:val="auto"/>
          <w:kern w:val="0"/>
          <w:sz w:val="20"/>
          <w:szCs w:val="21"/>
          <w:highlight w:val="none"/>
        </w:rPr>
        <w:t>标注的为政府强制采购产品。</w:t>
      </w:r>
      <w:r>
        <w:rPr>
          <w:rFonts w:hint="eastAsia" w:ascii="宋体" w:hAnsi="Courier New"/>
          <w:color w:val="auto"/>
          <w:kern w:val="0"/>
          <w:sz w:val="20"/>
          <w:szCs w:val="21"/>
          <w:highlight w:val="none"/>
        </w:rPr>
        <w:br w:type="page"/>
      </w:r>
    </w:p>
    <w:p w14:paraId="2BF658F3">
      <w:pPr>
        <w:jc w:val="left"/>
        <w:rPr>
          <w:rFonts w:ascii="Arial Unicode MS" w:hAnsi="Arial Unicode MS" w:eastAsia="Arial Unicode MS" w:cs="Arial Unicode MS"/>
          <w:color w:val="auto"/>
          <w:kern w:val="0"/>
          <w:sz w:val="32"/>
          <w:szCs w:val="32"/>
          <w:highlight w:val="none"/>
        </w:rPr>
      </w:pPr>
      <w:r>
        <w:rPr>
          <w:rFonts w:hint="eastAsia" w:ascii="Arial Unicode MS" w:hAnsi="Arial Unicode MS" w:eastAsia="Arial Unicode MS" w:cs="Arial Unicode MS"/>
          <w:color w:val="auto"/>
          <w:kern w:val="0"/>
          <w:sz w:val="32"/>
          <w:szCs w:val="32"/>
          <w:highlight w:val="none"/>
        </w:rPr>
        <w:t>附件2：</w:t>
      </w:r>
    </w:p>
    <w:p w14:paraId="777931E2">
      <w:pPr>
        <w:spacing w:line="528" w:lineRule="exact"/>
        <w:jc w:val="center"/>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4"/>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5FCF14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7CD0AC8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28DC4FA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06A3BBD0">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0B8B6E4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3B593F9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016339E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6B1124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FA89A9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F33B2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79931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394B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0D7345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04947B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AAC908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D58444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6F4C02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A584D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28EE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343746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078686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BB8FD8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5E9BA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321B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4D3B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5264F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6D2774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7FF3B0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221ED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B4B569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7CBCBD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EC9B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7D073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62CADE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440ED0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A38A9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10AE556">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86A67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35E184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98A5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15F3C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7CF4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F9BFAA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772BB1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269D06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0B03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D5FA4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794075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10626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130CC2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1D11E39">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86A7F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92E6A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1BDC8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6AC859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4F2D88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6CDC8F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76B80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72761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8FBFE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0A003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10806F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390116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F8AA5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44B6055">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1F671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2F49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C489A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399A2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1AAA83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092413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CAD5D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39C84E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4AB2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5660A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526058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B662E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7F290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7FFF648">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AE8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B389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8D23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70B07A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6CBBB7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1FCE19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81F123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77CE35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570DE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F94C3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FB5F5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EB0E2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366B3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825142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B87FE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DE26D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80A9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10D37E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4EE82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39FD09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AEDAC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164B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717C7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8C381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5FDDC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32386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803F7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02E08F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C06EA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29254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D294F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13FA3C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CBEBD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F2198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89B2F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0D3E5D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451AC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9C5F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BC36F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AB8C1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9808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7DC20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CC13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B8B48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2D963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2C4A30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B5C31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1445C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1227C2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3650B9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8966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6393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8B496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52C02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242AF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870BE4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4A328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48FA5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58F9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0074BB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725E3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80D6E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CE9A7E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36C2DA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B5043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BDB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7D286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DC7E1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C3117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B88DDFC">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BA40E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AF21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38F34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19AF22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01DA4B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F0011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47935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5587A6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D239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FA6F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5F1A71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D2898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8EBCF8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2455AFB">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BACF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2C12A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B268E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F9C45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50F463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1CB9E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3DB65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63DB88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086C3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72BEB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7520BB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136DDF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13354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F0DEFA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0CDC0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4199F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0B3BA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5FF424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1800A5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1440A51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E90F3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7C0014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AFFD9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7513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DF4B0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727693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7A7452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3594582">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FEDF5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7591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65997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451800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5AA3B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1247C6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788DC3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6153A8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519C5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3190E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13FA09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12B36C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F406B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3FEC60">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86B6E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E617F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8756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14F5AC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5B8E0B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B6CDBC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4B09BF3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37CCE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575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DD178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89949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9F955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67AC939">
      <w:pPr>
        <w:pStyle w:val="29"/>
        <w:ind w:left="0" w:leftChars="0" w:firstLine="560" w:firstLineChars="200"/>
        <w:rPr>
          <w:color w:val="auto"/>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D52666E">
      <w:pPr>
        <w:pStyle w:val="5"/>
        <w:jc w:val="center"/>
        <w:rPr>
          <w:rFonts w:ascii="宋体" w:hAnsi="宋体" w:cs="宋体"/>
          <w:color w:val="auto"/>
          <w:highlight w:val="none"/>
        </w:rPr>
      </w:pPr>
      <w:r>
        <w:rPr>
          <w:rFonts w:hint="eastAsia" w:hAnsi="宋体" w:cs="宋体"/>
          <w:color w:val="auto"/>
          <w:sz w:val="24"/>
          <w:highlight w:val="none"/>
          <w:u w:val="single"/>
        </w:rPr>
        <w:br w:type="page"/>
      </w:r>
      <w:bookmarkStart w:id="21" w:name="_Toc21957"/>
      <w:bookmarkStart w:id="22" w:name="_Toc2953"/>
      <w:bookmarkStart w:id="23" w:name="_Toc3574"/>
      <w:bookmarkStart w:id="24" w:name="_Toc28944"/>
      <w:bookmarkStart w:id="25" w:name="_Toc11630"/>
      <w:r>
        <w:rPr>
          <w:rFonts w:hint="eastAsia" w:ascii="宋体" w:hAnsi="宋体" w:cs="宋体"/>
          <w:color w:val="auto"/>
          <w:highlight w:val="none"/>
        </w:rPr>
        <w:t>第三章 供应商须知</w:t>
      </w:r>
      <w:bookmarkEnd w:id="21"/>
      <w:bookmarkEnd w:id="22"/>
      <w:bookmarkEnd w:id="23"/>
      <w:bookmarkEnd w:id="24"/>
      <w:bookmarkEnd w:id="25"/>
    </w:p>
    <w:p w14:paraId="59768F1C">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BE071AC">
      <w:pPr>
        <w:spacing w:line="400" w:lineRule="exact"/>
        <w:jc w:val="center"/>
        <w:rPr>
          <w:rFonts w:ascii="宋体" w:hAnsi="宋体" w:cs="宋体"/>
          <w:b/>
          <w:color w:val="auto"/>
          <w:sz w:val="32"/>
          <w:szCs w:val="32"/>
          <w:highlight w:val="none"/>
        </w:rPr>
      </w:pPr>
    </w:p>
    <w:tbl>
      <w:tblPr>
        <w:tblStyle w:val="34"/>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6D4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tcPr>
          <w:p w14:paraId="3BD27FE9">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1525B9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tcPr>
          <w:p w14:paraId="6DC38F7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618D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02C3779">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E3014B2">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tcPr>
          <w:p w14:paraId="4A70654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供应商资格条件要求详见公告。</w:t>
            </w:r>
          </w:p>
        </w:tc>
      </w:tr>
      <w:tr w14:paraId="62C5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7616DF60">
            <w:pPr>
              <w:jc w:val="center"/>
              <w:rPr>
                <w:rFonts w:ascii="宋体" w:hAnsi="宋体" w:cs="宋体"/>
                <w:color w:val="auto"/>
                <w:szCs w:val="21"/>
                <w:highlight w:val="none"/>
              </w:rPr>
            </w:pPr>
            <w:r>
              <w:rPr>
                <w:rFonts w:hint="eastAsia" w:ascii="宋体" w:hAnsi="宋体" w:cs="宋体"/>
                <w:color w:val="auto"/>
                <w:szCs w:val="21"/>
                <w:highlight w:val="none"/>
              </w:rPr>
              <w:t>5.1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16A8650">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892BC7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不接受</w:t>
            </w:r>
          </w:p>
        </w:tc>
      </w:tr>
      <w:tr w14:paraId="2BB2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1E4517D">
            <w:pPr>
              <w:jc w:val="center"/>
              <w:rPr>
                <w:rFonts w:ascii="宋体" w:hAnsi="宋体" w:cs="宋体"/>
                <w:color w:val="auto"/>
                <w:szCs w:val="21"/>
                <w:highlight w:val="none"/>
              </w:rPr>
            </w:pPr>
            <w:r>
              <w:rPr>
                <w:rFonts w:hint="eastAsia" w:ascii="宋体" w:hAnsi="宋体" w:cs="宋体"/>
                <w:color w:val="auto"/>
                <w:szCs w:val="21"/>
                <w:highlight w:val="none"/>
              </w:rPr>
              <w:t>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7B4FA2">
            <w:pPr>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8A785E4">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本项目不接受联合体</w:t>
            </w:r>
          </w:p>
        </w:tc>
      </w:tr>
      <w:tr w14:paraId="43138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02786EA">
            <w:pPr>
              <w:jc w:val="center"/>
              <w:rPr>
                <w:rFonts w:ascii="宋体" w:hAnsi="宋体" w:cs="宋体"/>
                <w:color w:val="auto"/>
                <w:szCs w:val="21"/>
                <w:highlight w:val="none"/>
              </w:rPr>
            </w:pPr>
            <w:r>
              <w:rPr>
                <w:rFonts w:hint="eastAsia" w:ascii="宋体" w:hAnsi="宋体" w:cs="宋体"/>
                <w:color w:val="auto"/>
                <w:szCs w:val="21"/>
                <w:highlight w:val="none"/>
              </w:rPr>
              <w:t>6.1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B27BB0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F0EF7DA">
            <w:pPr>
              <w:pStyle w:val="17"/>
              <w:spacing w:line="360" w:lineRule="auto"/>
              <w:rPr>
                <w:rFonts w:ascii="宋体" w:hAnsi="宋体" w:cs="宋体"/>
                <w:b/>
                <w:color w:val="auto"/>
                <w:szCs w:val="21"/>
                <w:highlight w:val="none"/>
              </w:rPr>
            </w:pPr>
            <w:r>
              <w:rPr>
                <w:rFonts w:ascii="宋体" w:hAnsi="宋体" w:cs="宋体"/>
                <w:b/>
                <w:color w:val="auto"/>
                <w:szCs w:val="21"/>
                <w:highlight w:val="none"/>
              </w:rPr>
              <w:sym w:font="Wingdings" w:char="00FE"/>
            </w:r>
            <w:r>
              <w:rPr>
                <w:rFonts w:hint="eastAsia" w:ascii="宋体" w:hAnsi="宋体" w:cs="宋体"/>
                <w:b/>
                <w:color w:val="auto"/>
                <w:szCs w:val="21"/>
                <w:highlight w:val="none"/>
              </w:rPr>
              <w:t>本项目不允许分包。</w:t>
            </w:r>
          </w:p>
          <w:p w14:paraId="215364BA">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本项目允许分包：</w:t>
            </w:r>
          </w:p>
          <w:p w14:paraId="6224B2D6">
            <w:pPr>
              <w:pStyle w:val="17"/>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w:t>
            </w:r>
          </w:p>
          <w:p w14:paraId="62604E6E">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w:t>
            </w:r>
          </w:p>
        </w:tc>
      </w:tr>
      <w:tr w14:paraId="0670E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8E7918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A4ABE14">
            <w:pPr>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5344450A">
            <w:pPr>
              <w:snapToGrid w:val="0"/>
              <w:spacing w:line="360" w:lineRule="auto"/>
              <w:jc w:val="center"/>
              <w:rPr>
                <w:rFonts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FE861C1">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EFDE03E">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的依法缴纳税收的凭据复印件；依法免税的，必须提供相应文件证明。从成立之日起到响应文件提交截止时间为止不足要求月数的，只需提供从成立之日起的依法缴纳税收相应证明文件）；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29D7601C">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ascii="宋体" w:hAnsi="宋体" w:cs="宋体"/>
                <w:color w:val="auto"/>
                <w:szCs w:val="21"/>
                <w:highlight w:val="none"/>
              </w:rPr>
              <w:t>[</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社会保障资金的缴费凭证（专用收据或者社会保险缴纳清单）复印件；依法不需要缴纳社会保障资金的，必须提供相应文件证明。从成立之日起到响应文件提交截止时间为止不足要求月数的只需提供从成立之日起一个月的依法缴纳社会保障资金的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6282C478">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ascii="宋体" w:hAnsi="宋体" w:cs="宋体"/>
                <w:color w:val="auto"/>
                <w:szCs w:val="21"/>
                <w:highlight w:val="none"/>
              </w:rPr>
              <w:t>[</w:t>
            </w:r>
            <w:r>
              <w:rPr>
                <w:rFonts w:hint="eastAsia" w:ascii="宋体" w:hAnsi="宋体" w:cs="宋体"/>
                <w:color w:val="auto"/>
                <w:szCs w:val="21"/>
                <w:highlight w:val="none"/>
              </w:rPr>
              <w:t>提供</w:t>
            </w: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年财务状况报告复印件，或者银行出具的资信证明，或者中国人民银行征信中心出具的信用报告；供应商属于成立时间在规定年度之后的法人或其他组织，需提供成立之日起至响应文件提交截止时间上一个月的财务状况报告或银行出具的资信证明或中国人民银行征信中心出具的信用报告（</w:t>
            </w:r>
            <w:r>
              <w:rPr>
                <w:rFonts w:hint="eastAsia" w:ascii="宋体" w:hAnsi="宋体" w:cs="宋体"/>
                <w:b/>
                <w:bCs/>
                <w:color w:val="auto"/>
                <w:szCs w:val="21"/>
                <w:highlight w:val="none"/>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bCs/>
                <w:color w:val="auto"/>
                <w:szCs w:val="21"/>
                <w:highlight w:val="none"/>
              </w:rPr>
              <w:t>格式自拟，</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46DE7F7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543B8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5202B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7.中小企业声明函（格式后附）或残疾人福利性单位声明函（格式后附）或供应商属于监狱企业的证明材料；</w:t>
            </w:r>
            <w:r>
              <w:rPr>
                <w:rFonts w:hint="eastAsia" w:ascii="宋体" w:hAnsi="宋体" w:cs="宋体"/>
                <w:b/>
                <w:bCs/>
                <w:color w:val="auto"/>
                <w:szCs w:val="21"/>
                <w:highlight w:val="none"/>
              </w:rPr>
              <w:t>（如专门面向中小微企业采购的项目则必须提供，否则响应文件按无效响应处理）</w:t>
            </w:r>
          </w:p>
          <w:p w14:paraId="734DFBF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.除磋商文件规定必须提供以外，供应商认为需要提供的其他证明材料；（如有请提供）</w:t>
            </w:r>
          </w:p>
          <w:p w14:paraId="3DE4DC3B">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26FDA892">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1A1F1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D2BCBC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8B0AF2">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DEEBF6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9389C5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675E31">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554E180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4.商务要求偏离表；（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0E52A7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5759186C">
            <w:pPr>
              <w:pStyle w:val="2"/>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6.供应商类似业绩一览表；（如有，请提供）</w:t>
            </w:r>
          </w:p>
          <w:p w14:paraId="6EB1CCDC">
            <w:pPr>
              <w:snapToGrid w:val="0"/>
              <w:spacing w:line="360" w:lineRule="auto"/>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7.供应</w:t>
            </w:r>
            <w:r>
              <w:rPr>
                <w:rFonts w:hint="eastAsia" w:ascii="宋体" w:hAnsi="宋体" w:cs="宋体"/>
                <w:color w:val="auto"/>
                <w:szCs w:val="21"/>
                <w:highlight w:val="none"/>
              </w:rPr>
              <w:t>商认为需要提供的其他有关资料。</w:t>
            </w:r>
          </w:p>
          <w:p w14:paraId="1E9E3E9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3B0331CA">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7B0DC329">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57EC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6240237">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A00298E">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67D6C4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095C1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2.项目实施方案；</w:t>
            </w:r>
          </w:p>
          <w:p w14:paraId="3480DFC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售后服务方案；</w:t>
            </w:r>
          </w:p>
          <w:p w14:paraId="36A288E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项目实施人员一览表；</w:t>
            </w:r>
          </w:p>
          <w:p w14:paraId="28482901">
            <w:pPr>
              <w:pStyle w:val="2"/>
              <w:snapToGrid w:val="0"/>
              <w:spacing w:line="360" w:lineRule="auto"/>
              <w:rPr>
                <w:color w:val="auto"/>
                <w:highlight w:val="none"/>
              </w:rPr>
            </w:pPr>
            <w:r>
              <w:rPr>
                <w:rFonts w:hint="eastAsia" w:ascii="宋体" w:hAnsi="宋体" w:cs="宋体"/>
                <w:color w:val="auto"/>
                <w:szCs w:val="21"/>
                <w:highlight w:val="none"/>
              </w:rPr>
              <w:t>5.对应采购需求的服务需求、商务要求提供的其他文件资料；</w:t>
            </w:r>
          </w:p>
          <w:p w14:paraId="34B65C68">
            <w:pPr>
              <w:snapToGrid w:val="0"/>
              <w:spacing w:line="360" w:lineRule="auto"/>
              <w:rPr>
                <w:color w:val="auto"/>
                <w:highlight w:val="none"/>
              </w:rPr>
            </w:pPr>
            <w:r>
              <w:rPr>
                <w:rFonts w:hint="eastAsia" w:ascii="宋体" w:hAnsi="宋体" w:cs="宋体"/>
                <w:color w:val="auto"/>
                <w:szCs w:val="21"/>
                <w:highlight w:val="none"/>
              </w:rPr>
              <w:t>6.</w:t>
            </w:r>
            <w:r>
              <w:rPr>
                <w:rFonts w:hint="eastAsia" w:hAnsi="Courier New"/>
                <w:color w:val="auto"/>
                <w:highlight w:val="none"/>
              </w:rPr>
              <w:t>按本竞争性磋商文件规定提交的其它资料。</w:t>
            </w:r>
          </w:p>
          <w:p w14:paraId="2159B688">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2B5D6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D765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80A5E74">
            <w:pPr>
              <w:snapToGrid w:val="0"/>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A8ED5D8">
            <w:pPr>
              <w:tabs>
                <w:tab w:val="left" w:pos="459"/>
              </w:tabs>
              <w:snapToGrid w:val="0"/>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2C15AD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26C68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.供应商针对报价需要提供的其他文件和说明（如有请提供）。</w:t>
            </w:r>
          </w:p>
          <w:p w14:paraId="6C1A44C4">
            <w:pPr>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注：1.上述材料必须在规定盖章处加盖供应商电子公章，否则作无效响应处理。</w:t>
            </w:r>
          </w:p>
        </w:tc>
      </w:tr>
      <w:tr w14:paraId="529AB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8274B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4E0FD9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68998E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014EC3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w:t>
            </w:r>
          </w:p>
        </w:tc>
      </w:tr>
      <w:tr w14:paraId="362DA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CEDE4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37F9974">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5180578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响应报价必须包含完成所有服务内容所需的费用。如提供服务过程中因采购人增加需求而产生的额外费用，由采购人另外结算；或通过双方协商对服务内容进行调整。</w:t>
            </w:r>
          </w:p>
        </w:tc>
      </w:tr>
      <w:tr w14:paraId="521E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BA807B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F3BD7C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544B949">
            <w:pPr>
              <w:tabs>
                <w:tab w:val="left" w:pos="720"/>
                <w:tab w:val="left" w:pos="840"/>
              </w:tabs>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010D2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A1B15F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17</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C1A657">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C83F558">
            <w:pPr>
              <w:autoSpaceDE w:val="0"/>
              <w:autoSpaceDN w:val="0"/>
              <w:snapToGrid w:val="0"/>
              <w:spacing w:line="312" w:lineRule="auto"/>
              <w:textAlignment w:val="bottom"/>
              <w:rPr>
                <w:color w:val="auto"/>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本项目不收取竞标保证金。</w:t>
            </w:r>
          </w:p>
        </w:tc>
      </w:tr>
      <w:tr w14:paraId="2E92E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091E6D6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FDDE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8329F9B">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A9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5CF16E4F">
            <w:pPr>
              <w:widowControl/>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64B7D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0796F7F">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9827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C38FD9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D6682AF">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397A206">
            <w:pPr>
              <w:adjustRightInd w:val="0"/>
              <w:snapToGrid w:val="0"/>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06DE8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133C3E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D23EF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首次响应文件的撤回</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62B83A">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tc>
      </w:tr>
      <w:tr w14:paraId="4944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4EADB2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F46E44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202960E">
            <w:pPr>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1958A5DE">
            <w:pPr>
              <w:adjustRightInd w:val="0"/>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rPr>
              <w:t>项。</w:t>
            </w:r>
          </w:p>
        </w:tc>
      </w:tr>
      <w:tr w14:paraId="50B2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16253178">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0E29C01">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800EC8">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4D7EFDC4">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随机排序。</w:t>
            </w:r>
          </w:p>
        </w:tc>
      </w:tr>
      <w:tr w14:paraId="446A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37811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36F3A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D4F1129">
            <w:pPr>
              <w:snapToGrid w:val="0"/>
              <w:spacing w:line="312"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本项目不收取履约保证金 </w:t>
            </w:r>
          </w:p>
          <w:p w14:paraId="3C868177">
            <w:pPr>
              <w:pStyle w:val="2"/>
              <w:snapToGrid w:val="0"/>
              <w:spacing w:after="0" w:line="312" w:lineRule="auto"/>
              <w:rPr>
                <w:color w:val="auto"/>
                <w:highlight w:val="none"/>
              </w:rPr>
            </w:pPr>
            <w:r>
              <w:rPr>
                <w:rFonts w:hint="eastAsia" w:ascii="宋体" w:hAnsi="宋体" w:cs="宋体"/>
                <w:color w:val="auto"/>
                <w:szCs w:val="21"/>
                <w:highlight w:val="none"/>
                <w:lang w:eastAsia="zh-CN"/>
              </w:rPr>
              <w:t>□</w:t>
            </w:r>
            <w:r>
              <w:rPr>
                <w:rFonts w:hint="eastAsia"/>
                <w:color w:val="auto"/>
                <w:highlight w:val="none"/>
              </w:rPr>
              <w:t>本项目收取履约保证金，具体规定如下：</w:t>
            </w:r>
          </w:p>
          <w:p w14:paraId="4D90B864">
            <w:pPr>
              <w:widowControl/>
              <w:snapToGrid w:val="0"/>
              <w:spacing w:after="0" w:line="312" w:lineRule="auto"/>
              <w:jc w:val="left"/>
              <w:rPr>
                <w:color w:val="auto"/>
                <w:highlight w:val="none"/>
              </w:rPr>
            </w:pPr>
            <w:r>
              <w:rPr>
                <w:rFonts w:hint="eastAsia"/>
                <w:color w:val="auto"/>
                <w:highlight w:val="none"/>
              </w:rPr>
              <w:t>履约保证金金额：</w:t>
            </w:r>
            <w:r>
              <w:rPr>
                <w:rFonts w:hint="eastAsia"/>
                <w:color w:val="auto"/>
                <w:szCs w:val="21"/>
                <w:highlight w:val="none"/>
              </w:rPr>
              <w:t xml:space="preserve"> </w:t>
            </w:r>
            <w:r>
              <w:rPr>
                <w:rFonts w:hint="eastAsia" w:ascii="宋体" w:hAnsi="宋体" w:eastAsia="宋体" w:cs="宋体"/>
                <w:color w:val="auto"/>
                <w:kern w:val="0"/>
                <w:sz w:val="21"/>
                <w:szCs w:val="21"/>
                <w:highlight w:val="none"/>
                <w:lang w:val="en-US" w:eastAsia="zh-CN" w:bidi="ar"/>
              </w:rPr>
              <w:t>在中标通知书发出后 20 日内</w:t>
            </w:r>
            <w:r>
              <w:rPr>
                <w:rFonts w:hint="eastAsia" w:ascii="宋体" w:hAnsi="宋体" w:cs="宋体"/>
                <w:color w:val="auto"/>
                <w:kern w:val="0"/>
                <w:sz w:val="21"/>
                <w:szCs w:val="21"/>
                <w:highlight w:val="none"/>
                <w:lang w:val="en-US" w:eastAsia="zh-CN" w:bidi="ar"/>
              </w:rPr>
              <w:t>，成交供应商</w:t>
            </w:r>
            <w:r>
              <w:rPr>
                <w:rFonts w:hint="eastAsia" w:ascii="宋体" w:hAnsi="宋体" w:eastAsia="宋体" w:cs="宋体"/>
                <w:color w:val="auto"/>
                <w:kern w:val="0"/>
                <w:sz w:val="21"/>
                <w:szCs w:val="21"/>
                <w:highlight w:val="none"/>
                <w:lang w:val="en-US" w:eastAsia="zh-CN" w:bidi="ar"/>
              </w:rPr>
              <w:t>向采购人缴纳履约保证金，</w:t>
            </w:r>
            <w:r>
              <w:rPr>
                <w:rFonts w:hint="eastAsia"/>
                <w:color w:val="auto"/>
                <w:szCs w:val="21"/>
                <w:highlight w:val="none"/>
              </w:rPr>
              <w:t>履约保证金金额</w:t>
            </w:r>
            <w:r>
              <w:rPr>
                <w:rFonts w:hint="eastAsia"/>
                <w:color w:val="auto"/>
                <w:highlight w:val="none"/>
              </w:rPr>
              <w:t>按成交金额的</w:t>
            </w:r>
            <w:r>
              <w:rPr>
                <w:rFonts w:hint="eastAsia"/>
                <w:color w:val="auto"/>
                <w:highlight w:val="none"/>
                <w:u w:val="single"/>
              </w:rPr>
              <w:t xml:space="preserve"> </w:t>
            </w:r>
            <w:r>
              <w:rPr>
                <w:rFonts w:hint="eastAsia"/>
                <w:color w:val="auto"/>
                <w:highlight w:val="none"/>
                <w:u w:val="single"/>
                <w:lang w:val="en-US" w:eastAsia="zh-CN"/>
              </w:rPr>
              <w:t xml:space="preserve">2 </w:t>
            </w:r>
            <w:r>
              <w:rPr>
                <w:rFonts w:hint="eastAsia"/>
                <w:color w:val="auto"/>
                <w:highlight w:val="none"/>
              </w:rPr>
              <w:t>%（中小企业收取的履约保证金数额按成交金额的2%）。</w:t>
            </w:r>
          </w:p>
          <w:p w14:paraId="2D8E431C">
            <w:pPr>
              <w:pStyle w:val="2"/>
              <w:snapToGrid w:val="0"/>
              <w:spacing w:after="0" w:line="312" w:lineRule="auto"/>
              <w:rPr>
                <w:color w:val="auto"/>
                <w:highlight w:val="none"/>
              </w:rPr>
            </w:pPr>
            <w:r>
              <w:rPr>
                <w:rFonts w:hint="eastAsia"/>
                <w:color w:val="auto"/>
                <w:highlight w:val="none"/>
              </w:rPr>
              <w:t>履约保证金提交方式：银行转账、支票、汇票、本票或者银行、保险机构出具的保函等非现金方式（参照竞标保证金）。</w:t>
            </w:r>
          </w:p>
          <w:p w14:paraId="39EB51FE">
            <w:pPr>
              <w:rPr>
                <w:color w:val="auto"/>
                <w:highlight w:val="none"/>
              </w:rPr>
            </w:pPr>
            <w:r>
              <w:rPr>
                <w:rFonts w:hint="eastAsia"/>
                <w:color w:val="auto"/>
                <w:highlight w:val="none"/>
              </w:rPr>
              <w:t>履约保证金退付方式、时间及条件：</w:t>
            </w:r>
            <w:r>
              <w:rPr>
                <w:rFonts w:hint="eastAsia" w:ascii="宋体" w:hAnsi="宋体"/>
                <w:color w:val="auto"/>
                <w:szCs w:val="21"/>
                <w:highlight w:val="none"/>
                <w:u w:val="single"/>
              </w:rPr>
              <w:t>合同签订后，如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按合同履约的，并按照售后服务要求履行承诺且无质量问题的，服务期限结束且最后一批货物质保期期满后由</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向</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发出付款函，</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自收到齐全的付款材料之日起十五个工作日内向</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支付（无息）。如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不按双方签订的合同履约的，履约保证金不予退还，履约保证金不足以赔偿实际损失的，按实际损失赔偿。</w:t>
            </w:r>
          </w:p>
          <w:p w14:paraId="62D90727">
            <w:pPr>
              <w:pStyle w:val="2"/>
              <w:snapToGrid w:val="0"/>
              <w:spacing w:after="0" w:line="312" w:lineRule="auto"/>
              <w:rPr>
                <w:color w:val="auto"/>
                <w:highlight w:val="none"/>
              </w:rPr>
            </w:pPr>
            <w:r>
              <w:rPr>
                <w:rFonts w:hint="eastAsia"/>
                <w:color w:val="auto"/>
                <w:highlight w:val="none"/>
              </w:rPr>
              <w:t>由成交供应商向履约保证金收取单位提供《广西壮族自治区政府采购项目合同验收书》（详见桂财采〔2015〕22 号），保证金收取单位在收到合格材料后 5个工作日内办理退还手续（不计利息）（若采购文件第二章另有约定的从其规定）。</w:t>
            </w:r>
          </w:p>
          <w:p w14:paraId="06EB9106">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开户名</w:t>
            </w:r>
            <w:r>
              <w:rPr>
                <w:rFonts w:hint="eastAsia" w:ascii="宋体" w:hAnsi="宋体"/>
                <w:color w:val="auto"/>
                <w:szCs w:val="21"/>
                <w:highlight w:val="none"/>
                <w:u w:val="single"/>
                <w:lang w:eastAsia="zh-CN"/>
              </w:rPr>
              <w:t>称</w:t>
            </w:r>
            <w:r>
              <w:rPr>
                <w:rFonts w:hint="eastAsia" w:ascii="宋体" w:hAnsi="宋体"/>
                <w:color w:val="auto"/>
                <w:szCs w:val="21"/>
                <w:highlight w:val="none"/>
                <w:u w:val="single"/>
              </w:rPr>
              <w:t>：</w:t>
            </w:r>
          </w:p>
          <w:p w14:paraId="3A0536FF">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开户银行：</w:t>
            </w:r>
          </w:p>
          <w:p w14:paraId="5B740F15">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银行帐号：</w:t>
            </w:r>
          </w:p>
          <w:p w14:paraId="759735F2">
            <w:pPr>
              <w:spacing w:line="360" w:lineRule="auto"/>
              <w:jc w:val="left"/>
              <w:rPr>
                <w:rFonts w:ascii="宋体" w:hAnsi="宋体"/>
                <w:color w:val="auto"/>
                <w:szCs w:val="21"/>
                <w:highlight w:val="none"/>
                <w:u w:val="single"/>
              </w:rPr>
            </w:pPr>
            <w:r>
              <w:rPr>
                <w:rFonts w:hint="eastAsia" w:ascii="宋体" w:hAnsi="宋体"/>
                <w:color w:val="auto"/>
                <w:szCs w:val="21"/>
                <w:highlight w:val="none"/>
                <w:u w:val="single"/>
              </w:rPr>
              <w:t>统一社会信用代码：</w:t>
            </w:r>
          </w:p>
          <w:p w14:paraId="3DD7AA05">
            <w:pPr>
              <w:pStyle w:val="2"/>
              <w:snapToGrid w:val="0"/>
              <w:spacing w:after="0" w:line="312" w:lineRule="auto"/>
              <w:rPr>
                <w:color w:val="auto"/>
                <w:highlight w:val="none"/>
              </w:rPr>
            </w:pPr>
            <w:r>
              <w:rPr>
                <w:rFonts w:hint="eastAsia"/>
                <w:color w:val="auto"/>
                <w:highlight w:val="none"/>
              </w:rPr>
              <w:t xml:space="preserve">履约保证金备注： </w:t>
            </w:r>
          </w:p>
          <w:p w14:paraId="1E805D5D">
            <w:pPr>
              <w:pStyle w:val="2"/>
              <w:snapToGrid w:val="0"/>
              <w:spacing w:after="0" w:line="312" w:lineRule="auto"/>
              <w:rPr>
                <w:color w:val="auto"/>
                <w:highlight w:val="none"/>
              </w:rPr>
            </w:pPr>
            <w:r>
              <w:rPr>
                <w:rFonts w:hint="eastAsia"/>
                <w:color w:val="auto"/>
                <w:highlight w:val="none"/>
              </w:rPr>
              <w:t xml:space="preserve">1. 根据《广西壮族自治区财政厅关于贯彻落实政府采购优化营商环境百日攻坚行动方案的通知》（桂财采〔2020〕49 号）及广西壮族自治区财政厅关于进一步发挥政府采购政策功能促进企业发展的通知（桂财采〔2022〕30 号）规定，鼓励采购人在与中小微企业签订政府采购合同时，减少或免于收取履约保证金，有必要收取履约保证金的，收取的履约保证金不得超过政府采购合同金额的 5%，对中小企业收取的履约保证金数额不得超过政府采购合同金额的2%。 </w:t>
            </w:r>
          </w:p>
          <w:p w14:paraId="4CD870C3">
            <w:pPr>
              <w:pStyle w:val="2"/>
              <w:snapToGrid w:val="0"/>
              <w:spacing w:after="0" w:line="312" w:lineRule="auto"/>
              <w:rPr>
                <w:color w:val="auto"/>
                <w:highlight w:val="none"/>
              </w:rPr>
            </w:pPr>
            <w:r>
              <w:rPr>
                <w:rFonts w:hint="eastAsia"/>
                <w:color w:val="auto"/>
                <w:highlight w:val="none"/>
              </w:rPr>
              <w:t xml:space="preserve">2.履约保证金不足额缴纳的，或者银行、保险机构出具的保函额度不足的或者保函有效期低于合同履行期限（即签订采购合同之日起至履行完合同约定的权利及义务之日止）的，不予签订合同。 </w:t>
            </w:r>
          </w:p>
          <w:p w14:paraId="63A5D77A">
            <w:pPr>
              <w:pStyle w:val="2"/>
              <w:snapToGrid w:val="0"/>
              <w:spacing w:after="0" w:line="312" w:lineRule="auto"/>
              <w:rPr>
                <w:color w:val="auto"/>
                <w:highlight w:val="none"/>
              </w:rPr>
            </w:pPr>
            <w:r>
              <w:rPr>
                <w:rFonts w:hint="eastAsia"/>
                <w:color w:val="auto"/>
                <w:highlight w:val="none"/>
              </w:rPr>
              <w:t>3.采用银行、保险机构出具的保函的，必须为无条件保函，否则不予签订合同。</w:t>
            </w:r>
          </w:p>
          <w:p w14:paraId="20B883DC">
            <w:pPr>
              <w:pStyle w:val="2"/>
              <w:snapToGrid w:val="0"/>
              <w:spacing w:after="0" w:line="312" w:lineRule="auto"/>
              <w:rPr>
                <w:rFonts w:ascii="宋体" w:hAnsi="宋体" w:cs="宋体"/>
                <w:color w:val="auto"/>
                <w:szCs w:val="21"/>
                <w:highlight w:val="none"/>
              </w:rPr>
            </w:pPr>
            <w:r>
              <w:rPr>
                <w:rFonts w:hint="eastAsia"/>
                <w:color w:val="auto"/>
                <w:highlight w:val="none"/>
              </w:rPr>
              <w:t>4.供应商为联合体的，由联合体任意一方按规定提交的履约保证金，视为有效履约保证金。（本项目不接受联合体，此项不适用）</w:t>
            </w:r>
          </w:p>
        </w:tc>
      </w:tr>
      <w:tr w14:paraId="4896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1DF7A0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3AFB552">
            <w:pPr>
              <w:adjustRightInd w:val="0"/>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969625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12FC2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F819B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BA7499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BF621E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以书面形式</w:t>
            </w:r>
          </w:p>
        </w:tc>
      </w:tr>
      <w:tr w14:paraId="5CB7E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278B85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2E2F838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31C9D53">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广西北部湾宏亚建设管理有限公司</w:t>
            </w:r>
            <w:r>
              <w:rPr>
                <w:rFonts w:hint="eastAsia" w:ascii="宋体" w:hAnsi="宋体"/>
                <w:color w:val="auto"/>
                <w:szCs w:val="21"/>
                <w:highlight w:val="none"/>
              </w:rPr>
              <w:t>；</w:t>
            </w:r>
          </w:p>
          <w:p w14:paraId="351C9295">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lang w:eastAsia="zh-CN"/>
              </w:rPr>
              <w:t>0777-2800211</w:t>
            </w:r>
            <w:r>
              <w:rPr>
                <w:rFonts w:hint="eastAsia" w:ascii="宋体" w:hAnsi="宋体"/>
                <w:color w:val="auto"/>
                <w:szCs w:val="21"/>
                <w:highlight w:val="none"/>
              </w:rPr>
              <w:t>，</w:t>
            </w:r>
          </w:p>
          <w:p w14:paraId="7B2BD0CF">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w:t>
            </w:r>
            <w:r>
              <w:rPr>
                <w:rFonts w:hint="eastAsia" w:ascii="宋体" w:hAnsi="宋体" w:eastAsia="宋体"/>
                <w:color w:val="auto"/>
                <w:szCs w:val="21"/>
                <w:highlight w:val="none"/>
                <w:u w:val="single"/>
                <w:lang w:eastAsia="zh-CN"/>
              </w:rPr>
              <w:t>钦州市蓬莱大道鸿亭街33</w:t>
            </w:r>
            <w:r>
              <w:rPr>
                <w:rFonts w:hint="eastAsia" w:ascii="宋体" w:hAnsi="宋体" w:eastAsia="宋体"/>
                <w:color w:val="auto"/>
                <w:szCs w:val="21"/>
                <w:highlight w:val="none"/>
                <w:u w:val="single"/>
                <w:lang w:val="en-US" w:eastAsia="zh-CN"/>
              </w:rPr>
              <w:t>3</w:t>
            </w:r>
            <w:r>
              <w:rPr>
                <w:rFonts w:hint="eastAsia" w:ascii="宋体" w:hAnsi="宋体" w:eastAsia="宋体"/>
                <w:color w:val="auto"/>
                <w:szCs w:val="21"/>
                <w:highlight w:val="none"/>
                <w:u w:val="single"/>
                <w:lang w:eastAsia="zh-CN"/>
              </w:rPr>
              <w:t>号皇庭天麓湖小区183栋203室</w:t>
            </w:r>
          </w:p>
          <w:p w14:paraId="4B77ACCA">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钦州市教育发展研究中心</w:t>
            </w:r>
            <w:r>
              <w:rPr>
                <w:rFonts w:hint="eastAsia" w:ascii="宋体" w:hAnsi="宋体"/>
                <w:color w:val="auto"/>
                <w:szCs w:val="21"/>
                <w:highlight w:val="none"/>
              </w:rPr>
              <w:t>；</w:t>
            </w:r>
          </w:p>
          <w:p w14:paraId="530982D1">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s="宋体"/>
                <w:color w:val="auto"/>
                <w:spacing w:val="6"/>
                <w:sz w:val="21"/>
                <w:szCs w:val="21"/>
                <w:highlight w:val="none"/>
                <w:u w:val="single"/>
                <w:lang w:eastAsia="zh-CN"/>
              </w:rPr>
              <w:t>0777-32162</w:t>
            </w:r>
            <w:r>
              <w:rPr>
                <w:rFonts w:hint="eastAsia" w:ascii="宋体" w:hAnsi="宋体" w:cs="宋体"/>
                <w:color w:val="auto"/>
                <w:spacing w:val="6"/>
                <w:sz w:val="21"/>
                <w:szCs w:val="21"/>
                <w:highlight w:val="none"/>
                <w:u w:val="single"/>
                <w:lang w:val="en-US" w:eastAsia="zh-CN"/>
              </w:rPr>
              <w:t>8</w:t>
            </w:r>
            <w:r>
              <w:rPr>
                <w:rFonts w:hint="eastAsia" w:ascii="宋体" w:hAnsi="宋体" w:cs="宋体"/>
                <w:color w:val="auto"/>
                <w:spacing w:val="6"/>
                <w:sz w:val="21"/>
                <w:szCs w:val="21"/>
                <w:highlight w:val="none"/>
                <w:u w:val="single"/>
                <w:lang w:eastAsia="zh-CN"/>
              </w:rPr>
              <w:t>9</w:t>
            </w:r>
            <w:r>
              <w:rPr>
                <w:rFonts w:hint="eastAsia" w:ascii="宋体" w:hAnsi="宋体"/>
                <w:color w:val="auto"/>
                <w:szCs w:val="21"/>
                <w:highlight w:val="none"/>
              </w:rPr>
              <w:t>，</w:t>
            </w:r>
          </w:p>
          <w:p w14:paraId="513826F7">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宋体"/>
                <w:color w:val="auto"/>
                <w:spacing w:val="2"/>
                <w:sz w:val="21"/>
                <w:szCs w:val="21"/>
                <w:highlight w:val="none"/>
                <w:u w:val="single"/>
                <w:lang w:eastAsia="zh-CN"/>
              </w:rPr>
              <w:t>钦州市钦南区乘风大道51号</w:t>
            </w:r>
          </w:p>
        </w:tc>
      </w:tr>
      <w:tr w14:paraId="77C5A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2A7C80B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B5E14">
            <w:pPr>
              <w:snapToGrid w:val="0"/>
              <w:spacing w:line="360" w:lineRule="auto"/>
              <w:jc w:val="center"/>
              <w:rPr>
                <w:rFonts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C67BAA0">
            <w:pPr>
              <w:snapToGrid w:val="0"/>
              <w:spacing w:line="380" w:lineRule="exact"/>
              <w:rPr>
                <w:rFonts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 xml:space="preserve"> 08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12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r>
              <w:rPr>
                <w:rFonts w:hint="eastAsia" w:hAnsi="宋体"/>
                <w:color w:val="auto"/>
                <w:highlight w:val="none"/>
                <w:u w:val="single"/>
              </w:rPr>
              <w:t xml:space="preserve"> 15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p>
        </w:tc>
      </w:tr>
      <w:tr w14:paraId="282E4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3431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6E23CB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4BFB64">
            <w:pPr>
              <w:snapToGrid w:val="0"/>
              <w:spacing w:line="400" w:lineRule="exact"/>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0DC2A446">
            <w:pPr>
              <w:snapToGrid w:val="0"/>
              <w:spacing w:line="40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1CE8DE6B">
            <w:pPr>
              <w:snapToGrid w:val="0"/>
              <w:spacing w:line="400" w:lineRule="exact"/>
              <w:rPr>
                <w:rFonts w:hint="eastAsia" w:hAnsi="宋体" w:cs="宋体"/>
                <w:color w:val="auto"/>
                <w:highlight w:val="none"/>
              </w:rPr>
            </w:pPr>
            <w:r>
              <w:rPr>
                <w:rFonts w:hint="eastAsia" w:hAnsi="宋体" w:cs="宋体"/>
                <w:color w:val="auto"/>
                <w:highlight w:val="none"/>
              </w:rPr>
              <w:t xml:space="preserve">名称：钦州市财政局政府采购监督管理科 </w:t>
            </w:r>
          </w:p>
          <w:p w14:paraId="5D0EA848">
            <w:pPr>
              <w:snapToGrid w:val="0"/>
              <w:spacing w:line="400" w:lineRule="exact"/>
              <w:rPr>
                <w:rFonts w:hint="eastAsia" w:hAnsi="宋体" w:cs="宋体"/>
                <w:color w:val="auto"/>
                <w:highlight w:val="none"/>
              </w:rPr>
            </w:pPr>
            <w:r>
              <w:rPr>
                <w:rFonts w:hint="eastAsia" w:hAnsi="宋体" w:cs="宋体"/>
                <w:color w:val="auto"/>
                <w:highlight w:val="none"/>
              </w:rPr>
              <w:t xml:space="preserve">地址：钦州市银河街125号  </w:t>
            </w:r>
          </w:p>
          <w:p w14:paraId="6C42B693">
            <w:pPr>
              <w:snapToGrid w:val="0"/>
              <w:spacing w:line="400" w:lineRule="exact"/>
              <w:rPr>
                <w:rFonts w:hAnsi="宋体" w:cs="宋体"/>
                <w:color w:val="auto"/>
                <w:highlight w:val="none"/>
              </w:rPr>
            </w:pPr>
            <w:r>
              <w:rPr>
                <w:rFonts w:hint="eastAsia" w:hAnsi="宋体" w:cs="宋体"/>
                <w:color w:val="auto"/>
                <w:highlight w:val="none"/>
              </w:rPr>
              <w:t>联系电话：0777-2895258</w:t>
            </w:r>
          </w:p>
        </w:tc>
      </w:tr>
      <w:tr w14:paraId="0BBEE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49088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3869E16">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53BBF3">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采购代理费支付方式：</w:t>
            </w:r>
          </w:p>
          <w:p w14:paraId="07E95029">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本项目代理货物费由</w:t>
            </w:r>
            <w:r>
              <w:rPr>
                <w:rFonts w:hint="eastAsia" w:ascii="宋体" w:hAnsi="宋体" w:eastAsia="宋体" w:cs="宋体"/>
                <w:color w:val="auto"/>
                <w:sz w:val="21"/>
                <w:highlight w:val="none"/>
                <w:u w:val="single"/>
                <w:lang w:eastAsia="zh-CN"/>
              </w:rPr>
              <w:t>成交</w:t>
            </w:r>
            <w:r>
              <w:rPr>
                <w:rFonts w:hint="eastAsia" w:ascii="宋体" w:hAnsi="宋体" w:eastAsia="宋体" w:cs="宋体"/>
                <w:color w:val="auto"/>
                <w:sz w:val="21"/>
                <w:highlight w:val="none"/>
                <w:u w:val="single"/>
              </w:rPr>
              <w:t>人</w:t>
            </w:r>
            <w:r>
              <w:rPr>
                <w:rFonts w:hint="eastAsia" w:ascii="宋体" w:hAnsi="宋体" w:eastAsia="宋体" w:cs="宋体"/>
                <w:color w:val="auto"/>
                <w:sz w:val="21"/>
                <w:highlight w:val="none"/>
              </w:rPr>
              <w:t>在领取</w:t>
            </w:r>
            <w:r>
              <w:rPr>
                <w:rFonts w:hint="eastAsia" w:ascii="宋体" w:hAnsi="宋体" w:eastAsia="宋体" w:cs="宋体"/>
                <w:color w:val="auto"/>
                <w:sz w:val="21"/>
                <w:highlight w:val="none"/>
                <w:lang w:eastAsia="zh-CN"/>
              </w:rPr>
              <w:t>成交</w:t>
            </w:r>
            <w:r>
              <w:rPr>
                <w:rFonts w:hint="eastAsia" w:ascii="宋体" w:hAnsi="宋体" w:eastAsia="宋体" w:cs="宋体"/>
                <w:color w:val="auto"/>
                <w:sz w:val="21"/>
                <w:highlight w:val="none"/>
              </w:rPr>
              <w:t>通知书前，一次性向采购代理机构支付。</w:t>
            </w:r>
          </w:p>
          <w:p w14:paraId="379D23B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□采购人支付。</w:t>
            </w:r>
          </w:p>
          <w:p w14:paraId="7F7FC594">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□本项目不收取代理货物费。</w:t>
            </w:r>
          </w:p>
          <w:p w14:paraId="3A8424F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采购代理费收取标准</w:t>
            </w:r>
            <w:r>
              <w:rPr>
                <w:rFonts w:hint="eastAsia" w:ascii="宋体" w:hAnsi="宋体" w:eastAsia="宋体" w:cs="宋体"/>
                <w:color w:val="auto"/>
                <w:sz w:val="21"/>
                <w:highlight w:val="none"/>
                <w:lang w:eastAsia="zh-CN"/>
              </w:rPr>
              <w:t>：</w:t>
            </w:r>
          </w:p>
          <w:p w14:paraId="1389D94B">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以分标（</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中标金额/□采购预算/□暂定中标金额/□其他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hAnsi="宋体" w:cs="宋体"/>
                <w:color w:val="auto"/>
                <w:sz w:val="21"/>
                <w:szCs w:val="21"/>
                <w:highlight w:val="none"/>
                <w:lang w:eastAsia="zh-CN"/>
              </w:rPr>
              <w:t>服务</w:t>
            </w:r>
            <w:r>
              <w:rPr>
                <w:rFonts w:hint="eastAsia" w:ascii="宋体" w:hAnsi="宋体" w:eastAsia="宋体" w:cs="宋体"/>
                <w:color w:val="auto"/>
                <w:sz w:val="21"/>
                <w:szCs w:val="21"/>
                <w:highlight w:val="none"/>
              </w:rPr>
              <w:t>招标采用差额定率累进法计算出收费基准价格，采购代理收费以（□收费基准价格/</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收费基准价格下浮</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w:t>
            </w:r>
            <w:r>
              <w:rPr>
                <w:rFonts w:hint="eastAsia" w:ascii="宋体" w:hAnsi="宋体" w:eastAsia="宋体" w:cs="宋体"/>
                <w:color w:val="auto"/>
                <w:sz w:val="21"/>
                <w:szCs w:val="21"/>
                <w:highlight w:val="none"/>
                <w:lang w:eastAsia="zh-CN"/>
              </w:rPr>
              <w:t>，不满</w:t>
            </w:r>
            <w:r>
              <w:rPr>
                <w:rFonts w:hint="eastAsia" w:ascii="宋体" w:hAnsi="宋体" w:eastAsia="宋体" w:cs="宋体"/>
                <w:color w:val="auto"/>
                <w:sz w:val="21"/>
                <w:szCs w:val="21"/>
                <w:highlight w:val="none"/>
                <w:lang w:val="en-US" w:eastAsia="zh-CN"/>
              </w:rPr>
              <w:t>3000元，按3000元收取</w:t>
            </w:r>
            <w:r>
              <w:rPr>
                <w:rFonts w:hint="eastAsia" w:ascii="宋体" w:hAnsi="宋体" w:eastAsia="宋体" w:cs="宋体"/>
                <w:color w:val="auto"/>
                <w:sz w:val="21"/>
                <w:szCs w:val="21"/>
                <w:highlight w:val="none"/>
              </w:rPr>
              <w:t>。</w:t>
            </w:r>
          </w:p>
          <w:p w14:paraId="287BCA0B">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固定采购代理收费</w:t>
            </w:r>
            <w:r>
              <w:rPr>
                <w:rFonts w:hint="eastAsia" w:ascii="宋体" w:hAnsi="宋体" w:cs="宋体"/>
                <w:color w:val="auto"/>
                <w:sz w:val="21"/>
                <w:szCs w:val="21"/>
                <w:highlight w:val="none"/>
                <w:lang w:eastAsia="zh-CN"/>
              </w:rPr>
              <w:t>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w:t>
            </w:r>
            <w:r>
              <w:rPr>
                <w:rFonts w:hint="eastAsia" w:ascii="宋体" w:hAnsi="宋体" w:eastAsia="宋体" w:cs="宋体"/>
                <w:color w:val="auto"/>
                <w:sz w:val="21"/>
                <w:szCs w:val="21"/>
                <w:highlight w:val="none"/>
                <w:u w:val="none"/>
              </w:rPr>
              <w:t>。</w:t>
            </w:r>
          </w:p>
          <w:p w14:paraId="344A8CB5">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采购代理费收取银行账户</w:t>
            </w:r>
          </w:p>
          <w:p w14:paraId="60C0FCCE">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hAnsi="宋体" w:cs="宋体"/>
                <w:color w:val="auto"/>
                <w:highlight w:val="none"/>
              </w:rPr>
            </w:pPr>
            <w:r>
              <w:rPr>
                <w:rFonts w:hint="eastAsia" w:hAnsi="宋体" w:cs="宋体"/>
                <w:color w:val="auto"/>
                <w:highlight w:val="none"/>
              </w:rPr>
              <w:t>开户名：广西北部湾宏亚建设管理有限公司钦州分公司</w:t>
            </w:r>
          </w:p>
          <w:p w14:paraId="4F0C735A">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hAnsi="宋体" w:cs="宋体"/>
                <w:color w:val="auto"/>
                <w:highlight w:val="none"/>
              </w:rPr>
            </w:pPr>
            <w:r>
              <w:rPr>
                <w:rFonts w:hint="eastAsia" w:hAnsi="宋体" w:cs="宋体"/>
                <w:color w:val="auto"/>
                <w:highlight w:val="none"/>
              </w:rPr>
              <w:t>开户行：中国建设银行股份有限公司钦州永福东大街支行</w:t>
            </w:r>
          </w:p>
          <w:p w14:paraId="320BD6F6">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int="eastAsia" w:hAnsi="宋体" w:cs="宋体"/>
                <w:color w:val="auto"/>
                <w:highlight w:val="none"/>
              </w:rPr>
              <w:t>账号：45050165986200000062</w:t>
            </w:r>
          </w:p>
        </w:tc>
      </w:tr>
      <w:tr w14:paraId="160C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1"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8AB1A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1E935F8">
            <w:pPr>
              <w:snapToGrid w:val="0"/>
              <w:spacing w:line="360" w:lineRule="auto"/>
              <w:jc w:val="center"/>
              <w:rPr>
                <w:rFonts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C15DBB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341BD18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b/>
                <w:color w:val="auto"/>
                <w:sz w:val="21"/>
                <w:highlight w:val="none"/>
              </w:rPr>
            </w:pPr>
            <w:r>
              <w:rPr>
                <w:rFonts w:hint="eastAsia" w:hAnsi="宋体" w:cs="宋体"/>
                <w:b/>
                <w:color w:val="auto"/>
                <w:sz w:val="21"/>
                <w:highlight w:val="none"/>
              </w:rPr>
              <w:t>法律责任：</w:t>
            </w:r>
          </w:p>
          <w:p w14:paraId="1B1493EF">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37BB18E">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本项目采购代理机构应严格按照广西</w:t>
            </w:r>
            <w:r>
              <w:rPr>
                <w:rFonts w:hint="eastAsia" w:ascii="宋体" w:hAnsi="宋体"/>
                <w:b/>
                <w:color w:val="auto"/>
                <w:szCs w:val="21"/>
                <w:highlight w:val="none"/>
                <w:lang w:eastAsia="zh-CN"/>
              </w:rPr>
              <w:t>政府采购云</w:t>
            </w:r>
            <w:r>
              <w:rPr>
                <w:rFonts w:hint="eastAsia" w:ascii="宋体" w:hAnsi="宋体"/>
                <w:b/>
                <w:color w:val="auto"/>
                <w:szCs w:val="21"/>
                <w:highlight w:val="none"/>
              </w:rPr>
              <w:t>平台项目采购全流程电子化电子开评标规程执行项目采购活动，代理机构在</w:t>
            </w:r>
            <w:r>
              <w:rPr>
                <w:rFonts w:hint="eastAsia" w:ascii="宋体" w:hAnsi="宋体"/>
                <w:b/>
                <w:color w:val="auto"/>
                <w:szCs w:val="21"/>
                <w:highlight w:val="none"/>
                <w:lang w:eastAsia="zh-CN"/>
              </w:rPr>
              <w:t>“广西政府采购云平台”</w:t>
            </w:r>
            <w:r>
              <w:rPr>
                <w:rFonts w:hint="eastAsia" w:ascii="宋体" w:hAnsi="宋体"/>
                <w:b/>
                <w:color w:val="auto"/>
                <w:szCs w:val="21"/>
                <w:highlight w:val="none"/>
              </w:rPr>
              <w:t>“项目管理”—“采购文件管理”内开评标规则设置作为本采购文件的组成部分，截标之后不可更改，因代理机构开评标规则设置错误导致采购活动无法开展下去的情况，由代理机构负责解释并承担其后果。</w:t>
            </w:r>
          </w:p>
        </w:tc>
      </w:tr>
      <w:tr w14:paraId="5A7B8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7DAB4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AA4A0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21AB0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D74D972">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DDE4FA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58411F56">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1ADDCF7">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int="eastAsia" w:hAnsi="宋体" w:cs="宋体"/>
                <w:color w:val="auto"/>
                <w:sz w:val="21"/>
                <w:highlight w:val="none"/>
              </w:rPr>
              <w:t>5.本磋商文件所称的“以上”“以下”“以内”“届满”，包括本数；所称的“不满”“超过”“以外”，不包括本数。</w:t>
            </w:r>
          </w:p>
        </w:tc>
      </w:tr>
    </w:tbl>
    <w:p w14:paraId="207F8099">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78B9818">
      <w:pPr>
        <w:spacing w:line="400" w:lineRule="exact"/>
        <w:jc w:val="center"/>
        <w:rPr>
          <w:rFonts w:ascii="宋体" w:hAnsi="宋体" w:cs="宋体"/>
          <w:b/>
          <w:color w:val="auto"/>
          <w:sz w:val="32"/>
          <w:szCs w:val="32"/>
          <w:highlight w:val="none"/>
        </w:rPr>
      </w:pPr>
    </w:p>
    <w:p w14:paraId="5BE83AE6">
      <w:pPr>
        <w:pStyle w:val="7"/>
        <w:spacing w:before="0" w:after="0" w:line="360" w:lineRule="auto"/>
        <w:ind w:firstLine="640" w:firstLineChars="200"/>
        <w:rPr>
          <w:rFonts w:ascii="宋体" w:hAnsi="宋体"/>
          <w:b w:val="0"/>
          <w:color w:val="auto"/>
          <w:highlight w:val="none"/>
        </w:rPr>
      </w:pPr>
      <w:bookmarkStart w:id="26" w:name="_Toc8899"/>
      <w:r>
        <w:rPr>
          <w:rFonts w:hint="eastAsia" w:ascii="宋体" w:hAnsi="宋体"/>
          <w:b w:val="0"/>
          <w:color w:val="auto"/>
          <w:highlight w:val="none"/>
        </w:rPr>
        <w:t>一、总则</w:t>
      </w:r>
      <w:bookmarkEnd w:id="26"/>
    </w:p>
    <w:p w14:paraId="15BF904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675E3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DA372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C7BF75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72E372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8F7D2DC">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353DA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4C4677B">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CFE2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4F9251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BB50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67DB6F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772F40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1BF0D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782E41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E1ECB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1A9FC1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7BB34B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DDAA6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D70D2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2D76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09A13D5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B7BB9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1FBE2B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07F5B4D4">
      <w:pPr>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w:t>
      </w:r>
      <w:r>
        <w:rPr>
          <w:rFonts w:hint="eastAsia" w:ascii="宋体" w:hAnsi="宋体"/>
          <w:bCs/>
          <w:color w:val="auto"/>
          <w:szCs w:val="21"/>
          <w:highlight w:val="none"/>
        </w:rPr>
        <w:tab/>
      </w:r>
      <w:r>
        <w:rPr>
          <w:rFonts w:hint="eastAsia" w:ascii="宋体" w:hAnsi="宋体"/>
          <w:bCs/>
          <w:color w:val="auto"/>
          <w:szCs w:val="21"/>
          <w:highlight w:val="none"/>
        </w:rPr>
        <w:t>1%—2%）的扣除，用扣除后的价格参加评审。组成联合体的小微企业与联合体内其他企业、分包企业之间存在直接控股、管理关系的，不享受价格扣除优惠政策。</w:t>
      </w:r>
    </w:p>
    <w:p w14:paraId="71F1AE7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6FB8FA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6.1本项目是否允许分包详见“供应商须知前附表”，本项目不允许分包。</w:t>
      </w:r>
    </w:p>
    <w:p w14:paraId="09093D9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30%以上的，采购人、采购代理机构应当对大中型企业的报价给予4%-6%的扣除，用扣除后的价格参加评审。接受分包的小微企业与分包企业之间存在直接控股、管理关系的，不享受价格扣除优惠政策。</w:t>
      </w:r>
    </w:p>
    <w:p w14:paraId="7BCB8A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p>
    <w:p w14:paraId="47FBC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p w14:paraId="003A39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5B23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182C6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4E786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7565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F372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18F0B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FF61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B0D34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88C0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BDD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3DF0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78EB9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10204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4D405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76F266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7595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5F6F45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0B3BF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B5FD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AFBE1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84FCD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9DA3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AD8BF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CD941B3">
      <w:pPr>
        <w:pStyle w:val="7"/>
        <w:spacing w:before="0" w:after="0" w:line="360" w:lineRule="auto"/>
        <w:ind w:firstLine="640" w:firstLineChars="200"/>
        <w:rPr>
          <w:rFonts w:ascii="宋体" w:hAnsi="宋体"/>
          <w:b w:val="0"/>
          <w:bCs w:val="0"/>
          <w:color w:val="auto"/>
          <w:highlight w:val="none"/>
        </w:rPr>
      </w:pPr>
      <w:bookmarkStart w:id="27" w:name="_Toc22373"/>
      <w:r>
        <w:rPr>
          <w:rFonts w:hint="eastAsia" w:ascii="宋体" w:hAnsi="宋体"/>
          <w:b w:val="0"/>
          <w:bCs w:val="0"/>
          <w:color w:val="auto"/>
          <w:highlight w:val="none"/>
        </w:rPr>
        <w:t>二、磋商文件</w:t>
      </w:r>
      <w:bookmarkEnd w:id="27"/>
    </w:p>
    <w:p w14:paraId="551F5E2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236798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4AF34E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47257A9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399FF67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27B0B6A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28AB89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729847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3F324C5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89B1B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w:t>
      </w:r>
      <w:r>
        <w:rPr>
          <w:rFonts w:hint="eastAsia" w:ascii="宋体" w:hAnsi="宋体"/>
          <w:color w:val="auto"/>
          <w:szCs w:val="21"/>
          <w:highlight w:val="none"/>
          <w:lang w:eastAsia="zh-CN"/>
        </w:rPr>
        <w:t>供应商</w:t>
      </w:r>
      <w:r>
        <w:rPr>
          <w:rFonts w:hint="eastAsia" w:ascii="宋体" w:hAnsi="宋体"/>
          <w:color w:val="auto"/>
          <w:szCs w:val="21"/>
          <w:highlight w:val="none"/>
        </w:rPr>
        <w:t>应在提交首次响应文件截止之日前，以书面形式向采购人、采购代理机构提出。</w:t>
      </w:r>
    </w:p>
    <w:p w14:paraId="3D8678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0FDF3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38A271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A50486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264039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6925717">
      <w:pPr>
        <w:spacing w:line="360" w:lineRule="auto"/>
        <w:ind w:firstLine="420" w:firstLineChars="20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4A4A5E91">
      <w:pPr>
        <w:spacing w:line="360" w:lineRule="auto"/>
        <w:ind w:firstLine="422" w:firstLineChars="200"/>
        <w:rPr>
          <w:rFonts w:hint="eastAsia" w:ascii="Arial" w:hAnsi="Arial" w:eastAsia="宋体" w:cs="Arial"/>
          <w:b/>
          <w:bCs/>
          <w:color w:val="auto"/>
          <w:highlight w:val="none"/>
          <w:shd w:val="clear" w:color="auto" w:fill="FFFFFF"/>
        </w:rPr>
      </w:pPr>
      <w:r>
        <w:rPr>
          <w:rFonts w:hint="eastAsia" w:ascii="Arial" w:hAnsi="Arial" w:eastAsia="宋体" w:cs="Arial"/>
          <w:b/>
          <w:bCs/>
          <w:color w:val="auto"/>
          <w:highlight w:val="none"/>
          <w:shd w:val="clear" w:color="auto" w:fill="FFFFFF"/>
        </w:rPr>
        <w:t>▲响应文件未按磋商文件的澄清、修改的内容编制，又不符合实质性要求的，其响应文件作无效处理。</w:t>
      </w:r>
    </w:p>
    <w:p w14:paraId="35593433">
      <w:pPr>
        <w:pStyle w:val="7"/>
        <w:spacing w:before="0" w:after="0" w:line="360" w:lineRule="auto"/>
        <w:ind w:firstLine="640" w:firstLineChars="200"/>
        <w:rPr>
          <w:rFonts w:ascii="宋体" w:hAnsi="宋体"/>
          <w:b w:val="0"/>
          <w:bCs w:val="0"/>
          <w:color w:val="auto"/>
          <w:highlight w:val="none"/>
        </w:rPr>
      </w:pPr>
      <w:bookmarkStart w:id="28" w:name="_Toc31199"/>
      <w:r>
        <w:rPr>
          <w:rFonts w:hint="eastAsia" w:ascii="宋体" w:hAnsi="宋体"/>
          <w:b w:val="0"/>
          <w:bCs w:val="0"/>
          <w:color w:val="auto"/>
          <w:highlight w:val="none"/>
        </w:rPr>
        <w:t>三、响应文件的编制</w:t>
      </w:r>
      <w:bookmarkEnd w:id="28"/>
    </w:p>
    <w:p w14:paraId="3F88769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6F30F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930C2F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1F562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7460CBC">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01889A">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59631EC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30845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3C35AD1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1981A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1ACD5F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432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C9ABC4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7660A8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9CF8AB4">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51C5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7D31B5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42AA68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（1）供应商必须就“采购需求”中所竞标的全部内容分别作完整唯一总价报价，不得存在漏项报价；</w:t>
      </w:r>
    </w:p>
    <w:p w14:paraId="486A6C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780B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15.3.2响应报价（包含首次报价、最后报价）超过所竞标规定的采购预算金额或者最高限价的，其响应文件将作无效处理。</w:t>
      </w:r>
    </w:p>
    <w:p w14:paraId="730119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15.3.3响应报价（包含首次报价、最后报价）超过分项采购预算金额或者最高限价的，其响应文件将作无效处理。</w:t>
      </w:r>
    </w:p>
    <w:p w14:paraId="450B1A2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81385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9CA1D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051A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2C939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02891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w:t>
      </w:r>
      <w:r>
        <w:rPr>
          <w:rFonts w:ascii="宋体" w:hAnsi="宋体" w:cs="宋体"/>
          <w:color w:val="auto"/>
          <w:szCs w:val="21"/>
          <w:highlight w:val="none"/>
        </w:rPr>
        <w:t>“</w:t>
      </w:r>
      <w:r>
        <w:rPr>
          <w:rFonts w:hint="eastAsia" w:ascii="宋体" w:hAnsi="宋体" w:cs="宋体"/>
          <w:color w:val="auto"/>
          <w:szCs w:val="21"/>
          <w:highlight w:val="none"/>
        </w:rPr>
        <w:t>供应商须知前附表</w:t>
      </w:r>
      <w:r>
        <w:rPr>
          <w:rFonts w:ascii="宋体" w:hAnsi="宋体" w:cs="宋体"/>
          <w:color w:val="auto"/>
          <w:szCs w:val="21"/>
          <w:highlight w:val="none"/>
        </w:rPr>
        <w:t>”</w:t>
      </w:r>
      <w:r>
        <w:rPr>
          <w:rFonts w:hint="eastAsia" w:ascii="宋体" w:hAnsi="宋体" w:cs="宋体"/>
          <w:color w:val="auto"/>
          <w:szCs w:val="21"/>
          <w:highlight w:val="none"/>
        </w:rPr>
        <w:t xml:space="preserve">的规定提交竞标保证金。 </w:t>
      </w:r>
    </w:p>
    <w:p w14:paraId="424341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17.2竞标保证金的退还 </w:t>
      </w:r>
    </w:p>
    <w:p w14:paraId="4FE21C0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未成交供应商的竞标保证金自成交通知书发出之日起4个工作日内退还；成交供应商的竞标保证金自签订合同之日起4个工作日内退还。 </w:t>
      </w:r>
    </w:p>
    <w:p w14:paraId="5A6F20E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17.3竞标保证金不计息。 </w:t>
      </w:r>
    </w:p>
    <w:p w14:paraId="02BDAE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47C8885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（1）供应商在提交响应文件截止时间后撤回响应文件的； </w:t>
      </w:r>
    </w:p>
    <w:p w14:paraId="285ED2B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（2）未按规定提交履约保证金的； </w:t>
      </w:r>
    </w:p>
    <w:p w14:paraId="435B33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（3）供应商在响应文件中提供虚假材料的； </w:t>
      </w:r>
    </w:p>
    <w:p w14:paraId="7B8F77A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（4）除因不可抗力或者采购文件认可的情形以外，成交供应商不与采购人签订合同的； </w:t>
      </w:r>
    </w:p>
    <w:p w14:paraId="00B5368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（5）供应商与采购人、其他供应商或者采购代理机构恶意串通的； </w:t>
      </w:r>
    </w:p>
    <w:p w14:paraId="3AE440A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（6）法律法规规定的其他情形。 </w:t>
      </w:r>
    </w:p>
    <w:p w14:paraId="1979457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6814B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D554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2BBE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r>
        <w:rPr>
          <w:rFonts w:hint="eastAsia" w:ascii="宋体" w:hAnsi="宋体" w:cs="宋体"/>
          <w:color w:val="auto"/>
          <w:szCs w:val="21"/>
          <w:highlight w:val="none"/>
        </w:rPr>
        <w:t>，否则其响应文件按无效响应处理。骑缝盖公章不视为在规定位置盖章。</w:t>
      </w:r>
    </w:p>
    <w:p w14:paraId="2C044D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4E2F28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392096A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6C6B37D9">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D177B80">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w:t>
      </w:r>
    </w:p>
    <w:p w14:paraId="0C76F676">
      <w:pPr>
        <w:pStyle w:val="21"/>
        <w:spacing w:line="360" w:lineRule="auto"/>
        <w:ind w:firstLine="420" w:firstLineChars="200"/>
        <w:rPr>
          <w:rFonts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05F0A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85492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C2313DD">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4592D8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在提交“最后报价”后，供应商不能退出谈判。</w:t>
      </w:r>
    </w:p>
    <w:p w14:paraId="590944D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CFFF6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0A0A05E5">
      <w:pPr>
        <w:spacing w:line="360" w:lineRule="auto"/>
        <w:ind w:firstLine="420" w:firstLineChars="20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ascii="宋体" w:hAnsi="宋体"/>
          <w:color w:val="auto"/>
          <w:szCs w:val="21"/>
          <w:highlight w:val="none"/>
          <w:lang w:eastAsia="zh-CN"/>
        </w:rPr>
        <w:t>详见</w:t>
      </w:r>
      <w:r>
        <w:rPr>
          <w:rFonts w:hint="eastAsia" w:hAnsi="宋体"/>
          <w:bCs/>
          <w:color w:val="auto"/>
          <w:szCs w:val="21"/>
          <w:highlight w:val="none"/>
        </w:rPr>
        <w:t>“供应商须知前附表”。</w:t>
      </w:r>
    </w:p>
    <w:p w14:paraId="572482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2CCC8E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A0C95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 首次响应文件的退回</w:t>
      </w:r>
    </w:p>
    <w:p w14:paraId="538DE8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0AE1C13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247F4915">
      <w:pPr>
        <w:snapToGrid w:val="0"/>
        <w:spacing w:line="360" w:lineRule="auto"/>
        <w:ind w:firstLine="420" w:firstLineChars="200"/>
        <w:rPr>
          <w:rFonts w:ascii="宋体" w:hAnsi="宋体"/>
          <w:color w:val="auto"/>
          <w:szCs w:val="21"/>
          <w:highlight w:val="none"/>
        </w:rPr>
      </w:pPr>
      <w:r>
        <w:rPr>
          <w:rFonts w:hint="eastAsia" w:ascii="宋体...骝乧." w:hAnsi="宋体...骝乧." w:eastAsia="宋体...骝乧."/>
          <w:color w:val="auto"/>
          <w:highlight w:val="none"/>
        </w:rPr>
        <w:t>供应商在响应文件提交截止时间后向采购人、采购代理机构书面申请撤回响应文件的，将根据本须知正文第17.4条的规定不予退还其竞标保证金。</w:t>
      </w:r>
    </w:p>
    <w:p w14:paraId="2347C08C">
      <w:pPr>
        <w:pStyle w:val="7"/>
        <w:spacing w:before="0" w:after="0" w:line="360" w:lineRule="auto"/>
        <w:ind w:firstLine="640" w:firstLineChars="200"/>
        <w:rPr>
          <w:rFonts w:ascii="宋体" w:hAnsi="宋体"/>
          <w:b w:val="0"/>
          <w:bCs w:val="0"/>
          <w:color w:val="auto"/>
          <w:highlight w:val="none"/>
        </w:rPr>
      </w:pPr>
      <w:bookmarkStart w:id="29" w:name="_Toc31550"/>
      <w:r>
        <w:rPr>
          <w:rFonts w:hint="eastAsia" w:ascii="宋体" w:hAnsi="宋体"/>
          <w:b w:val="0"/>
          <w:bCs w:val="0"/>
          <w:color w:val="auto"/>
          <w:highlight w:val="none"/>
        </w:rPr>
        <w:t>四、评审及磋商</w:t>
      </w:r>
      <w:bookmarkEnd w:id="29"/>
    </w:p>
    <w:p w14:paraId="7453C44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1CA8B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7FA4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323043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6DE7A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034CEFF">
      <w:pPr>
        <w:pStyle w:val="21"/>
        <w:spacing w:line="360" w:lineRule="auto"/>
        <w:ind w:firstLine="420" w:firstLineChars="200"/>
        <w:rPr>
          <w:rFonts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2C03FC83">
      <w:pPr>
        <w:pStyle w:val="21"/>
        <w:snapToGrid w:val="0"/>
        <w:spacing w:line="360" w:lineRule="auto"/>
        <w:ind w:firstLine="420" w:firstLineChars="200"/>
        <w:rPr>
          <w:rFonts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ascii="宋体" w:hAnsi="宋体" w:eastAsia="宋体" w:cs="Times New Roman"/>
          <w:b/>
          <w:bCs w:val="0"/>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highlight w:val="none"/>
        </w:rPr>
        <w:t>。</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26.4 电子交易活动的中止。）</w:t>
      </w:r>
    </w:p>
    <w:p w14:paraId="360369FD">
      <w:pPr>
        <w:spacing w:line="360" w:lineRule="auto"/>
        <w:ind w:firstLine="420" w:firstLineChars="200"/>
        <w:rPr>
          <w:rFonts w:ascii="宋体" w:hAnsi="Courier New"/>
          <w:color w:val="auto"/>
          <w:kern w:val="0"/>
          <w:szCs w:val="21"/>
          <w:highlight w:val="none"/>
        </w:rPr>
      </w:pPr>
      <w:r>
        <w:rPr>
          <w:rFonts w:hint="eastAsia" w:ascii="宋体" w:hAnsi="宋体"/>
          <w:color w:val="auto"/>
          <w:kern w:val="0"/>
          <w:szCs w:val="21"/>
          <w:highlight w:val="none"/>
        </w:rPr>
        <w:t>如</w:t>
      </w:r>
      <w:r>
        <w:rPr>
          <w:rFonts w:hint="eastAsia" w:ascii="宋体" w:hAnsi="宋体"/>
          <w:bCs/>
          <w:color w:val="auto"/>
          <w:kern w:val="0"/>
          <w:szCs w:val="21"/>
          <w:highlight w:val="none"/>
        </w:rPr>
        <w:t>供应商成功解密响应文件，但未在广西政府采购云平台电子开标大厅参加磋商的，视同认可磋商过程和结果，</w:t>
      </w:r>
      <w:r>
        <w:rPr>
          <w:rFonts w:hint="eastAsia" w:ascii="宋体" w:hAnsi="宋体"/>
          <w:color w:val="auto"/>
          <w:kern w:val="0"/>
          <w:szCs w:val="21"/>
          <w:highlight w:val="none"/>
        </w:rPr>
        <w:t>由此产生的后果由供应商自行负责。 参与</w:t>
      </w:r>
      <w:r>
        <w:rPr>
          <w:rFonts w:hint="eastAsia" w:ascii="宋体" w:hAnsi="宋体"/>
          <w:bCs/>
          <w:color w:val="auto"/>
          <w:kern w:val="0"/>
          <w:szCs w:val="21"/>
          <w:highlight w:val="none"/>
        </w:rPr>
        <w:t>磋商</w:t>
      </w:r>
      <w:r>
        <w:rPr>
          <w:rFonts w:hint="eastAsia" w:ascii="宋体" w:hAnsi="宋体"/>
          <w:color w:val="auto"/>
          <w:kern w:val="0"/>
          <w:szCs w:val="21"/>
          <w:highlight w:val="none"/>
        </w:rPr>
        <w:t>的供应商</w:t>
      </w:r>
      <w:r>
        <w:rPr>
          <w:rFonts w:hint="eastAsia" w:ascii="宋体" w:hAnsi="Courier New"/>
          <w:color w:val="auto"/>
          <w:kern w:val="0"/>
          <w:szCs w:val="21"/>
          <w:highlight w:val="none"/>
        </w:rPr>
        <w:t>不足3家的，不得</w:t>
      </w:r>
      <w:r>
        <w:rPr>
          <w:rFonts w:hint="eastAsia" w:ascii="宋体" w:hAnsi="宋体"/>
          <w:bCs/>
          <w:color w:val="auto"/>
          <w:kern w:val="0"/>
          <w:szCs w:val="21"/>
          <w:highlight w:val="none"/>
        </w:rPr>
        <w:t>磋商</w:t>
      </w:r>
      <w:r>
        <w:rPr>
          <w:rFonts w:hint="eastAsia" w:ascii="宋体" w:hAnsi="Courier New"/>
          <w:color w:val="auto"/>
          <w:kern w:val="0"/>
          <w:szCs w:val="21"/>
          <w:highlight w:val="none"/>
        </w:rPr>
        <w:t>。</w:t>
      </w:r>
    </w:p>
    <w:p w14:paraId="7E97393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40416A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626B9366">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2E5EC30E">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1860F307">
      <w:pPr>
        <w:spacing w:line="360" w:lineRule="auto"/>
        <w:ind w:firstLine="420" w:firstLineChars="200"/>
        <w:rPr>
          <w:rFonts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7720858E">
      <w:pPr>
        <w:spacing w:line="360" w:lineRule="auto"/>
        <w:ind w:firstLine="420" w:firstLineChars="200"/>
        <w:rPr>
          <w:rFonts w:ascii="宋体" w:hAnsi="宋体"/>
          <w:color w:val="auto"/>
          <w:highlight w:val="none"/>
        </w:rPr>
      </w:pPr>
      <w:r>
        <w:rPr>
          <w:rFonts w:hint="eastAsia" w:ascii="宋体" w:hAnsi="宋体"/>
          <w:color w:val="auto"/>
          <w:highlight w:val="none"/>
        </w:rPr>
        <w:t xml:space="preserve">（1）电子交易平台发生故障而无法登录访问的； </w:t>
      </w:r>
    </w:p>
    <w:p w14:paraId="74227549">
      <w:pPr>
        <w:spacing w:line="360" w:lineRule="auto"/>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5EC68638">
      <w:pPr>
        <w:spacing w:line="360" w:lineRule="auto"/>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63424CB0">
      <w:pPr>
        <w:spacing w:line="360" w:lineRule="auto"/>
        <w:ind w:firstLine="420" w:firstLineChars="200"/>
        <w:rPr>
          <w:rFonts w:ascii="宋体" w:hAnsi="宋体"/>
          <w:color w:val="auto"/>
          <w:highlight w:val="none"/>
        </w:rPr>
      </w:pPr>
      <w:r>
        <w:rPr>
          <w:rFonts w:hint="eastAsia" w:ascii="宋体" w:hAnsi="宋体"/>
          <w:color w:val="auto"/>
          <w:highlight w:val="none"/>
        </w:rPr>
        <w:t xml:space="preserve">（4）病毒发作导致不能进行正常操作的； </w:t>
      </w:r>
    </w:p>
    <w:p w14:paraId="63F367E3">
      <w:pPr>
        <w:spacing w:line="360" w:lineRule="auto"/>
        <w:ind w:firstLine="420" w:firstLineChars="200"/>
        <w:rPr>
          <w:rFonts w:ascii="宋体" w:hAnsi="宋体"/>
          <w:color w:val="auto"/>
          <w:highlight w:val="none"/>
        </w:rPr>
      </w:pPr>
      <w:r>
        <w:rPr>
          <w:rFonts w:hint="eastAsia" w:ascii="宋体" w:hAnsi="宋体"/>
          <w:color w:val="auto"/>
          <w:highlight w:val="none"/>
        </w:rPr>
        <w:t>（5）其他无法保证电子交易的公平、公正和安全的情况。</w:t>
      </w:r>
    </w:p>
    <w:p w14:paraId="2F1405F1">
      <w:pPr>
        <w:spacing w:line="360" w:lineRule="auto"/>
        <w:ind w:firstLine="420" w:firstLineChars="200"/>
        <w:rPr>
          <w:rFonts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r>
        <w:rPr>
          <w:rFonts w:hint="eastAsia" w:ascii="宋体" w:hAnsi="宋体"/>
          <w:color w:val="auto"/>
          <w:highlight w:val="none"/>
          <w:lang w:eastAsia="zh-CN"/>
        </w:rPr>
        <w:t>做出</w:t>
      </w:r>
      <w:r>
        <w:rPr>
          <w:rFonts w:hint="eastAsia" w:ascii="宋体" w:hAnsi="宋体"/>
          <w:color w:val="auto"/>
          <w:highlight w:val="none"/>
        </w:rPr>
        <w:t>妥善保密处理，并报财政部门备案。</w:t>
      </w:r>
    </w:p>
    <w:p w14:paraId="0CC1DFF2">
      <w:pPr>
        <w:pStyle w:val="7"/>
        <w:spacing w:before="0" w:after="0" w:line="360" w:lineRule="auto"/>
        <w:ind w:firstLine="480" w:firstLineChars="150"/>
        <w:rPr>
          <w:rFonts w:ascii="宋体" w:hAnsi="宋体"/>
          <w:b w:val="0"/>
          <w:bCs w:val="0"/>
          <w:color w:val="auto"/>
          <w:highlight w:val="none"/>
        </w:rPr>
      </w:pPr>
      <w:bookmarkStart w:id="30" w:name="_Toc32496"/>
      <w:r>
        <w:rPr>
          <w:rFonts w:hint="eastAsia" w:ascii="宋体" w:hAnsi="宋体"/>
          <w:b w:val="0"/>
          <w:bCs w:val="0"/>
          <w:color w:val="auto"/>
          <w:highlight w:val="none"/>
        </w:rPr>
        <w:t>五、成交及合同</w:t>
      </w:r>
      <w:bookmarkEnd w:id="30"/>
    </w:p>
    <w:p w14:paraId="11D3884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699313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磋商小组直接确定成交供应商。采购人逾期未确定成交供应商且不提出异议的，视为确定评审报告提出的排名第一的成交候选人为成交供应商。</w:t>
      </w:r>
    </w:p>
    <w:p w14:paraId="6EC9A2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w:t>
      </w:r>
    </w:p>
    <w:p w14:paraId="74DC4B5F">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59A44F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9F848AF">
      <w:pPr>
        <w:spacing w:line="360" w:lineRule="auto"/>
        <w:ind w:firstLine="420" w:firstLineChars="200"/>
        <w:rPr>
          <w:rFonts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F9B011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478EE816">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73097B3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41F7B1C5">
      <w:pPr>
        <w:pStyle w:val="102"/>
        <w:snapToGrid w:val="0"/>
        <w:spacing w:before="0"/>
        <w:ind w:firstLine="420"/>
        <w:rPr>
          <w:rFonts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6F9D9D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1DA5C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2B540A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C5FB5F0">
      <w:pPr>
        <w:pStyle w:val="102"/>
        <w:spacing w:before="0"/>
        <w:ind w:firstLine="420"/>
        <w:rPr>
          <w:rFonts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3F0587D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289E9120">
      <w:pPr>
        <w:spacing w:line="360" w:lineRule="auto"/>
        <w:ind w:firstLine="420" w:firstLineChars="200"/>
        <w:rPr>
          <w:rFonts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498F776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47B7A2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816A98B">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07B3C09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5D0581B9">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D3D8AD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6A114BF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1D914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CB31FC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5994CF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7A374F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5E9BCD0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5FC7E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508C32E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7B6BFC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391FB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6E204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F10B00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911AC1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597220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BEDA0DF">
      <w:pPr>
        <w:pStyle w:val="7"/>
        <w:spacing w:before="0" w:after="0" w:line="360" w:lineRule="auto"/>
        <w:ind w:firstLine="315" w:firstLineChars="98"/>
        <w:rPr>
          <w:rFonts w:ascii="宋体" w:hAnsi="宋体"/>
          <w:b w:val="0"/>
          <w:color w:val="auto"/>
          <w:highlight w:val="none"/>
        </w:rPr>
      </w:pPr>
      <w:bookmarkStart w:id="31" w:name="_Toc21978"/>
      <w:r>
        <w:rPr>
          <w:rFonts w:hint="eastAsia" w:ascii="宋体" w:hAnsi="宋体"/>
          <w:color w:val="auto"/>
          <w:highlight w:val="none"/>
        </w:rPr>
        <w:t>六</w:t>
      </w:r>
      <w:r>
        <w:rPr>
          <w:rFonts w:hint="eastAsia" w:ascii="宋体" w:hAnsi="宋体"/>
          <w:b w:val="0"/>
          <w:color w:val="auto"/>
          <w:highlight w:val="none"/>
        </w:rPr>
        <w:t>、验收</w:t>
      </w:r>
      <w:bookmarkEnd w:id="31"/>
    </w:p>
    <w:p w14:paraId="1282D5B7">
      <w:pPr>
        <w:tabs>
          <w:tab w:val="left" w:pos="0"/>
        </w:tabs>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C461799">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6D158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4A7F39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B610D88">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D2C1C6C">
      <w:pPr>
        <w:pStyle w:val="7"/>
        <w:spacing w:before="0" w:after="0" w:line="360" w:lineRule="auto"/>
        <w:ind w:firstLine="320" w:firstLineChars="100"/>
        <w:rPr>
          <w:rFonts w:ascii="宋体" w:hAnsi="宋体"/>
          <w:b w:val="0"/>
          <w:bCs w:val="0"/>
          <w:color w:val="auto"/>
          <w:highlight w:val="none"/>
        </w:rPr>
      </w:pPr>
      <w:bookmarkStart w:id="32" w:name="_Toc32456"/>
      <w:r>
        <w:rPr>
          <w:rFonts w:hint="eastAsia" w:ascii="宋体" w:hAnsi="宋体"/>
          <w:b w:val="0"/>
          <w:bCs w:val="0"/>
          <w:color w:val="auto"/>
          <w:highlight w:val="none"/>
        </w:rPr>
        <w:t>七、其他事项</w:t>
      </w:r>
      <w:bookmarkEnd w:id="32"/>
    </w:p>
    <w:p w14:paraId="10FFFC9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030BDEF8">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代理服务费。</w:t>
      </w:r>
    </w:p>
    <w:p w14:paraId="5D189F8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386982D1">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16874259">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4C1A6115">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30A41FE8">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40CAB41F">
      <w:pPr>
        <w:pStyle w:val="21"/>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2CBDFBE1">
      <w:pPr>
        <w:spacing w:line="580" w:lineRule="exact"/>
        <w:ind w:firstLine="640" w:firstLineChars="200"/>
        <w:jc w:val="center"/>
        <w:rPr>
          <w:rFonts w:hint="eastAsia" w:ascii="宋体" w:hAnsi="宋体" w:cs="宋体"/>
          <w:color w:val="auto"/>
          <w:sz w:val="32"/>
          <w:szCs w:val="32"/>
          <w:highlight w:val="none"/>
        </w:rPr>
      </w:pPr>
    </w:p>
    <w:p w14:paraId="6182E0CC">
      <w:pPr>
        <w:pStyle w:val="5"/>
        <w:rPr>
          <w:rFonts w:hint="eastAsia" w:ascii="宋体" w:hAnsi="宋体" w:cs="宋体"/>
          <w:color w:val="auto"/>
          <w:sz w:val="32"/>
          <w:szCs w:val="32"/>
          <w:highlight w:val="none"/>
        </w:rPr>
      </w:pPr>
    </w:p>
    <w:p w14:paraId="55014072">
      <w:pPr>
        <w:rPr>
          <w:rFonts w:hint="eastAsia" w:ascii="宋体" w:hAnsi="宋体" w:cs="宋体"/>
          <w:color w:val="auto"/>
          <w:sz w:val="32"/>
          <w:szCs w:val="32"/>
          <w:highlight w:val="none"/>
        </w:rPr>
      </w:pPr>
    </w:p>
    <w:p w14:paraId="6BAFEDBB">
      <w:pPr>
        <w:pStyle w:val="5"/>
        <w:rPr>
          <w:rFonts w:hint="eastAsia" w:ascii="宋体" w:hAnsi="宋体" w:cs="宋体"/>
          <w:color w:val="auto"/>
          <w:sz w:val="32"/>
          <w:szCs w:val="32"/>
          <w:highlight w:val="none"/>
        </w:rPr>
      </w:pPr>
    </w:p>
    <w:p w14:paraId="01051365">
      <w:pPr>
        <w:rPr>
          <w:rFonts w:hint="eastAsia" w:ascii="宋体" w:hAnsi="宋体" w:cs="宋体"/>
          <w:color w:val="auto"/>
          <w:sz w:val="32"/>
          <w:szCs w:val="32"/>
          <w:highlight w:val="none"/>
        </w:rPr>
      </w:pPr>
    </w:p>
    <w:p w14:paraId="596F5729">
      <w:pPr>
        <w:spacing w:line="580" w:lineRule="exact"/>
        <w:ind w:firstLine="640" w:firstLineChars="200"/>
        <w:jc w:val="center"/>
        <w:rPr>
          <w:rFonts w:hint="eastAsia" w:ascii="宋体" w:hAnsi="宋体" w:cs="宋体"/>
          <w:color w:val="auto"/>
          <w:sz w:val="32"/>
          <w:szCs w:val="32"/>
          <w:highlight w:val="none"/>
        </w:rPr>
      </w:pPr>
    </w:p>
    <w:p w14:paraId="53218CCE">
      <w:pPr>
        <w:spacing w:line="580" w:lineRule="exact"/>
        <w:ind w:firstLine="640" w:firstLineChars="200"/>
        <w:jc w:val="center"/>
        <w:rPr>
          <w:rFonts w:hint="eastAsia" w:ascii="宋体" w:hAnsi="宋体" w:cs="宋体"/>
          <w:color w:val="auto"/>
          <w:sz w:val="32"/>
          <w:szCs w:val="32"/>
          <w:highlight w:val="none"/>
        </w:rPr>
      </w:pPr>
    </w:p>
    <w:p w14:paraId="18F29660">
      <w:pPr>
        <w:spacing w:line="580" w:lineRule="exact"/>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广西线上“政采贷”政策告知函</w:t>
      </w:r>
    </w:p>
    <w:p w14:paraId="3E2C8675">
      <w:pPr>
        <w:spacing w:line="580" w:lineRule="exact"/>
        <w:ind w:firstLine="420" w:firstLineChars="200"/>
        <w:rPr>
          <w:rFonts w:hint="eastAsia" w:ascii="宋体" w:hAnsi="宋体" w:cs="宋体"/>
          <w:color w:val="auto"/>
          <w:szCs w:val="32"/>
          <w:highlight w:val="none"/>
        </w:rPr>
      </w:pPr>
    </w:p>
    <w:p w14:paraId="4B72FE2A">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各供应商：</w:t>
      </w:r>
    </w:p>
    <w:p w14:paraId="6B2C3D78">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15DC5E9E">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A25DF6D">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相关金融产品和银行业金融机构联系方式，可在中征应收账款融资服务平台查询（网址：</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"https://www.crcrfsp.com/" </w:instrText>
      </w:r>
      <w:r>
        <w:rPr>
          <w:rFonts w:hint="eastAsia" w:ascii="宋体" w:hAnsi="宋体" w:cs="宋体"/>
          <w:color w:val="auto"/>
          <w:szCs w:val="21"/>
          <w:highlight w:val="none"/>
        </w:rPr>
        <w:fldChar w:fldCharType="separate"/>
      </w:r>
      <w:r>
        <w:rPr>
          <w:rStyle w:val="39"/>
          <w:rFonts w:hint="eastAsia" w:ascii="宋体" w:hAnsi="宋体" w:cs="宋体"/>
          <w:color w:val="auto"/>
          <w:szCs w:val="21"/>
          <w:highlight w:val="none"/>
        </w:rPr>
        <w:t>https://www.crcrfsp.com/</w:t>
      </w:r>
      <w:r>
        <w:rPr>
          <w:rFonts w:hint="eastAsia" w:ascii="宋体" w:hAnsi="宋体" w:cs="宋体"/>
          <w:color w:val="auto"/>
          <w:szCs w:val="21"/>
          <w:highlight w:val="none"/>
        </w:rPr>
        <w:fldChar w:fldCharType="end"/>
      </w:r>
      <w:r>
        <w:rPr>
          <w:rFonts w:hint="eastAsia" w:ascii="宋体" w:hAnsi="宋体" w:cs="宋体"/>
          <w:color w:val="auto"/>
          <w:szCs w:val="21"/>
          <w:highlight w:val="none"/>
        </w:rPr>
        <w:t>，客服电话：400-009-0001）。</w:t>
      </w:r>
    </w:p>
    <w:p w14:paraId="350CF361">
      <w:pPr>
        <w:pStyle w:val="8"/>
        <w:rPr>
          <w:color w:val="auto"/>
          <w:highlight w:val="none"/>
        </w:rPr>
      </w:pPr>
    </w:p>
    <w:p w14:paraId="1593084C">
      <w:pPr>
        <w:rPr>
          <w:color w:val="auto"/>
          <w:highlight w:val="none"/>
        </w:rPr>
      </w:pPr>
    </w:p>
    <w:p w14:paraId="1621A3BA">
      <w:pPr>
        <w:rPr>
          <w:color w:val="auto"/>
          <w:highlight w:val="none"/>
        </w:rPr>
      </w:pPr>
    </w:p>
    <w:p w14:paraId="653F56EC">
      <w:pPr>
        <w:rPr>
          <w:color w:val="auto"/>
          <w:highlight w:val="none"/>
        </w:rPr>
      </w:pPr>
    </w:p>
    <w:p w14:paraId="7A194483">
      <w:pPr>
        <w:rPr>
          <w:color w:val="auto"/>
          <w:highlight w:val="none"/>
        </w:rPr>
      </w:pPr>
    </w:p>
    <w:p w14:paraId="1C8FACDA">
      <w:pPr>
        <w:rPr>
          <w:color w:val="auto"/>
          <w:highlight w:val="none"/>
        </w:rPr>
      </w:pPr>
    </w:p>
    <w:p w14:paraId="7E6F3B01">
      <w:pPr>
        <w:rPr>
          <w:color w:val="auto"/>
          <w:highlight w:val="none"/>
        </w:rPr>
      </w:pPr>
    </w:p>
    <w:p w14:paraId="068E2DDE">
      <w:pPr>
        <w:rPr>
          <w:color w:val="auto"/>
          <w:highlight w:val="none"/>
        </w:rPr>
      </w:pPr>
    </w:p>
    <w:p w14:paraId="4B4D9A1F">
      <w:pPr>
        <w:rPr>
          <w:color w:val="auto"/>
          <w:highlight w:val="none"/>
        </w:rPr>
      </w:pPr>
    </w:p>
    <w:p w14:paraId="1FD4F8B6">
      <w:pPr>
        <w:rPr>
          <w:color w:val="auto"/>
          <w:highlight w:val="none"/>
        </w:rPr>
      </w:pPr>
    </w:p>
    <w:p w14:paraId="1F08001B">
      <w:pPr>
        <w:rPr>
          <w:color w:val="auto"/>
          <w:highlight w:val="none"/>
        </w:rPr>
      </w:pPr>
    </w:p>
    <w:p w14:paraId="69490F3E">
      <w:pPr>
        <w:pStyle w:val="23"/>
        <w:rPr>
          <w:color w:val="auto"/>
          <w:highlight w:val="none"/>
        </w:rPr>
      </w:pPr>
    </w:p>
    <w:p w14:paraId="2AEC3D45">
      <w:pPr>
        <w:pStyle w:val="23"/>
        <w:rPr>
          <w:color w:val="auto"/>
          <w:highlight w:val="none"/>
        </w:rPr>
      </w:pPr>
    </w:p>
    <w:p w14:paraId="538577FC">
      <w:pPr>
        <w:pStyle w:val="23"/>
        <w:rPr>
          <w:color w:val="auto"/>
          <w:highlight w:val="none"/>
        </w:rPr>
      </w:pPr>
    </w:p>
    <w:p w14:paraId="6C4D6F56">
      <w:pPr>
        <w:pStyle w:val="23"/>
        <w:rPr>
          <w:color w:val="auto"/>
          <w:highlight w:val="none"/>
        </w:rPr>
      </w:pPr>
    </w:p>
    <w:p w14:paraId="408CBC41">
      <w:pPr>
        <w:pStyle w:val="5"/>
        <w:jc w:val="center"/>
        <w:rPr>
          <w:rFonts w:ascii="宋体" w:hAnsi="宋体" w:cs="宋体"/>
          <w:color w:val="auto"/>
          <w:highlight w:val="none"/>
        </w:rPr>
      </w:pPr>
      <w:bookmarkStart w:id="33" w:name="_Toc9339"/>
      <w:bookmarkStart w:id="34" w:name="_Toc10544"/>
      <w:bookmarkStart w:id="35" w:name="_Toc12116"/>
      <w:bookmarkStart w:id="36" w:name="_Toc15482"/>
      <w:bookmarkStart w:id="37" w:name="_Toc5334"/>
      <w:r>
        <w:rPr>
          <w:rFonts w:hint="eastAsia" w:ascii="宋体" w:hAnsi="宋体" w:cs="宋体"/>
          <w:color w:val="auto"/>
          <w:highlight w:val="none"/>
        </w:rPr>
        <w:t>第四章  评审程序、评审方法和评审标准</w:t>
      </w:r>
      <w:bookmarkEnd w:id="33"/>
      <w:bookmarkEnd w:id="34"/>
      <w:bookmarkEnd w:id="35"/>
      <w:bookmarkEnd w:id="36"/>
      <w:bookmarkEnd w:id="37"/>
    </w:p>
    <w:p w14:paraId="0201443F">
      <w:pPr>
        <w:pStyle w:val="6"/>
        <w:jc w:val="center"/>
        <w:rPr>
          <w:rFonts w:ascii="宋体" w:hAnsi="宋体"/>
          <w:b w:val="0"/>
          <w:color w:val="auto"/>
          <w:highlight w:val="none"/>
        </w:rPr>
      </w:pPr>
      <w:bookmarkStart w:id="38" w:name="_Toc8999"/>
      <w:bookmarkStart w:id="39" w:name="_Toc14840"/>
      <w:bookmarkStart w:id="40" w:name="_Toc6947"/>
      <w:bookmarkStart w:id="41" w:name="_Toc11144"/>
      <w:bookmarkStart w:id="42" w:name="_Toc23895"/>
      <w:bookmarkStart w:id="43" w:name="_Toc29786"/>
      <w:r>
        <w:rPr>
          <w:rFonts w:hint="eastAsia" w:ascii="宋体" w:hAnsi="宋体"/>
          <w:b w:val="0"/>
          <w:color w:val="auto"/>
          <w:highlight w:val="none"/>
        </w:rPr>
        <w:t>第一节 评审程序和评审方法</w:t>
      </w:r>
      <w:bookmarkEnd w:id="38"/>
      <w:bookmarkEnd w:id="39"/>
      <w:bookmarkEnd w:id="40"/>
      <w:bookmarkEnd w:id="41"/>
      <w:bookmarkEnd w:id="42"/>
      <w:bookmarkEnd w:id="43"/>
    </w:p>
    <w:p w14:paraId="03D41D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273566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421807A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355DDB11">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7DE230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C8803E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0"/>
          <w:rFonts w:hAnsi="宋体" w:cs="宋体"/>
          <w:color w:val="auto"/>
          <w:highlight w:val="none"/>
        </w:rPr>
        <w:t>www.creditchina.gov.cn</w:t>
      </w:r>
      <w:r>
        <w:rPr>
          <w:rStyle w:val="40"/>
          <w:rFonts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0"/>
          <w:rFonts w:hAnsi="宋体" w:cs="宋体"/>
          <w:color w:val="auto"/>
          <w:highlight w:val="none"/>
        </w:rPr>
        <w:t>www.ccgp.gov.cn</w:t>
      </w:r>
      <w:r>
        <w:rPr>
          <w:rStyle w:val="40"/>
          <w:rFonts w:hAnsi="宋体" w:cs="宋体"/>
          <w:color w:val="auto"/>
          <w:highlight w:val="none"/>
        </w:rPr>
        <w:fldChar w:fldCharType="end"/>
      </w:r>
      <w:r>
        <w:rPr>
          <w:rFonts w:hint="eastAsia" w:ascii="宋体" w:hAnsi="宋体" w:cs="宋体"/>
          <w:color w:val="auto"/>
          <w:szCs w:val="21"/>
          <w:highlight w:val="none"/>
        </w:rPr>
        <w:t>)链接入口。</w:t>
      </w:r>
    </w:p>
    <w:p w14:paraId="3A6350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B2F40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59B7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849E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01DBF8A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5DEC6E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447796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5232D3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56C8A9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98A4A4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E1266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38869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D2E5A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7FD3CA53">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26B6CB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3FC62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7427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538E0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AD27C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6834D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7E889B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38822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97B78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B3995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66B3A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5CE01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0F2D5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06C186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77E4E7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5E2E4E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7AFF14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EAA0D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70FF38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EC8C0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11C6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31A396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E6D5E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2B46A4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6CC689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任一项“供应商须知前附表”报价文件中“必须提供”的文件资料；响应文件提供的报价文件出现任一项不符合“供应商须知前附表”报价文件中“必须提供”文件资料要求的规定或者提供的报价文件无效；</w:t>
      </w:r>
    </w:p>
    <w:p w14:paraId="0F9E09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4083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进行报价或者存在漏项报价；供应商未就所竞标的单项内容作唯一报价；供应商未就所竞标的全部内容作唯一总价报价；供应商响应文件中存在有选择、有条件报价的（磋商文件允许有备选方案或者其他约定的除外）；</w:t>
      </w:r>
    </w:p>
    <w:p w14:paraId="3DFF7B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规定的采购预算金额或者最高限价（如本项目公布了最高限价）或者有效报价范围的；响应报价（包含首次报价、最后报价）超过磋商文件分项采购预算金额或者最高限价的（如本项目公布了最高限价）；</w:t>
      </w:r>
    </w:p>
    <w:p w14:paraId="1212C0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规定的采购预算金额或者最高限价（如本项目公布了最高限价）或者有效报价范围；或者经供应商确认修正后响应报价（包含首次报价、最后报价）超过磋商文件分项采购预算金额或者最高限价的（如本项目公布了最高限价）。</w:t>
      </w:r>
    </w:p>
    <w:p w14:paraId="58136C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C7A04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4F361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E68FE25">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5E10C6F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E806A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3AAB2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3EE1E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D3B4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D98FD1C">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58FC3146">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（1）按照相关规定进行公示的，公示情况说明；</w:t>
      </w:r>
    </w:p>
    <w:p w14:paraId="62F36E08">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（2）磋商日期和地点，磋商人员名单；</w:t>
      </w:r>
    </w:p>
    <w:p w14:paraId="24D913CE">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（3）合同主要条款及价格商定情况。</w:t>
      </w:r>
    </w:p>
    <w:p w14:paraId="4AE3BB7B">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E606996">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00E543C">
      <w:pPr>
        <w:ind w:firstLine="200"/>
        <w:rPr>
          <w:rFonts w:ascii="宋体" w:hAnsi="宋体" w:cs="宋体"/>
          <w:color w:val="auto"/>
          <w:szCs w:val="21"/>
          <w:highlight w:val="none"/>
        </w:rPr>
      </w:pPr>
      <w:r>
        <w:rPr>
          <w:rFonts w:hint="eastAsia" w:ascii="黑体" w:hAnsi="黑体" w:eastAsia="黑体" w:cs="宋体"/>
          <w:b/>
          <w:bCs/>
          <w:color w:val="auto"/>
          <w:sz w:val="24"/>
          <w:highlight w:val="none"/>
        </w:rPr>
        <w:t>5. 最后报价</w:t>
      </w:r>
    </w:p>
    <w:p w14:paraId="11EAEB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3857C0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A15E3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8F70B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62C42D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314F91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5.6磋商小组对最后报价进行有效性、完整性和响应程度的审查。</w:t>
      </w:r>
    </w:p>
    <w:p w14:paraId="2DB0A6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313B5C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D3464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F4AC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（2）经供应商确认修正后的响应报价（包含首次报价、最后报价）超过所竞标规定的采购预算金额或者最高限价（如本项目公布了最高限价）或者有效报价范围的；</w:t>
      </w:r>
    </w:p>
    <w:p w14:paraId="598FE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61FC8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137220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86E69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19EF4984">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05C4A5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30A739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5BFCCC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29E3150D">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szCs w:val="21"/>
          <w:highlight w:val="none"/>
        </w:rPr>
        <w:t xml:space="preserve">根据《关于推动解决政府采购异常低价问题的通知》（财库〔2026〕2 号）的规定，评审中出现下 列情形之一的，评标委员会应当启动异常低价投标（响应）审查程序： </w:t>
      </w:r>
    </w:p>
    <w:p w14:paraId="2757E133">
      <w:pPr>
        <w:numPr>
          <w:ilvl w:val="0"/>
          <w:numId w:val="0"/>
        </w:numPr>
        <w:spacing w:line="360" w:lineRule="auto"/>
        <w:ind w:firstLine="420" w:firstLineChars="200"/>
        <w:rPr>
          <w:rFonts w:hint="eastAsia" w:ascii="宋体" w:hAnsi="宋体" w:cs="宋体"/>
          <w:color w:val="auto"/>
          <w:szCs w:val="21"/>
          <w:highlight w:val="none"/>
        </w:rPr>
      </w:pPr>
      <w:r>
        <w:rPr>
          <w:rFonts w:ascii="宋体" w:hAnsi="宋体" w:eastAsia="宋体" w:cs="宋体"/>
          <w:color w:val="auto"/>
          <w:kern w:val="2"/>
          <w:sz w:val="21"/>
          <w:szCs w:val="21"/>
          <w:lang w:val="en-US" w:eastAsia="zh-CN" w:bidi="ar-SA"/>
        </w:rPr>
        <w:t>(</w:t>
      </w:r>
      <w:r>
        <w:rPr>
          <w:rFonts w:hint="eastAsia" w:ascii="宋体" w:hAnsi="宋体" w:cs="宋体"/>
          <w:color w:val="auto"/>
          <w:szCs w:val="21"/>
          <w:highlight w:val="none"/>
        </w:rPr>
        <w:t xml:space="preserve">① 投标（响应）报价低于全部通过符合性审查供应商投标（响应）报价平均值50%的，即投标（响应） 报价＜全部通过符合性审查供应商投标（响应）报价平均值×50%； </w:t>
      </w:r>
    </w:p>
    <w:p w14:paraId="117DFB00">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②投标（响应）报价低于通过符合性审查的次低报价供应商投标（响应）报价50%的，即投标（响应） 报价＜通过符合性审查的次低报价供应商投标（响应）报价×50%；</w:t>
      </w:r>
    </w:p>
    <w:p w14:paraId="63609224">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③投标（响应）报价低于采购项目最高限价50%的，即投标（响应）报价＜采购项目最高限价×45%； </w:t>
      </w:r>
    </w:p>
    <w:p w14:paraId="1AE7D0FC">
      <w:pPr>
        <w:numPr>
          <w:ilvl w:val="0"/>
          <w:numId w:val="0"/>
        </w:num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④评标委员会基于专业判断，认为供应商报价过低，有可能影响产品质量或者不能诚信履约的其他情形。</w:t>
      </w:r>
    </w:p>
    <w:p w14:paraId="416346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521E28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2B86BC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5E98FE7">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审报告。符合本章第3.7、5.3条情形的，可以推荐2家成交候选供应商。评审得分相同的，按照最后报价由低到高的顺序推荐。评审得分且最后报价相同的，按照技术指标优劣顺序推荐。</w:t>
      </w:r>
    </w:p>
    <w:p w14:paraId="7EA1903C">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38B700">
      <w:pPr>
        <w:spacing w:line="360" w:lineRule="auto"/>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29670E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0057566C">
      <w:pPr>
        <w:widowControl/>
        <w:spacing w:line="36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E561CD9">
      <w:pPr>
        <w:rPr>
          <w:color w:val="auto"/>
          <w:highlight w:val="none"/>
        </w:rPr>
      </w:pPr>
      <w:r>
        <w:rPr>
          <w:rFonts w:hint="eastAsia"/>
          <w:color w:val="auto"/>
          <w:highlight w:val="none"/>
        </w:rPr>
        <w:br w:type="page"/>
      </w:r>
    </w:p>
    <w:p w14:paraId="4E1AE902">
      <w:pPr>
        <w:pStyle w:val="7"/>
        <w:rPr>
          <w:rFonts w:hint="eastAsia" w:eastAsia="宋体"/>
          <w:color w:val="auto"/>
          <w:highlight w:val="none"/>
          <w:lang w:eastAsia="zh-CN"/>
        </w:rPr>
      </w:pPr>
      <w:r>
        <w:rPr>
          <w:rFonts w:hint="eastAsia"/>
          <w:color w:val="auto"/>
          <w:highlight w:val="none"/>
        </w:rPr>
        <w:t>8.评审标准</w:t>
      </w:r>
    </w:p>
    <w:p w14:paraId="058A7A68">
      <w:pPr>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w:t>
      </w:r>
      <w:r>
        <w:rPr>
          <w:rFonts w:hint="eastAsia" w:ascii="宋体" w:hAnsi="宋体"/>
          <w:bCs/>
          <w:color w:val="auto"/>
          <w:szCs w:val="21"/>
          <w:highlight w:val="none"/>
          <w:lang w:eastAsia="zh-CN"/>
        </w:rPr>
        <w:t>评</w:t>
      </w:r>
      <w:r>
        <w:rPr>
          <w:rFonts w:hint="eastAsia" w:ascii="宋体" w:hAnsi="宋体"/>
          <w:bCs/>
          <w:color w:val="auto"/>
          <w:szCs w:val="21"/>
          <w:highlight w:val="none"/>
        </w:rPr>
        <w:t>审依据：磋商小组将以响应文件为评审依据，对供应商的技术、商务等方面内容按百分制打分。（计分方法按四舍五入取至百分位）</w:t>
      </w:r>
    </w:p>
    <w:p w14:paraId="0EEC3C0D">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根据《政府采购竞争性磋商采购方式管理暂行办法》（财库【2014】第214号）第二十四条规定，执行统一价格标准的项目，其价格不列为评分因素。</w:t>
      </w:r>
    </w:p>
    <w:p w14:paraId="5863AA86">
      <w:pPr>
        <w:jc w:val="center"/>
        <w:rPr>
          <w:rFonts w:ascii="宋体" w:hAnsi="宋体"/>
          <w:b/>
          <w:bCs w:val="0"/>
          <w:color w:val="auto"/>
          <w:sz w:val="30"/>
          <w:szCs w:val="30"/>
          <w:highlight w:val="none"/>
        </w:rPr>
      </w:pPr>
      <w:bookmarkStart w:id="44" w:name="PO_TDCUS_ITEM_SM_TABLE_1"/>
      <w:r>
        <w:rPr>
          <w:rFonts w:hint="eastAsia" w:ascii="宋体" w:hAnsi="宋体"/>
          <w:b/>
          <w:bCs w:val="0"/>
          <w:color w:val="auto"/>
          <w:sz w:val="30"/>
          <w:szCs w:val="30"/>
          <w:highlight w:val="none"/>
        </w:rPr>
        <w:t>评分方法</w:t>
      </w:r>
      <w:r>
        <w:rPr>
          <w:rFonts w:hint="eastAsia" w:ascii="宋体" w:hAnsi="宋体"/>
          <w:b/>
          <w:bCs w:val="0"/>
          <w:color w:val="auto"/>
          <w:sz w:val="30"/>
          <w:szCs w:val="30"/>
          <w:highlight w:val="none"/>
          <w:lang w:eastAsia="zh-CN"/>
        </w:rPr>
        <w:t>：“</w:t>
      </w:r>
      <w:r>
        <w:rPr>
          <w:rFonts w:hint="eastAsia" w:ascii="宋体" w:hAnsi="宋体"/>
          <w:b/>
          <w:bCs w:val="0"/>
          <w:color w:val="auto"/>
          <w:sz w:val="30"/>
          <w:szCs w:val="30"/>
          <w:highlight w:val="none"/>
          <w:lang w:val="en-US" w:eastAsia="zh-CN"/>
        </w:rPr>
        <w:t>1、6分</w:t>
      </w:r>
      <w:r>
        <w:rPr>
          <w:rFonts w:hint="eastAsia" w:ascii="宋体" w:hAnsi="宋体"/>
          <w:b/>
          <w:bCs w:val="0"/>
          <w:color w:val="auto"/>
          <w:sz w:val="30"/>
          <w:szCs w:val="30"/>
          <w:highlight w:val="none"/>
          <w:lang w:eastAsia="zh-CN"/>
        </w:rPr>
        <w:t>标段适用”</w:t>
      </w:r>
    </w:p>
    <w:bookmarkEnd w:id="44"/>
    <w:tbl>
      <w:tblPr>
        <w:tblStyle w:val="34"/>
        <w:tblW w:w="9599"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762"/>
        <w:gridCol w:w="965"/>
        <w:gridCol w:w="6332"/>
        <w:gridCol w:w="957"/>
      </w:tblGrid>
      <w:tr w14:paraId="2866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5E82F1EA">
            <w:pPr>
              <w:spacing w:line="360" w:lineRule="auto"/>
              <w:jc w:val="center"/>
              <w:rPr>
                <w:bCs/>
                <w:szCs w:val="21"/>
              </w:rPr>
            </w:pPr>
            <w:r>
              <w:rPr>
                <w:rFonts w:hint="eastAsia"/>
                <w:bCs/>
                <w:szCs w:val="21"/>
              </w:rPr>
              <w:t>序号</w:t>
            </w:r>
          </w:p>
        </w:tc>
        <w:tc>
          <w:tcPr>
            <w:tcW w:w="762" w:type="dxa"/>
            <w:vAlign w:val="center"/>
          </w:tcPr>
          <w:p w14:paraId="09951A6C">
            <w:pPr>
              <w:spacing w:line="360" w:lineRule="auto"/>
              <w:jc w:val="center"/>
              <w:rPr>
                <w:bCs/>
                <w:szCs w:val="21"/>
              </w:rPr>
            </w:pPr>
            <w:r>
              <w:rPr>
                <w:rFonts w:hint="eastAsia"/>
                <w:bCs/>
                <w:szCs w:val="21"/>
              </w:rPr>
              <w:t>评分类型</w:t>
            </w:r>
          </w:p>
        </w:tc>
        <w:tc>
          <w:tcPr>
            <w:tcW w:w="7297" w:type="dxa"/>
            <w:gridSpan w:val="2"/>
            <w:vAlign w:val="center"/>
          </w:tcPr>
          <w:p w14:paraId="55CB9BBF">
            <w:pPr>
              <w:spacing w:line="360" w:lineRule="auto"/>
              <w:jc w:val="center"/>
              <w:rPr>
                <w:bCs/>
                <w:szCs w:val="21"/>
              </w:rPr>
            </w:pPr>
            <w:r>
              <w:rPr>
                <w:rFonts w:hint="eastAsia"/>
                <w:bCs/>
                <w:szCs w:val="21"/>
              </w:rPr>
              <w:t>评分标准</w:t>
            </w:r>
          </w:p>
        </w:tc>
        <w:tc>
          <w:tcPr>
            <w:tcW w:w="957" w:type="dxa"/>
            <w:vAlign w:val="center"/>
          </w:tcPr>
          <w:p w14:paraId="7B646A79">
            <w:pPr>
              <w:spacing w:line="360" w:lineRule="auto"/>
              <w:jc w:val="center"/>
              <w:rPr>
                <w:bCs/>
                <w:szCs w:val="21"/>
              </w:rPr>
            </w:pPr>
            <w:r>
              <w:rPr>
                <w:rFonts w:hint="eastAsia"/>
                <w:bCs/>
                <w:szCs w:val="21"/>
              </w:rPr>
              <w:t>分值</w:t>
            </w:r>
          </w:p>
        </w:tc>
      </w:tr>
      <w:tr w14:paraId="6918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trPr>
        <w:tc>
          <w:tcPr>
            <w:tcW w:w="583" w:type="dxa"/>
            <w:vAlign w:val="center"/>
          </w:tcPr>
          <w:p w14:paraId="37647B0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w:t>
            </w:r>
          </w:p>
        </w:tc>
        <w:tc>
          <w:tcPr>
            <w:tcW w:w="762" w:type="dxa"/>
            <w:vAlign w:val="center"/>
          </w:tcPr>
          <w:p w14:paraId="060F01E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color w:val="auto"/>
                <w:szCs w:val="21"/>
                <w:lang w:eastAsia="zh-CN"/>
              </w:rPr>
            </w:pPr>
            <w:r>
              <w:rPr>
                <w:rFonts w:hint="eastAsia" w:ascii="宋体" w:hAnsi="宋体"/>
                <w:bCs/>
                <w:color w:val="auto"/>
                <w:szCs w:val="21"/>
                <w:lang w:eastAsia="zh-CN"/>
              </w:rPr>
              <w:t>价格分（满分</w:t>
            </w:r>
            <w:r>
              <w:rPr>
                <w:rFonts w:hint="eastAsia" w:ascii="宋体" w:hAnsi="宋体"/>
                <w:bCs/>
                <w:color w:val="auto"/>
                <w:szCs w:val="21"/>
                <w:lang w:val="en-US" w:eastAsia="zh-CN"/>
              </w:rPr>
              <w:t>10</w:t>
            </w:r>
            <w:r>
              <w:rPr>
                <w:rFonts w:hint="eastAsia" w:ascii="宋体" w:hAnsi="宋体"/>
                <w:bCs/>
                <w:color w:val="auto"/>
                <w:szCs w:val="21"/>
                <w:lang w:eastAsia="zh-CN"/>
              </w:rPr>
              <w:t>分）</w:t>
            </w:r>
          </w:p>
        </w:tc>
        <w:tc>
          <w:tcPr>
            <w:tcW w:w="7297" w:type="dxa"/>
            <w:gridSpan w:val="2"/>
          </w:tcPr>
          <w:p w14:paraId="1BA0A037">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（1）评标报价为投标人的投标报价进行政策性扣除后的价格，评标报价只是作为评标时使用。最终中标人的中标金额等于投标报价。</w:t>
            </w:r>
          </w:p>
          <w:p w14:paraId="3B6E9C6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（2）按照《政府采购促进中小企业发展管理办法》（财库〔2020〕46号）及《广西壮族自治区财政厅关于持续优化政府采购营商环境推动高质量发展的通知》（桂财采〔2024〕55 号）的规定，投标人在其投标文件中提供《中小企业声明函》，且其提供的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全部由符合政策要求的小型、微型企业承接，即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由小型、微型企业生产且使用该小型、微型企业商号或者注册商标，对其投标报价给予10%的扣除。</w:t>
            </w:r>
          </w:p>
          <w:p w14:paraId="5DCDD725">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746694A">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967847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（5）政策性扣除计算方法。</w:t>
            </w:r>
          </w:p>
          <w:p w14:paraId="147D371A">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投标人被评定为监狱企业或者残疾人福利性单位或者其提供的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全部由符合政策要求的小型、微型企业制造，即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由小型、微型企业生产且使用该小型、微型企业商号或者注册商标的，该投标人的投标报价给予10% 的扣除，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4%的扣除，扣除后的价格为评标报价，即评标报价=投标报价×（1-4%））。</w:t>
            </w:r>
          </w:p>
          <w:p w14:paraId="6917D31E">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除上述情况外，评标价=投标报价。</w:t>
            </w:r>
          </w:p>
          <w:p w14:paraId="72BAB9E8">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6</w:t>
            </w:r>
            <w:r>
              <w:rPr>
                <w:rFonts w:hint="eastAsia" w:ascii="宋体" w:hAnsi="宋体"/>
                <w:color w:val="auto"/>
                <w:spacing w:val="10"/>
                <w:szCs w:val="21"/>
              </w:rPr>
              <w:t>）满足招标文件要求且评标报价最低的评标报价为评标基准价，基准价得分为满分。</w:t>
            </w:r>
          </w:p>
          <w:p w14:paraId="03A18AC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7</w:t>
            </w:r>
            <w:r>
              <w:rPr>
                <w:rFonts w:hint="eastAsia" w:ascii="宋体" w:hAnsi="宋体"/>
                <w:color w:val="auto"/>
                <w:spacing w:val="10"/>
                <w:szCs w:val="21"/>
              </w:rPr>
              <w:t>）价格分计算公式：价格分=(评标基准价／评标价)×</w:t>
            </w:r>
            <w:r>
              <w:rPr>
                <w:rFonts w:hint="eastAsia" w:ascii="宋体" w:hAnsi="宋体"/>
                <w:color w:val="auto"/>
                <w:spacing w:val="10"/>
                <w:szCs w:val="21"/>
                <w:lang w:val="en-US" w:eastAsia="zh-CN"/>
              </w:rPr>
              <w:t>1</w:t>
            </w:r>
            <w:r>
              <w:rPr>
                <w:rFonts w:hint="eastAsia" w:ascii="宋体" w:hAnsi="宋体"/>
                <w:color w:val="auto"/>
                <w:spacing w:val="10"/>
                <w:szCs w:val="21"/>
              </w:rPr>
              <w:t>0分</w:t>
            </w:r>
          </w:p>
        </w:tc>
        <w:tc>
          <w:tcPr>
            <w:tcW w:w="957" w:type="dxa"/>
            <w:vAlign w:val="center"/>
          </w:tcPr>
          <w:p w14:paraId="29A0EA5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bCs/>
                <w:szCs w:val="21"/>
                <w:lang w:val="en-US" w:eastAsia="zh-CN"/>
              </w:rPr>
            </w:pPr>
            <w:r>
              <w:rPr>
                <w:rFonts w:ascii="宋体" w:hAnsi="宋体"/>
                <w:bCs/>
                <w:szCs w:val="21"/>
              </w:rPr>
              <w:t>0-</w:t>
            </w:r>
            <w:r>
              <w:rPr>
                <w:rFonts w:hint="eastAsia" w:ascii="宋体" w:hAnsi="宋体"/>
                <w:bCs/>
                <w:szCs w:val="21"/>
                <w:lang w:val="en-US" w:eastAsia="zh-CN"/>
              </w:rPr>
              <w:t>10</w:t>
            </w:r>
          </w:p>
        </w:tc>
      </w:tr>
      <w:tr w14:paraId="1D47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5" w:hRule="atLeast"/>
        </w:trPr>
        <w:tc>
          <w:tcPr>
            <w:tcW w:w="583" w:type="dxa"/>
            <w:vMerge w:val="restart"/>
            <w:vAlign w:val="center"/>
          </w:tcPr>
          <w:p w14:paraId="200F513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hint="eastAsia" w:ascii="宋体" w:hAnsi="宋体" w:cs="宋体"/>
                <w:bCs/>
                <w:szCs w:val="21"/>
                <w:lang w:val="en-US" w:eastAsia="zh-CN"/>
              </w:rPr>
              <w:t>2</w:t>
            </w:r>
          </w:p>
        </w:tc>
        <w:tc>
          <w:tcPr>
            <w:tcW w:w="762" w:type="dxa"/>
            <w:vMerge w:val="restart"/>
            <w:vAlign w:val="center"/>
          </w:tcPr>
          <w:p w14:paraId="18F90CD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ascii="宋体" w:hAnsi="宋体"/>
                <w:bCs/>
                <w:szCs w:val="21"/>
              </w:rPr>
              <w:t>技术</w:t>
            </w:r>
            <w:r>
              <w:rPr>
                <w:rFonts w:hint="eastAsia" w:ascii="宋体" w:hAnsi="宋体"/>
                <w:bCs/>
                <w:szCs w:val="21"/>
                <w:lang w:eastAsia="zh-CN"/>
              </w:rPr>
              <w:t>（满分</w:t>
            </w:r>
            <w:r>
              <w:rPr>
                <w:rFonts w:hint="eastAsia" w:ascii="宋体" w:hAnsi="宋体"/>
                <w:bCs/>
                <w:szCs w:val="21"/>
                <w:lang w:val="en-US" w:eastAsia="zh-CN"/>
              </w:rPr>
              <w:t>85分</w:t>
            </w:r>
            <w:r>
              <w:rPr>
                <w:rFonts w:hint="eastAsia" w:ascii="宋体" w:hAnsi="宋体"/>
                <w:bCs/>
                <w:szCs w:val="21"/>
                <w:lang w:eastAsia="zh-CN"/>
              </w:rPr>
              <w:t>）</w:t>
            </w:r>
          </w:p>
        </w:tc>
        <w:tc>
          <w:tcPr>
            <w:tcW w:w="7297" w:type="dxa"/>
            <w:gridSpan w:val="2"/>
          </w:tcPr>
          <w:p w14:paraId="44192DC9">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1</w:t>
            </w:r>
            <w:r>
              <w:rPr>
                <w:rFonts w:hint="eastAsia" w:ascii="宋体" w:hAnsi="宋体"/>
                <w:spacing w:val="10"/>
                <w:szCs w:val="21"/>
                <w:lang w:eastAsia="zh-CN"/>
              </w:rPr>
              <w:t>）</w:t>
            </w:r>
            <w:r>
              <w:rPr>
                <w:rFonts w:ascii="宋体" w:hAnsi="宋体"/>
                <w:spacing w:val="10"/>
                <w:szCs w:val="21"/>
              </w:rPr>
              <w:t>相关培训经验</w:t>
            </w:r>
            <w:r>
              <w:rPr>
                <w:rFonts w:hint="eastAsia" w:ascii="宋体" w:hAnsi="宋体"/>
                <w:spacing w:val="10"/>
                <w:szCs w:val="21"/>
              </w:rPr>
              <w:t>、</w:t>
            </w:r>
            <w:r>
              <w:rPr>
                <w:rFonts w:ascii="宋体" w:hAnsi="宋体"/>
                <w:spacing w:val="10"/>
                <w:szCs w:val="21"/>
              </w:rPr>
              <w:t>管理团队和首席专家</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15分</w:t>
            </w:r>
            <w:r>
              <w:rPr>
                <w:rFonts w:hint="eastAsia" w:ascii="宋体" w:hAnsi="宋体"/>
                <w:szCs w:val="21"/>
                <w:lang w:eastAsia="zh-CN"/>
              </w:rPr>
              <w:t>）</w:t>
            </w:r>
          </w:p>
          <w:p w14:paraId="6EF8CFCB">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ascii="宋体" w:hAnsi="宋体"/>
                <w:spacing w:val="10"/>
                <w:szCs w:val="21"/>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的培训经验，培训管理方法和组成人员合理、分工明确；首席专家具有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p>
          <w:p w14:paraId="172ABC89">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二</w:t>
            </w:r>
            <w:r>
              <w:rPr>
                <w:rFonts w:hint="eastAsia" w:ascii="宋体" w:hAnsi="宋体"/>
                <w:spacing w:val="10"/>
                <w:szCs w:val="21"/>
              </w:rPr>
              <w:t>档1</w:t>
            </w:r>
            <w:r>
              <w:rPr>
                <w:rFonts w:hint="eastAsia" w:ascii="宋体" w:hAnsi="宋体"/>
                <w:spacing w:val="10"/>
                <w:szCs w:val="21"/>
                <w:lang w:val="en-US" w:eastAsia="zh-CN"/>
              </w:rPr>
              <w:t>0</w:t>
            </w:r>
            <w:r>
              <w:rPr>
                <w:rFonts w:hint="eastAsia" w:ascii="宋体" w:hAnsi="宋体"/>
                <w:spacing w:val="10"/>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w:t>
            </w:r>
            <w:r>
              <w:rPr>
                <w:rFonts w:hint="eastAsia" w:ascii="宋体" w:hAnsi="宋体"/>
                <w:spacing w:val="10"/>
                <w:szCs w:val="21"/>
                <w:lang w:eastAsia="zh-CN"/>
              </w:rPr>
              <w:t>地市级及以上的</w:t>
            </w:r>
            <w:r>
              <w:rPr>
                <w:rFonts w:ascii="宋体" w:hAnsi="宋体"/>
                <w:spacing w:val="10"/>
                <w:szCs w:val="21"/>
              </w:rPr>
              <w:t>培训</w:t>
            </w:r>
            <w:r>
              <w:rPr>
                <w:rFonts w:hint="eastAsia" w:ascii="宋体" w:hAnsi="宋体"/>
                <w:spacing w:val="10"/>
                <w:szCs w:val="21"/>
                <w:lang w:eastAsia="zh-CN"/>
              </w:rPr>
              <w:t>组织</w:t>
            </w:r>
            <w:r>
              <w:rPr>
                <w:rFonts w:ascii="宋体" w:hAnsi="宋体"/>
                <w:spacing w:val="10"/>
                <w:szCs w:val="21"/>
              </w:rPr>
              <w:t>经验优势</w:t>
            </w:r>
            <w:r>
              <w:rPr>
                <w:rFonts w:hint="eastAsia" w:ascii="宋体" w:hAnsi="宋体"/>
                <w:spacing w:val="10"/>
                <w:szCs w:val="21"/>
                <w:lang w:eastAsia="zh-CN"/>
              </w:rPr>
              <w:t>；</w:t>
            </w:r>
            <w:r>
              <w:rPr>
                <w:rFonts w:ascii="宋体" w:hAnsi="宋体"/>
                <w:spacing w:val="10"/>
                <w:szCs w:val="21"/>
              </w:rPr>
              <w:t>培训管理</w:t>
            </w:r>
            <w:r>
              <w:rPr>
                <w:rFonts w:hint="eastAsia" w:ascii="宋体" w:hAnsi="宋体"/>
                <w:spacing w:val="10"/>
                <w:szCs w:val="21"/>
              </w:rPr>
              <w:t>方法和</w:t>
            </w:r>
            <w:r>
              <w:rPr>
                <w:rFonts w:ascii="宋体" w:hAnsi="宋体"/>
                <w:spacing w:val="10"/>
                <w:szCs w:val="21"/>
              </w:rPr>
              <w:t>组成人员合理、分工明确、富有经验；首席专家具有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r>
              <w:rPr>
                <w:rFonts w:ascii="宋体" w:hAnsi="宋体"/>
                <w:spacing w:val="10"/>
                <w:szCs w:val="21"/>
              </w:rPr>
              <w:t>，</w:t>
            </w:r>
            <w:r>
              <w:rPr>
                <w:rFonts w:hint="eastAsia" w:ascii="宋体" w:hAnsi="宋体"/>
                <w:spacing w:val="10"/>
                <w:szCs w:val="21"/>
              </w:rPr>
              <w:t>有</w:t>
            </w:r>
            <w:r>
              <w:rPr>
                <w:rFonts w:ascii="宋体" w:hAnsi="宋体"/>
                <w:spacing w:val="10"/>
                <w:szCs w:val="21"/>
              </w:rPr>
              <w:t>培训专长。</w:t>
            </w:r>
          </w:p>
          <w:p w14:paraId="6EB015C1">
            <w:pPr>
              <w:pStyle w:val="23"/>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lang w:val="en-US" w:eastAsia="zh-CN"/>
              </w:rPr>
            </w:pPr>
            <w:r>
              <w:rPr>
                <w:rFonts w:hint="eastAsia"/>
                <w:lang w:val="en-US" w:eastAsia="zh-CN"/>
              </w:rPr>
              <w:t>三档15分：具有所申报项目（</w:t>
            </w:r>
            <w:r>
              <w:rPr>
                <w:rFonts w:hint="eastAsia" w:ascii="宋体" w:hAnsi="宋体"/>
                <w:spacing w:val="10"/>
                <w:szCs w:val="21"/>
                <w:lang w:eastAsia="zh-CN"/>
              </w:rPr>
              <w:t>或同类项目</w:t>
            </w:r>
            <w:r>
              <w:rPr>
                <w:rFonts w:hint="eastAsia"/>
                <w:lang w:val="en-US" w:eastAsia="zh-CN"/>
              </w:rPr>
              <w:t>）的地市级及以上同类项目的</w:t>
            </w:r>
          </w:p>
          <w:p w14:paraId="634C0196">
            <w:pPr>
              <w:pStyle w:val="23"/>
              <w:keepNext w:val="0"/>
              <w:keepLines w:val="0"/>
              <w:pageBreakBefore w:val="0"/>
              <w:widowControl w:val="0"/>
              <w:kinsoku/>
              <w:wordWrap/>
              <w:overflowPunct/>
              <w:topLinePunct w:val="0"/>
              <w:autoSpaceDE/>
              <w:autoSpaceDN/>
              <w:bidi w:val="0"/>
              <w:adjustRightInd/>
              <w:snapToGrid w:val="0"/>
              <w:spacing w:after="0" w:line="360" w:lineRule="auto"/>
              <w:ind w:left="0" w:leftChars="0" w:firstLine="0" w:firstLineChars="0"/>
              <w:textAlignment w:val="auto"/>
              <w:rPr>
                <w:rFonts w:hint="eastAsia"/>
                <w:lang w:val="en-US" w:eastAsia="zh-CN"/>
              </w:rPr>
            </w:pPr>
            <w:r>
              <w:rPr>
                <w:rFonts w:hint="eastAsia"/>
                <w:lang w:val="en-US" w:eastAsia="zh-CN"/>
              </w:rPr>
              <w:t>培训组织经验优势，获得过甲方优质评价；培训管理方法和组成人员合理、分工明确、富有经验，</w:t>
            </w:r>
            <w:r>
              <w:rPr>
                <w:rFonts w:hint="eastAsia" w:ascii="宋体" w:hAnsi="宋体"/>
                <w:spacing w:val="10"/>
                <w:szCs w:val="21"/>
                <w:lang w:eastAsia="zh-CN"/>
              </w:rPr>
              <w:t>协作高效，具备较强的项目落地保障能力</w:t>
            </w:r>
            <w:r>
              <w:rPr>
                <w:rFonts w:hint="eastAsia"/>
                <w:lang w:val="en-US" w:eastAsia="zh-CN"/>
              </w:rPr>
              <w:t>；首席专家具有正高级职称（职务），为对应项目（学科）方面的专家，有培训专长。</w:t>
            </w:r>
          </w:p>
          <w:p w14:paraId="0F9A9616">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lang w:val="en-US" w:eastAsia="zh-CN"/>
              </w:rPr>
            </w:pPr>
          </w:p>
          <w:p w14:paraId="24A1DCFE">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eastAsia="宋体"/>
                <w:lang w:val="en-US" w:eastAsia="zh-CN"/>
              </w:rPr>
            </w:pPr>
            <w:r>
              <w:rPr>
                <w:rFonts w:hint="eastAsia"/>
                <w:lang w:val="en-US" w:eastAsia="zh-CN"/>
              </w:rPr>
              <w:t>注：不提供方案不得分</w:t>
            </w:r>
          </w:p>
        </w:tc>
        <w:tc>
          <w:tcPr>
            <w:tcW w:w="957" w:type="dxa"/>
            <w:vAlign w:val="center"/>
          </w:tcPr>
          <w:p w14:paraId="71266C2D">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0-15</w:t>
            </w:r>
          </w:p>
        </w:tc>
      </w:tr>
      <w:tr w14:paraId="41FF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583" w:type="dxa"/>
            <w:vMerge w:val="continue"/>
            <w:vAlign w:val="center"/>
          </w:tcPr>
          <w:p w14:paraId="55B59B2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42AC2B9B">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5F11E82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szCs w:val="21"/>
              </w:rPr>
              <w:t>目标定位、对象及需求分析、内容设计</w:t>
            </w:r>
            <w:r>
              <w:rPr>
                <w:rFonts w:hint="eastAsia" w:ascii="宋体" w:hAnsi="宋体"/>
                <w:szCs w:val="21"/>
                <w:lang w:eastAsia="zh-CN"/>
              </w:rPr>
              <w:t>方案（满分</w:t>
            </w:r>
            <w:r>
              <w:rPr>
                <w:rFonts w:hint="eastAsia" w:ascii="宋体" w:hAnsi="宋体"/>
                <w:szCs w:val="21"/>
                <w:lang w:val="en-US" w:eastAsia="zh-CN"/>
              </w:rPr>
              <w:t>15分</w:t>
            </w:r>
            <w:r>
              <w:rPr>
                <w:rFonts w:hint="eastAsia" w:ascii="宋体" w:hAnsi="宋体"/>
                <w:szCs w:val="21"/>
                <w:lang w:eastAsia="zh-CN"/>
              </w:rPr>
              <w:t>）</w:t>
            </w:r>
          </w:p>
          <w:p w14:paraId="3907200C">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ascii="宋体" w:hAnsi="宋体"/>
                <w:sz w:val="21"/>
                <w:szCs w:val="21"/>
              </w:rPr>
              <w:t>5</w:t>
            </w:r>
            <w:r>
              <w:rPr>
                <w:rFonts w:hint="eastAsia" w:ascii="宋体" w:hAnsi="宋体"/>
                <w:sz w:val="21"/>
                <w:szCs w:val="21"/>
              </w:rPr>
              <w:t>分：</w:t>
            </w:r>
            <w:r>
              <w:rPr>
                <w:rFonts w:ascii="宋体" w:hAnsi="宋体"/>
                <w:sz w:val="21"/>
                <w:szCs w:val="21"/>
              </w:rPr>
              <w:t>有目标定位、对象及需求分析、内容设计介绍</w:t>
            </w:r>
            <w:r>
              <w:rPr>
                <w:rFonts w:hint="eastAsia" w:ascii="宋体" w:hAnsi="宋体"/>
                <w:sz w:val="21"/>
                <w:szCs w:val="21"/>
                <w:lang w:eastAsia="zh-CN"/>
              </w:rPr>
              <w:t>。</w:t>
            </w:r>
          </w:p>
          <w:p w14:paraId="73D6DF00">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二档</w:t>
            </w:r>
            <w:r>
              <w:rPr>
                <w:rFonts w:hint="eastAsia" w:ascii="宋体" w:hAnsi="宋体"/>
                <w:sz w:val="21"/>
                <w:szCs w:val="21"/>
                <w:lang w:val="en-US" w:eastAsia="zh-CN"/>
              </w:rPr>
              <w:t>1</w:t>
            </w:r>
            <w:r>
              <w:rPr>
                <w:rFonts w:ascii="宋体" w:hAnsi="宋体"/>
                <w:sz w:val="21"/>
                <w:szCs w:val="21"/>
              </w:rPr>
              <w:t>0</w:t>
            </w:r>
            <w:r>
              <w:rPr>
                <w:rFonts w:hint="eastAsia" w:ascii="宋体" w:hAnsi="宋体"/>
                <w:sz w:val="21"/>
                <w:szCs w:val="21"/>
              </w:rPr>
              <w:t>分：</w:t>
            </w:r>
            <w:r>
              <w:rPr>
                <w:rFonts w:ascii="宋体" w:hAnsi="宋体"/>
                <w:sz w:val="21"/>
                <w:szCs w:val="21"/>
              </w:rPr>
              <w:t>目标定位</w:t>
            </w:r>
            <w:r>
              <w:rPr>
                <w:rFonts w:hint="eastAsia" w:ascii="宋体" w:hAnsi="宋体"/>
                <w:sz w:val="21"/>
                <w:szCs w:val="21"/>
              </w:rPr>
              <w:t>准确</w:t>
            </w:r>
            <w:r>
              <w:rPr>
                <w:rFonts w:ascii="宋体" w:hAnsi="宋体"/>
                <w:sz w:val="21"/>
                <w:szCs w:val="21"/>
              </w:rPr>
              <w:t>；掌握培训对象的特点和需求；内容设计切合培训需求、</w:t>
            </w:r>
            <w:r>
              <w:rPr>
                <w:rFonts w:hint="eastAsia" w:ascii="宋体" w:hAnsi="宋体"/>
                <w:sz w:val="21"/>
                <w:szCs w:val="21"/>
              </w:rPr>
              <w:t>结构</w:t>
            </w:r>
            <w:r>
              <w:rPr>
                <w:rFonts w:ascii="宋体" w:hAnsi="宋体"/>
                <w:sz w:val="21"/>
                <w:szCs w:val="21"/>
              </w:rPr>
              <w:t>合理，</w:t>
            </w:r>
            <w:r>
              <w:rPr>
                <w:rFonts w:hint="eastAsia" w:ascii="宋体" w:hAnsi="宋体"/>
                <w:sz w:val="21"/>
                <w:szCs w:val="21"/>
              </w:rPr>
              <w:t>主题</w:t>
            </w:r>
            <w:r>
              <w:rPr>
                <w:rFonts w:ascii="宋体" w:hAnsi="宋体"/>
                <w:sz w:val="21"/>
                <w:szCs w:val="21"/>
              </w:rPr>
              <w:t>贴近教学实际</w:t>
            </w:r>
            <w:r>
              <w:rPr>
                <w:rFonts w:hint="eastAsia" w:ascii="宋体" w:hAnsi="宋体"/>
                <w:sz w:val="21"/>
                <w:szCs w:val="21"/>
                <w:lang w:eastAsia="zh-CN"/>
              </w:rPr>
              <w:t>。</w:t>
            </w:r>
          </w:p>
          <w:p w14:paraId="3CBDF2A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rPr>
              <w:t>三档</w:t>
            </w:r>
            <w:r>
              <w:rPr>
                <w:rFonts w:hint="eastAsia" w:ascii="宋体" w:hAnsi="宋体"/>
                <w:szCs w:val="21"/>
                <w:lang w:val="en-US" w:eastAsia="zh-CN"/>
              </w:rPr>
              <w:t>1</w:t>
            </w:r>
            <w:r>
              <w:rPr>
                <w:rFonts w:ascii="宋体" w:hAnsi="宋体"/>
                <w:szCs w:val="21"/>
              </w:rPr>
              <w:t>5</w:t>
            </w:r>
            <w:r>
              <w:rPr>
                <w:rFonts w:hint="eastAsia" w:ascii="宋体" w:hAnsi="宋体"/>
                <w:szCs w:val="21"/>
              </w:rPr>
              <w:t>分：</w:t>
            </w:r>
            <w:r>
              <w:rPr>
                <w:rFonts w:ascii="宋体" w:hAnsi="宋体"/>
                <w:szCs w:val="21"/>
              </w:rPr>
              <w:t>目标定位精准、指向明确；明确掌握培训对象的特点和需求、需求分析透彻</w:t>
            </w:r>
            <w:r>
              <w:rPr>
                <w:rFonts w:hint="eastAsia" w:ascii="宋体" w:hAnsi="宋体"/>
                <w:szCs w:val="21"/>
              </w:rPr>
              <w:t>，共性需求与个性需求分析精准</w:t>
            </w:r>
            <w:r>
              <w:rPr>
                <w:rFonts w:ascii="宋体" w:hAnsi="宋体"/>
                <w:szCs w:val="21"/>
              </w:rPr>
              <w:t>；内容设计</w:t>
            </w:r>
            <w:r>
              <w:rPr>
                <w:rFonts w:hint="eastAsia" w:ascii="宋体" w:hAnsi="宋体"/>
                <w:szCs w:val="21"/>
              </w:rPr>
              <w:t>科学</w:t>
            </w:r>
            <w:r>
              <w:rPr>
                <w:rFonts w:ascii="宋体" w:hAnsi="宋体"/>
                <w:szCs w:val="21"/>
              </w:rPr>
              <w:t>、突出</w:t>
            </w:r>
            <w:r>
              <w:rPr>
                <w:rFonts w:hint="eastAsia" w:ascii="宋体" w:hAnsi="宋体"/>
                <w:szCs w:val="21"/>
              </w:rPr>
              <w:t>案例</w:t>
            </w:r>
            <w:r>
              <w:rPr>
                <w:rFonts w:ascii="宋体" w:hAnsi="宋体"/>
                <w:szCs w:val="21"/>
              </w:rPr>
              <w:t>教学</w:t>
            </w:r>
            <w:r>
              <w:rPr>
                <w:rFonts w:hint="eastAsia" w:ascii="宋体" w:hAnsi="宋体"/>
                <w:szCs w:val="21"/>
              </w:rPr>
              <w:t>，</w:t>
            </w:r>
            <w:r>
              <w:rPr>
                <w:rFonts w:ascii="宋体" w:hAnsi="宋体"/>
                <w:szCs w:val="21"/>
              </w:rPr>
              <w:t>特色鲜明</w:t>
            </w:r>
            <w:r>
              <w:rPr>
                <w:rFonts w:hint="eastAsia" w:ascii="宋体" w:hAnsi="宋体"/>
                <w:szCs w:val="21"/>
              </w:rPr>
              <w:t>，主题</w:t>
            </w:r>
            <w:r>
              <w:rPr>
                <w:rFonts w:ascii="宋体" w:hAnsi="宋体"/>
                <w:szCs w:val="21"/>
              </w:rPr>
              <w:t>贴近教学实际。</w:t>
            </w:r>
          </w:p>
          <w:p w14:paraId="5A067F7C">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36EC5CA9">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lang w:val="en-US" w:eastAsia="zh-CN"/>
              </w:rPr>
              <w:t>1</w:t>
            </w:r>
            <w:r>
              <w:rPr>
                <w:rFonts w:ascii="宋体" w:hAnsi="宋体"/>
                <w:bCs/>
                <w:szCs w:val="21"/>
              </w:rPr>
              <w:t>5</w:t>
            </w:r>
          </w:p>
        </w:tc>
      </w:tr>
      <w:tr w14:paraId="5E22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0" w:hRule="atLeast"/>
        </w:trPr>
        <w:tc>
          <w:tcPr>
            <w:tcW w:w="583" w:type="dxa"/>
            <w:vMerge w:val="continue"/>
            <w:vAlign w:val="center"/>
          </w:tcPr>
          <w:p w14:paraId="4C0476B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6EB8B864">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5A95AC1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3</w:t>
            </w:r>
            <w:r>
              <w:rPr>
                <w:rFonts w:hint="eastAsia" w:ascii="宋体" w:hAnsi="宋体"/>
                <w:spacing w:val="10"/>
                <w:szCs w:val="21"/>
                <w:lang w:eastAsia="zh-CN"/>
              </w:rPr>
              <w:t>）</w:t>
            </w:r>
            <w:r>
              <w:rPr>
                <w:rFonts w:ascii="宋体" w:hAnsi="宋体"/>
                <w:spacing w:val="10"/>
                <w:szCs w:val="21"/>
              </w:rPr>
              <w:t>课程资源、培训方式、考核评价</w:t>
            </w:r>
            <w:r>
              <w:rPr>
                <w:rFonts w:hint="eastAsia" w:ascii="宋体" w:hAnsi="宋体"/>
                <w:spacing w:val="10"/>
                <w:szCs w:val="21"/>
              </w:rPr>
              <w:t>、</w:t>
            </w:r>
            <w:r>
              <w:rPr>
                <w:rFonts w:ascii="宋体" w:hAnsi="宋体"/>
                <w:spacing w:val="10"/>
                <w:szCs w:val="21"/>
              </w:rPr>
              <w:t>跟踪指导</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35分</w:t>
            </w:r>
            <w:r>
              <w:rPr>
                <w:rFonts w:hint="eastAsia" w:ascii="宋体" w:hAnsi="宋体"/>
                <w:szCs w:val="21"/>
                <w:lang w:eastAsia="zh-CN"/>
              </w:rPr>
              <w:t>）</w:t>
            </w:r>
          </w:p>
          <w:p w14:paraId="746F121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一档</w:t>
            </w:r>
            <w:r>
              <w:rPr>
                <w:rFonts w:hint="eastAsia" w:ascii="宋体" w:hAnsi="宋体"/>
                <w:spacing w:val="10"/>
                <w:szCs w:val="21"/>
                <w:lang w:val="en-US" w:eastAsia="zh-CN"/>
              </w:rPr>
              <w:t>1</w:t>
            </w:r>
            <w:r>
              <w:rPr>
                <w:rFonts w:ascii="宋体" w:hAnsi="宋体"/>
                <w:spacing w:val="10"/>
                <w:szCs w:val="21"/>
              </w:rPr>
              <w:t>0</w:t>
            </w:r>
            <w:r>
              <w:rPr>
                <w:rFonts w:hint="eastAsia" w:ascii="宋体" w:hAnsi="宋体"/>
                <w:spacing w:val="10"/>
                <w:szCs w:val="21"/>
              </w:rPr>
              <w:t>分：</w:t>
            </w:r>
            <w:r>
              <w:rPr>
                <w:rFonts w:ascii="宋体" w:hAnsi="宋体"/>
              </w:rPr>
              <w:t>有课程资源、培训方式、考核评价、跟踪指导介绍</w:t>
            </w:r>
            <w:r>
              <w:rPr>
                <w:rFonts w:hint="eastAsia" w:ascii="宋体" w:hAnsi="宋体"/>
                <w:lang w:eastAsia="zh-CN"/>
              </w:rPr>
              <w:t>。</w:t>
            </w:r>
          </w:p>
          <w:p w14:paraId="0EE5A16F">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二档</w:t>
            </w:r>
            <w:r>
              <w:rPr>
                <w:rFonts w:hint="eastAsia" w:ascii="宋体" w:hAnsi="宋体"/>
                <w:spacing w:val="10"/>
                <w:szCs w:val="21"/>
                <w:lang w:val="en-US" w:eastAsia="zh-CN"/>
              </w:rPr>
              <w:t>1</w:t>
            </w:r>
            <w:r>
              <w:rPr>
                <w:rFonts w:ascii="宋体" w:hAnsi="宋体"/>
                <w:spacing w:val="10"/>
                <w:szCs w:val="21"/>
              </w:rPr>
              <w:t>5</w:t>
            </w:r>
            <w:r>
              <w:rPr>
                <w:rFonts w:hint="eastAsia" w:ascii="宋体" w:hAnsi="宋体"/>
                <w:spacing w:val="10"/>
                <w:szCs w:val="21"/>
              </w:rPr>
              <w:t>分：</w:t>
            </w:r>
            <w:r>
              <w:rPr>
                <w:rFonts w:ascii="宋体" w:hAnsi="宋体"/>
                <w:spacing w:val="10"/>
                <w:szCs w:val="21"/>
              </w:rPr>
              <w:t>有课程资源</w:t>
            </w:r>
            <w:r>
              <w:rPr>
                <w:rFonts w:hint="eastAsia" w:ascii="宋体" w:hAnsi="宋体"/>
                <w:spacing w:val="10"/>
                <w:szCs w:val="21"/>
              </w:rPr>
              <w:t>，内容符合项目要求，理论性课程与实践性课程安排较具体</w:t>
            </w:r>
            <w:r>
              <w:rPr>
                <w:rFonts w:hint="eastAsia" w:ascii="宋体" w:hAnsi="宋体"/>
                <w:spacing w:val="10"/>
                <w:szCs w:val="21"/>
                <w:lang w:eastAsia="zh-CN"/>
              </w:rPr>
              <w:t>；</w:t>
            </w:r>
            <w:r>
              <w:rPr>
                <w:rFonts w:hint="eastAsia" w:ascii="宋体" w:hAnsi="宋体" w:cs="宋体"/>
                <w:bCs/>
                <w:szCs w:val="20"/>
              </w:rPr>
              <w:t>培训方式多元化，综合采取参与式、研讨式、案例式等多种方式</w:t>
            </w:r>
            <w:r>
              <w:rPr>
                <w:rFonts w:hint="eastAsia" w:ascii="宋体" w:hAnsi="宋体" w:cs="宋体"/>
                <w:bCs/>
                <w:szCs w:val="20"/>
                <w:lang w:eastAsia="zh-CN"/>
              </w:rPr>
              <w:t>；</w:t>
            </w:r>
            <w:r>
              <w:rPr>
                <w:rFonts w:hint="eastAsia" w:ascii="宋体" w:hAnsi="宋体"/>
                <w:spacing w:val="10"/>
                <w:szCs w:val="21"/>
              </w:rPr>
              <w:t>有</w:t>
            </w:r>
            <w:r>
              <w:rPr>
                <w:rFonts w:ascii="宋体" w:hAnsi="宋体"/>
                <w:spacing w:val="10"/>
                <w:szCs w:val="21"/>
              </w:rPr>
              <w:t>考核评价、跟踪指导介绍</w:t>
            </w:r>
            <w:r>
              <w:rPr>
                <w:rFonts w:hint="eastAsia" w:ascii="宋体" w:hAnsi="宋体"/>
                <w:spacing w:val="10"/>
                <w:szCs w:val="21"/>
                <w:lang w:eastAsia="zh-CN"/>
              </w:rPr>
              <w:t>。</w:t>
            </w:r>
          </w:p>
          <w:p w14:paraId="5229ED43">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三档</w:t>
            </w:r>
            <w:r>
              <w:rPr>
                <w:rFonts w:hint="eastAsia" w:ascii="宋体" w:hAnsi="宋体"/>
                <w:spacing w:val="10"/>
                <w:szCs w:val="21"/>
                <w:lang w:val="en-US" w:eastAsia="zh-CN"/>
              </w:rPr>
              <w:t>25</w:t>
            </w:r>
            <w:r>
              <w:rPr>
                <w:rFonts w:hint="eastAsia" w:ascii="宋体" w:hAnsi="宋体"/>
                <w:spacing w:val="10"/>
                <w:szCs w:val="21"/>
              </w:rPr>
              <w:t>分：</w:t>
            </w:r>
            <w:r>
              <w:rPr>
                <w:rFonts w:ascii="宋体" w:hAnsi="宋体"/>
                <w:spacing w:val="10"/>
                <w:szCs w:val="21"/>
              </w:rPr>
              <w:t>课程资源</w:t>
            </w:r>
            <w:r>
              <w:rPr>
                <w:rFonts w:hint="eastAsia" w:ascii="宋体" w:hAnsi="宋体"/>
                <w:spacing w:val="10"/>
                <w:szCs w:val="21"/>
              </w:rPr>
              <w:t>较</w:t>
            </w:r>
            <w:r>
              <w:rPr>
                <w:rFonts w:ascii="宋体" w:hAnsi="宋体"/>
                <w:spacing w:val="10"/>
                <w:szCs w:val="21"/>
              </w:rPr>
              <w:t>丰富</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综合采取参与式、研讨式、案例式、名师示范等多种方式</w:t>
            </w:r>
            <w:r>
              <w:rPr>
                <w:rFonts w:ascii="宋体" w:hAnsi="宋体"/>
                <w:spacing w:val="10"/>
                <w:szCs w:val="21"/>
              </w:rPr>
              <w:t>；参训学员与授课教师考核评价</w:t>
            </w:r>
            <w:r>
              <w:rPr>
                <w:rFonts w:hint="eastAsia" w:ascii="宋体" w:hAnsi="宋体"/>
                <w:spacing w:val="10"/>
                <w:szCs w:val="21"/>
              </w:rPr>
              <w:t>制度较完善</w:t>
            </w:r>
            <w:r>
              <w:rPr>
                <w:rFonts w:ascii="宋体" w:hAnsi="宋体"/>
                <w:spacing w:val="10"/>
                <w:szCs w:val="21"/>
              </w:rPr>
              <w:t>；学员</w:t>
            </w:r>
            <w:r>
              <w:rPr>
                <w:rFonts w:hint="eastAsia" w:ascii="宋体" w:hAnsi="宋体"/>
                <w:spacing w:val="10"/>
                <w:szCs w:val="21"/>
                <w:lang w:eastAsia="zh-CN"/>
              </w:rPr>
              <w:t>培</w:t>
            </w:r>
            <w:r>
              <w:rPr>
                <w:rFonts w:ascii="宋体" w:hAnsi="宋体"/>
                <w:spacing w:val="10"/>
                <w:szCs w:val="21"/>
              </w:rPr>
              <w:t>训后跟踪指导设计具体，计划明晰</w:t>
            </w:r>
            <w:r>
              <w:rPr>
                <w:rFonts w:hint="eastAsia" w:ascii="宋体" w:hAnsi="宋体"/>
                <w:spacing w:val="10"/>
                <w:szCs w:val="21"/>
                <w:lang w:eastAsia="zh-CN"/>
              </w:rPr>
              <w:t>。</w:t>
            </w:r>
          </w:p>
          <w:p w14:paraId="748607D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rPr>
              <w:t>四档3</w:t>
            </w:r>
            <w:r>
              <w:rPr>
                <w:rFonts w:ascii="宋体" w:hAnsi="宋体"/>
                <w:spacing w:val="10"/>
                <w:szCs w:val="21"/>
              </w:rPr>
              <w:t>5</w:t>
            </w:r>
            <w:r>
              <w:rPr>
                <w:rFonts w:hint="eastAsia" w:ascii="宋体" w:hAnsi="宋体"/>
                <w:spacing w:val="10"/>
                <w:szCs w:val="21"/>
              </w:rPr>
              <w:t>分：</w:t>
            </w:r>
            <w:r>
              <w:rPr>
                <w:rFonts w:ascii="宋体" w:hAnsi="宋体"/>
                <w:spacing w:val="10"/>
                <w:szCs w:val="21"/>
              </w:rPr>
              <w:t>课程资源丰富适用</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综合采取参与式、研讨式、案例式、名师示范等多种方式，安排基于教学现场的培训环节，强化学员互动参与</w:t>
            </w:r>
            <w:r>
              <w:rPr>
                <w:rFonts w:ascii="宋体" w:hAnsi="宋体"/>
                <w:spacing w:val="10"/>
                <w:szCs w:val="21"/>
              </w:rPr>
              <w:t>；参训学员与授课教师考核评价</w:t>
            </w:r>
            <w:r>
              <w:rPr>
                <w:rFonts w:hint="eastAsia" w:ascii="宋体" w:hAnsi="宋体"/>
                <w:spacing w:val="10"/>
                <w:szCs w:val="21"/>
              </w:rPr>
              <w:t>制度完善</w:t>
            </w:r>
            <w:r>
              <w:rPr>
                <w:rFonts w:ascii="宋体" w:hAnsi="宋体"/>
                <w:spacing w:val="10"/>
                <w:szCs w:val="21"/>
              </w:rPr>
              <w:t>，指标设计科学，能够有效支持学员培训过程学习和</w:t>
            </w:r>
            <w:r>
              <w:rPr>
                <w:rFonts w:hint="eastAsia" w:ascii="宋体" w:hAnsi="宋体"/>
                <w:spacing w:val="10"/>
                <w:szCs w:val="21"/>
                <w:lang w:eastAsia="zh-CN"/>
              </w:rPr>
              <w:t>培</w:t>
            </w:r>
            <w:r>
              <w:rPr>
                <w:rFonts w:ascii="宋体" w:hAnsi="宋体"/>
                <w:spacing w:val="10"/>
                <w:szCs w:val="21"/>
              </w:rPr>
              <w:t>训后跟踪指导；学员</w:t>
            </w:r>
            <w:r>
              <w:rPr>
                <w:rFonts w:hint="eastAsia" w:ascii="宋体" w:hAnsi="宋体"/>
                <w:spacing w:val="10"/>
                <w:szCs w:val="21"/>
                <w:lang w:eastAsia="zh-CN"/>
              </w:rPr>
              <w:t>培</w:t>
            </w:r>
            <w:r>
              <w:rPr>
                <w:rFonts w:ascii="宋体" w:hAnsi="宋体"/>
                <w:spacing w:val="10"/>
                <w:szCs w:val="21"/>
              </w:rPr>
              <w:t>训后跟踪指导设计具体，计划明晰，跟踪指导方式有效</w:t>
            </w:r>
            <w:r>
              <w:rPr>
                <w:rFonts w:hint="eastAsia" w:ascii="宋体" w:hAnsi="宋体"/>
                <w:spacing w:val="10"/>
                <w:szCs w:val="21"/>
                <w:lang w:eastAsia="zh-CN"/>
              </w:rPr>
              <w:t>，提供专业指导报告</w:t>
            </w:r>
            <w:r>
              <w:rPr>
                <w:rFonts w:ascii="宋体" w:hAnsi="宋体"/>
                <w:spacing w:val="10"/>
                <w:szCs w:val="21"/>
              </w:rPr>
              <w:t>。</w:t>
            </w:r>
          </w:p>
          <w:p w14:paraId="2E129EB5">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5B0C4825">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0-3</w:t>
            </w:r>
            <w:r>
              <w:rPr>
                <w:rFonts w:hint="eastAsia" w:ascii="宋体" w:hAnsi="宋体"/>
                <w:bCs/>
                <w:szCs w:val="21"/>
              </w:rPr>
              <w:t>5</w:t>
            </w:r>
          </w:p>
        </w:tc>
      </w:tr>
      <w:tr w14:paraId="5DD1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0" w:hRule="atLeast"/>
        </w:trPr>
        <w:tc>
          <w:tcPr>
            <w:tcW w:w="583" w:type="dxa"/>
            <w:vAlign w:val="center"/>
          </w:tcPr>
          <w:p w14:paraId="715A5FD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p>
        </w:tc>
        <w:tc>
          <w:tcPr>
            <w:tcW w:w="762" w:type="dxa"/>
            <w:vAlign w:val="center"/>
          </w:tcPr>
          <w:p w14:paraId="2799CDF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p>
        </w:tc>
        <w:tc>
          <w:tcPr>
            <w:tcW w:w="7297" w:type="dxa"/>
            <w:gridSpan w:val="2"/>
          </w:tcPr>
          <w:p w14:paraId="148FA03E">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4</w:t>
            </w:r>
            <w:r>
              <w:rPr>
                <w:rFonts w:hint="eastAsia" w:ascii="宋体" w:hAnsi="宋体"/>
                <w:spacing w:val="10"/>
                <w:szCs w:val="21"/>
                <w:lang w:eastAsia="zh-CN"/>
              </w:rPr>
              <w:t>）</w:t>
            </w:r>
            <w:r>
              <w:rPr>
                <w:rFonts w:ascii="宋体" w:hAnsi="宋体"/>
                <w:spacing w:val="10"/>
                <w:szCs w:val="21"/>
              </w:rPr>
              <w:t>培训师资、后勤保障</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20分</w:t>
            </w:r>
            <w:r>
              <w:rPr>
                <w:rFonts w:hint="eastAsia" w:ascii="宋体" w:hAnsi="宋体"/>
                <w:szCs w:val="21"/>
                <w:lang w:eastAsia="zh-CN"/>
              </w:rPr>
              <w:t>）</w:t>
            </w:r>
          </w:p>
          <w:p w14:paraId="7E3B1632">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bCs w:val="0"/>
                <w:kern w:val="2"/>
                <w:sz w:val="21"/>
                <w:szCs w:val="21"/>
                <w:lang w:eastAsia="zh-CN"/>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ascii="宋体" w:hAnsi="宋体"/>
                <w:bCs w:val="0"/>
                <w:kern w:val="2"/>
                <w:sz w:val="21"/>
                <w:szCs w:val="21"/>
              </w:rPr>
              <w:t>有培训师资</w:t>
            </w:r>
            <w:r>
              <w:rPr>
                <w:rFonts w:hint="eastAsia" w:ascii="宋体" w:hAnsi="宋体"/>
                <w:bCs w:val="0"/>
                <w:kern w:val="2"/>
                <w:sz w:val="21"/>
                <w:szCs w:val="21"/>
                <w:lang w:eastAsia="zh-CN"/>
              </w:rPr>
              <w:t>；有</w:t>
            </w:r>
            <w:r>
              <w:rPr>
                <w:rFonts w:ascii="宋体" w:hAnsi="宋体"/>
                <w:bCs w:val="0"/>
                <w:kern w:val="2"/>
                <w:sz w:val="21"/>
                <w:szCs w:val="21"/>
              </w:rPr>
              <w:t>后勤保障介绍</w:t>
            </w:r>
            <w:r>
              <w:rPr>
                <w:rFonts w:hint="eastAsia" w:ascii="宋体" w:hAnsi="宋体"/>
                <w:bCs w:val="0"/>
                <w:kern w:val="2"/>
                <w:sz w:val="21"/>
                <w:szCs w:val="21"/>
                <w:lang w:eastAsia="zh-CN"/>
              </w:rPr>
              <w:t>。</w:t>
            </w:r>
          </w:p>
          <w:p w14:paraId="7840B0D6">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bCs w:val="0"/>
                <w:kern w:val="2"/>
                <w:sz w:val="21"/>
                <w:szCs w:val="21"/>
              </w:rPr>
            </w:pPr>
            <w:r>
              <w:rPr>
                <w:rFonts w:hint="eastAsia" w:ascii="宋体" w:hAnsi="宋体"/>
                <w:bCs w:val="0"/>
                <w:kern w:val="2"/>
                <w:sz w:val="21"/>
                <w:szCs w:val="21"/>
              </w:rPr>
              <w:t>二档</w:t>
            </w:r>
            <w:r>
              <w:rPr>
                <w:rFonts w:hint="eastAsia" w:ascii="宋体" w:hAnsi="宋体"/>
                <w:bCs w:val="0"/>
                <w:kern w:val="2"/>
                <w:sz w:val="21"/>
                <w:szCs w:val="21"/>
                <w:lang w:val="en-US" w:eastAsia="zh-CN"/>
              </w:rPr>
              <w:t>10</w:t>
            </w:r>
            <w:r>
              <w:rPr>
                <w:rFonts w:hint="eastAsia" w:ascii="宋体" w:hAnsi="宋体"/>
                <w:bCs w:val="0"/>
                <w:kern w:val="2"/>
                <w:sz w:val="21"/>
                <w:szCs w:val="21"/>
              </w:rPr>
              <w:t>分：有培训师资；</w:t>
            </w:r>
            <w:r>
              <w:rPr>
                <w:rFonts w:ascii="宋体" w:hAnsi="宋体"/>
                <w:bCs w:val="0"/>
                <w:kern w:val="2"/>
                <w:sz w:val="21"/>
                <w:szCs w:val="21"/>
              </w:rPr>
              <w:t>授课教师团队</w:t>
            </w:r>
            <w:r>
              <w:rPr>
                <w:rFonts w:hint="eastAsia" w:ascii="宋体" w:hAnsi="宋体"/>
                <w:bCs w:val="0"/>
                <w:kern w:val="2"/>
                <w:sz w:val="21"/>
                <w:szCs w:val="21"/>
              </w:rPr>
              <w:t>分工明确，</w:t>
            </w:r>
            <w:r>
              <w:rPr>
                <w:rFonts w:ascii="宋体" w:hAnsi="宋体"/>
                <w:bCs w:val="0"/>
                <w:kern w:val="2"/>
                <w:sz w:val="21"/>
                <w:szCs w:val="21"/>
              </w:rPr>
              <w:t>一线优秀教师和教研员</w:t>
            </w:r>
            <w:r>
              <w:rPr>
                <w:rFonts w:hint="eastAsia" w:ascii="宋体" w:hAnsi="宋体"/>
                <w:bCs w:val="0"/>
                <w:kern w:val="2"/>
                <w:sz w:val="21"/>
                <w:szCs w:val="21"/>
              </w:rPr>
              <w:t>比例达到5</w:t>
            </w:r>
            <w:r>
              <w:rPr>
                <w:rFonts w:ascii="宋体" w:hAnsi="宋体"/>
                <w:bCs w:val="0"/>
                <w:kern w:val="2"/>
                <w:sz w:val="21"/>
                <w:szCs w:val="21"/>
              </w:rPr>
              <w:t>0%</w:t>
            </w:r>
            <w:r>
              <w:rPr>
                <w:rFonts w:hint="eastAsia" w:ascii="宋体" w:hAnsi="宋体"/>
                <w:bCs w:val="0"/>
                <w:kern w:val="2"/>
                <w:sz w:val="21"/>
                <w:szCs w:val="21"/>
              </w:rPr>
              <w:t>以上</w:t>
            </w:r>
            <w:r>
              <w:rPr>
                <w:rFonts w:ascii="宋体" w:hAnsi="宋体"/>
                <w:bCs w:val="0"/>
                <w:kern w:val="2"/>
                <w:sz w:val="21"/>
                <w:szCs w:val="21"/>
              </w:rPr>
              <w:t>；有</w:t>
            </w:r>
            <w:r>
              <w:rPr>
                <w:rFonts w:hint="eastAsia" w:ascii="宋体" w:hAnsi="宋体"/>
                <w:bCs w:val="0"/>
                <w:kern w:val="2"/>
                <w:sz w:val="21"/>
                <w:szCs w:val="21"/>
              </w:rPr>
              <w:t>教学环境介绍详细</w:t>
            </w:r>
            <w:r>
              <w:rPr>
                <w:rFonts w:hint="eastAsia" w:ascii="宋体" w:hAnsi="宋体"/>
                <w:bCs w:val="0"/>
                <w:kern w:val="2"/>
                <w:sz w:val="21"/>
                <w:szCs w:val="21"/>
                <w:lang w:eastAsia="zh-CN"/>
              </w:rPr>
              <w:t>，</w:t>
            </w:r>
            <w:r>
              <w:rPr>
                <w:rFonts w:hint="eastAsia" w:ascii="宋体" w:hAnsi="宋体"/>
                <w:bCs w:val="0"/>
                <w:kern w:val="2"/>
                <w:sz w:val="21"/>
                <w:szCs w:val="21"/>
              </w:rPr>
              <w:t>教学设备</w:t>
            </w:r>
            <w:r>
              <w:rPr>
                <w:rFonts w:hint="eastAsia" w:ascii="宋体" w:hAnsi="宋体"/>
                <w:bCs w:val="0"/>
                <w:kern w:val="2"/>
                <w:sz w:val="21"/>
                <w:szCs w:val="21"/>
                <w:lang w:eastAsia="zh-CN"/>
              </w:rPr>
              <w:t>设施</w:t>
            </w:r>
            <w:r>
              <w:rPr>
                <w:rFonts w:hint="eastAsia" w:ascii="宋体" w:hAnsi="宋体"/>
                <w:bCs w:val="0"/>
                <w:kern w:val="2"/>
                <w:sz w:val="21"/>
                <w:szCs w:val="21"/>
              </w:rPr>
              <w:t>完备，学员食宿条件介绍详细，管理制度完善。</w:t>
            </w:r>
          </w:p>
          <w:p w14:paraId="101FB2E7">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spacing w:val="10"/>
                <w:szCs w:val="21"/>
              </w:rPr>
            </w:pPr>
            <w:r>
              <w:rPr>
                <w:rFonts w:hint="eastAsia" w:ascii="宋体" w:hAnsi="宋体"/>
                <w:spacing w:val="10"/>
                <w:szCs w:val="21"/>
              </w:rPr>
              <w:t>三档2</w:t>
            </w:r>
            <w:r>
              <w:rPr>
                <w:rFonts w:ascii="宋体" w:hAnsi="宋体"/>
                <w:spacing w:val="10"/>
                <w:szCs w:val="21"/>
              </w:rPr>
              <w:t>0</w:t>
            </w:r>
            <w:r>
              <w:rPr>
                <w:rFonts w:hint="eastAsia" w:ascii="宋体" w:hAnsi="宋体"/>
                <w:spacing w:val="10"/>
                <w:szCs w:val="21"/>
              </w:rPr>
              <w:t>分：有培训师资；</w:t>
            </w:r>
            <w:r>
              <w:rPr>
                <w:rFonts w:ascii="宋体" w:hAnsi="宋体"/>
                <w:spacing w:val="10"/>
                <w:szCs w:val="21"/>
              </w:rPr>
              <w:t>授课教师</w:t>
            </w:r>
            <w:r>
              <w:rPr>
                <w:rFonts w:hint="eastAsia" w:ascii="宋体" w:hAnsi="宋体"/>
                <w:spacing w:val="10"/>
                <w:szCs w:val="21"/>
                <w:lang w:eastAsia="zh-CN"/>
              </w:rPr>
              <w:t>（</w:t>
            </w:r>
            <w:r>
              <w:rPr>
                <w:rFonts w:ascii="宋体" w:hAnsi="宋体"/>
                <w:spacing w:val="10"/>
                <w:szCs w:val="21"/>
              </w:rPr>
              <w:t>授课教师</w:t>
            </w:r>
            <w:r>
              <w:rPr>
                <w:rFonts w:hint="eastAsia" w:ascii="宋体" w:hAnsi="宋体"/>
                <w:spacing w:val="10"/>
                <w:szCs w:val="21"/>
                <w:lang w:eastAsia="zh-CN"/>
              </w:rPr>
              <w:t>团队成员均须是高级及以上职称）</w:t>
            </w:r>
            <w:r>
              <w:rPr>
                <w:rFonts w:ascii="宋体" w:hAnsi="宋体"/>
                <w:spacing w:val="10"/>
                <w:szCs w:val="21"/>
              </w:rPr>
              <w:t>团队结构合理</w:t>
            </w:r>
            <w:r>
              <w:rPr>
                <w:rFonts w:hint="eastAsia" w:ascii="宋体" w:hAnsi="宋体"/>
                <w:spacing w:val="10"/>
                <w:szCs w:val="21"/>
                <w:lang w:eastAsia="zh-CN"/>
              </w:rPr>
              <w:t>，</w:t>
            </w:r>
            <w:r>
              <w:rPr>
                <w:rFonts w:ascii="宋体" w:hAnsi="宋体"/>
                <w:spacing w:val="10"/>
                <w:szCs w:val="21"/>
              </w:rPr>
              <w:t>一线优</w:t>
            </w:r>
            <w:r>
              <w:rPr>
                <w:rFonts w:hint="eastAsia" w:ascii="宋体" w:hAnsi="宋体"/>
                <w:spacing w:val="10"/>
                <w:szCs w:val="21"/>
              </w:rPr>
              <w:t>秀</w:t>
            </w:r>
            <w:r>
              <w:rPr>
                <w:rFonts w:ascii="宋体" w:hAnsi="宋体"/>
                <w:spacing w:val="10"/>
                <w:szCs w:val="21"/>
              </w:rPr>
              <w:t>教师和教研员</w:t>
            </w:r>
            <w:r>
              <w:rPr>
                <w:rFonts w:hint="eastAsia" w:ascii="宋体" w:hAnsi="宋体"/>
                <w:spacing w:val="10"/>
                <w:szCs w:val="21"/>
              </w:rPr>
              <w:t>比例达到</w:t>
            </w:r>
            <w:r>
              <w:rPr>
                <w:rFonts w:ascii="宋体" w:hAnsi="宋体"/>
                <w:spacing w:val="10"/>
                <w:szCs w:val="21"/>
              </w:rPr>
              <w:t>60%</w:t>
            </w:r>
            <w:r>
              <w:rPr>
                <w:rFonts w:hint="eastAsia" w:ascii="宋体" w:hAnsi="宋体"/>
                <w:spacing w:val="10"/>
                <w:szCs w:val="21"/>
              </w:rPr>
              <w:t>以上，</w:t>
            </w:r>
            <w:r>
              <w:rPr>
                <w:rFonts w:ascii="宋体" w:hAnsi="宋体"/>
                <w:spacing w:val="10"/>
                <w:szCs w:val="21"/>
              </w:rPr>
              <w:t>学科水平高；</w:t>
            </w:r>
            <w:r>
              <w:rPr>
                <w:rFonts w:hint="eastAsia" w:ascii="宋体" w:hAnsi="宋体"/>
                <w:spacing w:val="10"/>
                <w:szCs w:val="21"/>
              </w:rPr>
              <w:t>根据培训主题和方式有针对性安排培训场地，教学环境介绍详细</w:t>
            </w:r>
            <w:r>
              <w:rPr>
                <w:rFonts w:hint="eastAsia" w:ascii="宋体" w:hAnsi="宋体"/>
                <w:spacing w:val="10"/>
                <w:szCs w:val="21"/>
                <w:lang w:eastAsia="zh-CN"/>
              </w:rPr>
              <w:t>且</w:t>
            </w:r>
            <w:r>
              <w:rPr>
                <w:rFonts w:hint="eastAsia" w:ascii="宋体" w:hAnsi="宋体"/>
                <w:spacing w:val="10"/>
                <w:szCs w:val="21"/>
              </w:rPr>
              <w:t>图文并茂、教学设备</w:t>
            </w:r>
            <w:r>
              <w:rPr>
                <w:rFonts w:hint="eastAsia" w:ascii="宋体" w:hAnsi="宋体"/>
                <w:spacing w:val="10"/>
                <w:szCs w:val="21"/>
                <w:lang w:eastAsia="zh-CN"/>
              </w:rPr>
              <w:t>设施</w:t>
            </w:r>
            <w:r>
              <w:rPr>
                <w:rFonts w:hint="eastAsia" w:ascii="宋体" w:hAnsi="宋体"/>
                <w:spacing w:val="10"/>
                <w:szCs w:val="21"/>
              </w:rPr>
              <w:t>完备，学员食宿条件介绍详细</w:t>
            </w:r>
            <w:r>
              <w:rPr>
                <w:rFonts w:hint="eastAsia" w:ascii="宋体" w:hAnsi="宋体"/>
                <w:spacing w:val="10"/>
                <w:szCs w:val="21"/>
                <w:lang w:eastAsia="zh-CN"/>
              </w:rPr>
              <w:t>且</w:t>
            </w:r>
            <w:r>
              <w:rPr>
                <w:rFonts w:hint="eastAsia" w:ascii="宋体" w:hAnsi="宋体"/>
                <w:spacing w:val="10"/>
                <w:szCs w:val="21"/>
              </w:rPr>
              <w:t>图文并茂、医疗卫生条件完善。培训安全、考勤、考核评价、学情反馈等相关管理制度健全完善。</w:t>
            </w:r>
          </w:p>
          <w:p w14:paraId="12ED451F">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2736A85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rPr>
              <w:t>20</w:t>
            </w:r>
          </w:p>
        </w:tc>
      </w:tr>
      <w:tr w14:paraId="35D6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5A83D62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r>
              <w:rPr>
                <w:rFonts w:hint="eastAsia" w:ascii="宋体" w:hAnsi="宋体" w:cs="宋体"/>
                <w:bCs/>
                <w:szCs w:val="21"/>
                <w:lang w:val="en-US" w:eastAsia="zh-CN"/>
              </w:rPr>
              <w:t>3</w:t>
            </w:r>
          </w:p>
        </w:tc>
        <w:tc>
          <w:tcPr>
            <w:tcW w:w="762" w:type="dxa"/>
            <w:vAlign w:val="center"/>
          </w:tcPr>
          <w:p w14:paraId="29046D27">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bCs/>
                <w:szCs w:val="21"/>
                <w:lang w:eastAsia="zh-CN"/>
              </w:rPr>
              <w:t>商务分（满分</w:t>
            </w:r>
            <w:r>
              <w:rPr>
                <w:rFonts w:hint="eastAsia" w:ascii="宋体" w:hAnsi="宋体"/>
                <w:bCs/>
                <w:szCs w:val="21"/>
                <w:lang w:val="en-US" w:eastAsia="zh-CN"/>
              </w:rPr>
              <w:t>5分</w:t>
            </w:r>
            <w:r>
              <w:rPr>
                <w:rFonts w:hint="eastAsia" w:ascii="宋体" w:hAnsi="宋体"/>
                <w:bCs/>
                <w:szCs w:val="21"/>
                <w:lang w:eastAsia="zh-CN"/>
              </w:rPr>
              <w:t>）</w:t>
            </w:r>
          </w:p>
        </w:tc>
        <w:tc>
          <w:tcPr>
            <w:tcW w:w="7297" w:type="dxa"/>
            <w:gridSpan w:val="2"/>
          </w:tcPr>
          <w:p w14:paraId="1524EF7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ascii="宋体" w:hAnsi="宋体"/>
                <w:szCs w:val="21"/>
              </w:rPr>
              <w:t>特色与创新</w:t>
            </w:r>
            <w:r>
              <w:rPr>
                <w:rFonts w:hint="eastAsia" w:ascii="宋体" w:hAnsi="宋体"/>
                <w:szCs w:val="21"/>
                <w:lang w:eastAsia="zh-CN"/>
              </w:rPr>
              <w:t>方案（满分</w:t>
            </w:r>
            <w:r>
              <w:rPr>
                <w:rFonts w:hint="eastAsia" w:ascii="宋体" w:hAnsi="宋体"/>
                <w:szCs w:val="21"/>
                <w:lang w:val="en-US" w:eastAsia="zh-CN"/>
              </w:rPr>
              <w:t>5分</w:t>
            </w:r>
            <w:r>
              <w:rPr>
                <w:rFonts w:hint="eastAsia" w:ascii="宋体" w:hAnsi="宋体"/>
                <w:szCs w:val="21"/>
                <w:lang w:eastAsia="zh-CN"/>
              </w:rPr>
              <w:t>）</w:t>
            </w:r>
          </w:p>
          <w:p w14:paraId="2235270D">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hint="eastAsia" w:ascii="宋体" w:hAnsi="宋体"/>
                <w:sz w:val="21"/>
                <w:szCs w:val="21"/>
                <w:lang w:val="en-US" w:eastAsia="zh-CN"/>
              </w:rPr>
              <w:t>2</w:t>
            </w:r>
            <w:r>
              <w:rPr>
                <w:rFonts w:hint="eastAsia" w:ascii="宋体" w:hAnsi="宋体"/>
                <w:sz w:val="21"/>
                <w:szCs w:val="21"/>
              </w:rPr>
              <w:t>分：</w:t>
            </w:r>
            <w:r>
              <w:rPr>
                <w:rFonts w:ascii="宋体" w:hAnsi="宋体"/>
                <w:sz w:val="21"/>
                <w:szCs w:val="21"/>
              </w:rPr>
              <w:t>有培训的特色与创新介绍</w:t>
            </w:r>
            <w:r>
              <w:rPr>
                <w:rFonts w:hint="eastAsia" w:ascii="宋体" w:hAnsi="宋体"/>
                <w:sz w:val="21"/>
                <w:szCs w:val="21"/>
                <w:lang w:eastAsia="zh-CN"/>
              </w:rPr>
              <w:t>。</w:t>
            </w:r>
          </w:p>
          <w:p w14:paraId="01B085E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lang w:val="en-US" w:eastAsia="zh-CN"/>
              </w:rPr>
            </w:pPr>
            <w:r>
              <w:rPr>
                <w:rFonts w:hint="eastAsia" w:ascii="宋体" w:hAnsi="宋体"/>
                <w:szCs w:val="21"/>
              </w:rPr>
              <w:t>二档5分：</w:t>
            </w:r>
            <w:r>
              <w:rPr>
                <w:rFonts w:ascii="宋体" w:hAnsi="宋体"/>
                <w:szCs w:val="21"/>
              </w:rPr>
              <w:t>培训安排的整体或具体环节的设计上有鲜明特色和创新之处。</w:t>
            </w:r>
          </w:p>
          <w:p w14:paraId="5913AB92">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2C3F56C8">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0-5</w:t>
            </w:r>
          </w:p>
        </w:tc>
      </w:tr>
      <w:tr w14:paraId="6C29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0" w:type="dxa"/>
            <w:gridSpan w:val="3"/>
            <w:vAlign w:val="center"/>
          </w:tcPr>
          <w:p w14:paraId="34366152">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cs="宋体"/>
                <w:color w:val="auto"/>
                <w:szCs w:val="21"/>
                <w:highlight w:val="none"/>
              </w:rPr>
              <w:t>供应商汇总得分</w:t>
            </w:r>
          </w:p>
        </w:tc>
        <w:tc>
          <w:tcPr>
            <w:tcW w:w="6332" w:type="dxa"/>
          </w:tcPr>
          <w:p w14:paraId="39ABBB11">
            <w:pPr>
              <w:pStyle w:val="23"/>
              <w:keepNext w:val="0"/>
              <w:keepLines w:val="0"/>
              <w:pageBreakBefore w:val="0"/>
              <w:widowControl w:val="0"/>
              <w:kinsoku/>
              <w:wordWrap/>
              <w:overflowPunct/>
              <w:topLinePunct w:val="0"/>
              <w:autoSpaceDE/>
              <w:autoSpaceDN/>
              <w:bidi w:val="0"/>
              <w:adjustRightInd/>
              <w:spacing w:line="360" w:lineRule="auto"/>
              <w:textAlignment w:val="auto"/>
              <w:rPr>
                <w:rFonts w:hint="default"/>
                <w:lang w:val="en-US" w:eastAsia="zh-CN"/>
              </w:rPr>
            </w:pPr>
            <w:r>
              <w:rPr>
                <w:rFonts w:hint="eastAsia"/>
                <w:lang w:val="en-US" w:eastAsia="zh-CN"/>
              </w:rPr>
              <w:t>1+2+3</w:t>
            </w:r>
          </w:p>
        </w:tc>
        <w:tc>
          <w:tcPr>
            <w:tcW w:w="957" w:type="dxa"/>
            <w:vAlign w:val="center"/>
          </w:tcPr>
          <w:p w14:paraId="50090F9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tc>
      </w:tr>
    </w:tbl>
    <w:p w14:paraId="1D62DBF3">
      <w:pPr>
        <w:spacing w:line="360" w:lineRule="auto"/>
        <w:ind w:firstLine="420" w:firstLineChars="200"/>
        <w:rPr>
          <w:rFonts w:hint="eastAsia" w:ascii="宋体" w:hAnsi="宋体" w:cs="宋体"/>
          <w:color w:val="auto"/>
          <w:highlight w:val="none"/>
          <w:lang w:val="en-US" w:eastAsia="zh-CN"/>
        </w:rPr>
      </w:pPr>
    </w:p>
    <w:p w14:paraId="016D82C0">
      <w:pPr>
        <w:spacing w:line="360" w:lineRule="auto"/>
        <w:ind w:firstLine="420" w:firstLineChars="200"/>
        <w:rPr>
          <w:rFonts w:ascii="宋体" w:hAnsi="宋体" w:cs="宋体"/>
          <w:color w:val="auto"/>
          <w:highlight w:val="none"/>
        </w:rPr>
      </w:pPr>
    </w:p>
    <w:p w14:paraId="2C6B82C3">
      <w:pPr>
        <w:pStyle w:val="5"/>
      </w:pPr>
    </w:p>
    <w:p w14:paraId="024278DE"/>
    <w:p w14:paraId="2A56B69D">
      <w:pPr>
        <w:pStyle w:val="5"/>
      </w:pPr>
    </w:p>
    <w:p w14:paraId="69FDEA25">
      <w:pPr>
        <w:spacing w:line="360" w:lineRule="auto"/>
        <w:ind w:firstLine="422" w:firstLineChars="200"/>
        <w:jc w:val="center"/>
        <w:rPr>
          <w:rFonts w:ascii="宋体" w:hAnsi="宋体" w:cs="宋体"/>
          <w:b/>
          <w:color w:val="auto"/>
          <w:highlight w:val="none"/>
        </w:rPr>
      </w:pPr>
    </w:p>
    <w:p w14:paraId="324F5E30">
      <w:pPr>
        <w:rPr>
          <w:rFonts w:hint="eastAsia" w:ascii="宋体" w:hAnsi="宋体" w:eastAsia="宋体"/>
          <w:b w:val="0"/>
          <w:color w:val="auto"/>
          <w:highlight w:val="none"/>
          <w:lang w:eastAsia="zh-CN"/>
        </w:rPr>
      </w:pPr>
      <w:bookmarkStart w:id="45" w:name="_Toc31464"/>
      <w:bookmarkStart w:id="46" w:name="_Toc32746"/>
      <w:bookmarkStart w:id="47" w:name="_Toc3774"/>
      <w:bookmarkStart w:id="48" w:name="_Toc1709"/>
      <w:bookmarkStart w:id="49" w:name="_Toc13277"/>
      <w:bookmarkStart w:id="50" w:name="_Toc9104"/>
    </w:p>
    <w:p w14:paraId="4E493FB4">
      <w:pPr>
        <w:rPr>
          <w:rFonts w:hint="eastAsia" w:ascii="宋体" w:hAnsi="宋体" w:eastAsia="宋体"/>
          <w:b w:val="0"/>
          <w:color w:val="auto"/>
          <w:highlight w:val="none"/>
          <w:lang w:eastAsia="zh-CN"/>
        </w:rPr>
      </w:pPr>
    </w:p>
    <w:p w14:paraId="7AAC27BD">
      <w:pPr>
        <w:rPr>
          <w:rFonts w:hint="eastAsia" w:ascii="宋体" w:hAnsi="宋体" w:eastAsia="宋体"/>
          <w:b w:val="0"/>
          <w:color w:val="auto"/>
          <w:highlight w:val="none"/>
          <w:lang w:eastAsia="zh-CN"/>
        </w:rPr>
      </w:pPr>
    </w:p>
    <w:p w14:paraId="166C5938">
      <w:pPr>
        <w:rPr>
          <w:rFonts w:hint="eastAsia" w:ascii="宋体" w:hAnsi="宋体" w:eastAsia="宋体"/>
          <w:b w:val="0"/>
          <w:color w:val="auto"/>
          <w:highlight w:val="none"/>
          <w:lang w:eastAsia="zh-CN"/>
        </w:rPr>
      </w:pPr>
    </w:p>
    <w:p w14:paraId="5350E91C">
      <w:pPr>
        <w:jc w:val="center"/>
        <w:rPr>
          <w:rFonts w:hint="eastAsia" w:ascii="宋体" w:hAnsi="宋体" w:eastAsia="宋体"/>
          <w:b w:val="0"/>
          <w:color w:val="auto"/>
          <w:highlight w:val="none"/>
          <w:lang w:eastAsia="zh-CN"/>
        </w:rPr>
      </w:pPr>
      <w:r>
        <w:rPr>
          <w:rFonts w:hint="eastAsia" w:ascii="宋体" w:hAnsi="宋体"/>
          <w:b/>
          <w:bCs w:val="0"/>
          <w:color w:val="auto"/>
          <w:sz w:val="30"/>
          <w:szCs w:val="30"/>
          <w:highlight w:val="none"/>
        </w:rPr>
        <w:t>评分方法</w:t>
      </w:r>
      <w:r>
        <w:rPr>
          <w:rFonts w:hint="eastAsia" w:ascii="宋体" w:hAnsi="宋体"/>
          <w:b/>
          <w:bCs w:val="0"/>
          <w:color w:val="auto"/>
          <w:sz w:val="30"/>
          <w:szCs w:val="30"/>
          <w:highlight w:val="none"/>
          <w:lang w:eastAsia="zh-CN"/>
        </w:rPr>
        <w:t>：“</w:t>
      </w:r>
      <w:r>
        <w:rPr>
          <w:rFonts w:hint="eastAsia" w:ascii="宋体" w:hAnsi="宋体"/>
          <w:b/>
          <w:bCs w:val="0"/>
          <w:color w:val="auto"/>
          <w:sz w:val="30"/>
          <w:szCs w:val="30"/>
          <w:highlight w:val="none"/>
          <w:lang w:val="en-US" w:eastAsia="zh-CN"/>
        </w:rPr>
        <w:t>2、3、4、5、7分</w:t>
      </w:r>
      <w:r>
        <w:rPr>
          <w:rFonts w:hint="eastAsia" w:ascii="宋体" w:hAnsi="宋体"/>
          <w:b/>
          <w:bCs w:val="0"/>
          <w:color w:val="auto"/>
          <w:sz w:val="30"/>
          <w:szCs w:val="30"/>
          <w:highlight w:val="none"/>
          <w:lang w:eastAsia="zh-CN"/>
        </w:rPr>
        <w:t>标段适用”</w:t>
      </w:r>
    </w:p>
    <w:p w14:paraId="21D70EBD">
      <w:pPr>
        <w:rPr>
          <w:rFonts w:hint="eastAsia" w:ascii="宋体" w:hAnsi="宋体" w:eastAsia="宋体"/>
          <w:b w:val="0"/>
          <w:color w:val="auto"/>
          <w:highlight w:val="none"/>
          <w:lang w:eastAsia="zh-CN"/>
        </w:rPr>
      </w:pPr>
    </w:p>
    <w:tbl>
      <w:tblPr>
        <w:tblStyle w:val="34"/>
        <w:tblW w:w="9599"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762"/>
        <w:gridCol w:w="560"/>
        <w:gridCol w:w="6737"/>
        <w:gridCol w:w="957"/>
      </w:tblGrid>
      <w:tr w14:paraId="4825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583" w:type="dxa"/>
            <w:vAlign w:val="center"/>
          </w:tcPr>
          <w:p w14:paraId="7CFB9EC1">
            <w:pPr>
              <w:spacing w:line="360" w:lineRule="auto"/>
              <w:jc w:val="center"/>
              <w:rPr>
                <w:bCs/>
                <w:szCs w:val="21"/>
              </w:rPr>
            </w:pPr>
            <w:r>
              <w:rPr>
                <w:rFonts w:hint="eastAsia"/>
                <w:bCs/>
                <w:szCs w:val="21"/>
              </w:rPr>
              <w:t>序号</w:t>
            </w:r>
          </w:p>
        </w:tc>
        <w:tc>
          <w:tcPr>
            <w:tcW w:w="762" w:type="dxa"/>
            <w:vAlign w:val="center"/>
          </w:tcPr>
          <w:p w14:paraId="0292BDBE">
            <w:pPr>
              <w:spacing w:line="360" w:lineRule="auto"/>
              <w:jc w:val="center"/>
              <w:rPr>
                <w:bCs/>
                <w:szCs w:val="21"/>
              </w:rPr>
            </w:pPr>
            <w:r>
              <w:rPr>
                <w:rFonts w:hint="eastAsia"/>
                <w:bCs/>
                <w:szCs w:val="21"/>
              </w:rPr>
              <w:t>评分类型</w:t>
            </w:r>
          </w:p>
        </w:tc>
        <w:tc>
          <w:tcPr>
            <w:tcW w:w="7297" w:type="dxa"/>
            <w:gridSpan w:val="2"/>
            <w:vAlign w:val="center"/>
          </w:tcPr>
          <w:p w14:paraId="5B6851BB">
            <w:pPr>
              <w:spacing w:line="360" w:lineRule="auto"/>
              <w:jc w:val="center"/>
              <w:rPr>
                <w:bCs/>
                <w:szCs w:val="21"/>
              </w:rPr>
            </w:pPr>
            <w:r>
              <w:rPr>
                <w:rFonts w:hint="eastAsia"/>
                <w:bCs/>
                <w:szCs w:val="21"/>
              </w:rPr>
              <w:t>评分标准</w:t>
            </w:r>
          </w:p>
        </w:tc>
        <w:tc>
          <w:tcPr>
            <w:tcW w:w="957" w:type="dxa"/>
            <w:vAlign w:val="center"/>
          </w:tcPr>
          <w:p w14:paraId="756EF647">
            <w:pPr>
              <w:spacing w:line="360" w:lineRule="auto"/>
              <w:jc w:val="center"/>
              <w:rPr>
                <w:bCs/>
                <w:szCs w:val="21"/>
              </w:rPr>
            </w:pPr>
            <w:r>
              <w:rPr>
                <w:rFonts w:hint="eastAsia"/>
                <w:bCs/>
                <w:szCs w:val="21"/>
              </w:rPr>
              <w:t>分值</w:t>
            </w:r>
          </w:p>
        </w:tc>
      </w:tr>
      <w:tr w14:paraId="6069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trPr>
        <w:tc>
          <w:tcPr>
            <w:tcW w:w="583" w:type="dxa"/>
            <w:vAlign w:val="center"/>
          </w:tcPr>
          <w:p w14:paraId="1A9E5D2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w:t>
            </w:r>
          </w:p>
        </w:tc>
        <w:tc>
          <w:tcPr>
            <w:tcW w:w="762" w:type="dxa"/>
            <w:vAlign w:val="center"/>
          </w:tcPr>
          <w:p w14:paraId="2EB1BD7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color w:val="auto"/>
                <w:szCs w:val="21"/>
                <w:lang w:eastAsia="zh-CN"/>
              </w:rPr>
            </w:pPr>
            <w:r>
              <w:rPr>
                <w:rFonts w:hint="eastAsia" w:ascii="宋体" w:hAnsi="宋体"/>
                <w:bCs/>
                <w:color w:val="auto"/>
                <w:szCs w:val="21"/>
                <w:lang w:eastAsia="zh-CN"/>
              </w:rPr>
              <w:t>价格分（满分</w:t>
            </w:r>
            <w:r>
              <w:rPr>
                <w:rFonts w:hint="eastAsia" w:ascii="宋体" w:hAnsi="宋体"/>
                <w:bCs/>
                <w:color w:val="auto"/>
                <w:szCs w:val="21"/>
                <w:lang w:val="en-US" w:eastAsia="zh-CN"/>
              </w:rPr>
              <w:t>10</w:t>
            </w:r>
            <w:r>
              <w:rPr>
                <w:rFonts w:hint="eastAsia" w:ascii="宋体" w:hAnsi="宋体"/>
                <w:bCs/>
                <w:color w:val="auto"/>
                <w:szCs w:val="21"/>
                <w:lang w:eastAsia="zh-CN"/>
              </w:rPr>
              <w:t>分）</w:t>
            </w:r>
          </w:p>
        </w:tc>
        <w:tc>
          <w:tcPr>
            <w:tcW w:w="7297" w:type="dxa"/>
            <w:gridSpan w:val="2"/>
          </w:tcPr>
          <w:p w14:paraId="3E5F18C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（1）评标报价为投标人的投标报价进行政策性扣除后的价格，评标报价只是作为评标时使用。最终中标人的中标金额等于投标报价。</w:t>
            </w:r>
          </w:p>
          <w:p w14:paraId="6CD33A43">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（2）按照《政府采购促进中小企业发展管理办法》（财库〔2020〕46号）及《广西壮族自治区财政厅关于持续优化政府采购营商环境推动高质量发展的通知》（桂财采〔2024〕55 号）的规定，投标人在其投标文件中提供《中小企业声明函》，且其提供的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全部由符合政策要求的小型、微型企业承接，即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由小型、微型企业生产且使用该小型、微型企业商号或者注册商标，对其投标报价给予10%的扣除。</w:t>
            </w:r>
          </w:p>
          <w:p w14:paraId="47ED018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6C2C053">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BDB54F4">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（5）政策性扣除计算方法。</w:t>
            </w:r>
          </w:p>
          <w:p w14:paraId="7CFC15CB">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投标人被评定为监狱企业或者残疾人福利性单位或者其提供的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全部由符合政策要求的小型、微型企业制造，即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由小型、微型企业生产且使用该小型、微型企业商号或者注册商标的，该投标人的投标报价给予10% 的扣除，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4%的扣除，扣除后的价格为评标报价，即评标报价=投标报价×（1-4%））。</w:t>
            </w:r>
          </w:p>
          <w:p w14:paraId="1780B0E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除上述情况外，评标价=投标报价。</w:t>
            </w:r>
          </w:p>
          <w:p w14:paraId="385965B0">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7</w:t>
            </w:r>
            <w:r>
              <w:rPr>
                <w:rFonts w:hint="eastAsia" w:ascii="宋体" w:hAnsi="宋体"/>
                <w:color w:val="auto"/>
                <w:spacing w:val="10"/>
                <w:szCs w:val="21"/>
              </w:rPr>
              <w:t>）满足招标文件要求且评标报价最低的评标报价为评标基准价，基准价得分为满分。</w:t>
            </w:r>
          </w:p>
          <w:p w14:paraId="54E21B88">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8</w:t>
            </w:r>
            <w:r>
              <w:rPr>
                <w:rFonts w:hint="eastAsia" w:ascii="宋体" w:hAnsi="宋体"/>
                <w:color w:val="auto"/>
                <w:spacing w:val="10"/>
                <w:szCs w:val="21"/>
              </w:rPr>
              <w:t>）价格分计算公式：价格分=(评标基准价／评标价)×</w:t>
            </w:r>
            <w:r>
              <w:rPr>
                <w:rFonts w:hint="eastAsia" w:ascii="宋体" w:hAnsi="宋体"/>
                <w:color w:val="auto"/>
                <w:spacing w:val="10"/>
                <w:szCs w:val="21"/>
                <w:lang w:val="en-US" w:eastAsia="zh-CN"/>
              </w:rPr>
              <w:t>1</w:t>
            </w:r>
            <w:r>
              <w:rPr>
                <w:rFonts w:hint="eastAsia" w:ascii="宋体" w:hAnsi="宋体"/>
                <w:color w:val="auto"/>
                <w:spacing w:val="10"/>
                <w:szCs w:val="21"/>
              </w:rPr>
              <w:t>0分</w:t>
            </w:r>
          </w:p>
        </w:tc>
        <w:tc>
          <w:tcPr>
            <w:tcW w:w="957" w:type="dxa"/>
            <w:vAlign w:val="center"/>
          </w:tcPr>
          <w:p w14:paraId="4A8FC7F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bCs/>
                <w:szCs w:val="21"/>
                <w:lang w:val="en-US" w:eastAsia="zh-CN"/>
              </w:rPr>
            </w:pPr>
            <w:r>
              <w:rPr>
                <w:rFonts w:ascii="宋体" w:hAnsi="宋体"/>
                <w:bCs/>
                <w:szCs w:val="21"/>
              </w:rPr>
              <w:t>0-</w:t>
            </w:r>
            <w:r>
              <w:rPr>
                <w:rFonts w:hint="eastAsia" w:ascii="宋体" w:hAnsi="宋体"/>
                <w:bCs/>
                <w:szCs w:val="21"/>
                <w:lang w:val="en-US" w:eastAsia="zh-CN"/>
              </w:rPr>
              <w:t>10</w:t>
            </w:r>
          </w:p>
        </w:tc>
      </w:tr>
      <w:tr w14:paraId="2B30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2" w:hRule="atLeast"/>
        </w:trPr>
        <w:tc>
          <w:tcPr>
            <w:tcW w:w="583" w:type="dxa"/>
            <w:vMerge w:val="restart"/>
            <w:vAlign w:val="center"/>
          </w:tcPr>
          <w:p w14:paraId="619C61D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hint="eastAsia" w:ascii="宋体" w:hAnsi="宋体" w:cs="宋体"/>
                <w:bCs/>
                <w:szCs w:val="21"/>
                <w:lang w:val="en-US" w:eastAsia="zh-CN"/>
              </w:rPr>
              <w:t>2</w:t>
            </w:r>
          </w:p>
        </w:tc>
        <w:tc>
          <w:tcPr>
            <w:tcW w:w="762" w:type="dxa"/>
            <w:vMerge w:val="restart"/>
            <w:vAlign w:val="center"/>
          </w:tcPr>
          <w:p w14:paraId="461B858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p w14:paraId="1CCB6CD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p w14:paraId="064E5DCA">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bCs/>
                <w:szCs w:val="21"/>
                <w:lang w:eastAsia="zh-CN"/>
              </w:rPr>
            </w:pPr>
            <w:r>
              <w:rPr>
                <w:rFonts w:ascii="宋体" w:hAnsi="宋体"/>
                <w:bCs/>
                <w:szCs w:val="21"/>
              </w:rPr>
              <w:t>技术</w:t>
            </w:r>
            <w:r>
              <w:rPr>
                <w:rFonts w:hint="eastAsia" w:ascii="宋体" w:hAnsi="宋体"/>
                <w:bCs/>
                <w:szCs w:val="21"/>
                <w:lang w:eastAsia="zh-CN"/>
              </w:rPr>
              <w:t>（满分</w:t>
            </w:r>
            <w:r>
              <w:rPr>
                <w:rFonts w:hint="eastAsia" w:ascii="宋体" w:hAnsi="宋体"/>
                <w:bCs/>
                <w:szCs w:val="21"/>
                <w:lang w:val="en-US" w:eastAsia="zh-CN"/>
              </w:rPr>
              <w:t>85分</w:t>
            </w:r>
            <w:r>
              <w:rPr>
                <w:rFonts w:hint="eastAsia" w:ascii="宋体" w:hAnsi="宋体"/>
                <w:bCs/>
                <w:szCs w:val="21"/>
                <w:lang w:eastAsia="zh-CN"/>
              </w:rPr>
              <w:t>）</w:t>
            </w:r>
          </w:p>
        </w:tc>
        <w:tc>
          <w:tcPr>
            <w:tcW w:w="7297" w:type="dxa"/>
            <w:gridSpan w:val="2"/>
          </w:tcPr>
          <w:p w14:paraId="34E912AB">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1</w:t>
            </w:r>
            <w:r>
              <w:rPr>
                <w:rFonts w:hint="eastAsia" w:ascii="宋体" w:hAnsi="宋体"/>
                <w:spacing w:val="10"/>
                <w:szCs w:val="21"/>
                <w:lang w:eastAsia="zh-CN"/>
              </w:rPr>
              <w:t>）</w:t>
            </w:r>
            <w:r>
              <w:rPr>
                <w:rFonts w:ascii="宋体" w:hAnsi="宋体"/>
                <w:spacing w:val="10"/>
                <w:szCs w:val="21"/>
              </w:rPr>
              <w:t>相关培训经验</w:t>
            </w:r>
            <w:r>
              <w:rPr>
                <w:rFonts w:hint="eastAsia" w:ascii="宋体" w:hAnsi="宋体"/>
                <w:spacing w:val="10"/>
                <w:szCs w:val="21"/>
              </w:rPr>
              <w:t>、</w:t>
            </w:r>
            <w:r>
              <w:rPr>
                <w:rFonts w:ascii="宋体" w:hAnsi="宋体"/>
                <w:spacing w:val="10"/>
                <w:szCs w:val="21"/>
              </w:rPr>
              <w:t>管理团队和首席专家</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15分</w:t>
            </w:r>
            <w:r>
              <w:rPr>
                <w:rFonts w:hint="eastAsia" w:ascii="宋体" w:hAnsi="宋体"/>
                <w:szCs w:val="21"/>
                <w:lang w:eastAsia="zh-CN"/>
              </w:rPr>
              <w:t>）</w:t>
            </w:r>
          </w:p>
          <w:p w14:paraId="5A1F13DD">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ascii="宋体" w:hAnsi="宋体"/>
                <w:spacing w:val="10"/>
                <w:szCs w:val="21"/>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的培训经验，培训管理方法和组成人员合理、分工明确；首席专家具有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p>
          <w:p w14:paraId="48F7B32E">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二</w:t>
            </w:r>
            <w:r>
              <w:rPr>
                <w:rFonts w:hint="eastAsia" w:ascii="宋体" w:hAnsi="宋体"/>
                <w:spacing w:val="10"/>
                <w:szCs w:val="21"/>
              </w:rPr>
              <w:t>档1</w:t>
            </w:r>
            <w:r>
              <w:rPr>
                <w:rFonts w:hint="eastAsia" w:ascii="宋体" w:hAnsi="宋体"/>
                <w:spacing w:val="10"/>
                <w:szCs w:val="21"/>
                <w:lang w:val="en-US" w:eastAsia="zh-CN"/>
              </w:rPr>
              <w:t>0</w:t>
            </w:r>
            <w:r>
              <w:rPr>
                <w:rFonts w:hint="eastAsia" w:ascii="宋体" w:hAnsi="宋体"/>
                <w:spacing w:val="10"/>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w:t>
            </w:r>
            <w:r>
              <w:rPr>
                <w:rFonts w:hint="eastAsia" w:ascii="宋体" w:hAnsi="宋体"/>
                <w:spacing w:val="10"/>
                <w:szCs w:val="21"/>
                <w:lang w:eastAsia="zh-CN"/>
              </w:rPr>
              <w:t>地市级及以上的</w:t>
            </w:r>
            <w:r>
              <w:rPr>
                <w:rFonts w:ascii="宋体" w:hAnsi="宋体"/>
                <w:spacing w:val="10"/>
                <w:szCs w:val="21"/>
              </w:rPr>
              <w:t>培训</w:t>
            </w:r>
            <w:r>
              <w:rPr>
                <w:rFonts w:hint="eastAsia" w:ascii="宋体" w:hAnsi="宋体"/>
                <w:spacing w:val="10"/>
                <w:szCs w:val="21"/>
                <w:lang w:eastAsia="zh-CN"/>
              </w:rPr>
              <w:t>组织</w:t>
            </w:r>
            <w:r>
              <w:rPr>
                <w:rFonts w:ascii="宋体" w:hAnsi="宋体"/>
                <w:spacing w:val="10"/>
                <w:szCs w:val="21"/>
              </w:rPr>
              <w:t>经验优势</w:t>
            </w:r>
            <w:r>
              <w:rPr>
                <w:rFonts w:hint="eastAsia" w:ascii="宋体" w:hAnsi="宋体"/>
                <w:spacing w:val="10"/>
                <w:szCs w:val="21"/>
                <w:lang w:eastAsia="zh-CN"/>
              </w:rPr>
              <w:t>；</w:t>
            </w:r>
            <w:r>
              <w:rPr>
                <w:rFonts w:ascii="宋体" w:hAnsi="宋体"/>
                <w:spacing w:val="10"/>
                <w:szCs w:val="21"/>
              </w:rPr>
              <w:t>培训管理</w:t>
            </w:r>
            <w:r>
              <w:rPr>
                <w:rFonts w:hint="eastAsia" w:ascii="宋体" w:hAnsi="宋体"/>
                <w:spacing w:val="10"/>
                <w:szCs w:val="21"/>
              </w:rPr>
              <w:t>方法和</w:t>
            </w:r>
            <w:r>
              <w:rPr>
                <w:rFonts w:ascii="宋体" w:hAnsi="宋体"/>
                <w:spacing w:val="10"/>
                <w:szCs w:val="21"/>
              </w:rPr>
              <w:t>组成人员合理、分工明确、富有经验；首席专家具有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r>
              <w:rPr>
                <w:rFonts w:ascii="宋体" w:hAnsi="宋体"/>
                <w:spacing w:val="10"/>
                <w:szCs w:val="21"/>
              </w:rPr>
              <w:t>，</w:t>
            </w:r>
            <w:r>
              <w:rPr>
                <w:rFonts w:hint="eastAsia" w:ascii="宋体" w:hAnsi="宋体"/>
                <w:spacing w:val="10"/>
                <w:szCs w:val="21"/>
              </w:rPr>
              <w:t>有</w:t>
            </w:r>
            <w:r>
              <w:rPr>
                <w:rFonts w:ascii="宋体" w:hAnsi="宋体"/>
                <w:spacing w:val="10"/>
                <w:szCs w:val="21"/>
              </w:rPr>
              <w:t>培训专长。</w:t>
            </w:r>
          </w:p>
          <w:p w14:paraId="074E9E1C">
            <w:pPr>
              <w:pStyle w:val="23"/>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lang w:val="en-US" w:eastAsia="zh-CN"/>
              </w:rPr>
            </w:pPr>
            <w:r>
              <w:rPr>
                <w:rFonts w:hint="eastAsia"/>
                <w:lang w:val="en-US" w:eastAsia="zh-CN"/>
              </w:rPr>
              <w:t>三档15分：具有所申报项目（</w:t>
            </w:r>
            <w:r>
              <w:rPr>
                <w:rFonts w:hint="eastAsia" w:ascii="宋体" w:hAnsi="宋体"/>
                <w:spacing w:val="10"/>
                <w:szCs w:val="21"/>
                <w:lang w:eastAsia="zh-CN"/>
              </w:rPr>
              <w:t>或同类项目</w:t>
            </w:r>
            <w:r>
              <w:rPr>
                <w:rFonts w:hint="eastAsia"/>
                <w:lang w:val="en-US" w:eastAsia="zh-CN"/>
              </w:rPr>
              <w:t>）的地市级及以上同类项目的</w:t>
            </w:r>
          </w:p>
          <w:p w14:paraId="1DA062FC">
            <w:pPr>
              <w:pStyle w:val="23"/>
              <w:keepNext w:val="0"/>
              <w:keepLines w:val="0"/>
              <w:pageBreakBefore w:val="0"/>
              <w:widowControl w:val="0"/>
              <w:kinsoku/>
              <w:wordWrap/>
              <w:overflowPunct/>
              <w:topLinePunct w:val="0"/>
              <w:autoSpaceDE/>
              <w:autoSpaceDN/>
              <w:bidi w:val="0"/>
              <w:adjustRightInd/>
              <w:snapToGrid w:val="0"/>
              <w:spacing w:line="360" w:lineRule="auto"/>
              <w:ind w:left="0" w:leftChars="0"/>
              <w:textAlignment w:val="auto"/>
              <w:rPr>
                <w:rFonts w:hint="eastAsia"/>
                <w:lang w:val="en-US" w:eastAsia="zh-CN"/>
              </w:rPr>
            </w:pPr>
            <w:r>
              <w:rPr>
                <w:rFonts w:hint="eastAsia"/>
                <w:lang w:val="en-US" w:eastAsia="zh-CN"/>
              </w:rPr>
              <w:t>培训组织经验优势，获得过甲方优质评价；培训管理方法和组成人员合理、分工明确、富有经验，</w:t>
            </w:r>
            <w:r>
              <w:rPr>
                <w:rFonts w:hint="eastAsia" w:ascii="宋体" w:hAnsi="宋体"/>
                <w:spacing w:val="10"/>
                <w:szCs w:val="21"/>
                <w:lang w:eastAsia="zh-CN"/>
              </w:rPr>
              <w:t>协作高效，具备较强的项目落地保障能力</w:t>
            </w:r>
            <w:r>
              <w:rPr>
                <w:rFonts w:hint="eastAsia"/>
                <w:lang w:val="en-US" w:eastAsia="zh-CN"/>
              </w:rPr>
              <w:t>；首席专家具有正高级职称（职务），为对应项目（学科）方面的专家，有培训专长。</w:t>
            </w:r>
          </w:p>
          <w:p w14:paraId="652FDA97">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eastAsia="宋体"/>
                <w:lang w:val="en-US" w:eastAsia="zh-CN"/>
              </w:rPr>
            </w:pPr>
            <w:r>
              <w:rPr>
                <w:rFonts w:hint="eastAsia"/>
                <w:lang w:val="en-US" w:eastAsia="zh-CN"/>
              </w:rPr>
              <w:t>注：不提供方案不得分</w:t>
            </w:r>
          </w:p>
        </w:tc>
        <w:tc>
          <w:tcPr>
            <w:tcW w:w="957" w:type="dxa"/>
            <w:vAlign w:val="center"/>
          </w:tcPr>
          <w:p w14:paraId="70C27BD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0-15</w:t>
            </w:r>
          </w:p>
        </w:tc>
      </w:tr>
      <w:tr w14:paraId="12FD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583" w:type="dxa"/>
            <w:vMerge w:val="continue"/>
            <w:vAlign w:val="center"/>
          </w:tcPr>
          <w:p w14:paraId="771BD87B">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tcBorders/>
            <w:vAlign w:val="center"/>
          </w:tcPr>
          <w:p w14:paraId="3E9A55E8">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3C83FB5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szCs w:val="21"/>
              </w:rPr>
              <w:t>目标定位、对象及需求分析、内容设计</w:t>
            </w:r>
            <w:r>
              <w:rPr>
                <w:rFonts w:hint="eastAsia" w:ascii="宋体" w:hAnsi="宋体"/>
                <w:szCs w:val="21"/>
                <w:lang w:eastAsia="zh-CN"/>
              </w:rPr>
              <w:t>方案（满分</w:t>
            </w:r>
            <w:r>
              <w:rPr>
                <w:rFonts w:hint="eastAsia" w:ascii="宋体" w:hAnsi="宋体"/>
                <w:szCs w:val="21"/>
                <w:lang w:val="en-US" w:eastAsia="zh-CN"/>
              </w:rPr>
              <w:t>15分</w:t>
            </w:r>
            <w:r>
              <w:rPr>
                <w:rFonts w:hint="eastAsia" w:ascii="宋体" w:hAnsi="宋体"/>
                <w:szCs w:val="21"/>
                <w:lang w:eastAsia="zh-CN"/>
              </w:rPr>
              <w:t>）</w:t>
            </w:r>
          </w:p>
          <w:p w14:paraId="120DB6D7">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ascii="宋体" w:hAnsi="宋体"/>
                <w:sz w:val="21"/>
                <w:szCs w:val="21"/>
              </w:rPr>
              <w:t>5</w:t>
            </w:r>
            <w:r>
              <w:rPr>
                <w:rFonts w:hint="eastAsia" w:ascii="宋体" w:hAnsi="宋体"/>
                <w:sz w:val="21"/>
                <w:szCs w:val="21"/>
              </w:rPr>
              <w:t>分：</w:t>
            </w:r>
            <w:r>
              <w:rPr>
                <w:rFonts w:ascii="宋体" w:hAnsi="宋体"/>
                <w:sz w:val="21"/>
                <w:szCs w:val="21"/>
              </w:rPr>
              <w:t>有目标定位、对象及需求分析、内容设计介绍</w:t>
            </w:r>
            <w:r>
              <w:rPr>
                <w:rFonts w:hint="eastAsia" w:ascii="宋体" w:hAnsi="宋体"/>
                <w:sz w:val="21"/>
                <w:szCs w:val="21"/>
                <w:lang w:eastAsia="zh-CN"/>
              </w:rPr>
              <w:t>。</w:t>
            </w:r>
          </w:p>
          <w:p w14:paraId="177E0663">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二档</w:t>
            </w:r>
            <w:r>
              <w:rPr>
                <w:rFonts w:hint="eastAsia" w:ascii="宋体" w:hAnsi="宋体"/>
                <w:sz w:val="21"/>
                <w:szCs w:val="21"/>
                <w:lang w:val="en-US" w:eastAsia="zh-CN"/>
              </w:rPr>
              <w:t>1</w:t>
            </w:r>
            <w:r>
              <w:rPr>
                <w:rFonts w:ascii="宋体" w:hAnsi="宋体"/>
                <w:sz w:val="21"/>
                <w:szCs w:val="21"/>
              </w:rPr>
              <w:t>0</w:t>
            </w:r>
            <w:r>
              <w:rPr>
                <w:rFonts w:hint="eastAsia" w:ascii="宋体" w:hAnsi="宋体"/>
                <w:sz w:val="21"/>
                <w:szCs w:val="21"/>
              </w:rPr>
              <w:t>分：</w:t>
            </w:r>
            <w:r>
              <w:rPr>
                <w:rFonts w:ascii="宋体" w:hAnsi="宋体"/>
                <w:sz w:val="21"/>
                <w:szCs w:val="21"/>
              </w:rPr>
              <w:t>目标定位</w:t>
            </w:r>
            <w:r>
              <w:rPr>
                <w:rFonts w:hint="eastAsia" w:ascii="宋体" w:hAnsi="宋体"/>
                <w:sz w:val="21"/>
                <w:szCs w:val="21"/>
              </w:rPr>
              <w:t>准确</w:t>
            </w:r>
            <w:r>
              <w:rPr>
                <w:rFonts w:ascii="宋体" w:hAnsi="宋体"/>
                <w:sz w:val="21"/>
                <w:szCs w:val="21"/>
              </w:rPr>
              <w:t>；掌握培训对象的特点和需求；内容设计切合培训需求、</w:t>
            </w:r>
            <w:r>
              <w:rPr>
                <w:rFonts w:hint="eastAsia" w:ascii="宋体" w:hAnsi="宋体"/>
                <w:sz w:val="21"/>
                <w:szCs w:val="21"/>
              </w:rPr>
              <w:t>结构</w:t>
            </w:r>
            <w:r>
              <w:rPr>
                <w:rFonts w:ascii="宋体" w:hAnsi="宋体"/>
                <w:sz w:val="21"/>
                <w:szCs w:val="21"/>
              </w:rPr>
              <w:t>合理，</w:t>
            </w:r>
            <w:r>
              <w:rPr>
                <w:rFonts w:hint="eastAsia" w:ascii="宋体" w:hAnsi="宋体"/>
                <w:sz w:val="21"/>
                <w:szCs w:val="21"/>
              </w:rPr>
              <w:t>主题</w:t>
            </w:r>
            <w:r>
              <w:rPr>
                <w:rFonts w:ascii="宋体" w:hAnsi="宋体"/>
                <w:sz w:val="21"/>
                <w:szCs w:val="21"/>
              </w:rPr>
              <w:t>贴近教学实际</w:t>
            </w:r>
            <w:r>
              <w:rPr>
                <w:rFonts w:hint="eastAsia" w:ascii="宋体" w:hAnsi="宋体"/>
                <w:sz w:val="21"/>
                <w:szCs w:val="21"/>
                <w:lang w:eastAsia="zh-CN"/>
              </w:rPr>
              <w:t>。</w:t>
            </w:r>
          </w:p>
          <w:p w14:paraId="451B072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rPr>
              <w:t>三档</w:t>
            </w:r>
            <w:r>
              <w:rPr>
                <w:rFonts w:hint="eastAsia" w:ascii="宋体" w:hAnsi="宋体"/>
                <w:szCs w:val="21"/>
                <w:lang w:val="en-US" w:eastAsia="zh-CN"/>
              </w:rPr>
              <w:t>1</w:t>
            </w:r>
            <w:r>
              <w:rPr>
                <w:rFonts w:ascii="宋体" w:hAnsi="宋体"/>
                <w:szCs w:val="21"/>
              </w:rPr>
              <w:t>5</w:t>
            </w:r>
            <w:r>
              <w:rPr>
                <w:rFonts w:hint="eastAsia" w:ascii="宋体" w:hAnsi="宋体"/>
                <w:szCs w:val="21"/>
              </w:rPr>
              <w:t>分：</w:t>
            </w:r>
            <w:r>
              <w:rPr>
                <w:rFonts w:ascii="宋体" w:hAnsi="宋体"/>
                <w:szCs w:val="21"/>
              </w:rPr>
              <w:t>目标定位精准、指向明确；明确掌握培训对象的特点和需求、需求分析透彻</w:t>
            </w:r>
            <w:r>
              <w:rPr>
                <w:rFonts w:hint="eastAsia" w:ascii="宋体" w:hAnsi="宋体"/>
                <w:szCs w:val="21"/>
              </w:rPr>
              <w:t>，共性需求与个性需求分析精准</w:t>
            </w:r>
            <w:r>
              <w:rPr>
                <w:rFonts w:ascii="宋体" w:hAnsi="宋体"/>
                <w:szCs w:val="21"/>
              </w:rPr>
              <w:t>；内容设计</w:t>
            </w:r>
            <w:r>
              <w:rPr>
                <w:rFonts w:hint="eastAsia" w:ascii="宋体" w:hAnsi="宋体"/>
                <w:szCs w:val="21"/>
              </w:rPr>
              <w:t>科学</w:t>
            </w:r>
            <w:r>
              <w:rPr>
                <w:rFonts w:ascii="宋体" w:hAnsi="宋体"/>
                <w:szCs w:val="21"/>
              </w:rPr>
              <w:t>、突出</w:t>
            </w:r>
            <w:r>
              <w:rPr>
                <w:rFonts w:hint="eastAsia" w:ascii="宋体" w:hAnsi="宋体"/>
                <w:szCs w:val="21"/>
              </w:rPr>
              <w:t>案例</w:t>
            </w:r>
            <w:r>
              <w:rPr>
                <w:rFonts w:ascii="宋体" w:hAnsi="宋体"/>
                <w:szCs w:val="21"/>
              </w:rPr>
              <w:t>教学</w:t>
            </w:r>
            <w:r>
              <w:rPr>
                <w:rFonts w:hint="eastAsia" w:ascii="宋体" w:hAnsi="宋体"/>
                <w:szCs w:val="21"/>
              </w:rPr>
              <w:t>，</w:t>
            </w:r>
            <w:r>
              <w:rPr>
                <w:rFonts w:ascii="宋体" w:hAnsi="宋体"/>
                <w:szCs w:val="21"/>
              </w:rPr>
              <w:t>特色鲜明</w:t>
            </w:r>
            <w:r>
              <w:rPr>
                <w:rFonts w:hint="eastAsia" w:ascii="宋体" w:hAnsi="宋体"/>
                <w:szCs w:val="21"/>
              </w:rPr>
              <w:t>，主题</w:t>
            </w:r>
            <w:r>
              <w:rPr>
                <w:rFonts w:ascii="宋体" w:hAnsi="宋体"/>
                <w:szCs w:val="21"/>
              </w:rPr>
              <w:t>贴近教学实际。</w:t>
            </w:r>
          </w:p>
          <w:p w14:paraId="6533A8E0">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12AB1246">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lang w:val="en-US" w:eastAsia="zh-CN"/>
              </w:rPr>
              <w:t>1</w:t>
            </w:r>
            <w:r>
              <w:rPr>
                <w:rFonts w:ascii="宋体" w:hAnsi="宋体"/>
                <w:bCs/>
                <w:szCs w:val="21"/>
              </w:rPr>
              <w:t>5</w:t>
            </w:r>
          </w:p>
        </w:tc>
      </w:tr>
      <w:tr w14:paraId="515C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3" w:hRule="atLeast"/>
        </w:trPr>
        <w:tc>
          <w:tcPr>
            <w:tcW w:w="583" w:type="dxa"/>
            <w:vMerge w:val="continue"/>
            <w:vAlign w:val="center"/>
          </w:tcPr>
          <w:p w14:paraId="3BAB5803">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tcBorders/>
            <w:vAlign w:val="center"/>
          </w:tcPr>
          <w:p w14:paraId="0F019DFE">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1E505004">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3</w:t>
            </w:r>
            <w:r>
              <w:rPr>
                <w:rFonts w:hint="eastAsia" w:ascii="宋体" w:hAnsi="宋体"/>
                <w:spacing w:val="10"/>
                <w:szCs w:val="21"/>
                <w:lang w:eastAsia="zh-CN"/>
              </w:rPr>
              <w:t>）</w:t>
            </w:r>
            <w:r>
              <w:rPr>
                <w:rFonts w:ascii="宋体" w:hAnsi="宋体"/>
                <w:spacing w:val="10"/>
                <w:szCs w:val="21"/>
              </w:rPr>
              <w:t>课程资源、培训方式、考核评价</w:t>
            </w:r>
            <w:r>
              <w:rPr>
                <w:rFonts w:hint="eastAsia" w:ascii="宋体" w:hAnsi="宋体"/>
                <w:spacing w:val="10"/>
                <w:szCs w:val="21"/>
              </w:rPr>
              <w:t>、</w:t>
            </w:r>
            <w:r>
              <w:rPr>
                <w:rFonts w:ascii="宋体" w:hAnsi="宋体"/>
                <w:spacing w:val="10"/>
                <w:szCs w:val="21"/>
              </w:rPr>
              <w:t>跟踪指导</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35分</w:t>
            </w:r>
            <w:r>
              <w:rPr>
                <w:rFonts w:hint="eastAsia" w:ascii="宋体" w:hAnsi="宋体"/>
                <w:szCs w:val="21"/>
                <w:lang w:eastAsia="zh-CN"/>
              </w:rPr>
              <w:t>）</w:t>
            </w:r>
          </w:p>
          <w:p w14:paraId="692AEACB">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一档</w:t>
            </w:r>
            <w:r>
              <w:rPr>
                <w:rFonts w:hint="eastAsia" w:ascii="宋体" w:hAnsi="宋体"/>
                <w:spacing w:val="10"/>
                <w:szCs w:val="21"/>
                <w:lang w:val="en-US" w:eastAsia="zh-CN"/>
              </w:rPr>
              <w:t>1</w:t>
            </w:r>
            <w:r>
              <w:rPr>
                <w:rFonts w:ascii="宋体" w:hAnsi="宋体"/>
                <w:spacing w:val="10"/>
                <w:szCs w:val="21"/>
              </w:rPr>
              <w:t>0</w:t>
            </w:r>
            <w:r>
              <w:rPr>
                <w:rFonts w:hint="eastAsia" w:ascii="宋体" w:hAnsi="宋体"/>
                <w:spacing w:val="10"/>
                <w:szCs w:val="21"/>
              </w:rPr>
              <w:t>分：</w:t>
            </w:r>
            <w:r>
              <w:rPr>
                <w:rFonts w:ascii="宋体" w:hAnsi="宋体"/>
              </w:rPr>
              <w:t>有课程资源、培训方式、考核评价、跟踪指导介绍</w:t>
            </w:r>
            <w:r>
              <w:rPr>
                <w:rFonts w:hint="eastAsia" w:ascii="宋体" w:hAnsi="宋体"/>
                <w:lang w:eastAsia="zh-CN"/>
              </w:rPr>
              <w:t>。</w:t>
            </w:r>
          </w:p>
          <w:p w14:paraId="5165ECA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二档</w:t>
            </w:r>
            <w:r>
              <w:rPr>
                <w:rFonts w:hint="eastAsia" w:ascii="宋体" w:hAnsi="宋体"/>
                <w:spacing w:val="10"/>
                <w:szCs w:val="21"/>
                <w:lang w:val="en-US" w:eastAsia="zh-CN"/>
              </w:rPr>
              <w:t>1</w:t>
            </w:r>
            <w:r>
              <w:rPr>
                <w:rFonts w:ascii="宋体" w:hAnsi="宋体"/>
                <w:spacing w:val="10"/>
                <w:szCs w:val="21"/>
              </w:rPr>
              <w:t>5</w:t>
            </w:r>
            <w:r>
              <w:rPr>
                <w:rFonts w:hint="eastAsia" w:ascii="宋体" w:hAnsi="宋体"/>
                <w:spacing w:val="10"/>
                <w:szCs w:val="21"/>
              </w:rPr>
              <w:t>分：</w:t>
            </w:r>
            <w:r>
              <w:rPr>
                <w:rFonts w:ascii="宋体" w:hAnsi="宋体"/>
                <w:spacing w:val="10"/>
                <w:szCs w:val="21"/>
              </w:rPr>
              <w:t>有课程资源</w:t>
            </w:r>
            <w:r>
              <w:rPr>
                <w:rFonts w:hint="eastAsia" w:ascii="宋体" w:hAnsi="宋体"/>
                <w:spacing w:val="10"/>
                <w:szCs w:val="21"/>
              </w:rPr>
              <w:t>，内容符合项目要求，理论性课程与实践性课程安排较具体</w:t>
            </w:r>
            <w:r>
              <w:rPr>
                <w:rFonts w:hint="eastAsia" w:ascii="宋体" w:hAnsi="宋体"/>
                <w:spacing w:val="10"/>
                <w:szCs w:val="21"/>
                <w:lang w:eastAsia="zh-CN"/>
              </w:rPr>
              <w:t>；</w:t>
            </w:r>
            <w:r>
              <w:rPr>
                <w:rFonts w:hint="eastAsia" w:ascii="宋体" w:hAnsi="宋体" w:cs="宋体"/>
                <w:bCs/>
                <w:szCs w:val="20"/>
              </w:rPr>
              <w:t>培训方式多元化，综合采取参与式、研讨式、案例式等多种方式</w:t>
            </w:r>
            <w:r>
              <w:rPr>
                <w:rFonts w:hint="eastAsia" w:ascii="宋体" w:hAnsi="宋体" w:cs="宋体"/>
                <w:bCs/>
                <w:szCs w:val="20"/>
                <w:lang w:eastAsia="zh-CN"/>
              </w:rPr>
              <w:t>；</w:t>
            </w:r>
            <w:r>
              <w:rPr>
                <w:rFonts w:hint="eastAsia" w:ascii="宋体" w:hAnsi="宋体"/>
                <w:spacing w:val="10"/>
                <w:szCs w:val="21"/>
              </w:rPr>
              <w:t>有</w:t>
            </w:r>
            <w:r>
              <w:rPr>
                <w:rFonts w:ascii="宋体" w:hAnsi="宋体"/>
                <w:spacing w:val="10"/>
                <w:szCs w:val="21"/>
              </w:rPr>
              <w:t>考核评价、跟踪指导介绍</w:t>
            </w:r>
            <w:r>
              <w:rPr>
                <w:rFonts w:hint="eastAsia" w:ascii="宋体" w:hAnsi="宋体"/>
                <w:spacing w:val="10"/>
                <w:szCs w:val="21"/>
                <w:lang w:eastAsia="zh-CN"/>
              </w:rPr>
              <w:t>。</w:t>
            </w:r>
          </w:p>
          <w:p w14:paraId="5446A6E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三档</w:t>
            </w:r>
            <w:r>
              <w:rPr>
                <w:rFonts w:hint="eastAsia" w:ascii="宋体" w:hAnsi="宋体"/>
                <w:spacing w:val="10"/>
                <w:szCs w:val="21"/>
                <w:lang w:val="en-US" w:eastAsia="zh-CN"/>
              </w:rPr>
              <w:t>25</w:t>
            </w:r>
            <w:r>
              <w:rPr>
                <w:rFonts w:hint="eastAsia" w:ascii="宋体" w:hAnsi="宋体"/>
                <w:spacing w:val="10"/>
                <w:szCs w:val="21"/>
              </w:rPr>
              <w:t>分：</w:t>
            </w:r>
            <w:r>
              <w:rPr>
                <w:rFonts w:ascii="宋体" w:hAnsi="宋体"/>
                <w:spacing w:val="10"/>
                <w:szCs w:val="21"/>
              </w:rPr>
              <w:t>课程资源</w:t>
            </w:r>
            <w:r>
              <w:rPr>
                <w:rFonts w:hint="eastAsia" w:ascii="宋体" w:hAnsi="宋体"/>
                <w:spacing w:val="10"/>
                <w:szCs w:val="21"/>
              </w:rPr>
              <w:t>较</w:t>
            </w:r>
            <w:r>
              <w:rPr>
                <w:rFonts w:ascii="宋体" w:hAnsi="宋体"/>
                <w:spacing w:val="10"/>
                <w:szCs w:val="21"/>
              </w:rPr>
              <w:t>丰富</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综合采取参与式、研讨式、案例式以及现场诊断、听课评课、名师示范等多种方式</w:t>
            </w:r>
            <w:r>
              <w:rPr>
                <w:rFonts w:ascii="宋体" w:hAnsi="宋体"/>
                <w:spacing w:val="10"/>
                <w:szCs w:val="21"/>
              </w:rPr>
              <w:t>；参训学员与授课教师考核评价</w:t>
            </w:r>
            <w:r>
              <w:rPr>
                <w:rFonts w:hint="eastAsia" w:ascii="宋体" w:hAnsi="宋体"/>
                <w:spacing w:val="10"/>
                <w:szCs w:val="21"/>
              </w:rPr>
              <w:t>制度较完善</w:t>
            </w:r>
            <w:r>
              <w:rPr>
                <w:rFonts w:ascii="宋体" w:hAnsi="宋体"/>
                <w:spacing w:val="10"/>
                <w:szCs w:val="21"/>
              </w:rPr>
              <w:t>；学员</w:t>
            </w:r>
            <w:r>
              <w:rPr>
                <w:rFonts w:hint="eastAsia" w:ascii="宋体" w:hAnsi="宋体"/>
                <w:spacing w:val="10"/>
                <w:szCs w:val="21"/>
                <w:lang w:eastAsia="zh-CN"/>
              </w:rPr>
              <w:t>培</w:t>
            </w:r>
            <w:r>
              <w:rPr>
                <w:rFonts w:ascii="宋体" w:hAnsi="宋体"/>
                <w:spacing w:val="10"/>
                <w:szCs w:val="21"/>
              </w:rPr>
              <w:t>训后跟踪指导设计具体，计划明晰</w:t>
            </w:r>
            <w:r>
              <w:rPr>
                <w:rFonts w:hint="eastAsia" w:ascii="宋体" w:hAnsi="宋体"/>
                <w:spacing w:val="10"/>
                <w:szCs w:val="21"/>
                <w:lang w:eastAsia="zh-CN"/>
              </w:rPr>
              <w:t>。</w:t>
            </w:r>
          </w:p>
          <w:p w14:paraId="1DB66D1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rPr>
              <w:t>四档3</w:t>
            </w:r>
            <w:r>
              <w:rPr>
                <w:rFonts w:ascii="宋体" w:hAnsi="宋体"/>
                <w:spacing w:val="10"/>
                <w:szCs w:val="21"/>
              </w:rPr>
              <w:t>5</w:t>
            </w:r>
            <w:r>
              <w:rPr>
                <w:rFonts w:hint="eastAsia" w:ascii="宋体" w:hAnsi="宋体"/>
                <w:spacing w:val="10"/>
                <w:szCs w:val="21"/>
              </w:rPr>
              <w:t>分：</w:t>
            </w:r>
            <w:r>
              <w:rPr>
                <w:rFonts w:ascii="宋体" w:hAnsi="宋体"/>
                <w:spacing w:val="10"/>
                <w:szCs w:val="21"/>
              </w:rPr>
              <w:t>课程资源丰富适用</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综合采取参与式、研讨式、案例式以及现场诊断、观课议课、名师示范等多种方式，安排基于教学现场、走进真实课堂的培训环节，强化学员互动参与</w:t>
            </w:r>
            <w:r>
              <w:rPr>
                <w:rFonts w:ascii="宋体" w:hAnsi="宋体"/>
                <w:spacing w:val="10"/>
                <w:szCs w:val="21"/>
              </w:rPr>
              <w:t>；参训学员与授课教师考核评价</w:t>
            </w:r>
            <w:r>
              <w:rPr>
                <w:rFonts w:hint="eastAsia" w:ascii="宋体" w:hAnsi="宋体"/>
                <w:spacing w:val="10"/>
                <w:szCs w:val="21"/>
              </w:rPr>
              <w:t>制度完善</w:t>
            </w:r>
            <w:r>
              <w:rPr>
                <w:rFonts w:ascii="宋体" w:hAnsi="宋体"/>
                <w:spacing w:val="10"/>
                <w:szCs w:val="21"/>
              </w:rPr>
              <w:t>，指标设计科学，能够有效支持学员培训过程学习和</w:t>
            </w:r>
            <w:r>
              <w:rPr>
                <w:rFonts w:hint="eastAsia" w:ascii="宋体" w:hAnsi="宋体"/>
                <w:spacing w:val="10"/>
                <w:szCs w:val="21"/>
                <w:lang w:eastAsia="zh-CN"/>
              </w:rPr>
              <w:t>培</w:t>
            </w:r>
            <w:r>
              <w:rPr>
                <w:rFonts w:ascii="宋体" w:hAnsi="宋体"/>
                <w:spacing w:val="10"/>
                <w:szCs w:val="21"/>
              </w:rPr>
              <w:t>训后跟踪指导；学员</w:t>
            </w:r>
            <w:r>
              <w:rPr>
                <w:rFonts w:hint="eastAsia" w:ascii="宋体" w:hAnsi="宋体"/>
                <w:spacing w:val="10"/>
                <w:szCs w:val="21"/>
                <w:lang w:eastAsia="zh-CN"/>
              </w:rPr>
              <w:t>培</w:t>
            </w:r>
            <w:r>
              <w:rPr>
                <w:rFonts w:ascii="宋体" w:hAnsi="宋体"/>
                <w:spacing w:val="10"/>
                <w:szCs w:val="21"/>
              </w:rPr>
              <w:t>训后跟踪指导设计具体，计划明晰，跟踪指导方式有效</w:t>
            </w:r>
            <w:r>
              <w:rPr>
                <w:rFonts w:hint="eastAsia" w:ascii="宋体" w:hAnsi="宋体"/>
                <w:spacing w:val="10"/>
                <w:szCs w:val="21"/>
                <w:lang w:eastAsia="zh-CN"/>
              </w:rPr>
              <w:t>，提供专业指导报告</w:t>
            </w:r>
            <w:r>
              <w:rPr>
                <w:rFonts w:ascii="宋体" w:hAnsi="宋体"/>
                <w:spacing w:val="10"/>
                <w:szCs w:val="21"/>
              </w:rPr>
              <w:t>。</w:t>
            </w:r>
          </w:p>
          <w:p w14:paraId="0642CCEA">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7F224154">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0-3</w:t>
            </w:r>
            <w:r>
              <w:rPr>
                <w:rFonts w:hint="eastAsia" w:ascii="宋体" w:hAnsi="宋体"/>
                <w:bCs/>
                <w:szCs w:val="21"/>
              </w:rPr>
              <w:t>5</w:t>
            </w:r>
          </w:p>
        </w:tc>
      </w:tr>
      <w:tr w14:paraId="0E82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trPr>
        <w:tc>
          <w:tcPr>
            <w:tcW w:w="583" w:type="dxa"/>
            <w:vMerge w:val="continue"/>
            <w:vAlign w:val="center"/>
          </w:tcPr>
          <w:p w14:paraId="2EC9368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p>
        </w:tc>
        <w:tc>
          <w:tcPr>
            <w:tcW w:w="762" w:type="dxa"/>
            <w:vMerge w:val="continue"/>
            <w:tcBorders/>
            <w:vAlign w:val="center"/>
          </w:tcPr>
          <w:p w14:paraId="69DEDA2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p>
        </w:tc>
        <w:tc>
          <w:tcPr>
            <w:tcW w:w="7297" w:type="dxa"/>
            <w:gridSpan w:val="2"/>
          </w:tcPr>
          <w:p w14:paraId="5B04B61D">
            <w:pPr>
              <w:pStyle w:val="23"/>
              <w:keepNext w:val="0"/>
              <w:keepLines w:val="0"/>
              <w:pageBreakBefore w:val="0"/>
              <w:widowControl w:val="0"/>
              <w:kinsoku/>
              <w:wordWrap/>
              <w:overflowPunct/>
              <w:topLinePunct w:val="0"/>
              <w:autoSpaceDE/>
              <w:autoSpaceDN/>
              <w:bidi w:val="0"/>
              <w:adjustRightInd/>
              <w:ind w:left="0" w:leftChars="0"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4</w:t>
            </w:r>
            <w:r>
              <w:rPr>
                <w:rFonts w:hint="eastAsia" w:ascii="宋体" w:hAnsi="宋体"/>
                <w:spacing w:val="10"/>
                <w:szCs w:val="21"/>
                <w:lang w:eastAsia="zh-CN"/>
              </w:rPr>
              <w:t>）</w:t>
            </w:r>
            <w:r>
              <w:rPr>
                <w:rFonts w:ascii="宋体" w:hAnsi="宋体"/>
                <w:spacing w:val="10"/>
                <w:szCs w:val="21"/>
              </w:rPr>
              <w:t>培训师资、实践跟岗基地、后勤保障</w:t>
            </w:r>
            <w:r>
              <w:rPr>
                <w:rFonts w:hint="eastAsia" w:ascii="宋体" w:hAnsi="宋体"/>
                <w:spacing w:val="10"/>
                <w:szCs w:val="21"/>
                <w:lang w:eastAsia="zh-CN"/>
              </w:rPr>
              <w:t>方案（满分</w:t>
            </w:r>
            <w:r>
              <w:rPr>
                <w:rFonts w:hint="eastAsia" w:ascii="宋体" w:hAnsi="宋体"/>
                <w:spacing w:val="10"/>
                <w:szCs w:val="21"/>
                <w:lang w:val="en-US" w:eastAsia="zh-CN"/>
              </w:rPr>
              <w:t>20</w:t>
            </w:r>
            <w:r>
              <w:rPr>
                <w:rFonts w:hint="eastAsia" w:ascii="宋体" w:hAnsi="宋体"/>
                <w:spacing w:val="10"/>
                <w:szCs w:val="21"/>
                <w:lang w:eastAsia="zh-CN"/>
              </w:rPr>
              <w:t>分）</w:t>
            </w:r>
          </w:p>
          <w:p w14:paraId="1786F0D4">
            <w:pPr>
              <w:pStyle w:val="23"/>
              <w:keepNext w:val="0"/>
              <w:keepLines w:val="0"/>
              <w:pageBreakBefore w:val="0"/>
              <w:widowControl w:val="0"/>
              <w:kinsoku/>
              <w:wordWrap/>
              <w:overflowPunct/>
              <w:topLinePunct w:val="0"/>
              <w:autoSpaceDE/>
              <w:autoSpaceDN/>
              <w:bidi w:val="0"/>
              <w:adjustRightInd/>
              <w:ind w:left="0" w:leftChars="0" w:firstLine="420" w:firstLineChars="200"/>
              <w:textAlignment w:val="auto"/>
              <w:rPr>
                <w:rFonts w:hint="eastAsia" w:ascii="宋体" w:hAnsi="宋体" w:eastAsia="宋体"/>
                <w:bCs w:val="0"/>
                <w:kern w:val="2"/>
                <w:sz w:val="21"/>
                <w:szCs w:val="21"/>
                <w:lang w:eastAsia="zh-CN"/>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ascii="宋体" w:hAnsi="宋体"/>
                <w:bCs w:val="0"/>
                <w:kern w:val="2"/>
                <w:sz w:val="21"/>
                <w:szCs w:val="21"/>
              </w:rPr>
              <w:t>有培训师资</w:t>
            </w:r>
            <w:r>
              <w:rPr>
                <w:rFonts w:hint="eastAsia" w:ascii="宋体" w:hAnsi="宋体"/>
                <w:bCs w:val="0"/>
                <w:kern w:val="2"/>
                <w:sz w:val="21"/>
                <w:szCs w:val="21"/>
                <w:lang w:eastAsia="zh-CN"/>
              </w:rPr>
              <w:t>；有</w:t>
            </w:r>
            <w:r>
              <w:rPr>
                <w:rFonts w:ascii="宋体" w:hAnsi="宋体"/>
                <w:bCs w:val="0"/>
                <w:kern w:val="2"/>
                <w:sz w:val="21"/>
                <w:szCs w:val="21"/>
              </w:rPr>
              <w:t>实践跟岗基地、后勤保障介绍</w:t>
            </w:r>
            <w:r>
              <w:rPr>
                <w:rFonts w:hint="eastAsia" w:ascii="宋体" w:hAnsi="宋体"/>
                <w:bCs w:val="0"/>
                <w:kern w:val="2"/>
                <w:sz w:val="21"/>
                <w:szCs w:val="21"/>
                <w:lang w:eastAsia="zh-CN"/>
              </w:rPr>
              <w:t>。</w:t>
            </w:r>
          </w:p>
          <w:p w14:paraId="7CA72BFD">
            <w:pPr>
              <w:pStyle w:val="23"/>
              <w:keepNext w:val="0"/>
              <w:keepLines w:val="0"/>
              <w:pageBreakBefore w:val="0"/>
              <w:widowControl w:val="0"/>
              <w:kinsoku/>
              <w:wordWrap/>
              <w:overflowPunct/>
              <w:topLinePunct w:val="0"/>
              <w:autoSpaceDE/>
              <w:autoSpaceDN/>
              <w:bidi w:val="0"/>
              <w:adjustRightInd/>
              <w:ind w:left="0" w:leftChars="0" w:firstLine="420" w:firstLineChars="200"/>
              <w:textAlignment w:val="auto"/>
              <w:rPr>
                <w:rFonts w:ascii="宋体" w:hAnsi="宋体"/>
                <w:bCs w:val="0"/>
                <w:kern w:val="2"/>
                <w:sz w:val="21"/>
                <w:szCs w:val="21"/>
              </w:rPr>
            </w:pPr>
            <w:r>
              <w:rPr>
                <w:rFonts w:hint="eastAsia" w:ascii="宋体" w:hAnsi="宋体"/>
                <w:bCs w:val="0"/>
                <w:kern w:val="2"/>
                <w:sz w:val="21"/>
                <w:szCs w:val="21"/>
              </w:rPr>
              <w:t>二档</w:t>
            </w:r>
            <w:r>
              <w:rPr>
                <w:rFonts w:hint="eastAsia" w:ascii="宋体" w:hAnsi="宋体"/>
                <w:bCs w:val="0"/>
                <w:kern w:val="2"/>
                <w:sz w:val="21"/>
                <w:szCs w:val="21"/>
                <w:lang w:val="en-US" w:eastAsia="zh-CN"/>
              </w:rPr>
              <w:t>10</w:t>
            </w:r>
            <w:r>
              <w:rPr>
                <w:rFonts w:hint="eastAsia" w:ascii="宋体" w:hAnsi="宋体"/>
                <w:bCs w:val="0"/>
                <w:kern w:val="2"/>
                <w:sz w:val="21"/>
                <w:szCs w:val="21"/>
              </w:rPr>
              <w:t>分：有培训师资；</w:t>
            </w:r>
            <w:r>
              <w:rPr>
                <w:rFonts w:ascii="宋体" w:hAnsi="宋体"/>
                <w:bCs w:val="0"/>
                <w:kern w:val="2"/>
                <w:sz w:val="21"/>
                <w:szCs w:val="21"/>
              </w:rPr>
              <w:t>授课教师团队</w:t>
            </w:r>
            <w:r>
              <w:rPr>
                <w:rFonts w:hint="eastAsia" w:ascii="宋体" w:hAnsi="宋体"/>
                <w:bCs w:val="0"/>
                <w:kern w:val="2"/>
                <w:sz w:val="21"/>
                <w:szCs w:val="21"/>
              </w:rPr>
              <w:t>分工明确，</w:t>
            </w:r>
            <w:r>
              <w:rPr>
                <w:rFonts w:ascii="宋体" w:hAnsi="宋体"/>
                <w:bCs w:val="0"/>
                <w:kern w:val="2"/>
                <w:sz w:val="21"/>
                <w:szCs w:val="21"/>
              </w:rPr>
              <w:t>一线优秀教师和教研员</w:t>
            </w:r>
            <w:r>
              <w:rPr>
                <w:rFonts w:hint="eastAsia" w:ascii="宋体" w:hAnsi="宋体"/>
                <w:bCs w:val="0"/>
                <w:kern w:val="2"/>
                <w:sz w:val="21"/>
                <w:szCs w:val="21"/>
              </w:rPr>
              <w:t>比例达到5</w:t>
            </w:r>
            <w:r>
              <w:rPr>
                <w:rFonts w:ascii="宋体" w:hAnsi="宋体"/>
                <w:bCs w:val="0"/>
                <w:kern w:val="2"/>
                <w:sz w:val="21"/>
                <w:szCs w:val="21"/>
              </w:rPr>
              <w:t>0%</w:t>
            </w:r>
            <w:r>
              <w:rPr>
                <w:rFonts w:hint="eastAsia" w:ascii="宋体" w:hAnsi="宋体"/>
                <w:bCs w:val="0"/>
                <w:kern w:val="2"/>
                <w:sz w:val="21"/>
                <w:szCs w:val="21"/>
              </w:rPr>
              <w:t>以上</w:t>
            </w:r>
            <w:r>
              <w:rPr>
                <w:rFonts w:ascii="宋体" w:hAnsi="宋体"/>
                <w:bCs w:val="0"/>
                <w:kern w:val="2"/>
                <w:sz w:val="21"/>
                <w:szCs w:val="21"/>
              </w:rPr>
              <w:t>；有教师培训观摩</w:t>
            </w:r>
            <w:r>
              <w:rPr>
                <w:rFonts w:hint="eastAsia" w:ascii="宋体" w:hAnsi="宋体"/>
                <w:bCs w:val="0"/>
                <w:kern w:val="2"/>
                <w:sz w:val="21"/>
                <w:szCs w:val="21"/>
              </w:rPr>
              <w:t>（名校访学</w:t>
            </w:r>
            <w:r>
              <w:rPr>
                <w:rFonts w:ascii="宋体" w:hAnsi="宋体"/>
                <w:bCs w:val="0"/>
                <w:kern w:val="2"/>
                <w:sz w:val="21"/>
                <w:szCs w:val="21"/>
              </w:rPr>
              <w:t>或跟岗实践</w:t>
            </w:r>
            <w:r>
              <w:rPr>
                <w:rFonts w:hint="eastAsia" w:ascii="宋体" w:hAnsi="宋体"/>
                <w:bCs w:val="0"/>
                <w:kern w:val="2"/>
                <w:sz w:val="21"/>
                <w:szCs w:val="21"/>
              </w:rPr>
              <w:t>）</w:t>
            </w:r>
            <w:r>
              <w:rPr>
                <w:rFonts w:ascii="宋体" w:hAnsi="宋体"/>
                <w:bCs w:val="0"/>
                <w:kern w:val="2"/>
                <w:sz w:val="21"/>
                <w:szCs w:val="21"/>
              </w:rPr>
              <w:t>基地；</w:t>
            </w:r>
            <w:r>
              <w:rPr>
                <w:rFonts w:hint="eastAsia" w:ascii="宋体" w:hAnsi="宋体"/>
                <w:bCs w:val="0"/>
                <w:kern w:val="2"/>
                <w:sz w:val="21"/>
                <w:szCs w:val="21"/>
              </w:rPr>
              <w:t>教学环境介绍详细</w:t>
            </w:r>
            <w:r>
              <w:rPr>
                <w:rFonts w:hint="eastAsia" w:ascii="宋体" w:hAnsi="宋体"/>
                <w:bCs w:val="0"/>
                <w:kern w:val="2"/>
                <w:sz w:val="21"/>
                <w:szCs w:val="21"/>
                <w:lang w:eastAsia="zh-CN"/>
              </w:rPr>
              <w:t>，</w:t>
            </w:r>
            <w:r>
              <w:rPr>
                <w:rFonts w:hint="eastAsia" w:ascii="宋体" w:hAnsi="宋体"/>
                <w:bCs w:val="0"/>
                <w:kern w:val="2"/>
                <w:sz w:val="21"/>
                <w:szCs w:val="21"/>
              </w:rPr>
              <w:t>教学设备</w:t>
            </w:r>
            <w:r>
              <w:rPr>
                <w:rFonts w:hint="eastAsia" w:ascii="宋体" w:hAnsi="宋体"/>
                <w:bCs w:val="0"/>
                <w:kern w:val="2"/>
                <w:sz w:val="21"/>
                <w:szCs w:val="21"/>
                <w:lang w:eastAsia="zh-CN"/>
              </w:rPr>
              <w:t>设施</w:t>
            </w:r>
            <w:r>
              <w:rPr>
                <w:rFonts w:hint="eastAsia" w:ascii="宋体" w:hAnsi="宋体"/>
                <w:bCs w:val="0"/>
                <w:kern w:val="2"/>
                <w:sz w:val="21"/>
                <w:szCs w:val="21"/>
              </w:rPr>
              <w:t>完备，学员食宿条件介绍详细，管理制度完善。</w:t>
            </w:r>
          </w:p>
          <w:p w14:paraId="3858DB49">
            <w:pPr>
              <w:pStyle w:val="23"/>
              <w:keepNext w:val="0"/>
              <w:keepLines w:val="0"/>
              <w:pageBreakBefore w:val="0"/>
              <w:widowControl w:val="0"/>
              <w:kinsoku/>
              <w:wordWrap/>
              <w:overflowPunct/>
              <w:topLinePunct w:val="0"/>
              <w:autoSpaceDE/>
              <w:autoSpaceDN/>
              <w:bidi w:val="0"/>
              <w:adjustRightInd/>
              <w:ind w:left="0" w:leftChars="0" w:firstLine="460" w:firstLineChars="200"/>
              <w:textAlignment w:val="auto"/>
              <w:rPr>
                <w:rFonts w:hint="eastAsia" w:ascii="宋体" w:hAnsi="宋体"/>
                <w:spacing w:val="10"/>
                <w:szCs w:val="21"/>
              </w:rPr>
            </w:pPr>
            <w:r>
              <w:rPr>
                <w:rFonts w:hint="eastAsia" w:ascii="宋体" w:hAnsi="宋体"/>
                <w:spacing w:val="10"/>
                <w:szCs w:val="21"/>
              </w:rPr>
              <w:t>三档2</w:t>
            </w:r>
            <w:r>
              <w:rPr>
                <w:rFonts w:ascii="宋体" w:hAnsi="宋体"/>
                <w:spacing w:val="10"/>
                <w:szCs w:val="21"/>
              </w:rPr>
              <w:t>0</w:t>
            </w:r>
            <w:r>
              <w:rPr>
                <w:rFonts w:hint="eastAsia" w:ascii="宋体" w:hAnsi="宋体"/>
                <w:spacing w:val="10"/>
                <w:szCs w:val="21"/>
              </w:rPr>
              <w:t>分：有培训师资；</w:t>
            </w:r>
            <w:r>
              <w:rPr>
                <w:rFonts w:ascii="宋体" w:hAnsi="宋体"/>
                <w:spacing w:val="10"/>
                <w:szCs w:val="21"/>
              </w:rPr>
              <w:t>授课教师</w:t>
            </w:r>
            <w:r>
              <w:rPr>
                <w:rFonts w:hint="eastAsia" w:ascii="宋体" w:hAnsi="宋体"/>
                <w:spacing w:val="10"/>
                <w:szCs w:val="21"/>
                <w:lang w:eastAsia="zh-CN"/>
              </w:rPr>
              <w:t>（</w:t>
            </w:r>
            <w:r>
              <w:rPr>
                <w:rFonts w:ascii="宋体" w:hAnsi="宋体"/>
                <w:spacing w:val="10"/>
                <w:szCs w:val="21"/>
              </w:rPr>
              <w:t>授课教师</w:t>
            </w:r>
            <w:r>
              <w:rPr>
                <w:rFonts w:hint="eastAsia" w:ascii="宋体" w:hAnsi="宋体"/>
                <w:spacing w:val="10"/>
                <w:szCs w:val="21"/>
                <w:lang w:eastAsia="zh-CN"/>
              </w:rPr>
              <w:t>团队成员均须是高级及以上职称）</w:t>
            </w:r>
            <w:r>
              <w:rPr>
                <w:rFonts w:ascii="宋体" w:hAnsi="宋体"/>
                <w:spacing w:val="10"/>
                <w:szCs w:val="21"/>
              </w:rPr>
              <w:t>团队结构合理</w:t>
            </w:r>
            <w:r>
              <w:rPr>
                <w:rFonts w:hint="eastAsia" w:ascii="宋体" w:hAnsi="宋体"/>
                <w:spacing w:val="10"/>
                <w:szCs w:val="21"/>
                <w:lang w:eastAsia="zh-CN"/>
              </w:rPr>
              <w:t>，</w:t>
            </w:r>
            <w:r>
              <w:rPr>
                <w:rFonts w:ascii="宋体" w:hAnsi="宋体"/>
                <w:spacing w:val="10"/>
                <w:szCs w:val="21"/>
              </w:rPr>
              <w:t>一线优</w:t>
            </w:r>
            <w:r>
              <w:rPr>
                <w:rFonts w:hint="eastAsia" w:ascii="宋体" w:hAnsi="宋体"/>
                <w:spacing w:val="10"/>
                <w:szCs w:val="21"/>
              </w:rPr>
              <w:t>秀</w:t>
            </w:r>
            <w:r>
              <w:rPr>
                <w:rFonts w:ascii="宋体" w:hAnsi="宋体"/>
                <w:spacing w:val="10"/>
                <w:szCs w:val="21"/>
              </w:rPr>
              <w:t>教师和教研员</w:t>
            </w:r>
            <w:r>
              <w:rPr>
                <w:rFonts w:hint="eastAsia" w:ascii="宋体" w:hAnsi="宋体"/>
                <w:spacing w:val="10"/>
                <w:szCs w:val="21"/>
              </w:rPr>
              <w:t>比例达到</w:t>
            </w:r>
            <w:r>
              <w:rPr>
                <w:rFonts w:ascii="宋体" w:hAnsi="宋体"/>
                <w:spacing w:val="10"/>
                <w:szCs w:val="21"/>
              </w:rPr>
              <w:t>60%</w:t>
            </w:r>
            <w:r>
              <w:rPr>
                <w:rFonts w:hint="eastAsia" w:ascii="宋体" w:hAnsi="宋体"/>
                <w:spacing w:val="10"/>
                <w:szCs w:val="21"/>
              </w:rPr>
              <w:t>以上，</w:t>
            </w:r>
            <w:r>
              <w:rPr>
                <w:rFonts w:ascii="宋体" w:hAnsi="宋体"/>
                <w:spacing w:val="10"/>
                <w:szCs w:val="21"/>
              </w:rPr>
              <w:t>学科水平高；有优质教师培训观摩和跟岗实践基地</w:t>
            </w:r>
            <w:r>
              <w:rPr>
                <w:rFonts w:hint="eastAsia" w:ascii="宋体" w:hAnsi="宋体"/>
                <w:spacing w:val="10"/>
                <w:szCs w:val="21"/>
                <w:lang w:eastAsia="zh-CN"/>
              </w:rPr>
              <w:t>，</w:t>
            </w:r>
            <w:r>
              <w:rPr>
                <w:rFonts w:ascii="宋体" w:hAnsi="宋体"/>
                <w:spacing w:val="10"/>
                <w:szCs w:val="21"/>
              </w:rPr>
              <w:t>且实践基地办学水平较高、特色明显；</w:t>
            </w:r>
            <w:r>
              <w:rPr>
                <w:rFonts w:hint="eastAsia" w:ascii="宋体" w:hAnsi="宋体"/>
                <w:spacing w:val="10"/>
                <w:szCs w:val="21"/>
              </w:rPr>
              <w:t>根据培训主题和方式有针对性安排培训场地，教学环境介绍详细</w:t>
            </w:r>
            <w:r>
              <w:rPr>
                <w:rFonts w:hint="eastAsia" w:ascii="宋体" w:hAnsi="宋体"/>
                <w:spacing w:val="10"/>
                <w:szCs w:val="21"/>
                <w:lang w:eastAsia="zh-CN"/>
              </w:rPr>
              <w:t>且</w:t>
            </w:r>
            <w:r>
              <w:rPr>
                <w:rFonts w:hint="eastAsia" w:ascii="宋体" w:hAnsi="宋体"/>
                <w:spacing w:val="10"/>
                <w:szCs w:val="21"/>
              </w:rPr>
              <w:t>图文并茂、教学设备</w:t>
            </w:r>
            <w:r>
              <w:rPr>
                <w:rFonts w:hint="eastAsia" w:ascii="宋体" w:hAnsi="宋体"/>
                <w:spacing w:val="10"/>
                <w:szCs w:val="21"/>
                <w:lang w:eastAsia="zh-CN"/>
              </w:rPr>
              <w:t>设施</w:t>
            </w:r>
            <w:r>
              <w:rPr>
                <w:rFonts w:hint="eastAsia" w:ascii="宋体" w:hAnsi="宋体"/>
                <w:spacing w:val="10"/>
                <w:szCs w:val="21"/>
              </w:rPr>
              <w:t>完备，学员食宿条件介绍详细</w:t>
            </w:r>
            <w:r>
              <w:rPr>
                <w:rFonts w:hint="eastAsia" w:ascii="宋体" w:hAnsi="宋体"/>
                <w:spacing w:val="10"/>
                <w:szCs w:val="21"/>
                <w:lang w:eastAsia="zh-CN"/>
              </w:rPr>
              <w:t>且</w:t>
            </w:r>
            <w:r>
              <w:rPr>
                <w:rFonts w:hint="eastAsia" w:ascii="宋体" w:hAnsi="宋体"/>
                <w:spacing w:val="10"/>
                <w:szCs w:val="21"/>
              </w:rPr>
              <w:t>图文并茂、医疗卫生条件完善。培训安全、考勤、考核评价、学情反馈等相关管理制度健全完善。</w:t>
            </w:r>
          </w:p>
          <w:p w14:paraId="0282CC3E">
            <w:pPr>
              <w:pStyle w:val="23"/>
              <w:keepNext w:val="0"/>
              <w:keepLines w:val="0"/>
              <w:pageBreakBefore w:val="0"/>
              <w:widowControl w:val="0"/>
              <w:kinsoku/>
              <w:wordWrap/>
              <w:overflowPunct/>
              <w:topLinePunct w:val="0"/>
              <w:autoSpaceDE/>
              <w:autoSpaceDN/>
              <w:bidi w:val="0"/>
              <w:adjustRightInd/>
              <w:spacing w:line="360" w:lineRule="auto"/>
              <w:textAlignment w:val="auto"/>
              <w:rPr>
                <w:rFonts w:hint="eastAsia"/>
                <w:lang w:val="en-US" w:eastAsia="zh-CN"/>
              </w:rPr>
            </w:pPr>
            <w:r>
              <w:rPr>
                <w:rFonts w:hint="eastAsia"/>
                <w:lang w:val="en-US" w:eastAsia="zh-CN"/>
              </w:rPr>
              <w:t>注：①不提供方案不得分；</w:t>
            </w:r>
          </w:p>
          <w:p w14:paraId="453ACD9A">
            <w:pPr>
              <w:pStyle w:val="23"/>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pPr>
            <w:r>
              <w:rPr>
                <w:rFonts w:hint="eastAsia"/>
                <w:lang w:val="en-US" w:eastAsia="zh-CN"/>
              </w:rPr>
              <w:t>②</w:t>
            </w:r>
            <w:r>
              <w:rPr>
                <w:rFonts w:hint="eastAsia" w:ascii="宋体" w:hAnsi="宋体"/>
                <w:bCs w:val="0"/>
                <w:kern w:val="2"/>
                <w:sz w:val="21"/>
                <w:szCs w:val="21"/>
                <w:lang w:eastAsia="zh-CN"/>
              </w:rPr>
              <w:t>广西区内具有</w:t>
            </w:r>
            <w:r>
              <w:rPr>
                <w:rFonts w:ascii="宋体" w:hAnsi="宋体"/>
                <w:bCs w:val="0"/>
                <w:kern w:val="2"/>
                <w:sz w:val="21"/>
                <w:szCs w:val="21"/>
              </w:rPr>
              <w:t>实践跟岗基地</w:t>
            </w:r>
            <w:r>
              <w:rPr>
                <w:rFonts w:hint="eastAsia" w:ascii="宋体" w:hAnsi="宋体"/>
                <w:bCs w:val="0"/>
                <w:kern w:val="2"/>
                <w:sz w:val="21"/>
                <w:szCs w:val="21"/>
                <w:lang w:eastAsia="zh-CN"/>
              </w:rPr>
              <w:t>、广西区外能够提供</w:t>
            </w:r>
            <w:r>
              <w:rPr>
                <w:rFonts w:ascii="宋体" w:hAnsi="宋体"/>
                <w:bCs w:val="0"/>
                <w:kern w:val="2"/>
                <w:sz w:val="21"/>
                <w:szCs w:val="21"/>
              </w:rPr>
              <w:t>实践跟岗基地</w:t>
            </w:r>
            <w:r>
              <w:rPr>
                <w:rFonts w:hint="eastAsia" w:ascii="宋体" w:hAnsi="宋体"/>
                <w:bCs w:val="0"/>
                <w:kern w:val="2"/>
                <w:sz w:val="21"/>
                <w:szCs w:val="21"/>
                <w:lang w:eastAsia="zh-CN"/>
              </w:rPr>
              <w:t>（</w:t>
            </w:r>
            <w:r>
              <w:rPr>
                <w:rFonts w:hint="eastAsia"/>
                <w:lang w:val="en-US" w:eastAsia="zh-CN"/>
              </w:rPr>
              <w:t>提供证明文件</w:t>
            </w:r>
            <w:r>
              <w:rPr>
                <w:rFonts w:hint="eastAsia" w:ascii="宋体" w:hAnsi="宋体"/>
                <w:bCs w:val="0"/>
                <w:kern w:val="2"/>
                <w:sz w:val="21"/>
                <w:szCs w:val="21"/>
                <w:lang w:eastAsia="zh-CN"/>
              </w:rPr>
              <w:t>或承诺书</w:t>
            </w:r>
            <w:r>
              <w:rPr>
                <w:rFonts w:hint="eastAsia"/>
                <w:lang w:val="en-US" w:eastAsia="zh-CN"/>
              </w:rPr>
              <w:t>，否者对应的档次不得分。</w:t>
            </w:r>
          </w:p>
        </w:tc>
        <w:tc>
          <w:tcPr>
            <w:tcW w:w="957" w:type="dxa"/>
            <w:tcBorders/>
            <w:vAlign w:val="center"/>
          </w:tcPr>
          <w:p w14:paraId="2A87AAED">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rPr>
              <w:t>20</w:t>
            </w:r>
          </w:p>
        </w:tc>
      </w:tr>
      <w:tr w14:paraId="1682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2966744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762" w:type="dxa"/>
          </w:tcPr>
          <w:p w14:paraId="06C81B72">
            <w:pPr>
              <w:pStyle w:val="23"/>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lang w:val="en-US" w:eastAsia="zh-CN"/>
              </w:rPr>
            </w:pPr>
            <w:r>
              <w:rPr>
                <w:rFonts w:hint="eastAsia" w:ascii="宋体" w:hAnsi="宋体"/>
                <w:bCs/>
                <w:szCs w:val="21"/>
                <w:lang w:eastAsia="zh-CN"/>
              </w:rPr>
              <w:t>商务分（满分</w:t>
            </w:r>
            <w:r>
              <w:rPr>
                <w:rFonts w:hint="eastAsia" w:ascii="宋体" w:hAnsi="宋体"/>
                <w:bCs/>
                <w:szCs w:val="21"/>
                <w:lang w:val="en-US" w:eastAsia="zh-CN"/>
              </w:rPr>
              <w:t>5分</w:t>
            </w:r>
            <w:r>
              <w:rPr>
                <w:rFonts w:hint="eastAsia" w:ascii="宋体" w:hAnsi="宋体"/>
                <w:bCs/>
                <w:szCs w:val="21"/>
                <w:lang w:eastAsia="zh-CN"/>
              </w:rPr>
              <w:t>）</w:t>
            </w:r>
          </w:p>
        </w:tc>
        <w:tc>
          <w:tcPr>
            <w:tcW w:w="7297" w:type="dxa"/>
            <w:gridSpan w:val="2"/>
          </w:tcPr>
          <w:p w14:paraId="1D3D8DA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ascii="宋体" w:hAnsi="宋体"/>
                <w:szCs w:val="21"/>
              </w:rPr>
              <w:t>特色与创新</w:t>
            </w:r>
            <w:r>
              <w:rPr>
                <w:rFonts w:hint="eastAsia" w:ascii="宋体" w:hAnsi="宋体"/>
                <w:szCs w:val="21"/>
                <w:lang w:eastAsia="zh-CN"/>
              </w:rPr>
              <w:t>方案</w:t>
            </w:r>
            <w:r>
              <w:rPr>
                <w:rFonts w:hint="eastAsia" w:ascii="宋体" w:hAnsi="宋体"/>
                <w:szCs w:val="21"/>
              </w:rPr>
              <w:t>（满分5分）</w:t>
            </w:r>
          </w:p>
          <w:p w14:paraId="1CAEF0A2">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hint="eastAsia" w:ascii="宋体" w:hAnsi="宋体"/>
                <w:sz w:val="21"/>
                <w:szCs w:val="21"/>
                <w:lang w:val="en-US" w:eastAsia="zh-CN"/>
              </w:rPr>
              <w:t>2</w:t>
            </w:r>
            <w:r>
              <w:rPr>
                <w:rFonts w:hint="eastAsia" w:ascii="宋体" w:hAnsi="宋体"/>
                <w:sz w:val="21"/>
                <w:szCs w:val="21"/>
              </w:rPr>
              <w:t>分：</w:t>
            </w:r>
            <w:r>
              <w:rPr>
                <w:rFonts w:ascii="宋体" w:hAnsi="宋体"/>
                <w:sz w:val="21"/>
                <w:szCs w:val="21"/>
              </w:rPr>
              <w:t>有培训的特色与创新介绍</w:t>
            </w:r>
            <w:r>
              <w:rPr>
                <w:rFonts w:hint="eastAsia" w:ascii="宋体" w:hAnsi="宋体"/>
                <w:sz w:val="21"/>
                <w:szCs w:val="21"/>
                <w:lang w:eastAsia="zh-CN"/>
              </w:rPr>
              <w:t>。</w:t>
            </w:r>
          </w:p>
          <w:p w14:paraId="2C7B1C8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lang w:val="en-US" w:eastAsia="zh-CN"/>
              </w:rPr>
            </w:pPr>
            <w:r>
              <w:rPr>
                <w:rFonts w:hint="eastAsia" w:ascii="宋体" w:hAnsi="宋体"/>
                <w:szCs w:val="21"/>
              </w:rPr>
              <w:t>二档5分：</w:t>
            </w:r>
            <w:r>
              <w:rPr>
                <w:rFonts w:ascii="宋体" w:hAnsi="宋体"/>
                <w:szCs w:val="21"/>
              </w:rPr>
              <w:t>培训安排的整体或具体环节的设计上有鲜明特色和创新之处。</w:t>
            </w:r>
          </w:p>
          <w:p w14:paraId="3DCB1C7F">
            <w:pPr>
              <w:pStyle w:val="23"/>
              <w:keepNext w:val="0"/>
              <w:keepLines w:val="0"/>
              <w:pageBreakBefore w:val="0"/>
              <w:widowControl w:val="0"/>
              <w:kinsoku/>
              <w:wordWrap/>
              <w:overflowPunct/>
              <w:topLinePunct w:val="0"/>
              <w:autoSpaceDE/>
              <w:autoSpaceDN/>
              <w:bidi w:val="0"/>
              <w:adjustRightInd/>
              <w:spacing w:line="360" w:lineRule="auto"/>
              <w:textAlignment w:val="auto"/>
              <w:rPr>
                <w:rFonts w:hint="eastAsia"/>
                <w:lang w:val="en-US" w:eastAsia="zh-CN"/>
              </w:rPr>
            </w:pPr>
            <w:r>
              <w:rPr>
                <w:rFonts w:hint="eastAsia"/>
                <w:lang w:val="en-US" w:eastAsia="zh-CN"/>
              </w:rPr>
              <w:t>注：不提供方案不得分</w:t>
            </w:r>
          </w:p>
        </w:tc>
        <w:tc>
          <w:tcPr>
            <w:tcW w:w="957" w:type="dxa"/>
            <w:vAlign w:val="center"/>
          </w:tcPr>
          <w:p w14:paraId="54F390B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szCs w:val="21"/>
                <w:lang w:eastAsia="zh-CN"/>
              </w:rPr>
            </w:pPr>
            <w:r>
              <w:rPr>
                <w:rFonts w:ascii="宋体" w:hAnsi="宋体"/>
                <w:bCs/>
                <w:szCs w:val="21"/>
              </w:rPr>
              <w:t>0-</w:t>
            </w:r>
            <w:r>
              <w:rPr>
                <w:rFonts w:hint="eastAsia" w:ascii="宋体" w:hAnsi="宋体"/>
                <w:bCs/>
                <w:szCs w:val="21"/>
                <w:lang w:val="en-US" w:eastAsia="zh-CN"/>
              </w:rPr>
              <w:t>5</w:t>
            </w:r>
          </w:p>
        </w:tc>
      </w:tr>
      <w:tr w14:paraId="63F0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gridSpan w:val="3"/>
            <w:vAlign w:val="center"/>
          </w:tcPr>
          <w:p w14:paraId="193C8056">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cs="宋体"/>
                <w:color w:val="auto"/>
                <w:szCs w:val="21"/>
                <w:highlight w:val="none"/>
              </w:rPr>
              <w:t>供应商汇总得分</w:t>
            </w:r>
          </w:p>
        </w:tc>
        <w:tc>
          <w:tcPr>
            <w:tcW w:w="6737" w:type="dxa"/>
          </w:tcPr>
          <w:p w14:paraId="7E3152BC">
            <w:pPr>
              <w:pStyle w:val="23"/>
              <w:keepNext w:val="0"/>
              <w:keepLines w:val="0"/>
              <w:pageBreakBefore w:val="0"/>
              <w:widowControl w:val="0"/>
              <w:kinsoku/>
              <w:wordWrap/>
              <w:overflowPunct/>
              <w:topLinePunct w:val="0"/>
              <w:autoSpaceDE/>
              <w:autoSpaceDN/>
              <w:bidi w:val="0"/>
              <w:adjustRightInd/>
              <w:spacing w:line="360" w:lineRule="auto"/>
              <w:textAlignment w:val="auto"/>
              <w:rPr>
                <w:rFonts w:hint="default"/>
                <w:lang w:val="en-US" w:eastAsia="zh-CN"/>
              </w:rPr>
            </w:pPr>
            <w:r>
              <w:rPr>
                <w:rFonts w:hint="eastAsia"/>
                <w:lang w:val="en-US" w:eastAsia="zh-CN"/>
              </w:rPr>
              <w:t>1+2+3</w:t>
            </w:r>
          </w:p>
        </w:tc>
        <w:tc>
          <w:tcPr>
            <w:tcW w:w="957" w:type="dxa"/>
            <w:vAlign w:val="center"/>
          </w:tcPr>
          <w:p w14:paraId="5E8B96FD">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tc>
      </w:tr>
    </w:tbl>
    <w:p w14:paraId="0C9BD9B4">
      <w:pPr>
        <w:rPr>
          <w:rFonts w:hint="eastAsia" w:ascii="宋体" w:hAnsi="宋体" w:eastAsia="宋体"/>
          <w:b w:val="0"/>
          <w:color w:val="auto"/>
          <w:highlight w:val="none"/>
          <w:lang w:eastAsia="zh-CN"/>
        </w:rPr>
      </w:pPr>
    </w:p>
    <w:p w14:paraId="3138D0E7">
      <w:pPr>
        <w:spacing w:line="360" w:lineRule="auto"/>
        <w:ind w:firstLine="420" w:firstLineChars="200"/>
        <w:rPr>
          <w:rFonts w:hint="eastAsia" w:ascii="宋体" w:hAnsi="宋体"/>
          <w:b w:val="0"/>
          <w:color w:val="auto"/>
          <w:highlight w:val="none"/>
        </w:rPr>
      </w:pPr>
      <w:r>
        <w:rPr>
          <w:rFonts w:hint="eastAsia" w:ascii="宋体" w:hAnsi="宋体" w:eastAsia="宋体" w:cs="宋体"/>
          <w:color w:val="auto"/>
          <w:highlight w:val="none"/>
          <w:lang w:val="en-US" w:eastAsia="zh-CN"/>
        </w:rPr>
        <w:t>8.2</w:t>
      </w: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4113AEE5">
      <w:pPr>
        <w:rPr>
          <w:rFonts w:hint="eastAsia" w:ascii="宋体" w:hAnsi="宋体"/>
          <w:b w:val="0"/>
          <w:color w:val="auto"/>
          <w:highlight w:val="none"/>
        </w:rPr>
      </w:pPr>
    </w:p>
    <w:p w14:paraId="40DF46AA">
      <w:pPr>
        <w:rPr>
          <w:rFonts w:hint="eastAsia" w:ascii="宋体" w:hAnsi="宋体"/>
          <w:b w:val="0"/>
          <w:color w:val="auto"/>
          <w:highlight w:val="none"/>
        </w:rPr>
      </w:pPr>
    </w:p>
    <w:p w14:paraId="34C9F2D6">
      <w:pPr>
        <w:pStyle w:val="6"/>
        <w:spacing w:before="0" w:after="0" w:line="360" w:lineRule="auto"/>
        <w:ind w:firstLine="640" w:firstLineChars="200"/>
        <w:jc w:val="center"/>
        <w:rPr>
          <w:rFonts w:hint="eastAsia" w:ascii="宋体" w:hAnsi="宋体"/>
          <w:b w:val="0"/>
          <w:color w:val="auto"/>
          <w:highlight w:val="none"/>
        </w:rPr>
      </w:pPr>
    </w:p>
    <w:p w14:paraId="5B770E2B">
      <w:pPr>
        <w:pStyle w:val="6"/>
        <w:spacing w:before="0" w:after="0" w:line="360" w:lineRule="auto"/>
        <w:ind w:firstLine="640" w:firstLineChars="200"/>
        <w:jc w:val="center"/>
        <w:rPr>
          <w:rFonts w:ascii="宋体" w:hAnsi="宋体"/>
          <w:b w:val="0"/>
          <w:color w:val="auto"/>
          <w:highlight w:val="none"/>
        </w:rPr>
      </w:pPr>
      <w:r>
        <w:rPr>
          <w:rFonts w:hint="eastAsia" w:ascii="宋体" w:hAnsi="宋体"/>
          <w:b w:val="0"/>
          <w:color w:val="auto"/>
          <w:highlight w:val="none"/>
        </w:rPr>
        <w:t>第二节 评审报告</w:t>
      </w:r>
      <w:bookmarkEnd w:id="45"/>
      <w:bookmarkEnd w:id="46"/>
      <w:bookmarkEnd w:id="47"/>
      <w:bookmarkEnd w:id="48"/>
      <w:bookmarkEnd w:id="49"/>
      <w:bookmarkEnd w:id="50"/>
    </w:p>
    <w:p w14:paraId="7E23B7DE">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442B4E3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由磋商小组根据综合评分情况，按照评审得分由高到低顺序每个分标推荐3名以上成交候选供应商</w:t>
      </w:r>
      <w:r>
        <w:rPr>
          <w:rFonts w:hint="eastAsia" w:ascii="宋体" w:hAnsi="宋体"/>
          <w:bCs/>
          <w:color w:val="auto"/>
          <w:szCs w:val="21"/>
          <w:highlight w:val="none"/>
          <w:lang w:eastAsia="zh-CN"/>
        </w:rPr>
        <w:t>，</w:t>
      </w:r>
      <w:r>
        <w:rPr>
          <w:rFonts w:hint="eastAsia" w:ascii="宋体" w:hAnsi="宋体" w:cs="宋体"/>
          <w:color w:val="auto"/>
          <w:highlight w:val="none"/>
        </w:rPr>
        <w:t>并在线编写电子评审报告</w:t>
      </w:r>
      <w:r>
        <w:rPr>
          <w:rFonts w:hint="eastAsia" w:ascii="宋体" w:hAnsi="宋体"/>
          <w:bCs/>
          <w:color w:val="auto"/>
          <w:szCs w:val="21"/>
          <w:highlight w:val="none"/>
        </w:rPr>
        <w:t>。评审得分相同的，按照最后报价由</w:t>
      </w:r>
      <w:r>
        <w:rPr>
          <w:rFonts w:hint="eastAsia" w:ascii="宋体" w:hAnsi="宋体"/>
          <w:bCs/>
          <w:color w:val="auto"/>
          <w:szCs w:val="21"/>
          <w:highlight w:val="none"/>
          <w:lang w:val="en-US" w:eastAsia="zh-CN"/>
        </w:rPr>
        <w:t>低</w:t>
      </w:r>
      <w:r>
        <w:rPr>
          <w:rFonts w:hint="eastAsia" w:ascii="宋体" w:hAnsi="宋体"/>
          <w:bCs/>
          <w:color w:val="auto"/>
          <w:szCs w:val="21"/>
          <w:highlight w:val="none"/>
        </w:rPr>
        <w:t>到</w:t>
      </w:r>
      <w:r>
        <w:rPr>
          <w:rFonts w:hint="eastAsia" w:ascii="宋体" w:hAnsi="宋体"/>
          <w:bCs/>
          <w:color w:val="auto"/>
          <w:szCs w:val="21"/>
          <w:highlight w:val="none"/>
          <w:lang w:val="en-US" w:eastAsia="zh-CN"/>
        </w:rPr>
        <w:t>高</w:t>
      </w:r>
      <w:r>
        <w:rPr>
          <w:rFonts w:hint="eastAsia" w:ascii="宋体" w:hAnsi="宋体"/>
          <w:bCs/>
          <w:color w:val="auto"/>
          <w:szCs w:val="21"/>
          <w:highlight w:val="none"/>
        </w:rPr>
        <w:t>的顺序推荐。评审得分且最后报价相同的，按照技术指标优劣顺序推荐（按技术得分由高到低排序，技术得分相同的按照服务需求偏离分由高到低排序）。评审得分、最后报价、技术得分、服务需求偏离分均相同的，由磋商小组随机抽取推荐。</w:t>
      </w:r>
    </w:p>
    <w:p w14:paraId="3BE4E576">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5FBF7A13">
      <w:pPr>
        <w:pStyle w:val="102"/>
        <w:spacing w:before="0"/>
        <w:ind w:firstLine="420"/>
        <w:rPr>
          <w:rFonts w:ascii="宋体" w:hAnsi="宋体" w:cs="宋体"/>
          <w:color w:val="auto"/>
          <w:sz w:val="21"/>
          <w:szCs w:val="24"/>
          <w:highlight w:val="none"/>
        </w:rPr>
      </w:pPr>
      <w:r>
        <w:rPr>
          <w:rFonts w:hint="eastAsia" w:ascii="宋体" w:hAnsi="宋体" w:cs="宋体"/>
          <w:color w:val="auto"/>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777F0F3C">
      <w:pPr>
        <w:pStyle w:val="6"/>
        <w:spacing w:before="0" w:after="0" w:line="360" w:lineRule="auto"/>
        <w:ind w:firstLine="640" w:firstLineChars="200"/>
        <w:jc w:val="center"/>
        <w:rPr>
          <w:rFonts w:ascii="宋体" w:hAnsi="宋体" w:cs="宋体"/>
          <w:b w:val="0"/>
          <w:color w:val="auto"/>
          <w:highlight w:val="none"/>
        </w:rPr>
      </w:pPr>
      <w:bookmarkStart w:id="51" w:name="_Toc4183"/>
      <w:bookmarkStart w:id="52" w:name="_Toc3174"/>
      <w:bookmarkStart w:id="53" w:name="_Toc32317"/>
      <w:bookmarkStart w:id="54" w:name="_Toc29027"/>
      <w:bookmarkStart w:id="55" w:name="_Toc27820"/>
      <w:bookmarkStart w:id="56" w:name="_Toc28186"/>
      <w:r>
        <w:rPr>
          <w:rFonts w:hint="eastAsia" w:ascii="宋体" w:hAnsi="宋体"/>
          <w:b w:val="0"/>
          <w:color w:val="auto"/>
          <w:highlight w:val="none"/>
        </w:rPr>
        <w:t>第三节 评审过程的保密与录像</w:t>
      </w:r>
      <w:bookmarkEnd w:id="51"/>
      <w:bookmarkEnd w:id="52"/>
      <w:bookmarkEnd w:id="53"/>
      <w:bookmarkEnd w:id="54"/>
      <w:bookmarkEnd w:id="55"/>
      <w:bookmarkEnd w:id="56"/>
    </w:p>
    <w:p w14:paraId="17161A55">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64CCE0D3">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6569FAD">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269CF4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0DF64D25">
      <w:pPr>
        <w:rPr>
          <w:rFonts w:ascii="宋体" w:hAnsi="宋体" w:cs="宋体"/>
          <w:color w:val="auto"/>
          <w:highlight w:val="none"/>
        </w:rPr>
      </w:pPr>
    </w:p>
    <w:p w14:paraId="4D133E28">
      <w:pPr>
        <w:rPr>
          <w:rFonts w:ascii="宋体" w:hAnsi="宋体" w:cs="宋体"/>
          <w:color w:val="auto"/>
          <w:highlight w:val="none"/>
        </w:rPr>
      </w:pPr>
    </w:p>
    <w:p w14:paraId="55D8AAF7">
      <w:pPr>
        <w:rPr>
          <w:color w:val="auto"/>
          <w:highlight w:val="none"/>
        </w:rPr>
      </w:pPr>
    </w:p>
    <w:p w14:paraId="37E26AF1">
      <w:pPr>
        <w:rPr>
          <w:rFonts w:ascii="宋体" w:hAnsi="宋体" w:cs="宋体"/>
          <w:color w:val="auto"/>
          <w:highlight w:val="none"/>
        </w:rPr>
      </w:pPr>
      <w:r>
        <w:rPr>
          <w:rFonts w:hint="eastAsia" w:ascii="宋体" w:hAnsi="宋体" w:cs="宋体"/>
          <w:color w:val="auto"/>
          <w:highlight w:val="none"/>
        </w:rPr>
        <w:br w:type="page"/>
      </w:r>
    </w:p>
    <w:p w14:paraId="49BD56C7">
      <w:pPr>
        <w:pStyle w:val="5"/>
        <w:jc w:val="center"/>
        <w:rPr>
          <w:rFonts w:ascii="宋体" w:hAnsi="宋体" w:cs="宋体"/>
          <w:color w:val="auto"/>
          <w:highlight w:val="none"/>
        </w:rPr>
      </w:pPr>
      <w:bookmarkStart w:id="57" w:name="_Toc11570"/>
      <w:bookmarkStart w:id="58" w:name="_Toc427"/>
      <w:bookmarkStart w:id="59" w:name="_Toc923"/>
      <w:bookmarkStart w:id="60" w:name="_Toc9845"/>
      <w:bookmarkStart w:id="61" w:name="_Toc17223"/>
      <w:r>
        <w:rPr>
          <w:rFonts w:hint="eastAsia" w:ascii="宋体" w:hAnsi="宋体" w:cs="宋体"/>
          <w:color w:val="auto"/>
          <w:highlight w:val="none"/>
        </w:rPr>
        <w:t>第五章 响应文件格式</w:t>
      </w:r>
      <w:bookmarkEnd w:id="57"/>
      <w:bookmarkEnd w:id="58"/>
      <w:bookmarkEnd w:id="59"/>
      <w:bookmarkEnd w:id="60"/>
      <w:bookmarkEnd w:id="61"/>
    </w:p>
    <w:p w14:paraId="6E8746D7">
      <w:pPr>
        <w:pStyle w:val="6"/>
        <w:rPr>
          <w:color w:val="auto"/>
          <w:highlight w:val="none"/>
        </w:rPr>
      </w:pPr>
      <w:bookmarkStart w:id="62" w:name="_Toc619"/>
      <w:bookmarkStart w:id="63" w:name="_Toc24163"/>
      <w:bookmarkStart w:id="64" w:name="_Toc14939"/>
      <w:bookmarkStart w:id="65" w:name="_Toc23648"/>
      <w:bookmarkStart w:id="66" w:name="_Toc17271"/>
      <w:r>
        <w:rPr>
          <w:rFonts w:hint="eastAsia"/>
          <w:color w:val="auto"/>
          <w:highlight w:val="none"/>
        </w:rPr>
        <w:t>一、封面格式</w:t>
      </w:r>
      <w:bookmarkEnd w:id="62"/>
      <w:bookmarkEnd w:id="63"/>
      <w:bookmarkEnd w:id="64"/>
      <w:bookmarkEnd w:id="65"/>
      <w:bookmarkEnd w:id="66"/>
    </w:p>
    <w:p w14:paraId="6FD6EAB7">
      <w:pPr>
        <w:pStyle w:val="2"/>
        <w:rPr>
          <w:color w:val="auto"/>
          <w:highlight w:val="none"/>
        </w:rPr>
      </w:pPr>
    </w:p>
    <w:p w14:paraId="6AA8C683">
      <w:pPr>
        <w:snapToGrid w:val="0"/>
        <w:spacing w:before="158" w:beforeLines="50" w:after="50"/>
        <w:jc w:val="center"/>
        <w:rPr>
          <w:rFonts w:hint="eastAsia" w:ascii="微软雅黑" w:hAnsi="微软雅黑" w:eastAsia="微软雅黑" w:cs="微软雅黑"/>
          <w:bCs/>
          <w:color w:val="000000"/>
          <w:sz w:val="44"/>
          <w:szCs w:val="44"/>
        </w:rPr>
      </w:pPr>
      <w:r>
        <w:rPr>
          <w:rFonts w:hint="eastAsia" w:ascii="微软雅黑" w:hAnsi="微软雅黑" w:eastAsia="微软雅黑" w:cs="微软雅黑"/>
          <w:bCs/>
          <w:color w:val="000000"/>
          <w:sz w:val="44"/>
          <w:szCs w:val="44"/>
        </w:rPr>
        <w:t>响  应  文  件</w:t>
      </w:r>
    </w:p>
    <w:p w14:paraId="02A63E20">
      <w:pPr>
        <w:snapToGrid w:val="0"/>
        <w:spacing w:before="158" w:beforeLines="50" w:after="50"/>
        <w:rPr>
          <w:rFonts w:hint="eastAsia" w:ascii="宋体" w:hAnsi="宋体"/>
          <w:bCs/>
          <w:color w:val="000000"/>
          <w:sz w:val="24"/>
          <w:szCs w:val="20"/>
        </w:rPr>
      </w:pPr>
    </w:p>
    <w:p w14:paraId="1660A2CF">
      <w:pPr>
        <w:snapToGrid w:val="0"/>
        <w:spacing w:before="158" w:beforeLines="50" w:after="50"/>
        <w:rPr>
          <w:rFonts w:hint="eastAsia" w:ascii="宋体" w:hAnsi="宋体"/>
          <w:bCs/>
          <w:color w:val="000000"/>
          <w:sz w:val="24"/>
          <w:szCs w:val="20"/>
        </w:rPr>
      </w:pPr>
    </w:p>
    <w:p w14:paraId="7C37BC65">
      <w:pPr>
        <w:snapToGrid w:val="0"/>
        <w:spacing w:before="158" w:beforeLines="50" w:after="50"/>
        <w:rPr>
          <w:rFonts w:hint="eastAsia" w:ascii="仿宋_GB2312" w:hAnsi="仿宋_GB2312" w:eastAsia="仿宋_GB2312" w:cs="仿宋_GB2312"/>
          <w:bCs/>
          <w:color w:val="000000"/>
          <w:sz w:val="32"/>
          <w:szCs w:val="32"/>
        </w:rPr>
      </w:pPr>
    </w:p>
    <w:p w14:paraId="04D8B92C">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14:paraId="162E931A">
      <w:pPr>
        <w:snapToGrid w:val="0"/>
        <w:spacing w:before="158" w:beforeLines="50" w:after="50"/>
        <w:ind w:firstLine="480" w:firstLineChars="150"/>
        <w:rPr>
          <w:rFonts w:hint="eastAsia" w:ascii="仿宋_GB2312" w:hAnsi="仿宋_GB2312" w:eastAsia="仿宋_GB2312" w:cs="仿宋_GB2312"/>
          <w:bCs/>
          <w:color w:val="000000"/>
          <w:sz w:val="32"/>
          <w:szCs w:val="32"/>
        </w:rPr>
      </w:pPr>
    </w:p>
    <w:p w14:paraId="74E3090A">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14:paraId="606010F1">
      <w:pPr>
        <w:pStyle w:val="43"/>
        <w:rPr>
          <w:rFonts w:hint="eastAsia" w:ascii="仿宋_GB2312" w:hAnsi="仿宋_GB2312" w:eastAsia="仿宋_GB2312" w:cs="仿宋_GB2312"/>
          <w:bCs/>
          <w:color w:val="000000"/>
          <w:sz w:val="32"/>
          <w:szCs w:val="32"/>
        </w:rPr>
      </w:pPr>
    </w:p>
    <w:p w14:paraId="1CC4E5FF">
      <w:pPr>
        <w:pStyle w:val="43"/>
        <w:ind w:firstLine="640" w:firstLineChars="200"/>
        <w:rPr>
          <w:rFonts w:hint="eastAsia" w:ascii="仿宋_GB2312" w:hAnsi="仿宋_GB2312" w:eastAsia="仿宋_GB2312" w:cs="仿宋_GB2312"/>
          <w:bCs/>
          <w:color w:val="000000"/>
          <w:sz w:val="32"/>
          <w:szCs w:val="32"/>
        </w:rPr>
      </w:pPr>
    </w:p>
    <w:p w14:paraId="46CB3A26">
      <w:pPr>
        <w:pStyle w:val="43"/>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w:t>
      </w:r>
    </w:p>
    <w:p w14:paraId="3E2BC1F0">
      <w:pPr>
        <w:snapToGrid w:val="0"/>
        <w:spacing w:before="158" w:beforeLines="50" w:after="50"/>
        <w:rPr>
          <w:rFonts w:hint="eastAsia" w:ascii="仿宋_GB2312" w:hAnsi="仿宋_GB2312" w:eastAsia="仿宋_GB2312" w:cs="仿宋_GB2312"/>
          <w:bCs/>
          <w:color w:val="000000"/>
          <w:sz w:val="32"/>
          <w:szCs w:val="32"/>
        </w:rPr>
      </w:pPr>
    </w:p>
    <w:p w14:paraId="0D117ACC">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14:paraId="658C80BC">
      <w:pPr>
        <w:snapToGrid w:val="0"/>
        <w:spacing w:before="158" w:beforeLines="50" w:after="50"/>
        <w:rPr>
          <w:rFonts w:hint="eastAsia" w:ascii="仿宋_GB2312" w:hAnsi="仿宋_GB2312" w:eastAsia="仿宋_GB2312" w:cs="仿宋_GB2312"/>
          <w:bCs/>
          <w:color w:val="000000"/>
          <w:sz w:val="32"/>
          <w:szCs w:val="32"/>
        </w:rPr>
      </w:pPr>
    </w:p>
    <w:p w14:paraId="7E76DCB1">
      <w:pPr>
        <w:snapToGrid w:val="0"/>
        <w:spacing w:before="158" w:beforeLines="50" w:after="50"/>
        <w:ind w:firstLine="480" w:firstLineChars="150"/>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首次响应文件提交截止时间前不得启封</w:t>
      </w:r>
    </w:p>
    <w:p w14:paraId="53B628D4">
      <w:pPr>
        <w:snapToGrid w:val="0"/>
        <w:spacing w:before="158" w:beforeLines="50" w:after="50"/>
        <w:ind w:firstLine="5440" w:firstLineChars="1700"/>
        <w:jc w:val="center"/>
        <w:rPr>
          <w:rFonts w:hint="eastAsia" w:ascii="仿宋_GB2312" w:hAnsi="仿宋_GB2312" w:eastAsia="仿宋_GB2312" w:cs="仿宋_GB2312"/>
          <w:bCs/>
          <w:color w:val="000000"/>
          <w:sz w:val="32"/>
          <w:szCs w:val="32"/>
        </w:rPr>
      </w:pPr>
    </w:p>
    <w:p w14:paraId="40075BA4">
      <w:pPr>
        <w:snapToGrid w:val="0"/>
        <w:spacing w:before="158" w:beforeLines="50" w:after="50"/>
        <w:ind w:firstLine="645"/>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年    月    日</w:t>
      </w:r>
    </w:p>
    <w:p w14:paraId="76AFDDBF">
      <w:pPr>
        <w:pStyle w:val="3"/>
        <w:rPr>
          <w:color w:val="auto"/>
          <w:highlight w:val="none"/>
        </w:rPr>
      </w:pPr>
    </w:p>
    <w:p w14:paraId="49E53CE0">
      <w:r>
        <w:br w:type="page"/>
      </w:r>
    </w:p>
    <w:p w14:paraId="0E0A12D7">
      <w:pPr>
        <w:pStyle w:val="6"/>
        <w:rPr>
          <w:color w:val="auto"/>
          <w:highlight w:val="none"/>
        </w:rPr>
      </w:pPr>
      <w:bookmarkStart w:id="67" w:name="_Toc9732"/>
      <w:bookmarkStart w:id="68" w:name="_Toc71365925"/>
      <w:bookmarkStart w:id="69" w:name="_Toc35611516"/>
      <w:bookmarkStart w:id="70" w:name="_Toc17977"/>
      <w:bookmarkStart w:id="71" w:name="_Toc44229899"/>
      <w:bookmarkStart w:id="72" w:name="_Toc31171"/>
      <w:bookmarkStart w:id="73" w:name="_Toc3918"/>
      <w:bookmarkStart w:id="74" w:name="_Toc31723070"/>
      <w:bookmarkStart w:id="75" w:name="_Toc26721"/>
      <w:bookmarkStart w:id="76" w:name="_Toc23769"/>
      <w:bookmarkStart w:id="77" w:name="_Toc31728084"/>
      <w:bookmarkStart w:id="78" w:name="_Toc35611438"/>
      <w:r>
        <w:rPr>
          <w:rFonts w:hint="eastAsia"/>
          <w:color w:val="auto"/>
          <w:highlight w:val="none"/>
        </w:rPr>
        <w:t>二、资格证明文件格式</w:t>
      </w:r>
      <w:bookmarkEnd w:id="67"/>
      <w:bookmarkEnd w:id="68"/>
      <w:bookmarkEnd w:id="69"/>
      <w:bookmarkEnd w:id="70"/>
      <w:bookmarkEnd w:id="71"/>
      <w:bookmarkEnd w:id="72"/>
      <w:bookmarkEnd w:id="73"/>
      <w:bookmarkEnd w:id="74"/>
      <w:bookmarkEnd w:id="75"/>
      <w:bookmarkEnd w:id="76"/>
      <w:bookmarkEnd w:id="77"/>
      <w:bookmarkEnd w:id="78"/>
    </w:p>
    <w:p w14:paraId="2EA5EBD6">
      <w:pPr>
        <w:snapToGrid w:val="0"/>
        <w:spacing w:beforeLines="50" w:after="50" w:line="360" w:lineRule="auto"/>
        <w:jc w:val="center"/>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0D902D61">
      <w:pPr>
        <w:snapToGrid w:val="0"/>
        <w:spacing w:beforeLines="50" w:after="50"/>
        <w:jc w:val="right"/>
        <w:rPr>
          <w:rFonts w:ascii="宋体" w:hAnsi="宋体" w:cs="宋体"/>
          <w:bCs/>
          <w:color w:val="auto"/>
          <w:sz w:val="36"/>
          <w:szCs w:val="36"/>
          <w:highlight w:val="none"/>
        </w:rPr>
      </w:pPr>
    </w:p>
    <w:p w14:paraId="7D65F835">
      <w:pPr>
        <w:snapToGrid w:val="0"/>
        <w:spacing w:beforeLines="50" w:after="50"/>
        <w:rPr>
          <w:rFonts w:ascii="宋体" w:hAnsi="宋体" w:cs="宋体"/>
          <w:bCs/>
          <w:color w:val="auto"/>
          <w:sz w:val="32"/>
          <w:szCs w:val="20"/>
          <w:highlight w:val="none"/>
        </w:rPr>
      </w:pPr>
    </w:p>
    <w:p w14:paraId="1F696DFD">
      <w:pPr>
        <w:snapToGrid w:val="0"/>
        <w:spacing w:beforeLines="50" w:after="50"/>
        <w:rPr>
          <w:rFonts w:ascii="宋体" w:hAnsi="宋体" w:cs="宋体"/>
          <w:color w:val="auto"/>
          <w:sz w:val="24"/>
          <w:szCs w:val="20"/>
          <w:highlight w:val="none"/>
        </w:rPr>
      </w:pPr>
    </w:p>
    <w:p w14:paraId="06762717">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C00986C">
      <w:pPr>
        <w:snapToGrid w:val="0"/>
        <w:spacing w:beforeLines="50" w:after="50"/>
        <w:jc w:val="center"/>
        <w:rPr>
          <w:rFonts w:ascii="宋体" w:hAnsi="宋体" w:cs="宋体"/>
          <w:bCs/>
          <w:color w:val="auto"/>
          <w:sz w:val="44"/>
          <w:szCs w:val="44"/>
          <w:highlight w:val="none"/>
        </w:rPr>
      </w:pPr>
    </w:p>
    <w:p w14:paraId="4249A4D5">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8080B8F">
      <w:pPr>
        <w:snapToGrid w:val="0"/>
        <w:spacing w:beforeLines="50" w:after="50"/>
        <w:rPr>
          <w:rFonts w:ascii="宋体" w:hAnsi="宋体" w:cs="宋体"/>
          <w:bCs/>
          <w:color w:val="auto"/>
          <w:sz w:val="24"/>
          <w:szCs w:val="20"/>
          <w:highlight w:val="none"/>
        </w:rPr>
      </w:pPr>
    </w:p>
    <w:p w14:paraId="5D1CFB7C">
      <w:pPr>
        <w:snapToGrid w:val="0"/>
        <w:spacing w:beforeLines="50" w:after="50"/>
        <w:rPr>
          <w:rFonts w:ascii="宋体" w:hAnsi="宋体" w:cs="宋体"/>
          <w:bCs/>
          <w:color w:val="auto"/>
          <w:sz w:val="22"/>
          <w:szCs w:val="18"/>
          <w:highlight w:val="none"/>
        </w:rPr>
      </w:pPr>
    </w:p>
    <w:p w14:paraId="79789F1C">
      <w:pPr>
        <w:snapToGrid w:val="0"/>
        <w:spacing w:beforeLines="50" w:after="50"/>
        <w:rPr>
          <w:rFonts w:ascii="宋体" w:hAnsi="宋体" w:cs="宋体"/>
          <w:bCs/>
          <w:color w:val="auto"/>
          <w:sz w:val="22"/>
          <w:szCs w:val="18"/>
          <w:highlight w:val="none"/>
        </w:rPr>
      </w:pPr>
    </w:p>
    <w:p w14:paraId="3D278B51">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520A5074">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1913AE86">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67E7E0A9">
      <w:pPr>
        <w:pStyle w:val="10"/>
        <w:snapToGrid w:val="0"/>
        <w:spacing w:before="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07BF5B3A">
      <w:pPr>
        <w:pStyle w:val="10"/>
        <w:snapToGrid w:val="0"/>
        <w:spacing w:before="50" w:after="50"/>
        <w:ind w:firstLine="630" w:firstLineChars="225"/>
        <w:rPr>
          <w:rFonts w:ascii="宋体" w:hAnsi="宋体" w:cs="宋体"/>
          <w:bCs/>
          <w:color w:val="auto"/>
          <w:sz w:val="28"/>
          <w:szCs w:val="28"/>
          <w:highlight w:val="none"/>
        </w:rPr>
      </w:pPr>
    </w:p>
    <w:p w14:paraId="5CCA8B4A">
      <w:pPr>
        <w:pStyle w:val="10"/>
        <w:snapToGrid w:val="0"/>
        <w:spacing w:before="50" w:after="50"/>
        <w:ind w:firstLine="630" w:firstLineChars="225"/>
        <w:rPr>
          <w:rFonts w:ascii="宋体" w:hAnsi="宋体" w:cs="宋体"/>
          <w:bCs/>
          <w:color w:val="auto"/>
          <w:sz w:val="28"/>
          <w:szCs w:val="28"/>
          <w:highlight w:val="none"/>
        </w:rPr>
      </w:pPr>
    </w:p>
    <w:p w14:paraId="18C733ED">
      <w:pPr>
        <w:pStyle w:val="10"/>
        <w:snapToGrid w:val="0"/>
        <w:spacing w:before="50" w:after="50"/>
        <w:ind w:firstLine="1120" w:firstLineChars="400"/>
        <w:rPr>
          <w:rFonts w:ascii="宋体" w:hAnsi="宋体" w:cs="宋体"/>
          <w:bCs/>
          <w:color w:val="auto"/>
          <w:sz w:val="28"/>
          <w:szCs w:val="28"/>
          <w:highlight w:val="none"/>
        </w:rPr>
      </w:pPr>
    </w:p>
    <w:p w14:paraId="37D26A97">
      <w:pPr>
        <w:snapToGrid w:val="0"/>
        <w:spacing w:beforeLines="50"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448E24A7">
      <w:pPr>
        <w:snapToGrid w:val="0"/>
        <w:spacing w:beforeLines="50" w:after="50"/>
        <w:ind w:left="142"/>
        <w:jc w:val="left"/>
        <w:rPr>
          <w:rFonts w:ascii="宋体" w:hAnsi="宋体" w:cs="宋体"/>
          <w:b/>
          <w:bCs/>
          <w:color w:val="auto"/>
          <w:sz w:val="32"/>
          <w:szCs w:val="32"/>
          <w:highlight w:val="none"/>
        </w:rPr>
      </w:pPr>
      <w:r>
        <w:rPr>
          <w:rFonts w:hint="eastAsia" w:ascii="宋体" w:hAnsi="宋体" w:cs="宋体"/>
          <w:color w:val="auto"/>
          <w:sz w:val="22"/>
          <w:szCs w:val="22"/>
          <w:highlight w:val="none"/>
        </w:rPr>
        <w:br w:type="page"/>
      </w:r>
      <w:r>
        <w:rPr>
          <w:rFonts w:hint="eastAsia" w:ascii="宋体" w:hAnsi="宋体" w:cs="宋体"/>
          <w:b/>
          <w:bCs/>
          <w:color w:val="auto"/>
          <w:sz w:val="32"/>
          <w:szCs w:val="32"/>
          <w:highlight w:val="none"/>
        </w:rPr>
        <w:t>2.资格证明文件目录</w:t>
      </w:r>
    </w:p>
    <w:p w14:paraId="03F75D4A">
      <w:pPr>
        <w:snapToGrid w:val="0"/>
        <w:spacing w:beforeLines="50" w:after="50" w:line="360" w:lineRule="auto"/>
        <w:ind w:firstLine="645"/>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00CF0696">
      <w:pPr>
        <w:snapToGrid w:val="0"/>
        <w:spacing w:beforeLines="50" w:after="50"/>
        <w:rPr>
          <w:rFonts w:ascii="宋体" w:hAnsi="宋体" w:cs="宋体"/>
          <w:color w:val="auto"/>
          <w:szCs w:val="21"/>
          <w:highlight w:val="none"/>
        </w:rPr>
      </w:pPr>
    </w:p>
    <w:p w14:paraId="140641CC">
      <w:pPr>
        <w:spacing w:line="300" w:lineRule="auto"/>
        <w:rPr>
          <w:rFonts w:ascii="宋体" w:hAnsi="宋体" w:cs="宋体"/>
          <w:color w:val="auto"/>
          <w:szCs w:val="21"/>
          <w:highlight w:val="none"/>
        </w:rPr>
      </w:pPr>
    </w:p>
    <w:p w14:paraId="32F480EE">
      <w:pPr>
        <w:spacing w:line="300" w:lineRule="auto"/>
        <w:rPr>
          <w:rFonts w:ascii="宋体" w:hAnsi="宋体" w:cs="宋体"/>
          <w:color w:val="auto"/>
          <w:szCs w:val="21"/>
          <w:highlight w:val="none"/>
        </w:rPr>
      </w:pPr>
    </w:p>
    <w:p w14:paraId="39667789">
      <w:pPr>
        <w:spacing w:line="300" w:lineRule="auto"/>
        <w:rPr>
          <w:rFonts w:ascii="宋体" w:hAnsi="宋体" w:cs="宋体"/>
          <w:color w:val="auto"/>
          <w:szCs w:val="21"/>
          <w:highlight w:val="none"/>
        </w:rPr>
      </w:pPr>
    </w:p>
    <w:p w14:paraId="2C40680F">
      <w:pPr>
        <w:spacing w:line="300" w:lineRule="auto"/>
        <w:rPr>
          <w:rFonts w:ascii="宋体" w:hAnsi="宋体" w:cs="宋体"/>
          <w:color w:val="auto"/>
          <w:szCs w:val="21"/>
          <w:highlight w:val="none"/>
        </w:rPr>
      </w:pPr>
    </w:p>
    <w:p w14:paraId="06BC19DF">
      <w:pPr>
        <w:spacing w:line="300" w:lineRule="auto"/>
        <w:rPr>
          <w:rFonts w:ascii="宋体" w:hAnsi="宋体" w:cs="宋体"/>
          <w:color w:val="auto"/>
          <w:szCs w:val="21"/>
          <w:highlight w:val="none"/>
        </w:rPr>
      </w:pPr>
    </w:p>
    <w:p w14:paraId="601913BA">
      <w:pPr>
        <w:spacing w:line="300" w:lineRule="auto"/>
        <w:rPr>
          <w:rFonts w:ascii="宋体" w:hAnsi="宋体" w:cs="宋体"/>
          <w:color w:val="auto"/>
          <w:szCs w:val="21"/>
          <w:highlight w:val="none"/>
        </w:rPr>
      </w:pPr>
    </w:p>
    <w:p w14:paraId="21B1DD56">
      <w:pPr>
        <w:jc w:val="center"/>
        <w:rPr>
          <w:rFonts w:ascii="宋体" w:hAnsi="宋体" w:cs="宋体"/>
          <w:b/>
          <w:color w:val="auto"/>
          <w:sz w:val="32"/>
          <w:szCs w:val="32"/>
          <w:highlight w:val="none"/>
        </w:rPr>
      </w:pPr>
      <w:r>
        <w:rPr>
          <w:rFonts w:hint="eastAsia" w:ascii="宋体" w:hAnsi="宋体" w:cs="宋体"/>
          <w:color w:val="auto"/>
          <w:szCs w:val="21"/>
          <w:highlight w:val="none"/>
        </w:rPr>
        <w:br w:type="page"/>
      </w:r>
    </w:p>
    <w:p w14:paraId="3C197DE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B0FA2A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（一）供应商</w:t>
      </w:r>
      <w:r>
        <w:rPr>
          <w:rFonts w:hint="eastAsia" w:ascii="宋体" w:hAnsi="宋体" w:cs="宋体"/>
          <w:b/>
          <w:color w:val="auto"/>
          <w:kern w:val="0"/>
          <w:sz w:val="32"/>
          <w:szCs w:val="32"/>
          <w:highlight w:val="none"/>
        </w:rPr>
        <w:t>直接控股股东信息表</w:t>
      </w:r>
    </w:p>
    <w:p w14:paraId="0BE03D70">
      <w:pPr>
        <w:snapToGrid w:val="0"/>
        <w:spacing w:beforeLines="50" w:after="50"/>
        <w:jc w:val="center"/>
        <w:rPr>
          <w:rFonts w:ascii="宋体" w:hAnsi="宋体" w:cs="宋体"/>
          <w:b/>
          <w:color w:val="auto"/>
          <w:sz w:val="24"/>
          <w:highlight w:val="none"/>
        </w:rPr>
      </w:pPr>
    </w:p>
    <w:p w14:paraId="4D3B9890">
      <w:pPr>
        <w:spacing w:line="360" w:lineRule="auto"/>
        <w:contextualSpacing/>
        <w:jc w:val="center"/>
        <w:rPr>
          <w:rFonts w:ascii="宋体" w:hAnsi="宋体" w:cs="宋体"/>
          <w:b/>
          <w:color w:val="auto"/>
          <w:sz w:val="24"/>
          <w:highlight w:val="none"/>
        </w:rPr>
      </w:pPr>
    </w:p>
    <w:tbl>
      <w:tblPr>
        <w:tblStyle w:val="34"/>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68E9F4EA">
        <w:tblPrEx>
          <w:shd w:val="clear" w:color="auto" w:fill="FBFBFB"/>
          <w:tblCellMar>
            <w:top w:w="0" w:type="dxa"/>
            <w:left w:w="0" w:type="dxa"/>
            <w:bottom w:w="0" w:type="dxa"/>
            <w:right w:w="0" w:type="dxa"/>
          </w:tblCellMar>
        </w:tblPrEx>
        <w:trPr>
          <w:trHeight w:val="532"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0B280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FB375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DF0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4F0CA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702F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2A6043E">
        <w:tblPrEx>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924DF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E3271">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3BEEE">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715DD2">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3C9C38">
            <w:pPr>
              <w:widowControl/>
              <w:spacing w:line="360" w:lineRule="auto"/>
              <w:contextualSpacing/>
              <w:jc w:val="center"/>
              <w:rPr>
                <w:rFonts w:ascii="宋体" w:hAnsi="宋体" w:cs="宋体"/>
                <w:color w:val="auto"/>
                <w:kern w:val="0"/>
                <w:sz w:val="24"/>
                <w:highlight w:val="none"/>
              </w:rPr>
            </w:pPr>
          </w:p>
        </w:tc>
      </w:tr>
      <w:tr w14:paraId="7F9F31D7">
        <w:tblPrEx>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65D6D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D05AD4">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224570">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0CFABE">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E9C37F">
            <w:pPr>
              <w:widowControl/>
              <w:spacing w:line="360" w:lineRule="auto"/>
              <w:contextualSpacing/>
              <w:jc w:val="center"/>
              <w:rPr>
                <w:rFonts w:ascii="宋体" w:hAnsi="宋体" w:cs="宋体"/>
                <w:color w:val="auto"/>
                <w:kern w:val="0"/>
                <w:sz w:val="24"/>
                <w:highlight w:val="none"/>
              </w:rPr>
            </w:pPr>
          </w:p>
        </w:tc>
      </w:tr>
      <w:tr w14:paraId="08E0ED72">
        <w:tblPrEx>
          <w:tblCellMar>
            <w:top w:w="0" w:type="dxa"/>
            <w:left w:w="0" w:type="dxa"/>
            <w:bottom w:w="0" w:type="dxa"/>
            <w:right w:w="0" w:type="dxa"/>
          </w:tblCellMar>
        </w:tblPrEx>
        <w:trPr>
          <w:trHeight w:val="54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D9641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4FD28D">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FD5F83">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3FB71">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2E6D7D">
            <w:pPr>
              <w:widowControl/>
              <w:spacing w:line="360" w:lineRule="auto"/>
              <w:contextualSpacing/>
              <w:jc w:val="center"/>
              <w:rPr>
                <w:rFonts w:ascii="宋体" w:hAnsi="宋体" w:cs="宋体"/>
                <w:color w:val="auto"/>
                <w:kern w:val="0"/>
                <w:sz w:val="24"/>
                <w:highlight w:val="none"/>
              </w:rPr>
            </w:pPr>
          </w:p>
        </w:tc>
      </w:tr>
    </w:tbl>
    <w:p w14:paraId="67CEF8D1">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1F601D8F">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C198A4">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2.本表所指的控股关系仅限于直接控股关系，不包括间接的控股关系。公司实际控制人与公司之间的关系不属于本表所指的直接控股关系。</w:t>
      </w:r>
    </w:p>
    <w:p w14:paraId="60700B6E">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3.供应商不存在直接控股股东的，则填“无”。</w:t>
      </w:r>
    </w:p>
    <w:p w14:paraId="245D41DD">
      <w:pPr>
        <w:snapToGrid w:val="0"/>
        <w:spacing w:line="360" w:lineRule="auto"/>
        <w:jc w:val="left"/>
        <w:rPr>
          <w:rFonts w:ascii="宋体" w:hAnsi="宋体" w:cs="宋体"/>
          <w:color w:val="auto"/>
          <w:sz w:val="24"/>
          <w:highlight w:val="none"/>
        </w:rPr>
      </w:pPr>
    </w:p>
    <w:p w14:paraId="3250BC07">
      <w:pPr>
        <w:snapToGrid w:val="0"/>
        <w:spacing w:line="360" w:lineRule="auto"/>
        <w:jc w:val="left"/>
        <w:rPr>
          <w:rFonts w:ascii="宋体" w:hAnsi="宋体" w:cs="宋体"/>
          <w:color w:val="auto"/>
          <w:sz w:val="24"/>
          <w:highlight w:val="none"/>
        </w:rPr>
      </w:pPr>
    </w:p>
    <w:p w14:paraId="5ADCF3BA">
      <w:pPr>
        <w:snapToGrid w:val="0"/>
        <w:spacing w:line="360" w:lineRule="auto"/>
        <w:jc w:val="left"/>
        <w:rPr>
          <w:rFonts w:ascii="宋体" w:hAnsi="宋体" w:cs="宋体"/>
          <w:color w:val="auto"/>
          <w:sz w:val="24"/>
          <w:highlight w:val="none"/>
        </w:rPr>
      </w:pPr>
    </w:p>
    <w:p w14:paraId="12F122D1">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106FE76">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778DA47">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6902A5D0">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（二）供应商直接管理关系信息表</w:t>
      </w:r>
    </w:p>
    <w:p w14:paraId="1ED5F7E0">
      <w:pPr>
        <w:snapToGrid w:val="0"/>
        <w:spacing w:line="360" w:lineRule="auto"/>
        <w:jc w:val="center"/>
        <w:rPr>
          <w:rFonts w:ascii="宋体" w:hAnsi="宋体" w:cs="宋体"/>
          <w:b/>
          <w:color w:val="auto"/>
          <w:sz w:val="24"/>
          <w:highlight w:val="none"/>
        </w:rPr>
      </w:pPr>
    </w:p>
    <w:tbl>
      <w:tblPr>
        <w:tblStyle w:val="3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48C8FCB">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6D61C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10ACE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2BD43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7B3D7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77EB56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C99B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33A60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B49E5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066688">
            <w:pPr>
              <w:widowControl/>
              <w:spacing w:line="360" w:lineRule="auto"/>
              <w:contextualSpacing/>
              <w:jc w:val="center"/>
              <w:rPr>
                <w:rFonts w:ascii="宋体" w:hAnsi="宋体" w:cs="宋体"/>
                <w:color w:val="auto"/>
                <w:kern w:val="0"/>
                <w:sz w:val="24"/>
                <w:highlight w:val="none"/>
              </w:rPr>
            </w:pPr>
          </w:p>
        </w:tc>
      </w:tr>
      <w:tr w14:paraId="79F4F9A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36757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8D6BFC">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D3DC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CF499F">
            <w:pPr>
              <w:widowControl/>
              <w:spacing w:line="360" w:lineRule="auto"/>
              <w:contextualSpacing/>
              <w:jc w:val="center"/>
              <w:rPr>
                <w:rFonts w:ascii="宋体" w:hAnsi="宋体" w:cs="宋体"/>
                <w:color w:val="auto"/>
                <w:kern w:val="0"/>
                <w:sz w:val="24"/>
                <w:highlight w:val="none"/>
              </w:rPr>
            </w:pPr>
          </w:p>
        </w:tc>
      </w:tr>
      <w:tr w14:paraId="762E5CE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D1792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6B042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0A3122">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67B1CF">
            <w:pPr>
              <w:widowControl/>
              <w:spacing w:line="360" w:lineRule="auto"/>
              <w:contextualSpacing/>
              <w:jc w:val="center"/>
              <w:rPr>
                <w:rFonts w:ascii="宋体" w:hAnsi="宋体" w:cs="宋体"/>
                <w:color w:val="auto"/>
                <w:kern w:val="0"/>
                <w:sz w:val="24"/>
                <w:highlight w:val="none"/>
              </w:rPr>
            </w:pPr>
          </w:p>
        </w:tc>
      </w:tr>
      <w:tr w14:paraId="37A0971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DB473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AD5D5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139C3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C845BC">
            <w:pPr>
              <w:widowControl/>
              <w:spacing w:line="360" w:lineRule="auto"/>
              <w:contextualSpacing/>
              <w:jc w:val="center"/>
              <w:rPr>
                <w:rFonts w:ascii="宋体" w:hAnsi="宋体" w:cs="宋体"/>
                <w:color w:val="auto"/>
                <w:kern w:val="0"/>
                <w:sz w:val="24"/>
                <w:highlight w:val="none"/>
              </w:rPr>
            </w:pPr>
          </w:p>
        </w:tc>
      </w:tr>
    </w:tbl>
    <w:p w14:paraId="67D90AC3">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5258EC7D">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1.管理关系：是指不具有出资持股关系的其他单位之间存在的管理与被管理关系，如一些上下级关系的事业单位和团体组织。</w:t>
      </w:r>
    </w:p>
    <w:p w14:paraId="1B7D2AC1">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pacing w:val="-6"/>
          <w:sz w:val="24"/>
          <w:highlight w:val="none"/>
        </w:rPr>
        <w:t>本表所指的管理关系仅限于直接管理关系，不包括间接的管理关系。</w:t>
      </w:r>
    </w:p>
    <w:p w14:paraId="18163A50">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3.供应商不存在直接管理关系的，则填“无”。</w:t>
      </w:r>
    </w:p>
    <w:p w14:paraId="12598B52">
      <w:pPr>
        <w:spacing w:line="360" w:lineRule="auto"/>
        <w:contextualSpacing/>
        <w:jc w:val="left"/>
        <w:rPr>
          <w:rFonts w:ascii="宋体" w:hAnsi="宋体" w:cs="宋体"/>
          <w:color w:val="auto"/>
          <w:sz w:val="24"/>
          <w:highlight w:val="none"/>
        </w:rPr>
      </w:pPr>
    </w:p>
    <w:p w14:paraId="473DF8FB">
      <w:pPr>
        <w:spacing w:line="360" w:lineRule="auto"/>
        <w:contextualSpacing/>
        <w:jc w:val="left"/>
        <w:rPr>
          <w:rFonts w:ascii="宋体" w:hAnsi="宋体" w:cs="宋体"/>
          <w:color w:val="auto"/>
          <w:sz w:val="24"/>
          <w:highlight w:val="none"/>
        </w:rPr>
      </w:pPr>
    </w:p>
    <w:p w14:paraId="50DF0369">
      <w:pPr>
        <w:spacing w:line="360" w:lineRule="auto"/>
        <w:contextualSpacing/>
        <w:jc w:val="left"/>
        <w:rPr>
          <w:rFonts w:ascii="宋体" w:hAnsi="宋体" w:cs="宋体"/>
          <w:color w:val="auto"/>
          <w:sz w:val="24"/>
          <w:highlight w:val="none"/>
        </w:rPr>
      </w:pPr>
    </w:p>
    <w:p w14:paraId="3D61E627">
      <w:pPr>
        <w:spacing w:line="360" w:lineRule="auto"/>
        <w:contextualSpacing/>
        <w:jc w:val="left"/>
        <w:rPr>
          <w:rFonts w:ascii="宋体" w:hAnsi="宋体" w:cs="宋体"/>
          <w:color w:val="auto"/>
          <w:sz w:val="24"/>
          <w:highlight w:val="none"/>
        </w:rPr>
      </w:pPr>
    </w:p>
    <w:p w14:paraId="7B5BA268">
      <w:pPr>
        <w:spacing w:line="360" w:lineRule="auto"/>
        <w:contextualSpacing/>
        <w:jc w:val="left"/>
        <w:rPr>
          <w:rFonts w:ascii="宋体" w:hAnsi="宋体" w:cs="宋体"/>
          <w:color w:val="auto"/>
          <w:sz w:val="24"/>
          <w:highlight w:val="none"/>
        </w:rPr>
      </w:pPr>
    </w:p>
    <w:p w14:paraId="46A1386C">
      <w:pPr>
        <w:spacing w:line="360" w:lineRule="auto"/>
        <w:contextualSpacing/>
        <w:jc w:val="left"/>
        <w:rPr>
          <w:rFonts w:ascii="宋体" w:hAnsi="宋体" w:cs="宋体"/>
          <w:color w:val="auto"/>
          <w:sz w:val="24"/>
          <w:highlight w:val="none"/>
        </w:rPr>
      </w:pPr>
    </w:p>
    <w:p w14:paraId="7E235934">
      <w:pPr>
        <w:snapToGrid w:val="0"/>
        <w:spacing w:line="360" w:lineRule="auto"/>
        <w:jc w:val="left"/>
        <w:rPr>
          <w:rFonts w:ascii="宋体" w:hAnsi="宋体" w:cs="宋体"/>
          <w:color w:val="auto"/>
          <w:sz w:val="24"/>
          <w:highlight w:val="none"/>
        </w:rPr>
      </w:pPr>
    </w:p>
    <w:p w14:paraId="0C632E3C">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B9C50C7">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2BF4DA6">
      <w:pPr>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竞标声明函</w:t>
      </w:r>
    </w:p>
    <w:p w14:paraId="5AF96B60">
      <w:pPr>
        <w:spacing w:line="320" w:lineRule="exact"/>
        <w:jc w:val="center"/>
        <w:rPr>
          <w:rFonts w:ascii="宋体" w:hAnsi="宋体" w:cs="宋体"/>
          <w:color w:val="auto"/>
          <w:sz w:val="24"/>
          <w:szCs w:val="20"/>
          <w:highlight w:val="none"/>
        </w:rPr>
      </w:pPr>
    </w:p>
    <w:p w14:paraId="06CAF15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ADB119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15569EA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项目的竞争性磋商，为便于贵方公正、择优地确定成交供应商及其参与竞争性磋商提供的产品和服务，我方就本次参与竞争性磋商有关事项郑重声明如下：</w:t>
      </w:r>
    </w:p>
    <w:p w14:paraId="7CFCC90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BB56E7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94FD92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27380F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548413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2F6437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03BFEE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（4）响应磋商文件规定的竞争性磋商有效期。</w:t>
      </w:r>
    </w:p>
    <w:p w14:paraId="6A9C74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DE06D9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5B6694C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4A545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DC58AE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7E2F2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w:t>
      </w:r>
    </w:p>
    <w:p w14:paraId="29AC7D9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3A48D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C48B6D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6.我方就对本次响应文件进行注明如下：（两项内容中必须选择一项）</w:t>
      </w:r>
    </w:p>
    <w:p w14:paraId="58B0356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B3EA05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w:t>
      </w:r>
    </w:p>
    <w:p w14:paraId="4ACAFEA4">
      <w:pPr>
        <w:pStyle w:val="21"/>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邮政编号：</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p>
    <w:p w14:paraId="11B68D86">
      <w:pPr>
        <w:pStyle w:val="21"/>
        <w:spacing w:line="360" w:lineRule="auto"/>
        <w:ind w:firstLine="480" w:firstLineChars="200"/>
        <w:contextualSpacing/>
        <w:rPr>
          <w:rFonts w:hint="default" w:hAnsi="宋体" w:cs="宋体"/>
          <w:color w:val="auto"/>
          <w:sz w:val="24"/>
          <w:szCs w:val="24"/>
          <w:highlight w:val="none"/>
          <w:lang w:val="en-US"/>
        </w:rPr>
      </w:pPr>
      <w:r>
        <w:rPr>
          <w:rFonts w:hint="eastAsia" w:hAnsi="宋体" w:cs="宋体"/>
          <w:color w:val="auto"/>
          <w:sz w:val="24"/>
          <w:szCs w:val="24"/>
          <w:highlight w:val="none"/>
        </w:rPr>
        <w:t>电话/传真：</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电子函件：</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p>
    <w:p w14:paraId="24DC5D22">
      <w:pPr>
        <w:pStyle w:val="20"/>
        <w:tabs>
          <w:tab w:val="left" w:pos="939"/>
        </w:tabs>
        <w:spacing w:line="360" w:lineRule="auto"/>
        <w:ind w:left="0" w:leftChars="0" w:firstLine="360" w:firstLineChars="150"/>
        <w:rPr>
          <w:rFonts w:hint="default" w:ascii="宋体" w:hAnsi="宋体" w:cs="宋体"/>
          <w:color w:val="auto"/>
          <w:sz w:val="24"/>
          <w:highlight w:val="none"/>
          <w:lang w:val="en-US"/>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lang w:val="en-US" w:eastAsia="zh-CN"/>
        </w:rPr>
        <w:t xml:space="preserve">           账号</w:t>
      </w:r>
      <w:r>
        <w:rPr>
          <w:rFonts w:hint="eastAsia" w:ascii="宋体" w:hAnsi="宋体" w:cs="宋体"/>
          <w:color w:val="auto"/>
          <w:sz w:val="24"/>
          <w:highlight w:val="none"/>
        </w:rPr>
        <w:t>：</w:t>
      </w:r>
      <w:r>
        <w:rPr>
          <w:rFonts w:hint="eastAsia" w:ascii="宋体" w:hAnsi="宋体" w:cs="宋体"/>
          <w:color w:val="auto"/>
          <w:kern w:val="0"/>
          <w:sz w:val="24"/>
          <w:highlight w:val="none"/>
          <w:u w:val="single"/>
          <w:lang w:val="en-US" w:eastAsia="zh-CN"/>
        </w:rPr>
        <w:t xml:space="preserve">          </w:t>
      </w:r>
    </w:p>
    <w:p w14:paraId="14A810F9">
      <w:pPr>
        <w:pStyle w:val="20"/>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078617B">
      <w:pPr>
        <w:pStyle w:val="20"/>
        <w:tabs>
          <w:tab w:val="left" w:pos="939"/>
        </w:tabs>
        <w:spacing w:line="360" w:lineRule="auto"/>
        <w:ind w:left="0" w:leftChars="0"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44EB5ECC">
      <w:pPr>
        <w:pStyle w:val="20"/>
        <w:tabs>
          <w:tab w:val="left" w:pos="939"/>
        </w:tabs>
        <w:spacing w:line="360" w:lineRule="auto"/>
        <w:ind w:left="0" w:leftChars="0" w:firstLine="482" w:firstLineChars="200"/>
        <w:rPr>
          <w:rFonts w:ascii="楷体" w:hAnsi="楷体" w:eastAsia="楷体" w:cs="宋体"/>
          <w:b/>
          <w:color w:val="auto"/>
          <w:sz w:val="24"/>
          <w:highlight w:val="none"/>
        </w:rPr>
      </w:pPr>
    </w:p>
    <w:p w14:paraId="0A28A5A6">
      <w:pPr>
        <w:pStyle w:val="20"/>
        <w:tabs>
          <w:tab w:val="left" w:pos="939"/>
        </w:tabs>
        <w:spacing w:line="360" w:lineRule="auto"/>
        <w:ind w:left="0" w:leftChars="0" w:firstLine="480" w:firstLineChars="200"/>
        <w:rPr>
          <w:rFonts w:ascii="宋体" w:hAnsi="宋体" w:cs="宋体"/>
          <w:color w:val="auto"/>
          <w:sz w:val="24"/>
          <w:highlight w:val="none"/>
        </w:rPr>
      </w:pPr>
    </w:p>
    <w:p w14:paraId="0F582864">
      <w:pPr>
        <w:snapToGrid w:val="0"/>
        <w:spacing w:line="360" w:lineRule="auto"/>
        <w:jc w:val="left"/>
        <w:rPr>
          <w:rFonts w:ascii="宋体" w:hAnsi="宋体" w:cs="宋体"/>
          <w:color w:val="auto"/>
          <w:sz w:val="24"/>
          <w:highlight w:val="none"/>
        </w:rPr>
      </w:pPr>
    </w:p>
    <w:p w14:paraId="5987359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ED5913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5C191EE9">
      <w:pPr>
        <w:autoSpaceDE/>
        <w:autoSpaceDN/>
        <w:spacing w:line="240" w:lineRule="auto"/>
        <w:ind w:firstLine="0" w:firstLineChars="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br w:type="page"/>
      </w:r>
    </w:p>
    <w:p w14:paraId="77B058FC">
      <w:pPr>
        <w:spacing w:line="300" w:lineRule="auto"/>
        <w:ind w:firstLine="2200" w:firstLineChars="500"/>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中小企业声明函（服务）</w:t>
      </w:r>
    </w:p>
    <w:p w14:paraId="502F649E">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本公司（联合体）郑重声明，根据《政府采购促进中小企业发展管理办法》（财库</w:t>
      </w:r>
      <w:r>
        <w:rPr>
          <w:rFonts w:hint="eastAsia" w:ascii="仿宋_GB2312" w:hAnsi="宋体"/>
          <w:color w:val="auto"/>
          <w:sz w:val="24"/>
          <w:highlight w:val="none"/>
        </w:rPr>
        <w:t>﹝</w:t>
      </w:r>
      <w:r>
        <w:rPr>
          <w:rFonts w:hint="eastAsia" w:ascii="仿宋_GB2312" w:hAnsi="宋体" w:eastAsia="仿宋_GB2312"/>
          <w:color w:val="auto"/>
          <w:sz w:val="24"/>
          <w:highlight w:val="none"/>
        </w:rPr>
        <w:t>2020</w:t>
      </w:r>
      <w:r>
        <w:rPr>
          <w:rFonts w:hint="eastAsia" w:ascii="仿宋_GB2312" w:hAnsi="宋体"/>
          <w:color w:val="auto"/>
          <w:sz w:val="24"/>
          <w:highlight w:val="none"/>
        </w:rPr>
        <w:t>﹞</w:t>
      </w:r>
      <w:r>
        <w:rPr>
          <w:rFonts w:hint="eastAsia" w:ascii="仿宋_GB2312" w:hAnsi="宋体" w:eastAsia="仿宋_GB2312"/>
          <w:color w:val="auto"/>
          <w:sz w:val="24"/>
          <w:highlight w:val="none"/>
        </w:rPr>
        <w:t>46号）的规定，本公司（联合体）参加的采购活动，服务全部由符合政策要求的中小企业承接。相关企业（含联合体中的中小企业、签订分包意向协议的中小企业）的具体情况如下：</w:t>
      </w:r>
    </w:p>
    <w:p w14:paraId="29FD35DB">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22EC7BDA">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2.</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5CEB919E">
      <w:pPr>
        <w:pStyle w:val="2"/>
        <w:spacing w:line="500" w:lineRule="exact"/>
        <w:ind w:right="142" w:firstLine="480" w:firstLineChars="200"/>
        <w:rPr>
          <w:rFonts w:ascii="仿宋_GB2312" w:hAnsi="宋体" w:eastAsia="仿宋_GB2312"/>
          <w:color w:val="auto"/>
          <w:sz w:val="24"/>
          <w:highlight w:val="none"/>
        </w:rPr>
      </w:pPr>
    </w:p>
    <w:p w14:paraId="2D03A713">
      <w:pPr>
        <w:pStyle w:val="2"/>
        <w:spacing w:after="0" w:line="360" w:lineRule="auto"/>
        <w:ind w:left="-405" w:leftChars="-193" w:right="142" w:firstLine="453" w:firstLineChars="189"/>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以上企业，不属于大企业的分支机构，不存在控股股东为大企业的情形，也不存在与大企业的负责人为同一人的情形。</w:t>
      </w:r>
    </w:p>
    <w:p w14:paraId="6EF61A93">
      <w:pPr>
        <w:pStyle w:val="2"/>
        <w:spacing w:after="0" w:line="360" w:lineRule="auto"/>
        <w:ind w:left="-426" w:right="142" w:firstLine="567"/>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本企业对上述声明内容的真实性负责。如有虚假，将依法承担相应责任。</w:t>
      </w:r>
    </w:p>
    <w:p w14:paraId="669B02B0">
      <w:pPr>
        <w:pStyle w:val="2"/>
        <w:spacing w:after="0" w:line="360" w:lineRule="auto"/>
        <w:ind w:left="3960" w:right="1808"/>
        <w:contextualSpacing/>
        <w:rPr>
          <w:rFonts w:ascii="宋体" w:hAnsi="宋体"/>
          <w:color w:val="auto"/>
          <w:sz w:val="24"/>
          <w:highlight w:val="none"/>
        </w:rPr>
      </w:pPr>
    </w:p>
    <w:p w14:paraId="2C1F015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BC5D73F">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55AF4ED">
      <w:pPr>
        <w:pStyle w:val="2"/>
        <w:spacing w:after="0" w:line="360" w:lineRule="auto"/>
        <w:ind w:left="3960" w:right="1808"/>
        <w:contextualSpacing/>
        <w:rPr>
          <w:color w:val="auto"/>
          <w:highlight w:val="none"/>
        </w:rPr>
      </w:pPr>
    </w:p>
    <w:p w14:paraId="1634F920">
      <w:pPr>
        <w:pStyle w:val="29"/>
        <w:ind w:left="900" w:hanging="480"/>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88F87B">
      <w:pPr>
        <w:rPr>
          <w:rFonts w:ascii="宋体" w:hAnsi="宋体" w:cs="仿宋_GB2312"/>
          <w:color w:val="auto"/>
          <w:sz w:val="24"/>
          <w:highlight w:val="none"/>
        </w:rPr>
      </w:pPr>
      <w:r>
        <w:rPr>
          <w:rFonts w:hint="eastAsia" w:ascii="宋体" w:hAnsi="宋体" w:cs="仿宋_GB2312"/>
          <w:color w:val="auto"/>
          <w:sz w:val="24"/>
          <w:highlight w:val="none"/>
        </w:rPr>
        <w:br w:type="page"/>
      </w:r>
    </w:p>
    <w:p w14:paraId="421E8AAE">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t>残疾人福利性单位声明函</w:t>
      </w:r>
    </w:p>
    <w:p w14:paraId="57630DEF">
      <w:pPr>
        <w:spacing w:line="520" w:lineRule="exact"/>
        <w:rPr>
          <w:rFonts w:ascii="仿宋_GB2312" w:hAnsi="仿宋_GB2312" w:eastAsia="仿宋_GB2312" w:cs="仿宋_GB2312"/>
          <w:color w:val="auto"/>
          <w:sz w:val="32"/>
          <w:szCs w:val="32"/>
          <w:highlight w:val="none"/>
        </w:rPr>
      </w:pPr>
    </w:p>
    <w:p w14:paraId="540D8481">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eastAsia="zh-CN"/>
        </w:rPr>
        <w:t>钦州市教育发展研究中心</w:t>
      </w:r>
      <w:r>
        <w:rPr>
          <w:rFonts w:hint="eastAsia" w:ascii="仿宋_GB2312" w:hAnsi="宋体" w:eastAsia="仿宋_GB2312" w:cs="仿宋_GB2312"/>
          <w:color w:val="auto"/>
          <w:sz w:val="24"/>
          <w:highlight w:val="none"/>
        </w:rPr>
        <w:t>单位的</w:t>
      </w:r>
      <w:r>
        <w:rPr>
          <w:rFonts w:hint="eastAsia" w:ascii="仿宋_GB2312" w:hAnsi="宋体" w:eastAsia="仿宋_GB2312" w:cs="仿宋_GB2312"/>
          <w:color w:val="auto"/>
          <w:sz w:val="24"/>
          <w:highlight w:val="none"/>
          <w:u w:val="single"/>
          <w:lang w:val="en-US" w:eastAsia="zh-CN"/>
        </w:rPr>
        <w:t xml:space="preserve">        </w:t>
      </w:r>
      <w:r>
        <w:rPr>
          <w:rFonts w:hint="eastAsia" w:ascii="仿宋_GB2312" w:hAnsi="宋体" w:eastAsia="仿宋_GB2312" w:cs="仿宋_GB2312"/>
          <w:color w:val="auto"/>
          <w:sz w:val="24"/>
          <w:highlight w:val="none"/>
        </w:rPr>
        <w:t>项目采购活动由本单位提供服务。</w:t>
      </w:r>
    </w:p>
    <w:p w14:paraId="53CA4A02">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本单位对上述声明的真实性负责。如有虚假，将依法承担相应责任。</w:t>
      </w:r>
    </w:p>
    <w:p w14:paraId="6CE12884">
      <w:pPr>
        <w:spacing w:line="360" w:lineRule="auto"/>
        <w:rPr>
          <w:rFonts w:ascii="宋体" w:hAnsi="宋体" w:cs="仿宋_GB2312"/>
          <w:color w:val="auto"/>
          <w:sz w:val="24"/>
          <w:highlight w:val="none"/>
        </w:rPr>
      </w:pPr>
    </w:p>
    <w:p w14:paraId="6C87A2F8">
      <w:pPr>
        <w:spacing w:line="360" w:lineRule="auto"/>
        <w:rPr>
          <w:rFonts w:ascii="宋体" w:hAnsi="宋体" w:cs="仿宋_GB2312"/>
          <w:color w:val="auto"/>
          <w:sz w:val="24"/>
          <w:highlight w:val="none"/>
        </w:rPr>
      </w:pPr>
    </w:p>
    <w:p w14:paraId="616662A7">
      <w:pPr>
        <w:spacing w:line="360" w:lineRule="auto"/>
        <w:rPr>
          <w:rFonts w:ascii="宋体" w:hAnsi="宋体" w:cs="仿宋_GB2312"/>
          <w:color w:val="auto"/>
          <w:sz w:val="24"/>
          <w:highlight w:val="none"/>
        </w:rPr>
      </w:pPr>
    </w:p>
    <w:p w14:paraId="3B5AFDC0">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7438D75A">
      <w:pPr>
        <w:spacing w:line="360" w:lineRule="auto"/>
        <w:ind w:firstLine="4320" w:firstLineChars="1800"/>
        <w:rPr>
          <w:rFonts w:ascii="宋体" w:hAnsi="宋体" w:cs="仿宋_GB2312"/>
          <w:color w:val="auto"/>
          <w:sz w:val="24"/>
          <w:highlight w:val="none"/>
        </w:rPr>
      </w:pPr>
      <w:r>
        <w:rPr>
          <w:rFonts w:hint="eastAsia" w:ascii="宋体" w:hAnsi="宋体" w:cs="仿宋_GB2312"/>
          <w:color w:val="auto"/>
          <w:sz w:val="24"/>
          <w:highlight w:val="none"/>
        </w:rPr>
        <w:t>日  期：     年   月   日</w:t>
      </w:r>
    </w:p>
    <w:p w14:paraId="19B678DF">
      <w:pPr>
        <w:spacing w:line="360" w:lineRule="auto"/>
        <w:rPr>
          <w:rFonts w:ascii="宋体" w:hAnsi="宋体" w:cs="仿宋_GB2312"/>
          <w:color w:val="auto"/>
          <w:sz w:val="24"/>
          <w:highlight w:val="none"/>
        </w:rPr>
      </w:pPr>
    </w:p>
    <w:p w14:paraId="34650B96">
      <w:pPr>
        <w:spacing w:line="360" w:lineRule="auto"/>
        <w:rPr>
          <w:rFonts w:ascii="宋体" w:hAnsi="宋体" w:cs="仿宋_GB2312"/>
          <w:color w:val="auto"/>
          <w:sz w:val="24"/>
          <w:highlight w:val="none"/>
        </w:rPr>
      </w:pPr>
    </w:p>
    <w:p w14:paraId="58139F8D">
      <w:pPr>
        <w:spacing w:line="360" w:lineRule="auto"/>
        <w:rPr>
          <w:rFonts w:ascii="宋体" w:hAnsi="宋体" w:cs="仿宋_GB2312"/>
          <w:color w:val="auto"/>
          <w:sz w:val="24"/>
          <w:highlight w:val="none"/>
        </w:rPr>
      </w:pPr>
    </w:p>
    <w:p w14:paraId="506A0B8F">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2E5930F">
      <w:pPr>
        <w:rPr>
          <w:color w:val="auto"/>
          <w:highlight w:val="none"/>
        </w:rPr>
      </w:pPr>
    </w:p>
    <w:p w14:paraId="044B87E9">
      <w:pPr>
        <w:pStyle w:val="2"/>
        <w:rPr>
          <w:color w:val="auto"/>
          <w:highlight w:val="none"/>
        </w:rPr>
      </w:pPr>
    </w:p>
    <w:p w14:paraId="22D58613">
      <w:pPr>
        <w:spacing w:line="360" w:lineRule="auto"/>
        <w:ind w:right="480" w:firstLine="240" w:firstLineChars="100"/>
        <w:contextualSpacing/>
        <w:jc w:val="center"/>
        <w:rPr>
          <w:rFonts w:ascii="宋体" w:hAnsi="宋体" w:cs="宋体"/>
          <w:b/>
          <w:bCs/>
          <w:color w:val="auto"/>
          <w:sz w:val="24"/>
          <w:highlight w:val="none"/>
        </w:rPr>
      </w:pPr>
      <w:r>
        <w:rPr>
          <w:rFonts w:hint="eastAsia" w:ascii="宋体" w:hAnsi="宋体" w:cs="宋体"/>
          <w:color w:val="auto"/>
          <w:sz w:val="24"/>
          <w:highlight w:val="none"/>
        </w:rPr>
        <w:br w:type="page"/>
      </w:r>
    </w:p>
    <w:p w14:paraId="51EF49D2">
      <w:pPr>
        <w:pStyle w:val="6"/>
        <w:rPr>
          <w:color w:val="auto"/>
          <w:highlight w:val="none"/>
        </w:rPr>
      </w:pPr>
      <w:bookmarkStart w:id="79" w:name="_Toc15584"/>
      <w:bookmarkStart w:id="80" w:name="_Toc24936"/>
      <w:bookmarkStart w:id="81" w:name="_Toc15310"/>
      <w:bookmarkStart w:id="82" w:name="_Toc3842"/>
      <w:bookmarkStart w:id="83" w:name="_Toc27135"/>
      <w:bookmarkStart w:id="84" w:name="_Toc18398"/>
      <w:bookmarkStart w:id="85" w:name="_Toc3520"/>
      <w:bookmarkStart w:id="86" w:name="_Toc4358"/>
      <w:r>
        <w:rPr>
          <w:rFonts w:hint="eastAsia"/>
          <w:color w:val="auto"/>
          <w:highlight w:val="none"/>
        </w:rPr>
        <w:t>三、商务技术文件格式</w:t>
      </w:r>
      <w:bookmarkEnd w:id="79"/>
      <w:bookmarkEnd w:id="80"/>
      <w:bookmarkEnd w:id="81"/>
      <w:bookmarkEnd w:id="82"/>
      <w:bookmarkEnd w:id="83"/>
      <w:bookmarkEnd w:id="84"/>
    </w:p>
    <w:p w14:paraId="1DCDB608">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651B5D81">
      <w:pPr>
        <w:snapToGrid w:val="0"/>
        <w:spacing w:beforeLines="50" w:after="50"/>
        <w:rPr>
          <w:rFonts w:ascii="宋体" w:hAnsi="宋体" w:cs="宋体"/>
          <w:color w:val="auto"/>
          <w:sz w:val="24"/>
          <w:szCs w:val="20"/>
          <w:highlight w:val="none"/>
        </w:rPr>
      </w:pPr>
    </w:p>
    <w:p w14:paraId="29C53733">
      <w:pPr>
        <w:pStyle w:val="2"/>
        <w:rPr>
          <w:color w:val="auto"/>
          <w:highlight w:val="none"/>
        </w:rPr>
      </w:pPr>
    </w:p>
    <w:p w14:paraId="4D6147F6">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6A31EEEB">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商务技术  文  件</w:t>
      </w:r>
    </w:p>
    <w:p w14:paraId="6707DA16">
      <w:pPr>
        <w:snapToGrid w:val="0"/>
        <w:spacing w:beforeLines="50" w:after="50"/>
        <w:rPr>
          <w:rFonts w:ascii="宋体" w:hAnsi="宋体" w:cs="宋体"/>
          <w:bCs/>
          <w:color w:val="auto"/>
          <w:sz w:val="24"/>
          <w:szCs w:val="20"/>
          <w:highlight w:val="none"/>
        </w:rPr>
      </w:pPr>
    </w:p>
    <w:p w14:paraId="271F4A3C">
      <w:pPr>
        <w:snapToGrid w:val="0"/>
        <w:spacing w:beforeLines="50" w:after="50"/>
        <w:rPr>
          <w:rFonts w:ascii="宋体" w:hAnsi="宋体" w:cs="宋体"/>
          <w:bCs/>
          <w:color w:val="auto"/>
          <w:sz w:val="24"/>
          <w:szCs w:val="20"/>
          <w:highlight w:val="none"/>
        </w:rPr>
      </w:pPr>
    </w:p>
    <w:p w14:paraId="45E95DE4">
      <w:pPr>
        <w:snapToGrid w:val="0"/>
        <w:spacing w:beforeLines="50" w:after="50"/>
        <w:ind w:firstLine="2100" w:firstLineChars="875"/>
        <w:rPr>
          <w:rFonts w:ascii="宋体" w:hAnsi="宋体" w:cs="宋体"/>
          <w:bCs/>
          <w:color w:val="auto"/>
          <w:sz w:val="24"/>
          <w:szCs w:val="20"/>
          <w:highlight w:val="none"/>
        </w:rPr>
      </w:pPr>
    </w:p>
    <w:p w14:paraId="766D29ED">
      <w:pPr>
        <w:snapToGrid w:val="0"/>
        <w:spacing w:beforeLines="50" w:after="50"/>
        <w:ind w:firstLine="2100" w:firstLineChars="875"/>
        <w:rPr>
          <w:rFonts w:ascii="宋体" w:hAnsi="宋体" w:cs="宋体"/>
          <w:bCs/>
          <w:color w:val="auto"/>
          <w:sz w:val="24"/>
          <w:szCs w:val="20"/>
          <w:highlight w:val="none"/>
        </w:rPr>
      </w:pPr>
    </w:p>
    <w:p w14:paraId="162BC69D">
      <w:pPr>
        <w:snapToGrid w:val="0"/>
        <w:spacing w:beforeLines="50" w:after="50"/>
        <w:ind w:firstLine="2100" w:firstLineChars="875"/>
        <w:rPr>
          <w:rFonts w:ascii="宋体" w:hAnsi="宋体" w:cs="宋体"/>
          <w:bCs/>
          <w:color w:val="auto"/>
          <w:sz w:val="24"/>
          <w:szCs w:val="20"/>
          <w:highlight w:val="none"/>
        </w:rPr>
      </w:pPr>
    </w:p>
    <w:p w14:paraId="79194DD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CE1111C">
      <w:pPr>
        <w:snapToGrid w:val="0"/>
        <w:spacing w:beforeLines="50" w:after="50"/>
        <w:ind w:firstLine="2800" w:firstLineChars="875"/>
        <w:rPr>
          <w:rFonts w:ascii="宋体" w:hAnsi="宋体" w:cs="宋体"/>
          <w:bCs/>
          <w:color w:val="auto"/>
          <w:sz w:val="32"/>
          <w:szCs w:val="32"/>
          <w:highlight w:val="none"/>
        </w:rPr>
      </w:pPr>
    </w:p>
    <w:p w14:paraId="02FCDF2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FF9DF66">
      <w:pPr>
        <w:snapToGrid w:val="0"/>
        <w:spacing w:beforeLines="50" w:after="50"/>
        <w:ind w:firstLine="2800" w:firstLineChars="875"/>
        <w:rPr>
          <w:rFonts w:ascii="宋体" w:hAnsi="宋体" w:cs="宋体"/>
          <w:bCs/>
          <w:color w:val="auto"/>
          <w:sz w:val="32"/>
          <w:szCs w:val="32"/>
          <w:highlight w:val="none"/>
        </w:rPr>
      </w:pPr>
    </w:p>
    <w:p w14:paraId="122897B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4669EA84">
      <w:pPr>
        <w:snapToGrid w:val="0"/>
        <w:spacing w:beforeLines="50" w:after="50"/>
        <w:ind w:firstLine="2800" w:firstLineChars="875"/>
        <w:rPr>
          <w:rFonts w:ascii="宋体" w:hAnsi="宋体" w:cs="宋体"/>
          <w:bCs/>
          <w:color w:val="auto"/>
          <w:sz w:val="32"/>
          <w:szCs w:val="32"/>
          <w:highlight w:val="none"/>
        </w:rPr>
      </w:pPr>
    </w:p>
    <w:p w14:paraId="4F6B5DF6">
      <w:pPr>
        <w:pStyle w:val="10"/>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1DA6320">
      <w:pPr>
        <w:pStyle w:val="10"/>
        <w:snapToGrid w:val="0"/>
        <w:spacing w:before="50" w:after="50"/>
        <w:ind w:firstLine="2800" w:firstLineChars="875"/>
        <w:rPr>
          <w:rFonts w:ascii="宋体" w:hAnsi="宋体" w:cs="宋体"/>
          <w:bCs/>
          <w:color w:val="auto"/>
          <w:sz w:val="32"/>
          <w:szCs w:val="32"/>
          <w:highlight w:val="none"/>
        </w:rPr>
      </w:pPr>
    </w:p>
    <w:p w14:paraId="169040B0">
      <w:pPr>
        <w:pStyle w:val="10"/>
        <w:snapToGrid w:val="0"/>
        <w:spacing w:before="50" w:after="50"/>
        <w:ind w:firstLine="720" w:firstLineChars="225"/>
        <w:rPr>
          <w:rFonts w:ascii="宋体" w:hAnsi="宋体" w:cs="宋体"/>
          <w:bCs/>
          <w:color w:val="auto"/>
          <w:sz w:val="32"/>
          <w:szCs w:val="32"/>
          <w:highlight w:val="none"/>
        </w:rPr>
      </w:pPr>
    </w:p>
    <w:p w14:paraId="2AAFAE8E">
      <w:pPr>
        <w:pStyle w:val="10"/>
        <w:snapToGrid w:val="0"/>
        <w:spacing w:before="50" w:after="50"/>
        <w:ind w:firstLine="1280" w:firstLineChars="400"/>
        <w:rPr>
          <w:rFonts w:ascii="宋体" w:hAnsi="宋体" w:cs="宋体"/>
          <w:bCs/>
          <w:color w:val="auto"/>
          <w:sz w:val="32"/>
          <w:szCs w:val="32"/>
          <w:highlight w:val="none"/>
        </w:rPr>
      </w:pPr>
    </w:p>
    <w:p w14:paraId="6B641E7C">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B7208A6">
      <w:pPr>
        <w:rPr>
          <w:rFonts w:ascii="宋体" w:hAnsi="宋体" w:cs="宋体"/>
          <w:color w:val="auto"/>
          <w:sz w:val="24"/>
          <w:highlight w:val="none"/>
        </w:rPr>
      </w:pPr>
      <w:r>
        <w:rPr>
          <w:rFonts w:hint="eastAsia" w:ascii="宋体" w:hAnsi="宋体" w:cs="宋体"/>
          <w:color w:val="auto"/>
          <w:sz w:val="24"/>
          <w:highlight w:val="none"/>
        </w:rPr>
        <w:br w:type="page"/>
      </w:r>
    </w:p>
    <w:p w14:paraId="70F7F0A9">
      <w:pPr>
        <w:snapToGrid w:val="0"/>
        <w:spacing w:beforeLines="50" w:after="50" w:line="360" w:lineRule="auto"/>
        <w:ind w:right="480" w:firstLine="321" w:firstLineChars="100"/>
        <w:jc w:val="left"/>
        <w:rPr>
          <w:rFonts w:ascii="宋体" w:hAnsi="宋体"/>
          <w:b/>
          <w:bCs/>
          <w:color w:val="auto"/>
          <w:sz w:val="24"/>
          <w:highlight w:val="none"/>
        </w:rPr>
      </w:pPr>
      <w:r>
        <w:rPr>
          <w:rFonts w:hint="eastAsia" w:ascii="宋体" w:hAnsi="宋体"/>
          <w:b/>
          <w:bCs/>
          <w:color w:val="auto"/>
          <w:sz w:val="32"/>
          <w:szCs w:val="32"/>
          <w:highlight w:val="none"/>
        </w:rPr>
        <w:t>2.商务技术文件目录</w:t>
      </w:r>
    </w:p>
    <w:p w14:paraId="5C678389">
      <w:pPr>
        <w:rPr>
          <w:rFonts w:ascii="宋体" w:hAnsi="宋体" w:cs="宋体"/>
          <w:color w:val="auto"/>
          <w:sz w:val="24"/>
          <w:highlight w:val="none"/>
        </w:rPr>
      </w:pPr>
      <w:r>
        <w:rPr>
          <w:rFonts w:hint="eastAsia" w:ascii="宋体" w:hAnsi="宋体"/>
          <w:color w:val="auto"/>
          <w:sz w:val="32"/>
          <w:szCs w:val="32"/>
          <w:highlight w:val="none"/>
        </w:rPr>
        <w:t>根据磋商文件规定及供应商提供的材料自行编写目录（部分格式后附）。</w:t>
      </w:r>
      <w:r>
        <w:rPr>
          <w:rFonts w:hint="eastAsia" w:ascii="宋体" w:hAnsi="宋体" w:cs="宋体"/>
          <w:color w:val="auto"/>
          <w:sz w:val="24"/>
          <w:highlight w:val="none"/>
        </w:rPr>
        <w:br w:type="page"/>
      </w:r>
    </w:p>
    <w:p w14:paraId="4C944A3E">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t>无串通竞标行为的承诺函</w:t>
      </w:r>
    </w:p>
    <w:p w14:paraId="6812D424">
      <w:pPr>
        <w:spacing w:line="400" w:lineRule="exact"/>
        <w:ind w:firstLine="640" w:firstLineChars="200"/>
        <w:rPr>
          <w:rFonts w:ascii="仿宋_GB2312" w:hAnsi="仿宋_GB2312" w:eastAsia="仿宋_GB2312" w:cs="仿宋_GB2312"/>
          <w:color w:val="auto"/>
          <w:sz w:val="32"/>
          <w:szCs w:val="32"/>
          <w:highlight w:val="none"/>
        </w:rPr>
      </w:pPr>
    </w:p>
    <w:p w14:paraId="7041B95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5D71D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52510E4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C896E8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855844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0289315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529B5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49EAABA9">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2DC6F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68376C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CCB1EA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99E26B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4.属于同一集团、协会、商会等组织成员的供应商按照该组织要求协同参加采购活动；</w:t>
      </w:r>
    </w:p>
    <w:p w14:paraId="24E2510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2033E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6.供应商之间商定部分供应商放弃参加采购活动或者放弃成交；</w:t>
      </w:r>
    </w:p>
    <w:p w14:paraId="6474D16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E14960D">
      <w:pPr>
        <w:spacing w:line="360" w:lineRule="auto"/>
        <w:ind w:firstLine="480" w:firstLineChars="200"/>
        <w:contextualSpacing/>
        <w:rPr>
          <w:rFonts w:ascii="宋体" w:hAnsi="宋体" w:cs="仿宋_GB2312"/>
          <w:color w:val="auto"/>
          <w:sz w:val="24"/>
          <w:highlight w:val="none"/>
        </w:rPr>
      </w:pPr>
    </w:p>
    <w:p w14:paraId="13FEE072">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BA0DE11">
      <w:pPr>
        <w:spacing w:line="360" w:lineRule="auto"/>
        <w:contextualSpacing/>
        <w:rPr>
          <w:rFonts w:ascii="宋体" w:hAnsi="宋体" w:cs="仿宋_GB2312"/>
          <w:color w:val="auto"/>
          <w:sz w:val="24"/>
          <w:highlight w:val="none"/>
        </w:rPr>
      </w:pPr>
    </w:p>
    <w:p w14:paraId="52404FBD">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396A506">
      <w:pPr>
        <w:spacing w:line="520" w:lineRule="exact"/>
        <w:ind w:left="239" w:leftChars="114" w:firstLine="6120" w:firstLineChars="25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66055E7">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0E3955F">
      <w:pPr>
        <w:spacing w:beforeLines="100" w:afterLines="50" w:line="520" w:lineRule="exact"/>
        <w:ind w:left="540"/>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t>法定代表人证明书</w:t>
      </w:r>
    </w:p>
    <w:p w14:paraId="5DFE1650">
      <w:pPr>
        <w:spacing w:line="360" w:lineRule="auto"/>
        <w:ind w:left="540"/>
        <w:contextualSpacing/>
        <w:rPr>
          <w:rFonts w:ascii="宋体" w:hAnsi="宋体" w:cs="仿宋_GB2312"/>
          <w:color w:val="auto"/>
          <w:sz w:val="24"/>
          <w:highlight w:val="none"/>
        </w:rPr>
      </w:pPr>
    </w:p>
    <w:p w14:paraId="1C427C7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D75FA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34B302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00348C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1493CA1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2D19D2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的法定代表人。</w:t>
      </w:r>
    </w:p>
    <w:p w14:paraId="22B6B24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021295AF">
      <w:pPr>
        <w:spacing w:line="360" w:lineRule="auto"/>
        <w:ind w:left="540"/>
        <w:contextualSpacing/>
        <w:rPr>
          <w:rFonts w:ascii="宋体" w:hAnsi="宋体" w:cs="仿宋_GB2312"/>
          <w:color w:val="auto"/>
          <w:sz w:val="24"/>
          <w:highlight w:val="none"/>
        </w:rPr>
      </w:pPr>
    </w:p>
    <w:p w14:paraId="5F094A4B">
      <w:pPr>
        <w:spacing w:line="360" w:lineRule="auto"/>
        <w:ind w:left="540"/>
        <w:contextualSpacing/>
        <w:rPr>
          <w:rFonts w:ascii="宋体" w:hAnsi="宋体" w:cs="仿宋_GB2312"/>
          <w:color w:val="auto"/>
          <w:sz w:val="24"/>
          <w:highlight w:val="none"/>
        </w:rPr>
      </w:pPr>
    </w:p>
    <w:p w14:paraId="032CA035">
      <w:pPr>
        <w:spacing w:line="360" w:lineRule="auto"/>
        <w:ind w:left="540"/>
        <w:contextualSpacing/>
        <w:rPr>
          <w:rFonts w:ascii="宋体" w:hAnsi="宋体" w:cs="仿宋_GB2312"/>
          <w:color w:val="auto"/>
          <w:sz w:val="24"/>
          <w:highlight w:val="none"/>
        </w:rPr>
      </w:pPr>
    </w:p>
    <w:p w14:paraId="1461B55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3B7A4E1">
      <w:pPr>
        <w:spacing w:line="360" w:lineRule="auto"/>
        <w:ind w:left="540"/>
        <w:contextualSpacing/>
        <w:rPr>
          <w:rFonts w:ascii="宋体" w:hAnsi="宋体" w:cs="仿宋_GB2312"/>
          <w:color w:val="auto"/>
          <w:sz w:val="24"/>
          <w:highlight w:val="none"/>
        </w:rPr>
      </w:pPr>
    </w:p>
    <w:p w14:paraId="20B7056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E69624F">
      <w:pPr>
        <w:spacing w:line="520" w:lineRule="exact"/>
        <w:ind w:left="239" w:leftChars="114" w:firstLine="6120" w:firstLineChars="25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403CC6B8">
      <w:pPr>
        <w:spacing w:line="360" w:lineRule="auto"/>
        <w:contextualSpacing/>
        <w:jc w:val="center"/>
        <w:rPr>
          <w:rFonts w:ascii="宋体" w:hAnsi="宋体" w:cs="仿宋_GB2312"/>
          <w:b/>
          <w:color w:val="auto"/>
          <w:sz w:val="24"/>
          <w:highlight w:val="none"/>
        </w:rPr>
      </w:pPr>
    </w:p>
    <w:p w14:paraId="12BDC678">
      <w:pPr>
        <w:spacing w:line="360" w:lineRule="auto"/>
        <w:contextualSpacing/>
        <w:jc w:val="left"/>
        <w:rPr>
          <w:rFonts w:ascii="宋体" w:hAnsi="宋体" w:cs="仿宋_GB2312"/>
          <w:color w:val="auto"/>
          <w:sz w:val="24"/>
          <w:highlight w:val="none"/>
        </w:rPr>
      </w:pPr>
    </w:p>
    <w:p w14:paraId="05B8FA6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0379388F">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2BA491">
      <w:pPr>
        <w:spacing w:line="360" w:lineRule="auto"/>
        <w:contextualSpacing/>
        <w:jc w:val="left"/>
        <w:rPr>
          <w:rFonts w:ascii="宋体" w:hAnsi="宋体" w:cs="仿宋_GB2312"/>
          <w:color w:val="auto"/>
          <w:sz w:val="24"/>
          <w:highlight w:val="none"/>
        </w:rPr>
      </w:pPr>
    </w:p>
    <w:p w14:paraId="4335A436">
      <w:pPr>
        <w:rPr>
          <w:rFonts w:ascii="宋体" w:hAnsi="宋体" w:cs="仿宋_GB2312"/>
          <w:color w:val="auto"/>
          <w:sz w:val="24"/>
          <w:highlight w:val="none"/>
        </w:rPr>
      </w:pPr>
      <w:r>
        <w:rPr>
          <w:rFonts w:hint="eastAsia" w:ascii="宋体" w:hAnsi="宋体" w:cs="仿宋_GB2312"/>
          <w:color w:val="auto"/>
          <w:sz w:val="24"/>
          <w:highlight w:val="none"/>
        </w:rPr>
        <w:br w:type="page"/>
      </w:r>
    </w:p>
    <w:p w14:paraId="4C6096E5">
      <w:pPr>
        <w:spacing w:line="360" w:lineRule="auto"/>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tbl>
      <w:tblPr>
        <w:tblStyle w:val="34"/>
        <w:tblpPr w:leftFromText="180" w:rightFromText="180" w:vertAnchor="text" w:horzAnchor="page" w:tblpX="1824" w:tblpY="70"/>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83B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tcPr>
          <w:p w14:paraId="356A9A59">
            <w:pPr>
              <w:adjustRightInd w:val="0"/>
              <w:snapToGrid w:val="0"/>
              <w:spacing w:line="360" w:lineRule="auto"/>
              <w:rPr>
                <w:rFonts w:ascii="宋体"/>
                <w:b/>
                <w:color w:val="auto"/>
                <w:sz w:val="24"/>
                <w:highlight w:val="none"/>
              </w:rPr>
            </w:pPr>
          </w:p>
          <w:p w14:paraId="54DCC3E7">
            <w:pPr>
              <w:adjustRightInd w:val="0"/>
              <w:snapToGrid w:val="0"/>
              <w:spacing w:line="360" w:lineRule="auto"/>
              <w:rPr>
                <w:rFonts w:ascii="宋体"/>
                <w:b/>
                <w:color w:val="auto"/>
                <w:sz w:val="24"/>
                <w:highlight w:val="none"/>
              </w:rPr>
            </w:pPr>
            <w:r>
              <w:rPr>
                <w:rFonts w:hint="eastAsia" w:ascii="宋体"/>
                <w:b/>
                <w:color w:val="auto"/>
                <w:sz w:val="24"/>
                <w:highlight w:val="none"/>
              </w:rPr>
              <w:t>法定代表身份证复印件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5551C6C6">
      <w:pPr>
        <w:pStyle w:val="2"/>
        <w:rPr>
          <w:color w:val="auto"/>
          <w:highlight w:val="none"/>
        </w:rPr>
      </w:pPr>
    </w:p>
    <w:p w14:paraId="67C5D220">
      <w:pPr>
        <w:adjustRightInd w:val="0"/>
        <w:snapToGrid w:val="0"/>
        <w:spacing w:line="300" w:lineRule="auto"/>
        <w:jc w:val="left"/>
        <w:rPr>
          <w:rFonts w:ascii="宋体" w:hAnsi="宋体"/>
          <w:b/>
          <w:color w:val="auto"/>
          <w:szCs w:val="21"/>
          <w:highlight w:val="none"/>
        </w:rPr>
      </w:pPr>
    </w:p>
    <w:p w14:paraId="15FE205E">
      <w:pPr>
        <w:adjustRightInd w:val="0"/>
        <w:snapToGrid w:val="0"/>
        <w:spacing w:line="300" w:lineRule="auto"/>
        <w:jc w:val="left"/>
        <w:rPr>
          <w:rFonts w:ascii="宋体" w:hAnsi="宋体" w:cs="宋体"/>
          <w:b/>
          <w:color w:val="auto"/>
          <w:szCs w:val="21"/>
          <w:highlight w:val="none"/>
        </w:rPr>
      </w:pPr>
    </w:p>
    <w:p w14:paraId="4CFD20BF">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p>
    <w:p w14:paraId="5BBB3742">
      <w:pPr>
        <w:jc w:val="center"/>
        <w:rPr>
          <w:rFonts w:ascii="宋体" w:hAnsi="宋体" w:cs="宋体"/>
          <w:b/>
          <w:color w:val="auto"/>
          <w:sz w:val="44"/>
          <w:szCs w:val="44"/>
          <w:highlight w:val="none"/>
        </w:rPr>
      </w:pPr>
      <w:bookmarkStart w:id="87" w:name="_Hlk65853643"/>
      <w:r>
        <w:rPr>
          <w:rFonts w:hint="eastAsia" w:ascii="宋体" w:hAnsi="宋体" w:cs="宋体"/>
          <w:b/>
          <w:color w:val="auto"/>
          <w:sz w:val="44"/>
          <w:szCs w:val="44"/>
          <w:highlight w:val="none"/>
        </w:rPr>
        <w:t>授权委托书</w:t>
      </w:r>
    </w:p>
    <w:p w14:paraId="1EFE5C91">
      <w:pPr>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71F0BFDC">
      <w:pPr>
        <w:spacing w:line="520" w:lineRule="exact"/>
        <w:rPr>
          <w:rFonts w:ascii="宋体" w:hAnsi="宋体" w:cs="宋体"/>
          <w:color w:val="auto"/>
          <w:sz w:val="32"/>
          <w:szCs w:val="32"/>
          <w:highlight w:val="none"/>
        </w:rPr>
      </w:pPr>
    </w:p>
    <w:p w14:paraId="1BC478C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37350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w:char="00A8"/>
      </w:r>
      <w:r>
        <w:rPr>
          <w:rFonts w:hint="eastAsia" w:ascii="宋体" w:hAnsi="宋体" w:cs="仿宋_GB2312"/>
          <w:color w:val="auto"/>
          <w:sz w:val="24"/>
          <w:highlight w:val="none"/>
          <w:u w:val="single"/>
        </w:rPr>
        <w:t>法定代表人/</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（项目名称_）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1160C1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055CE16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253EB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8CA55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575651E1">
      <w:pPr>
        <w:spacing w:line="360" w:lineRule="auto"/>
        <w:contextualSpacing/>
        <w:rPr>
          <w:rFonts w:ascii="宋体" w:hAnsi="宋体" w:cs="仿宋_GB2312"/>
          <w:color w:val="auto"/>
          <w:sz w:val="24"/>
          <w:highlight w:val="none"/>
        </w:rPr>
      </w:pPr>
    </w:p>
    <w:p w14:paraId="165C173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w:t>
      </w:r>
      <w:r>
        <w:rPr>
          <w:rFonts w:hint="eastAsia" w:ascii="宋体" w:hAnsi="宋体" w:cs="仿宋_GB2312"/>
          <w:color w:val="auto"/>
          <w:sz w:val="24"/>
          <w:highlight w:val="none"/>
        </w:rPr>
        <w:t xml:space="preserve">）：     法定代表人（签字）：                    </w:t>
      </w:r>
    </w:p>
    <w:p w14:paraId="22DEC3C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5D22002">
      <w:pPr>
        <w:spacing w:line="360" w:lineRule="auto"/>
        <w:contextualSpacing/>
        <w:rPr>
          <w:rFonts w:ascii="宋体" w:hAnsi="宋体" w:cs="仿宋_GB2312"/>
          <w:color w:val="auto"/>
          <w:sz w:val="24"/>
          <w:highlight w:val="none"/>
        </w:rPr>
      </w:pPr>
    </w:p>
    <w:p w14:paraId="7A964914">
      <w:pPr>
        <w:spacing w:line="360" w:lineRule="auto"/>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0DE7997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3580450">
      <w:pPr>
        <w:spacing w:line="360" w:lineRule="auto"/>
        <w:contextualSpacing/>
        <w:rPr>
          <w:rFonts w:ascii="宋体" w:hAnsi="宋体" w:cs="仿宋_GB2312"/>
          <w:color w:val="auto"/>
          <w:sz w:val="24"/>
          <w:highlight w:val="none"/>
        </w:rPr>
      </w:pPr>
    </w:p>
    <w:p w14:paraId="04C8B99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法定代表人必须在授权委托书上签字或者盖章，委托代理人必须在授权委托书上签字，</w:t>
      </w:r>
      <w:r>
        <w:rPr>
          <w:rFonts w:hint="eastAsia" w:ascii="宋体" w:hAnsi="宋体" w:cs="仿宋_GB2312"/>
          <w:b/>
          <w:color w:val="auto"/>
          <w:sz w:val="24"/>
          <w:highlight w:val="none"/>
        </w:rPr>
        <w:t>否则其响应文件按无效响应处理。</w:t>
      </w:r>
    </w:p>
    <w:p w14:paraId="63BEC250">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E8AAF1E">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bookmarkStart w:id="88" w:name="_Hlk65853109"/>
      <w:bookmarkStart w:id="89" w:name="_Hlk65853542"/>
      <w:r>
        <w:rPr>
          <w:rFonts w:hint="eastAsia" w:ascii="宋体" w:hAnsi="宋体" w:cs="仿宋_GB2312"/>
          <w:color w:val="auto"/>
          <w:sz w:val="24"/>
          <w:highlight w:val="none"/>
        </w:rPr>
        <w:t>法人、其他组织竞标时“我方”是指“我单位”，自然人竞标时“我方”是指“本人”。</w:t>
      </w:r>
      <w:bookmarkEnd w:id="88"/>
    </w:p>
    <w:bookmarkEnd w:id="89"/>
    <w:p w14:paraId="760E95DB">
      <w:pPr>
        <w:spacing w:line="360" w:lineRule="auto"/>
        <w:ind w:firstLine="420" w:firstLineChars="200"/>
        <w:jc w:val="center"/>
        <w:rPr>
          <w:rFonts w:ascii="宋体" w:hAnsi="宋体" w:cs="宋体"/>
          <w:bCs/>
          <w:color w:val="auto"/>
          <w:sz w:val="44"/>
          <w:szCs w:val="44"/>
          <w:highlight w:val="none"/>
        </w:rPr>
      </w:pPr>
      <w:r>
        <w:rPr>
          <w:rFonts w:hint="eastAsia" w:ascii="宋体" w:hAnsi="宋体" w:cs="宋体"/>
          <w:color w:val="auto"/>
          <w:szCs w:val="21"/>
          <w:highlight w:val="none"/>
        </w:rPr>
        <w:br w:type="page"/>
      </w:r>
      <w:bookmarkEnd w:id="87"/>
      <w:r>
        <w:rPr>
          <w:rFonts w:hint="eastAsia" w:ascii="宋体" w:hAnsi="宋体" w:cs="宋体"/>
          <w:b/>
          <w:bCs/>
          <w:color w:val="auto"/>
          <w:sz w:val="44"/>
          <w:szCs w:val="44"/>
          <w:highlight w:val="none"/>
        </w:rPr>
        <w:t>商务要求偏离表</w:t>
      </w:r>
      <w:r>
        <w:rPr>
          <w:rFonts w:hint="eastAsia" w:ascii="宋体" w:hAnsi="宋体" w:cs="宋体"/>
          <w:bCs/>
          <w:color w:val="auto"/>
          <w:sz w:val="44"/>
          <w:szCs w:val="44"/>
          <w:highlight w:val="none"/>
        </w:rPr>
        <w:t>（格式）</w:t>
      </w:r>
    </w:p>
    <w:p w14:paraId="433B6575">
      <w:pPr>
        <w:pStyle w:val="21"/>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tbl>
      <w:tblPr>
        <w:tblStyle w:val="34"/>
        <w:tblpPr w:leftFromText="180" w:rightFromText="180" w:vertAnchor="text" w:horzAnchor="page" w:tblpX="1723" w:tblpY="93"/>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3"/>
        <w:gridCol w:w="2866"/>
        <w:gridCol w:w="3274"/>
        <w:gridCol w:w="1562"/>
      </w:tblGrid>
      <w:tr w14:paraId="0A368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517C43F">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Cs w:val="21"/>
                <w:highlight w:val="none"/>
              </w:rPr>
              <w:t>项号</w:t>
            </w:r>
          </w:p>
        </w:tc>
        <w:tc>
          <w:tcPr>
            <w:tcW w:w="2866" w:type="dxa"/>
            <w:tcBorders>
              <w:top w:val="single" w:color="auto" w:sz="4" w:space="0"/>
              <w:left w:val="single" w:color="auto" w:sz="4" w:space="0"/>
              <w:bottom w:val="single" w:color="auto" w:sz="4" w:space="0"/>
              <w:right w:val="single" w:color="auto" w:sz="4" w:space="0"/>
            </w:tcBorders>
            <w:noWrap/>
            <w:vAlign w:val="center"/>
          </w:tcPr>
          <w:p w14:paraId="5AA2E36D">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3274" w:type="dxa"/>
            <w:tcBorders>
              <w:top w:val="single" w:color="auto" w:sz="4" w:space="0"/>
              <w:left w:val="single" w:color="auto" w:sz="4" w:space="0"/>
              <w:bottom w:val="single" w:color="auto" w:sz="4" w:space="0"/>
              <w:right w:val="single" w:color="auto" w:sz="4" w:space="0"/>
            </w:tcBorders>
            <w:noWrap/>
            <w:vAlign w:val="center"/>
          </w:tcPr>
          <w:p w14:paraId="2135FD3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562" w:type="dxa"/>
            <w:tcBorders>
              <w:top w:val="single" w:color="auto" w:sz="4" w:space="0"/>
              <w:left w:val="single" w:color="auto" w:sz="4" w:space="0"/>
              <w:bottom w:val="single" w:color="auto" w:sz="4" w:space="0"/>
              <w:right w:val="single" w:color="auto" w:sz="4" w:space="0"/>
            </w:tcBorders>
            <w:noWrap/>
            <w:vAlign w:val="center"/>
          </w:tcPr>
          <w:p w14:paraId="64933C56">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12B35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92F8607">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一</w:t>
            </w:r>
          </w:p>
        </w:tc>
        <w:tc>
          <w:tcPr>
            <w:tcW w:w="2866" w:type="dxa"/>
            <w:tcBorders>
              <w:top w:val="single" w:color="auto" w:sz="4" w:space="0"/>
              <w:left w:val="single" w:color="auto" w:sz="4" w:space="0"/>
              <w:bottom w:val="single" w:color="auto" w:sz="4" w:space="0"/>
              <w:right w:val="single" w:color="auto" w:sz="4" w:space="0"/>
            </w:tcBorders>
            <w:noWrap/>
            <w:vAlign w:val="center"/>
          </w:tcPr>
          <w:p w14:paraId="16D2875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45F8B28">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8634F6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1C243AD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9F63AC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125E4B48">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64E23B8B">
            <w:pPr>
              <w:adjustRightInd w:val="0"/>
              <w:snapToGrid w:val="0"/>
              <w:spacing w:line="380" w:lineRule="exact"/>
              <w:contextualSpacing/>
              <w:jc w:val="center"/>
              <w:rPr>
                <w:rFonts w:ascii="宋体" w:hAnsi="宋体" w:cs="仿宋_GB2312"/>
                <w:color w:val="auto"/>
                <w:sz w:val="24"/>
                <w:highlight w:val="none"/>
              </w:rPr>
            </w:pPr>
          </w:p>
        </w:tc>
      </w:tr>
      <w:tr w14:paraId="7416D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9A882D6">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二</w:t>
            </w:r>
          </w:p>
        </w:tc>
        <w:tc>
          <w:tcPr>
            <w:tcW w:w="2866" w:type="dxa"/>
            <w:tcBorders>
              <w:top w:val="single" w:color="auto" w:sz="4" w:space="0"/>
              <w:left w:val="single" w:color="auto" w:sz="4" w:space="0"/>
              <w:bottom w:val="single" w:color="auto" w:sz="4" w:space="0"/>
              <w:right w:val="single" w:color="auto" w:sz="4" w:space="0"/>
            </w:tcBorders>
            <w:noWrap/>
            <w:vAlign w:val="center"/>
          </w:tcPr>
          <w:p w14:paraId="6070D8D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5B9398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52540C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764900A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385F6C7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F4DFB2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4F0CDBC4">
            <w:pPr>
              <w:adjustRightInd w:val="0"/>
              <w:snapToGrid w:val="0"/>
              <w:spacing w:line="380" w:lineRule="exact"/>
              <w:contextualSpacing/>
              <w:jc w:val="center"/>
              <w:rPr>
                <w:rFonts w:ascii="宋体" w:hAnsi="宋体" w:cs="仿宋_GB2312"/>
                <w:color w:val="auto"/>
                <w:sz w:val="24"/>
                <w:highlight w:val="none"/>
              </w:rPr>
            </w:pPr>
          </w:p>
        </w:tc>
      </w:tr>
      <w:tr w14:paraId="10A2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75FD7AA8">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三</w:t>
            </w:r>
          </w:p>
        </w:tc>
        <w:tc>
          <w:tcPr>
            <w:tcW w:w="2866" w:type="dxa"/>
            <w:tcBorders>
              <w:top w:val="single" w:color="auto" w:sz="4" w:space="0"/>
              <w:left w:val="single" w:color="auto" w:sz="4" w:space="0"/>
              <w:bottom w:val="single" w:color="auto" w:sz="4" w:space="0"/>
              <w:right w:val="single" w:color="auto" w:sz="4" w:space="0"/>
            </w:tcBorders>
            <w:noWrap/>
            <w:vAlign w:val="center"/>
          </w:tcPr>
          <w:p w14:paraId="12D0449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D598D63">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96F341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39B97A9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3C4793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2D4D2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165E8D0F">
            <w:pPr>
              <w:adjustRightInd w:val="0"/>
              <w:snapToGrid w:val="0"/>
              <w:spacing w:line="380" w:lineRule="exact"/>
              <w:contextualSpacing/>
              <w:jc w:val="center"/>
              <w:rPr>
                <w:rFonts w:ascii="宋体" w:hAnsi="宋体" w:cs="仿宋_GB2312"/>
                <w:color w:val="auto"/>
                <w:sz w:val="24"/>
                <w:highlight w:val="none"/>
              </w:rPr>
            </w:pPr>
          </w:p>
        </w:tc>
      </w:tr>
      <w:tr w14:paraId="17C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B4598D1">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四</w:t>
            </w:r>
          </w:p>
        </w:tc>
        <w:tc>
          <w:tcPr>
            <w:tcW w:w="2866" w:type="dxa"/>
            <w:tcBorders>
              <w:top w:val="single" w:color="auto" w:sz="4" w:space="0"/>
              <w:left w:val="single" w:color="auto" w:sz="4" w:space="0"/>
              <w:bottom w:val="single" w:color="auto" w:sz="4" w:space="0"/>
              <w:right w:val="single" w:color="auto" w:sz="4" w:space="0"/>
            </w:tcBorders>
            <w:noWrap/>
            <w:vAlign w:val="center"/>
          </w:tcPr>
          <w:p w14:paraId="1C672D8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E774C1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9FDED2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2F25012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12B0B8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0F26C5C">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75636551">
            <w:pPr>
              <w:adjustRightInd w:val="0"/>
              <w:snapToGrid w:val="0"/>
              <w:spacing w:line="380" w:lineRule="exact"/>
              <w:contextualSpacing/>
              <w:jc w:val="center"/>
              <w:rPr>
                <w:rFonts w:ascii="宋体" w:hAnsi="宋体" w:cs="仿宋_GB2312"/>
                <w:color w:val="auto"/>
                <w:sz w:val="24"/>
                <w:highlight w:val="none"/>
              </w:rPr>
            </w:pPr>
          </w:p>
        </w:tc>
      </w:tr>
      <w:tr w14:paraId="2B0F9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2E7B719">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五</w:t>
            </w:r>
          </w:p>
        </w:tc>
        <w:tc>
          <w:tcPr>
            <w:tcW w:w="2866" w:type="dxa"/>
            <w:tcBorders>
              <w:top w:val="single" w:color="auto" w:sz="4" w:space="0"/>
              <w:left w:val="single" w:color="auto" w:sz="4" w:space="0"/>
              <w:bottom w:val="single" w:color="auto" w:sz="4" w:space="0"/>
              <w:right w:val="single" w:color="auto" w:sz="4" w:space="0"/>
            </w:tcBorders>
            <w:noWrap/>
            <w:vAlign w:val="center"/>
          </w:tcPr>
          <w:p w14:paraId="1089268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096D63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4AD7319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5AA93B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F06E0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FF69B03">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2D15C762">
            <w:pPr>
              <w:adjustRightInd w:val="0"/>
              <w:snapToGrid w:val="0"/>
              <w:spacing w:line="380" w:lineRule="exact"/>
              <w:contextualSpacing/>
              <w:jc w:val="center"/>
              <w:rPr>
                <w:rFonts w:ascii="宋体" w:hAnsi="宋体" w:cs="仿宋_GB2312"/>
                <w:color w:val="auto"/>
                <w:sz w:val="24"/>
                <w:highlight w:val="none"/>
              </w:rPr>
            </w:pPr>
          </w:p>
        </w:tc>
      </w:tr>
      <w:tr w14:paraId="33984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ABF539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 w:val="24"/>
                <w:highlight w:val="none"/>
              </w:rPr>
              <w:t>…</w:t>
            </w:r>
            <w:r>
              <w:rPr>
                <w:rFonts w:ascii="宋体" w:hAnsi="宋体"/>
                <w:color w:val="auto"/>
                <w:sz w:val="24"/>
                <w:highlight w:val="none"/>
              </w:rPr>
              <w:t>…</w:t>
            </w:r>
          </w:p>
        </w:tc>
        <w:tc>
          <w:tcPr>
            <w:tcW w:w="2866" w:type="dxa"/>
            <w:tcBorders>
              <w:top w:val="single" w:color="auto" w:sz="4" w:space="0"/>
              <w:left w:val="single" w:color="auto" w:sz="4" w:space="0"/>
              <w:bottom w:val="single" w:color="auto" w:sz="4" w:space="0"/>
              <w:right w:val="single" w:color="auto" w:sz="4" w:space="0"/>
            </w:tcBorders>
            <w:noWrap/>
            <w:vAlign w:val="center"/>
          </w:tcPr>
          <w:p w14:paraId="4F182AA9">
            <w:pPr>
              <w:adjustRightInd w:val="0"/>
              <w:snapToGrid w:val="0"/>
              <w:spacing w:line="380" w:lineRule="exact"/>
              <w:rPr>
                <w:rFonts w:ascii="宋体" w:hAnsi="宋体" w:cs="仿宋_GB2312"/>
                <w:color w:val="auto"/>
                <w:highlight w:val="none"/>
              </w:rPr>
            </w:pPr>
          </w:p>
        </w:tc>
        <w:tc>
          <w:tcPr>
            <w:tcW w:w="3274" w:type="dxa"/>
            <w:tcBorders>
              <w:top w:val="single" w:color="auto" w:sz="4" w:space="0"/>
              <w:left w:val="single" w:color="auto" w:sz="4" w:space="0"/>
              <w:bottom w:val="single" w:color="auto" w:sz="4" w:space="0"/>
              <w:right w:val="single" w:color="auto" w:sz="4" w:space="0"/>
            </w:tcBorders>
            <w:noWrap/>
            <w:vAlign w:val="center"/>
          </w:tcPr>
          <w:p w14:paraId="18803D44">
            <w:pPr>
              <w:adjustRightInd w:val="0"/>
              <w:snapToGrid w:val="0"/>
              <w:spacing w:line="380" w:lineRule="exact"/>
              <w:rPr>
                <w:rFonts w:ascii="宋体" w:hAnsi="宋体" w:cs="仿宋_GB2312"/>
                <w:color w:val="auto"/>
                <w:highlight w:val="none"/>
              </w:rPr>
            </w:pPr>
          </w:p>
        </w:tc>
        <w:tc>
          <w:tcPr>
            <w:tcW w:w="1562" w:type="dxa"/>
            <w:tcBorders>
              <w:top w:val="single" w:color="auto" w:sz="4" w:space="0"/>
              <w:left w:val="single" w:color="auto" w:sz="4" w:space="0"/>
              <w:bottom w:val="single" w:color="auto" w:sz="4" w:space="0"/>
              <w:right w:val="single" w:color="auto" w:sz="4" w:space="0"/>
            </w:tcBorders>
            <w:noWrap/>
            <w:vAlign w:val="center"/>
          </w:tcPr>
          <w:p w14:paraId="29DD1BDF">
            <w:pPr>
              <w:adjustRightInd w:val="0"/>
              <w:snapToGrid w:val="0"/>
              <w:spacing w:line="380" w:lineRule="exact"/>
              <w:contextualSpacing/>
              <w:jc w:val="center"/>
              <w:rPr>
                <w:rFonts w:ascii="宋体" w:hAnsi="宋体" w:cs="仿宋_GB2312"/>
                <w:color w:val="auto"/>
                <w:sz w:val="24"/>
                <w:highlight w:val="none"/>
              </w:rPr>
            </w:pPr>
          </w:p>
        </w:tc>
      </w:tr>
    </w:tbl>
    <w:p w14:paraId="576597DA">
      <w:pPr>
        <w:spacing w:line="360" w:lineRule="auto"/>
        <w:contextualSpacing/>
        <w:jc w:val="left"/>
        <w:rPr>
          <w:rFonts w:hint="eastAsia" w:ascii="宋体" w:hAnsi="宋体"/>
          <w:color w:val="auto"/>
          <w:kern w:val="0"/>
          <w:sz w:val="24"/>
          <w:highlight w:val="none"/>
        </w:rPr>
      </w:pPr>
    </w:p>
    <w:p w14:paraId="68DF348D">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6FFE3F9C">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采购需求”中的商务要求逐条作出明确响应，并作出偏离说明。</w:t>
      </w:r>
    </w:p>
    <w:p w14:paraId="44F98D31">
      <w:pPr>
        <w:spacing w:line="360" w:lineRule="auto"/>
        <w:contextualSpacing/>
        <w:jc w:val="left"/>
        <w:rPr>
          <w:rFonts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36313C13">
      <w:pPr>
        <w:spacing w:line="360" w:lineRule="auto"/>
        <w:ind w:right="-817" w:rightChars="-389"/>
        <w:contextualSpacing/>
        <w:rPr>
          <w:rFonts w:ascii="宋体" w:hAnsi="宋体" w:cs="仿宋_GB2312"/>
          <w:color w:val="auto"/>
          <w:sz w:val="24"/>
          <w:highlight w:val="none"/>
        </w:rPr>
      </w:pPr>
    </w:p>
    <w:p w14:paraId="79DC6D98">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37801253">
      <w:pPr>
        <w:spacing w:line="360" w:lineRule="auto"/>
        <w:jc w:val="center"/>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日期：  年  月   日</w:t>
      </w:r>
    </w:p>
    <w:p w14:paraId="0C48EA7C">
      <w:pPr>
        <w:adjustRightInd w:val="0"/>
        <w:snapToGrid w:val="0"/>
        <w:spacing w:line="300" w:lineRule="auto"/>
        <w:rPr>
          <w:rFonts w:ascii="宋体" w:hAnsi="宋体"/>
          <w:color w:val="auto"/>
          <w:highlight w:val="none"/>
          <w:u w:val="single"/>
        </w:rPr>
      </w:pPr>
    </w:p>
    <w:p w14:paraId="351BD77E">
      <w:pPr>
        <w:adjustRightInd w:val="0"/>
        <w:snapToGrid w:val="0"/>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eastAsia="宋体" w:cs="宋体"/>
          <w:b/>
          <w:bCs/>
          <w:color w:val="auto"/>
          <w:sz w:val="44"/>
          <w:szCs w:val="44"/>
          <w:highlight w:val="none"/>
          <w:lang w:val="en-US" w:eastAsia="zh-CN"/>
        </w:rPr>
        <w:t>服务需求</w:t>
      </w:r>
      <w:r>
        <w:rPr>
          <w:rFonts w:hint="eastAsia" w:ascii="宋体" w:hAnsi="宋体" w:cs="宋体"/>
          <w:b/>
          <w:bCs/>
          <w:color w:val="auto"/>
          <w:sz w:val="44"/>
          <w:szCs w:val="44"/>
          <w:highlight w:val="none"/>
        </w:rPr>
        <w:t>偏离表</w:t>
      </w:r>
      <w:r>
        <w:rPr>
          <w:rFonts w:hint="eastAsia" w:ascii="宋体" w:hAnsi="宋体" w:cs="宋体"/>
          <w:bCs/>
          <w:color w:val="auto"/>
          <w:sz w:val="44"/>
          <w:szCs w:val="44"/>
          <w:highlight w:val="none"/>
        </w:rPr>
        <w:t>（格式）</w:t>
      </w:r>
    </w:p>
    <w:p w14:paraId="5582DA74">
      <w:pPr>
        <w:spacing w:line="360" w:lineRule="auto"/>
        <w:contextualSpacing/>
        <w:rPr>
          <w:rFonts w:ascii="仿宋_GB2312" w:hAnsi="仿宋_GB2312" w:eastAsia="仿宋_GB2312" w:cs="仿宋_GB2312"/>
          <w:color w:val="auto"/>
          <w:sz w:val="32"/>
          <w:szCs w:val="32"/>
          <w:highlight w:val="none"/>
        </w:rPr>
      </w:pPr>
    </w:p>
    <w:p w14:paraId="51D5E9DD">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项目编号：</w:t>
      </w:r>
    </w:p>
    <w:p w14:paraId="34F3F07E">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项目名称：</w:t>
      </w:r>
    </w:p>
    <w:p w14:paraId="31F61C79">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34"/>
        <w:tblW w:w="4895"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7"/>
        <w:gridCol w:w="1127"/>
        <w:gridCol w:w="2661"/>
        <w:gridCol w:w="2620"/>
        <w:gridCol w:w="1432"/>
      </w:tblGrid>
      <w:tr w14:paraId="005CF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6F8CB1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0" w:name="_Toc383699906"/>
            <w:bookmarkStart w:id="91" w:name="_Toc301781611"/>
            <w:bookmarkStart w:id="92" w:name="_Toc295404981"/>
            <w:bookmarkStart w:id="93" w:name="_Toc297193185"/>
            <w:bookmarkStart w:id="94" w:name="_Toc173066401"/>
            <w:bookmarkStart w:id="95" w:name="_Toc173211900"/>
            <w:bookmarkStart w:id="96" w:name="_Toc373333689"/>
            <w:bookmarkStart w:id="97" w:name="_Toc254970588"/>
            <w:bookmarkStart w:id="98" w:name="_Toc254970729"/>
            <w:r>
              <w:rPr>
                <w:rFonts w:hint="eastAsia" w:ascii="宋体" w:hAnsi="宋体" w:eastAsia="宋体"/>
                <w:color w:val="auto"/>
                <w:sz w:val="24"/>
                <w:szCs w:val="24"/>
                <w:highlight w:val="none"/>
              </w:rPr>
              <w:t>序号</w:t>
            </w:r>
            <w:bookmarkEnd w:id="90"/>
            <w:bookmarkEnd w:id="91"/>
            <w:bookmarkEnd w:id="92"/>
            <w:bookmarkEnd w:id="93"/>
            <w:bookmarkEnd w:id="94"/>
            <w:bookmarkEnd w:id="95"/>
            <w:bookmarkEnd w:id="96"/>
            <w:bookmarkEnd w:id="97"/>
            <w:bookmarkEnd w:id="98"/>
          </w:p>
        </w:tc>
        <w:tc>
          <w:tcPr>
            <w:tcW w:w="660" w:type="pct"/>
            <w:tcBorders>
              <w:right w:val="single" w:color="auto" w:sz="4" w:space="0"/>
            </w:tcBorders>
            <w:vAlign w:val="center"/>
          </w:tcPr>
          <w:p w14:paraId="6187CC7D">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标的名称</w:t>
            </w:r>
          </w:p>
        </w:tc>
        <w:tc>
          <w:tcPr>
            <w:tcW w:w="1558" w:type="pct"/>
            <w:tcBorders>
              <w:left w:val="single" w:color="auto" w:sz="4" w:space="0"/>
            </w:tcBorders>
            <w:vAlign w:val="center"/>
          </w:tcPr>
          <w:p w14:paraId="3D263E23">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磋商文件技术要求</w:t>
            </w:r>
          </w:p>
        </w:tc>
        <w:tc>
          <w:tcPr>
            <w:tcW w:w="1534" w:type="pct"/>
            <w:vAlign w:val="center"/>
          </w:tcPr>
          <w:p w14:paraId="7EB2040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9" w:name="_Toc301781613"/>
            <w:bookmarkStart w:id="100" w:name="_Toc295404983"/>
            <w:bookmarkStart w:id="101" w:name="_Toc383699908"/>
            <w:bookmarkStart w:id="102" w:name="_Toc173066403"/>
            <w:bookmarkStart w:id="103" w:name="_Toc373333691"/>
            <w:bookmarkStart w:id="104" w:name="_Toc254970731"/>
            <w:bookmarkStart w:id="105" w:name="_Toc254970590"/>
            <w:bookmarkStart w:id="106" w:name="_Toc173211902"/>
            <w:bookmarkStart w:id="107" w:name="_Toc297193187"/>
            <w:r>
              <w:rPr>
                <w:rFonts w:hint="eastAsia" w:ascii="宋体" w:hAnsi="宋体" w:eastAsia="宋体"/>
                <w:color w:val="auto"/>
                <w:sz w:val="24"/>
                <w:szCs w:val="24"/>
                <w:highlight w:val="none"/>
              </w:rPr>
              <w:t>竞标响应</w:t>
            </w:r>
            <w:bookmarkEnd w:id="99"/>
            <w:bookmarkEnd w:id="100"/>
            <w:bookmarkEnd w:id="101"/>
            <w:bookmarkEnd w:id="102"/>
            <w:bookmarkEnd w:id="103"/>
            <w:bookmarkEnd w:id="104"/>
            <w:bookmarkEnd w:id="105"/>
            <w:bookmarkEnd w:id="106"/>
            <w:bookmarkEnd w:id="107"/>
          </w:p>
        </w:tc>
        <w:tc>
          <w:tcPr>
            <w:tcW w:w="838" w:type="pct"/>
            <w:vAlign w:val="center"/>
          </w:tcPr>
          <w:p w14:paraId="376F5D0C">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08" w:name="_Toc173066404"/>
            <w:bookmarkStart w:id="109" w:name="_Toc254970732"/>
            <w:bookmarkStart w:id="110" w:name="_Toc383699909"/>
            <w:bookmarkStart w:id="111" w:name="_Toc373333692"/>
            <w:bookmarkStart w:id="112" w:name="_Toc173211903"/>
            <w:bookmarkStart w:id="113" w:name="_Toc297193188"/>
            <w:bookmarkStart w:id="114" w:name="_Toc295404984"/>
            <w:bookmarkStart w:id="115" w:name="_Toc301781614"/>
            <w:bookmarkStart w:id="116" w:name="_Toc254970591"/>
            <w:r>
              <w:rPr>
                <w:rFonts w:hint="eastAsia" w:ascii="宋体" w:hAnsi="宋体" w:eastAsia="宋体"/>
                <w:color w:val="auto"/>
                <w:sz w:val="24"/>
                <w:szCs w:val="24"/>
                <w:highlight w:val="none"/>
              </w:rPr>
              <w:t>偏离</w:t>
            </w:r>
            <w:bookmarkEnd w:id="108"/>
            <w:bookmarkEnd w:id="109"/>
            <w:bookmarkEnd w:id="110"/>
            <w:bookmarkEnd w:id="111"/>
            <w:bookmarkEnd w:id="112"/>
            <w:bookmarkEnd w:id="113"/>
            <w:bookmarkEnd w:id="114"/>
            <w:bookmarkEnd w:id="115"/>
            <w:bookmarkEnd w:id="116"/>
            <w:bookmarkStart w:id="117" w:name="_Toc301781615"/>
            <w:bookmarkStart w:id="118" w:name="_Toc295404985"/>
            <w:bookmarkStart w:id="119" w:name="_Toc173211904"/>
            <w:bookmarkStart w:id="120" w:name="_Toc383699910"/>
            <w:bookmarkStart w:id="121" w:name="_Toc373333693"/>
            <w:bookmarkStart w:id="122" w:name="_Toc254970592"/>
            <w:bookmarkStart w:id="123" w:name="_Toc297193189"/>
            <w:bookmarkStart w:id="124" w:name="_Toc173066405"/>
            <w:bookmarkStart w:id="125" w:name="_Toc254970733"/>
            <w:r>
              <w:rPr>
                <w:rFonts w:hint="eastAsia" w:ascii="宋体" w:hAnsi="宋体" w:eastAsia="宋体"/>
                <w:color w:val="auto"/>
                <w:sz w:val="24"/>
                <w:szCs w:val="24"/>
                <w:highlight w:val="none"/>
              </w:rPr>
              <w:t>说明</w:t>
            </w:r>
            <w:bookmarkEnd w:id="117"/>
            <w:bookmarkEnd w:id="118"/>
            <w:bookmarkEnd w:id="119"/>
            <w:bookmarkEnd w:id="120"/>
            <w:bookmarkEnd w:id="121"/>
            <w:bookmarkEnd w:id="122"/>
            <w:bookmarkEnd w:id="123"/>
            <w:bookmarkEnd w:id="124"/>
            <w:bookmarkEnd w:id="125"/>
          </w:p>
        </w:tc>
      </w:tr>
      <w:tr w14:paraId="3A3298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2740169">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26" w:name="_Toc173211905"/>
            <w:bookmarkStart w:id="127" w:name="_Toc254970593"/>
            <w:bookmarkStart w:id="128" w:name="_Toc295404986"/>
            <w:bookmarkStart w:id="129" w:name="_Toc254970734"/>
            <w:bookmarkStart w:id="130" w:name="_Toc373333694"/>
            <w:bookmarkStart w:id="131" w:name="_Toc173066406"/>
            <w:bookmarkStart w:id="132" w:name="_Toc383699911"/>
            <w:bookmarkStart w:id="133" w:name="_Toc297193190"/>
            <w:bookmarkStart w:id="134" w:name="_Toc301781616"/>
            <w:r>
              <w:rPr>
                <w:rFonts w:hint="eastAsia" w:ascii="宋体" w:hAnsi="宋体" w:eastAsia="宋体"/>
                <w:color w:val="auto"/>
                <w:sz w:val="24"/>
                <w:szCs w:val="24"/>
                <w:highlight w:val="none"/>
              </w:rPr>
              <w:t>1</w:t>
            </w:r>
            <w:bookmarkEnd w:id="126"/>
            <w:bookmarkEnd w:id="127"/>
            <w:bookmarkEnd w:id="128"/>
            <w:bookmarkEnd w:id="129"/>
            <w:bookmarkEnd w:id="130"/>
            <w:bookmarkEnd w:id="131"/>
            <w:bookmarkEnd w:id="132"/>
            <w:bookmarkEnd w:id="133"/>
            <w:bookmarkEnd w:id="134"/>
          </w:p>
        </w:tc>
        <w:tc>
          <w:tcPr>
            <w:tcW w:w="660" w:type="pct"/>
            <w:tcBorders>
              <w:right w:val="single" w:color="auto" w:sz="4" w:space="0"/>
            </w:tcBorders>
            <w:vAlign w:val="center"/>
          </w:tcPr>
          <w:p w14:paraId="0AC5702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E01057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418E561">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0364F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5CB3A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37A1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E96B64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09217023">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7D7F3A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0849811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35" w:name="_Toc254970735"/>
            <w:bookmarkStart w:id="136" w:name="_Toc173211906"/>
            <w:bookmarkStart w:id="137" w:name="_Toc254970594"/>
            <w:bookmarkStart w:id="138" w:name="_Toc301781617"/>
            <w:bookmarkStart w:id="139" w:name="_Toc383699912"/>
            <w:bookmarkStart w:id="140" w:name="_Toc295404987"/>
            <w:bookmarkStart w:id="141" w:name="_Toc297193191"/>
            <w:bookmarkStart w:id="142" w:name="_Toc373333695"/>
            <w:bookmarkStart w:id="143" w:name="_Toc173066407"/>
            <w:r>
              <w:rPr>
                <w:rFonts w:hint="eastAsia" w:ascii="宋体" w:hAnsi="宋体" w:eastAsia="宋体"/>
                <w:color w:val="auto"/>
                <w:sz w:val="24"/>
                <w:szCs w:val="24"/>
                <w:highlight w:val="none"/>
              </w:rPr>
              <w:t>2</w:t>
            </w:r>
            <w:bookmarkEnd w:id="135"/>
            <w:bookmarkEnd w:id="136"/>
            <w:bookmarkEnd w:id="137"/>
            <w:bookmarkEnd w:id="138"/>
            <w:bookmarkEnd w:id="139"/>
            <w:bookmarkEnd w:id="140"/>
            <w:bookmarkEnd w:id="141"/>
            <w:bookmarkEnd w:id="142"/>
            <w:bookmarkEnd w:id="143"/>
          </w:p>
        </w:tc>
        <w:tc>
          <w:tcPr>
            <w:tcW w:w="660" w:type="pct"/>
            <w:tcBorders>
              <w:right w:val="single" w:color="auto" w:sz="4" w:space="0"/>
            </w:tcBorders>
            <w:vAlign w:val="center"/>
          </w:tcPr>
          <w:p w14:paraId="49EBA4F1">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4770242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0EF8F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C40AE5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28ACB2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7CED8A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0C1419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567372CA">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589A8E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08" w:type="pct"/>
            <w:vAlign w:val="center"/>
          </w:tcPr>
          <w:p w14:paraId="5292AA9B">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44" w:name="_Toc254970602"/>
            <w:bookmarkStart w:id="145" w:name="_Toc383699916"/>
            <w:bookmarkStart w:id="146" w:name="_Toc373333699"/>
            <w:bookmarkStart w:id="147" w:name="_Toc297193195"/>
            <w:bookmarkStart w:id="148" w:name="_Toc301781621"/>
            <w:bookmarkStart w:id="149" w:name="_Toc173066415"/>
            <w:bookmarkStart w:id="150" w:name="_Toc295404991"/>
            <w:bookmarkStart w:id="151" w:name="_Toc254970743"/>
            <w:bookmarkStart w:id="152" w:name="_Toc173211914"/>
            <w:r>
              <w:rPr>
                <w:rFonts w:hint="eastAsia" w:ascii="宋体" w:hAnsi="宋体" w:eastAsia="宋体"/>
                <w:color w:val="auto"/>
                <w:sz w:val="24"/>
                <w:szCs w:val="24"/>
                <w:highlight w:val="none"/>
              </w:rPr>
              <w:t>…</w:t>
            </w:r>
            <w:bookmarkEnd w:id="144"/>
            <w:bookmarkEnd w:id="145"/>
            <w:bookmarkEnd w:id="146"/>
            <w:bookmarkEnd w:id="147"/>
            <w:bookmarkEnd w:id="148"/>
            <w:bookmarkEnd w:id="149"/>
            <w:bookmarkEnd w:id="150"/>
            <w:bookmarkEnd w:id="151"/>
            <w:bookmarkEnd w:id="152"/>
            <w:r>
              <w:rPr>
                <w:rFonts w:ascii="宋体" w:hAnsi="宋体" w:eastAsia="宋体"/>
                <w:color w:val="auto"/>
                <w:sz w:val="24"/>
                <w:szCs w:val="24"/>
                <w:highlight w:val="none"/>
              </w:rPr>
              <w:t>…</w:t>
            </w:r>
          </w:p>
        </w:tc>
        <w:tc>
          <w:tcPr>
            <w:tcW w:w="660" w:type="pct"/>
            <w:tcBorders>
              <w:right w:val="single" w:color="auto" w:sz="4" w:space="0"/>
            </w:tcBorders>
            <w:vAlign w:val="center"/>
          </w:tcPr>
          <w:p w14:paraId="44B06885">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8B143B5">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03DC0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6D4FF72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1566200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31214D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B07F04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tcBorders>
              <w:right w:val="single" w:color="auto" w:sz="4" w:space="0"/>
            </w:tcBorders>
            <w:vAlign w:val="center"/>
          </w:tcPr>
          <w:p w14:paraId="45CDFD26">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bl>
    <w:p w14:paraId="52571B59">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4103F366">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采购需求”中的技术要求逐条作出明确响应，并作出偏离说明。</w:t>
      </w:r>
    </w:p>
    <w:p w14:paraId="2F857C4E">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技术响应内容低于竞争性磋商采购文件要求时，竞标人应当如实写明“负偏离”，否则视为虚假应标</w:t>
      </w:r>
    </w:p>
    <w:p w14:paraId="34D0237A">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3.供应商认为其竞标响应有正偏离的，请在技术要求偏离表中列明，且在响应文件中提供竞标产品的第三方检测报告复印件或产品生产厂家出具的技术白皮书或使用说明书等证明材料作为佐证。</w:t>
      </w:r>
    </w:p>
    <w:p w14:paraId="1B5059C0">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4.如技术需求偏离表中的竞标响应与佐证材料不一致的，以佐证材料为准。</w:t>
      </w:r>
    </w:p>
    <w:p w14:paraId="30C6C6DE">
      <w:pPr>
        <w:pStyle w:val="21"/>
        <w:spacing w:line="360" w:lineRule="auto"/>
        <w:contextualSpacing/>
        <w:rPr>
          <w:rFonts w:hAnsi="宋体" w:cs="仿宋_GB2312"/>
          <w:color w:val="auto"/>
          <w:sz w:val="24"/>
          <w:szCs w:val="24"/>
          <w:highlight w:val="none"/>
        </w:rPr>
      </w:pPr>
    </w:p>
    <w:p w14:paraId="47ED2B80">
      <w:pPr>
        <w:spacing w:line="360" w:lineRule="auto"/>
        <w:ind w:firstLine="3840" w:firstLineChars="16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7E4E08E">
      <w:pPr>
        <w:spacing w:line="360" w:lineRule="auto"/>
        <w:ind w:firstLine="480" w:firstLineChars="200"/>
        <w:contextualSpacing/>
        <w:jc w:val="right"/>
        <w:rPr>
          <w:rFonts w:ascii="宋体" w:hAnsi="宋体" w:cs="宋体"/>
          <w:color w:val="auto"/>
          <w:sz w:val="28"/>
          <w:szCs w:val="28"/>
          <w:highlight w:val="none"/>
        </w:rPr>
      </w:pPr>
      <w:r>
        <w:rPr>
          <w:rFonts w:hint="eastAsia" w:ascii="仿宋_GB2312" w:hAnsi="仿宋" w:eastAsia="仿宋_GB2312" w:cs="仿宋_GB2312"/>
          <w:color w:val="auto"/>
          <w:kern w:val="0"/>
          <w:sz w:val="24"/>
          <w:highlight w:val="none"/>
          <w:lang w:val="zh-CN"/>
        </w:rPr>
        <w:t>日期：  年  月   日</w:t>
      </w:r>
      <w:r>
        <w:rPr>
          <w:rFonts w:hint="eastAsia" w:ascii="宋体" w:hAnsi="宋体" w:cs="宋体"/>
          <w:color w:val="auto"/>
          <w:sz w:val="24"/>
          <w:highlight w:val="none"/>
        </w:rPr>
        <w:br w:type="page"/>
      </w:r>
    </w:p>
    <w:p w14:paraId="4F33E655">
      <w:pPr>
        <w:pStyle w:val="6"/>
        <w:rPr>
          <w:color w:val="auto"/>
          <w:highlight w:val="none"/>
        </w:rPr>
      </w:pPr>
      <w:bookmarkStart w:id="153" w:name="_Toc23859"/>
      <w:bookmarkStart w:id="154" w:name="_Toc32627"/>
      <w:bookmarkStart w:id="155" w:name="_Toc6820"/>
      <w:bookmarkStart w:id="156" w:name="_Toc13096"/>
      <w:r>
        <w:rPr>
          <w:rFonts w:hint="eastAsia"/>
          <w:color w:val="auto"/>
          <w:highlight w:val="none"/>
        </w:rPr>
        <w:t>三、报价文件格式</w:t>
      </w:r>
      <w:bookmarkEnd w:id="85"/>
      <w:bookmarkEnd w:id="86"/>
      <w:bookmarkEnd w:id="153"/>
      <w:bookmarkEnd w:id="154"/>
      <w:bookmarkEnd w:id="155"/>
      <w:bookmarkEnd w:id="156"/>
    </w:p>
    <w:p w14:paraId="0A666C4C">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43EA916C">
      <w:pPr>
        <w:snapToGrid w:val="0"/>
        <w:spacing w:beforeLines="50" w:after="50"/>
        <w:rPr>
          <w:rFonts w:ascii="宋体" w:hAnsi="宋体" w:cs="宋体"/>
          <w:color w:val="auto"/>
          <w:sz w:val="24"/>
          <w:szCs w:val="20"/>
          <w:highlight w:val="none"/>
        </w:rPr>
      </w:pPr>
    </w:p>
    <w:p w14:paraId="609D4EC6">
      <w:pPr>
        <w:pStyle w:val="2"/>
        <w:rPr>
          <w:color w:val="auto"/>
          <w:highlight w:val="none"/>
        </w:rPr>
      </w:pPr>
    </w:p>
    <w:p w14:paraId="0A2D8673">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7882663">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文  件</w:t>
      </w:r>
    </w:p>
    <w:p w14:paraId="0F6EB301">
      <w:pPr>
        <w:snapToGrid w:val="0"/>
        <w:spacing w:beforeLines="50" w:after="50"/>
        <w:rPr>
          <w:rFonts w:ascii="宋体" w:hAnsi="宋体" w:cs="宋体"/>
          <w:bCs/>
          <w:color w:val="auto"/>
          <w:sz w:val="24"/>
          <w:szCs w:val="20"/>
          <w:highlight w:val="none"/>
        </w:rPr>
      </w:pPr>
    </w:p>
    <w:p w14:paraId="5A8231E1">
      <w:pPr>
        <w:snapToGrid w:val="0"/>
        <w:spacing w:beforeLines="50" w:after="50"/>
        <w:rPr>
          <w:rFonts w:ascii="宋体" w:hAnsi="宋体" w:cs="宋体"/>
          <w:bCs/>
          <w:color w:val="auto"/>
          <w:sz w:val="24"/>
          <w:szCs w:val="20"/>
          <w:highlight w:val="none"/>
        </w:rPr>
      </w:pPr>
    </w:p>
    <w:p w14:paraId="0E3E084C">
      <w:pPr>
        <w:snapToGrid w:val="0"/>
        <w:spacing w:beforeLines="50" w:after="50"/>
        <w:ind w:firstLine="2100" w:firstLineChars="875"/>
        <w:rPr>
          <w:rFonts w:ascii="宋体" w:hAnsi="宋体" w:cs="宋体"/>
          <w:bCs/>
          <w:color w:val="auto"/>
          <w:sz w:val="24"/>
          <w:szCs w:val="20"/>
          <w:highlight w:val="none"/>
        </w:rPr>
      </w:pPr>
    </w:p>
    <w:p w14:paraId="26840BD9">
      <w:pPr>
        <w:snapToGrid w:val="0"/>
        <w:spacing w:beforeLines="50" w:after="50"/>
        <w:ind w:firstLine="2100" w:firstLineChars="875"/>
        <w:rPr>
          <w:rFonts w:ascii="宋体" w:hAnsi="宋体" w:cs="宋体"/>
          <w:bCs/>
          <w:color w:val="auto"/>
          <w:sz w:val="24"/>
          <w:szCs w:val="20"/>
          <w:highlight w:val="none"/>
        </w:rPr>
      </w:pPr>
    </w:p>
    <w:p w14:paraId="0A54615B">
      <w:pPr>
        <w:snapToGrid w:val="0"/>
        <w:spacing w:beforeLines="50" w:after="50"/>
        <w:ind w:firstLine="2100" w:firstLineChars="875"/>
        <w:rPr>
          <w:rFonts w:ascii="宋体" w:hAnsi="宋体" w:cs="宋体"/>
          <w:bCs/>
          <w:color w:val="auto"/>
          <w:sz w:val="24"/>
          <w:szCs w:val="20"/>
          <w:highlight w:val="none"/>
        </w:rPr>
      </w:pPr>
    </w:p>
    <w:p w14:paraId="493A2DA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4AE42AF">
      <w:pPr>
        <w:snapToGrid w:val="0"/>
        <w:spacing w:beforeLines="50" w:after="50"/>
        <w:ind w:firstLine="2800" w:firstLineChars="875"/>
        <w:rPr>
          <w:rFonts w:ascii="宋体" w:hAnsi="宋体" w:cs="宋体"/>
          <w:bCs/>
          <w:color w:val="auto"/>
          <w:sz w:val="32"/>
          <w:szCs w:val="32"/>
          <w:highlight w:val="none"/>
        </w:rPr>
      </w:pPr>
    </w:p>
    <w:p w14:paraId="44462F67">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E18ABA">
      <w:pPr>
        <w:snapToGrid w:val="0"/>
        <w:spacing w:beforeLines="50" w:after="50"/>
        <w:ind w:firstLine="2800" w:firstLineChars="875"/>
        <w:rPr>
          <w:rFonts w:ascii="宋体" w:hAnsi="宋体" w:cs="宋体"/>
          <w:bCs/>
          <w:color w:val="auto"/>
          <w:sz w:val="32"/>
          <w:szCs w:val="32"/>
          <w:highlight w:val="none"/>
        </w:rPr>
      </w:pPr>
    </w:p>
    <w:p w14:paraId="19B5B3AC">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73F597B5">
      <w:pPr>
        <w:snapToGrid w:val="0"/>
        <w:spacing w:beforeLines="50" w:after="50"/>
        <w:ind w:firstLine="2800" w:firstLineChars="875"/>
        <w:rPr>
          <w:rFonts w:ascii="宋体" w:hAnsi="宋体" w:cs="宋体"/>
          <w:bCs/>
          <w:color w:val="auto"/>
          <w:sz w:val="32"/>
          <w:szCs w:val="32"/>
          <w:highlight w:val="none"/>
        </w:rPr>
      </w:pPr>
    </w:p>
    <w:p w14:paraId="724A4F81">
      <w:pPr>
        <w:pStyle w:val="10"/>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3269AA6">
      <w:pPr>
        <w:pStyle w:val="10"/>
        <w:snapToGrid w:val="0"/>
        <w:spacing w:before="50" w:after="50"/>
        <w:ind w:firstLine="2800" w:firstLineChars="875"/>
        <w:rPr>
          <w:rFonts w:ascii="宋体" w:hAnsi="宋体" w:cs="宋体"/>
          <w:bCs/>
          <w:color w:val="auto"/>
          <w:sz w:val="32"/>
          <w:szCs w:val="32"/>
          <w:highlight w:val="none"/>
        </w:rPr>
      </w:pPr>
    </w:p>
    <w:p w14:paraId="3F699ACC">
      <w:pPr>
        <w:pStyle w:val="10"/>
        <w:snapToGrid w:val="0"/>
        <w:spacing w:before="50" w:after="50"/>
        <w:ind w:firstLine="720" w:firstLineChars="225"/>
        <w:rPr>
          <w:rFonts w:ascii="宋体" w:hAnsi="宋体" w:cs="宋体"/>
          <w:bCs/>
          <w:color w:val="auto"/>
          <w:sz w:val="32"/>
          <w:szCs w:val="32"/>
          <w:highlight w:val="none"/>
        </w:rPr>
      </w:pPr>
    </w:p>
    <w:p w14:paraId="5D06CACE">
      <w:pPr>
        <w:pStyle w:val="10"/>
        <w:snapToGrid w:val="0"/>
        <w:spacing w:before="50" w:after="50"/>
        <w:ind w:firstLine="1280" w:firstLineChars="400"/>
        <w:rPr>
          <w:rFonts w:ascii="宋体" w:hAnsi="宋体" w:cs="宋体"/>
          <w:bCs/>
          <w:color w:val="auto"/>
          <w:sz w:val="32"/>
          <w:szCs w:val="32"/>
          <w:highlight w:val="none"/>
        </w:rPr>
      </w:pPr>
    </w:p>
    <w:p w14:paraId="421D9564">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2BBC6B0">
      <w:pPr>
        <w:snapToGrid w:val="0"/>
        <w:spacing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2.报价文件目录</w:t>
      </w:r>
    </w:p>
    <w:p w14:paraId="489E101A">
      <w:pPr>
        <w:snapToGrid w:val="0"/>
        <w:spacing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9DAFD1E">
      <w:pPr>
        <w:spacing w:line="400" w:lineRule="exact"/>
        <w:rPr>
          <w:rFonts w:ascii="宋体" w:hAnsi="宋体" w:cs="宋体"/>
          <w:color w:val="auto"/>
          <w:sz w:val="32"/>
          <w:szCs w:val="32"/>
          <w:highlight w:val="none"/>
        </w:rPr>
      </w:pPr>
    </w:p>
    <w:p w14:paraId="79B54AD3">
      <w:pPr>
        <w:spacing w:line="360" w:lineRule="auto"/>
        <w:ind w:firstLine="880" w:firstLineChars="200"/>
        <w:contextualSpacing/>
        <w:jc w:val="center"/>
        <w:rPr>
          <w:rFonts w:ascii="宋体" w:hAnsi="宋体" w:cs="宋体"/>
          <w:color w:val="auto"/>
          <w:sz w:val="24"/>
          <w:highlight w:val="none"/>
        </w:rPr>
      </w:pPr>
      <w:r>
        <w:rPr>
          <w:rFonts w:hint="eastAsia" w:ascii="宋体" w:hAnsi="宋体" w:cs="宋体"/>
          <w:color w:val="auto"/>
          <w:sz w:val="44"/>
          <w:szCs w:val="44"/>
          <w:highlight w:val="none"/>
        </w:rPr>
        <w:br w:type="page"/>
      </w:r>
    </w:p>
    <w:p w14:paraId="31076D55">
      <w:pPr>
        <w:spacing w:line="360" w:lineRule="auto"/>
        <w:jc w:val="center"/>
        <w:rPr>
          <w:color w:val="auto"/>
          <w:kern w:val="0"/>
          <w:sz w:val="20"/>
          <w:szCs w:val="21"/>
          <w:highlight w:val="none"/>
        </w:rPr>
      </w:pPr>
      <w:r>
        <w:rPr>
          <w:rFonts w:hint="eastAsia"/>
          <w:b/>
          <w:bCs/>
          <w:color w:val="auto"/>
          <w:kern w:val="0"/>
          <w:sz w:val="30"/>
          <w:szCs w:val="30"/>
          <w:highlight w:val="none"/>
        </w:rPr>
        <w:t>响应函</w:t>
      </w:r>
    </w:p>
    <w:p w14:paraId="318085C7">
      <w:pPr>
        <w:spacing w:line="360" w:lineRule="auto"/>
        <w:rPr>
          <w:color w:val="auto"/>
          <w:kern w:val="0"/>
          <w:sz w:val="20"/>
          <w:szCs w:val="21"/>
          <w:highlight w:val="none"/>
        </w:rPr>
      </w:pPr>
      <w:r>
        <w:rPr>
          <w:rFonts w:hint="eastAsia"/>
          <w:color w:val="auto"/>
          <w:kern w:val="0"/>
          <w:sz w:val="20"/>
          <w:szCs w:val="21"/>
          <w:highlight w:val="none"/>
        </w:rPr>
        <w:t>致：</w:t>
      </w:r>
      <w:bookmarkStart w:id="157" w:name="PO_3000001871_PM031_6"/>
      <w:r>
        <w:rPr>
          <w:color w:val="auto"/>
          <w:kern w:val="0"/>
          <w:sz w:val="20"/>
          <w:szCs w:val="21"/>
          <w:highlight w:val="none"/>
          <w:u w:val="single"/>
        </w:rPr>
        <w:t>[</w:t>
      </w:r>
      <w:r>
        <w:rPr>
          <w:rFonts w:hint="eastAsia"/>
          <w:color w:val="auto"/>
          <w:kern w:val="0"/>
          <w:sz w:val="20"/>
          <w:szCs w:val="21"/>
          <w:highlight w:val="none"/>
          <w:u w:val="single"/>
        </w:rPr>
        <w:t>采购代理机构</w:t>
      </w:r>
      <w:r>
        <w:rPr>
          <w:color w:val="auto"/>
          <w:kern w:val="0"/>
          <w:sz w:val="20"/>
          <w:szCs w:val="21"/>
          <w:highlight w:val="none"/>
          <w:u w:val="single"/>
        </w:rPr>
        <w:t>_]</w:t>
      </w:r>
      <w:bookmarkEnd w:id="157"/>
    </w:p>
    <w:p w14:paraId="612FEDC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我方已仔细研究了</w:t>
      </w:r>
      <w:r>
        <w:rPr>
          <w:rFonts w:ascii="Arial" w:hAnsi="Arial" w:cs="Arial"/>
          <w:color w:val="auto"/>
          <w:szCs w:val="21"/>
          <w:highlight w:val="none"/>
          <w:u w:val="single"/>
        </w:rPr>
        <w:t>（项目名称）</w:t>
      </w:r>
      <w:r>
        <w:rPr>
          <w:rFonts w:ascii="Arial" w:hAnsi="Arial" w:cs="Arial"/>
          <w:color w:val="auto"/>
          <w:szCs w:val="21"/>
          <w:highlight w:val="none"/>
        </w:rPr>
        <w:t>的采购文件的全部内容，签字代表</w:t>
      </w:r>
      <w:r>
        <w:rPr>
          <w:rFonts w:ascii="Arial" w:hAnsi="Arial" w:cs="Arial"/>
          <w:color w:val="auto"/>
          <w:szCs w:val="21"/>
          <w:highlight w:val="none"/>
          <w:u w:val="single"/>
        </w:rPr>
        <w:t>（授权代表姓名）</w:t>
      </w:r>
      <w:r>
        <w:rPr>
          <w:rFonts w:ascii="Arial" w:hAnsi="Arial" w:cs="Arial"/>
          <w:color w:val="auto"/>
          <w:szCs w:val="21"/>
          <w:highlight w:val="none"/>
        </w:rPr>
        <w:t>经正式授权并代表供应商</w:t>
      </w:r>
      <w:r>
        <w:rPr>
          <w:rFonts w:ascii="Arial" w:hAnsi="Arial" w:cs="Arial"/>
          <w:color w:val="auto"/>
          <w:szCs w:val="21"/>
          <w:highlight w:val="none"/>
          <w:u w:val="single"/>
        </w:rPr>
        <w:t xml:space="preserve"> （供应商名称） </w:t>
      </w:r>
      <w:r>
        <w:rPr>
          <w:rFonts w:ascii="Arial" w:hAnsi="Arial" w:cs="Arial"/>
          <w:color w:val="auto"/>
          <w:szCs w:val="21"/>
          <w:highlight w:val="none"/>
        </w:rPr>
        <w:t>提交响应文件。</w:t>
      </w:r>
    </w:p>
    <w:p w14:paraId="0375DD0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据此函，签字代表宣布同意如下：</w:t>
      </w:r>
    </w:p>
    <w:p w14:paraId="532FCC69">
      <w:pPr>
        <w:spacing w:line="360" w:lineRule="auto"/>
        <w:rPr>
          <w:rFonts w:ascii="Arial" w:hAnsi="Arial" w:cs="Arial"/>
          <w:color w:val="auto"/>
          <w:szCs w:val="21"/>
          <w:highlight w:val="none"/>
        </w:rPr>
      </w:pPr>
      <w:r>
        <w:rPr>
          <w:rFonts w:ascii="Arial" w:hAnsi="Arial" w:cs="Arial"/>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7566D325">
      <w:pPr>
        <w:spacing w:line="360" w:lineRule="auto"/>
        <w:rPr>
          <w:rFonts w:ascii="Arial" w:hAnsi="Arial" w:cs="Arial"/>
          <w:color w:val="auto"/>
          <w:szCs w:val="21"/>
          <w:highlight w:val="none"/>
        </w:rPr>
      </w:pPr>
      <w:r>
        <w:rPr>
          <w:rFonts w:ascii="Arial" w:hAnsi="Arial" w:cs="Arial"/>
          <w:color w:val="auto"/>
          <w:szCs w:val="21"/>
          <w:highlight w:val="none"/>
        </w:rPr>
        <w:t>（2）供应商在响应之前已经与贵方进行了充分的沟通，完全理解并接受采购文件的各项规定和要求，对采购文件的合理性、合法性不再有异议。</w:t>
      </w:r>
    </w:p>
    <w:p w14:paraId="5B43D5A4">
      <w:pPr>
        <w:spacing w:line="360" w:lineRule="auto"/>
        <w:rPr>
          <w:rFonts w:ascii="Arial" w:hAnsi="Arial" w:cs="Arial"/>
          <w:color w:val="auto"/>
          <w:szCs w:val="21"/>
          <w:highlight w:val="none"/>
        </w:rPr>
      </w:pPr>
      <w:r>
        <w:rPr>
          <w:rFonts w:ascii="Arial" w:hAnsi="Arial" w:cs="Arial"/>
          <w:color w:val="auto"/>
          <w:szCs w:val="21"/>
          <w:highlight w:val="none"/>
        </w:rPr>
        <w:t>（3）本响应有效期自响应文件递交截止</w:t>
      </w:r>
      <w:r>
        <w:rPr>
          <w:rFonts w:hint="eastAsia" w:ascii="Arial" w:hAnsi="Arial" w:cs="Arial"/>
          <w:color w:val="auto"/>
          <w:szCs w:val="21"/>
          <w:highlight w:val="none"/>
          <w:lang w:eastAsia="zh-CN"/>
        </w:rPr>
        <w:t>之日起</w:t>
      </w:r>
      <w:r>
        <w:rPr>
          <w:rFonts w:ascii="Arial" w:hAnsi="Arial" w:cs="Arial"/>
          <w:color w:val="auto"/>
          <w:szCs w:val="21"/>
          <w:highlight w:val="none"/>
        </w:rPr>
        <w:t>（须不少于</w:t>
      </w:r>
      <w:r>
        <w:rPr>
          <w:rFonts w:hint="eastAsia" w:ascii="Arial" w:hAnsi="Arial" w:cs="Arial"/>
          <w:color w:val="auto"/>
          <w:szCs w:val="21"/>
          <w:highlight w:val="none"/>
          <w:lang w:val="en-US" w:eastAsia="zh-CN"/>
        </w:rPr>
        <w:t>6</w:t>
      </w:r>
      <w:r>
        <w:rPr>
          <w:rFonts w:ascii="Arial" w:hAnsi="Arial" w:cs="Arial"/>
          <w:color w:val="auto"/>
          <w:szCs w:val="21"/>
          <w:highlight w:val="none"/>
        </w:rPr>
        <w:t>0天）。</w:t>
      </w:r>
    </w:p>
    <w:p w14:paraId="21B778C2">
      <w:pPr>
        <w:spacing w:line="360" w:lineRule="auto"/>
        <w:rPr>
          <w:rFonts w:ascii="Arial" w:hAnsi="Arial" w:cs="Arial"/>
          <w:color w:val="auto"/>
          <w:szCs w:val="21"/>
          <w:highlight w:val="none"/>
        </w:rPr>
      </w:pPr>
      <w:r>
        <w:rPr>
          <w:rFonts w:ascii="Arial" w:hAnsi="Arial" w:cs="Arial"/>
          <w:color w:val="auto"/>
          <w:szCs w:val="21"/>
          <w:highlight w:val="none"/>
        </w:rPr>
        <w:t>（4）如成交，本响应文件至本项目合同履行完毕止均保持有效，本供应商将按“采购文件”及政府采购法律、法规的规定履行合同责任和义务，并承诺不分包及转包他人。</w:t>
      </w:r>
    </w:p>
    <w:p w14:paraId="625311D0">
      <w:pPr>
        <w:spacing w:line="360" w:lineRule="auto"/>
        <w:rPr>
          <w:rFonts w:ascii="Arial" w:hAnsi="Arial" w:cs="Arial"/>
          <w:color w:val="auto"/>
          <w:szCs w:val="21"/>
          <w:highlight w:val="none"/>
        </w:rPr>
      </w:pPr>
      <w:r>
        <w:rPr>
          <w:rFonts w:ascii="Arial" w:hAnsi="Arial" w:cs="Arial"/>
          <w:color w:val="auto"/>
          <w:szCs w:val="21"/>
          <w:highlight w:val="none"/>
        </w:rPr>
        <w:t>（5）供应商同意按照贵方要求提供与响应有关的一切数据或资料。</w:t>
      </w:r>
    </w:p>
    <w:p w14:paraId="5F1C295D">
      <w:pPr>
        <w:spacing w:line="360" w:lineRule="auto"/>
        <w:rPr>
          <w:rFonts w:ascii="Arial" w:hAnsi="Arial" w:cs="Arial"/>
          <w:color w:val="auto"/>
          <w:szCs w:val="21"/>
          <w:highlight w:val="none"/>
        </w:rPr>
      </w:pPr>
      <w:r>
        <w:rPr>
          <w:rFonts w:ascii="Arial" w:hAnsi="Arial" w:cs="Arial"/>
          <w:color w:val="auto"/>
          <w:szCs w:val="21"/>
          <w:highlight w:val="none"/>
        </w:rPr>
        <w:t>（6）与本项目有关的一切正式往来信函请寄：</w:t>
      </w:r>
    </w:p>
    <w:p w14:paraId="4F6B9D9A">
      <w:pPr>
        <w:spacing w:line="360" w:lineRule="auto"/>
        <w:rPr>
          <w:rFonts w:ascii="Arial" w:hAnsi="Arial" w:cs="Arial"/>
          <w:color w:val="auto"/>
          <w:szCs w:val="21"/>
          <w:highlight w:val="none"/>
        </w:rPr>
      </w:pPr>
      <w:r>
        <w:rPr>
          <w:rFonts w:ascii="Arial" w:hAnsi="Arial" w:cs="Arial"/>
          <w:color w:val="auto"/>
          <w:szCs w:val="21"/>
          <w:highlight w:val="none"/>
        </w:rPr>
        <w:t>地址：</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邮编：</w:t>
      </w:r>
      <w:r>
        <w:rPr>
          <w:rFonts w:hint="eastAsia" w:ascii="宋体" w:hAnsi="宋体" w:cs="仿宋_GB2312"/>
          <w:color w:val="auto"/>
          <w:sz w:val="24"/>
          <w:highlight w:val="none"/>
          <w:u w:val="single"/>
        </w:rPr>
        <w:t xml:space="preserve">      </w:t>
      </w:r>
      <w:r>
        <w:rPr>
          <w:rFonts w:ascii="Arial" w:hAnsi="Arial" w:cs="Arial"/>
          <w:color w:val="auto"/>
          <w:szCs w:val="21"/>
          <w:highlight w:val="none"/>
        </w:rPr>
        <w:t xml:space="preserve">  电话：</w:t>
      </w:r>
      <w:r>
        <w:rPr>
          <w:rFonts w:hint="eastAsia" w:ascii="宋体" w:hAnsi="宋体" w:cs="仿宋_GB2312"/>
          <w:color w:val="auto"/>
          <w:sz w:val="24"/>
          <w:highlight w:val="none"/>
          <w:u w:val="single"/>
        </w:rPr>
        <w:t xml:space="preserve">      </w:t>
      </w:r>
    </w:p>
    <w:p w14:paraId="740F8DC8">
      <w:pPr>
        <w:spacing w:line="360" w:lineRule="auto"/>
        <w:rPr>
          <w:rFonts w:ascii="Arial" w:hAnsi="Arial" w:cs="Arial"/>
          <w:color w:val="auto"/>
          <w:szCs w:val="21"/>
          <w:highlight w:val="none"/>
        </w:rPr>
      </w:pPr>
      <w:r>
        <w:rPr>
          <w:rFonts w:ascii="Arial" w:hAnsi="Arial" w:cs="Arial"/>
          <w:color w:val="auto"/>
          <w:szCs w:val="21"/>
          <w:highlight w:val="none"/>
        </w:rPr>
        <w:t>传真：</w:t>
      </w:r>
      <w:r>
        <w:rPr>
          <w:rFonts w:hint="eastAsia" w:ascii="宋体" w:hAnsi="宋体" w:cs="仿宋_GB2312"/>
          <w:color w:val="auto"/>
          <w:sz w:val="24"/>
          <w:highlight w:val="none"/>
          <w:u w:val="single"/>
        </w:rPr>
        <w:t xml:space="preserve">      </w:t>
      </w:r>
    </w:p>
    <w:p w14:paraId="7664BBA8">
      <w:pPr>
        <w:spacing w:line="360" w:lineRule="auto"/>
        <w:rPr>
          <w:rFonts w:ascii="Arial" w:hAnsi="Arial" w:cs="Arial"/>
          <w:color w:val="auto"/>
          <w:szCs w:val="21"/>
          <w:highlight w:val="none"/>
        </w:rPr>
      </w:pPr>
      <w:r>
        <w:rPr>
          <w:rFonts w:ascii="Arial" w:hAnsi="Arial" w:cs="Arial"/>
          <w:color w:val="auto"/>
          <w:szCs w:val="21"/>
          <w:highlight w:val="none"/>
        </w:rPr>
        <w:t>供应商代表姓名</w:t>
      </w:r>
      <w:r>
        <w:rPr>
          <w:rFonts w:hint="eastAsia" w:ascii="宋体" w:hAnsi="宋体" w:cs="仿宋_GB2312"/>
          <w:color w:val="auto"/>
          <w:sz w:val="24"/>
          <w:highlight w:val="none"/>
          <w:u w:val="single"/>
        </w:rPr>
        <w:t xml:space="preserve">      </w:t>
      </w:r>
      <w:r>
        <w:rPr>
          <w:rFonts w:ascii="Arial" w:hAnsi="Arial" w:cs="Arial"/>
          <w:color w:val="auto"/>
          <w:szCs w:val="21"/>
          <w:highlight w:val="none"/>
        </w:rPr>
        <w:t>职务：</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邮箱：</w:t>
      </w:r>
      <w:r>
        <w:rPr>
          <w:rFonts w:hint="eastAsia" w:ascii="宋体" w:hAnsi="宋体" w:cs="仿宋_GB2312"/>
          <w:color w:val="auto"/>
          <w:sz w:val="24"/>
          <w:highlight w:val="none"/>
          <w:u w:val="single"/>
        </w:rPr>
        <w:t xml:space="preserve">      </w:t>
      </w:r>
    </w:p>
    <w:p w14:paraId="71CA56C7">
      <w:pPr>
        <w:spacing w:line="360" w:lineRule="auto"/>
        <w:rPr>
          <w:rFonts w:ascii="Arial" w:hAnsi="Arial" w:cs="Arial"/>
          <w:color w:val="auto"/>
          <w:szCs w:val="21"/>
          <w:highlight w:val="none"/>
        </w:rPr>
      </w:pPr>
    </w:p>
    <w:p w14:paraId="369C1969">
      <w:pPr>
        <w:spacing w:line="360" w:lineRule="auto"/>
        <w:rPr>
          <w:rFonts w:ascii="Arial" w:hAnsi="Arial" w:cs="Arial"/>
          <w:color w:val="auto"/>
          <w:szCs w:val="21"/>
          <w:highlight w:val="none"/>
        </w:rPr>
      </w:pPr>
    </w:p>
    <w:p w14:paraId="0874C8CE">
      <w:pPr>
        <w:spacing w:line="360" w:lineRule="auto"/>
        <w:rPr>
          <w:rFonts w:ascii="Arial" w:hAnsi="Arial" w:cs="Arial"/>
          <w:color w:val="auto"/>
          <w:szCs w:val="21"/>
          <w:highlight w:val="none"/>
          <w:u w:val="single"/>
        </w:rPr>
      </w:pPr>
      <w:r>
        <w:rPr>
          <w:rFonts w:ascii="Arial" w:hAnsi="Arial" w:cs="Arial"/>
          <w:color w:val="auto"/>
          <w:szCs w:val="21"/>
          <w:highlight w:val="none"/>
        </w:rPr>
        <w:t>供应商名称(电子签章)：</w:t>
      </w:r>
    </w:p>
    <w:p w14:paraId="23954AA4">
      <w:pPr>
        <w:spacing w:line="360" w:lineRule="auto"/>
        <w:rPr>
          <w:rFonts w:ascii="Arial" w:hAnsi="Arial" w:cs="Arial"/>
          <w:color w:val="auto"/>
          <w:szCs w:val="21"/>
          <w:highlight w:val="none"/>
        </w:rPr>
      </w:pPr>
    </w:p>
    <w:p w14:paraId="702DF2C6">
      <w:pPr>
        <w:spacing w:line="360" w:lineRule="auto"/>
        <w:rPr>
          <w:rFonts w:ascii="Arial" w:hAnsi="Arial" w:cs="Arial"/>
          <w:color w:val="auto"/>
          <w:szCs w:val="21"/>
          <w:highlight w:val="none"/>
        </w:rPr>
      </w:pPr>
    </w:p>
    <w:p w14:paraId="26CEA1BF">
      <w:pPr>
        <w:spacing w:line="360" w:lineRule="auto"/>
        <w:rPr>
          <w:rFonts w:ascii="Arial" w:hAnsi="Arial" w:cs="Arial"/>
          <w:color w:val="auto"/>
          <w:szCs w:val="21"/>
          <w:highlight w:val="none"/>
        </w:rPr>
      </w:pPr>
      <w:r>
        <w:rPr>
          <w:rFonts w:ascii="Arial" w:hAnsi="Arial" w:cs="Arial"/>
          <w:color w:val="auto"/>
          <w:szCs w:val="21"/>
          <w:highlight w:val="none"/>
        </w:rPr>
        <w:t>日期：年月日</w:t>
      </w:r>
    </w:p>
    <w:p w14:paraId="3B6143F9">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C6CFA3C">
      <w:pPr>
        <w:jc w:val="center"/>
        <w:rPr>
          <w:rFonts w:ascii="宋体" w:hAnsi="宋体" w:cs="宋体"/>
          <w:b/>
          <w:bCs/>
          <w:color w:val="auto"/>
          <w:sz w:val="32"/>
          <w:szCs w:val="32"/>
          <w:highlight w:val="none"/>
        </w:rPr>
      </w:pPr>
      <w:r>
        <w:rPr>
          <w:rFonts w:hint="eastAsia" w:ascii="宋体" w:hAnsi="宋体" w:cs="宋体"/>
          <w:b/>
          <w:bCs/>
          <w:color w:val="auto"/>
          <w:sz w:val="44"/>
          <w:szCs w:val="44"/>
          <w:highlight w:val="none"/>
        </w:rPr>
        <w:t>响应报价表</w:t>
      </w:r>
    </w:p>
    <w:p w14:paraId="02B81992">
      <w:pPr>
        <w:spacing w:line="440" w:lineRule="exact"/>
        <w:jc w:val="center"/>
        <w:rPr>
          <w:rFonts w:ascii="宋体" w:hAnsi="宋体" w:cs="宋体"/>
          <w:bCs/>
          <w:color w:val="auto"/>
          <w:sz w:val="32"/>
          <w:szCs w:val="32"/>
          <w:highlight w:val="none"/>
        </w:rPr>
      </w:pPr>
    </w:p>
    <w:p w14:paraId="6180D17A">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项目名称：  </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项目编号：</w:t>
      </w:r>
    </w:p>
    <w:p w14:paraId="040B6825">
      <w:pPr>
        <w:snapToGrid w:val="0"/>
        <w:spacing w:before="50" w:after="50" w:line="360" w:lineRule="auto"/>
        <w:rPr>
          <w:rFonts w:ascii="宋体" w:hAnsi="宋体" w:cs="仿宋_GB2312"/>
          <w:color w:val="auto"/>
          <w:sz w:val="24"/>
          <w:highlight w:val="none"/>
          <w:u w:val="single"/>
        </w:rPr>
      </w:pPr>
      <w:r>
        <w:rPr>
          <w:rFonts w:hint="eastAsia" w:ascii="宋体" w:hAnsi="宋体" w:cs="仿宋_GB2312"/>
          <w:color w:val="auto"/>
          <w:sz w:val="24"/>
          <w:highlight w:val="none"/>
        </w:rPr>
        <w:t>供应商名称：</w:t>
      </w:r>
    </w:p>
    <w:p w14:paraId="6A2E0B56">
      <w:pPr>
        <w:pStyle w:val="21"/>
        <w:spacing w:line="360" w:lineRule="auto"/>
        <w:contextualSpacing/>
        <w:rPr>
          <w:rFonts w:hAnsi="宋体" w:cs="仿宋_GB2312"/>
          <w:color w:val="auto"/>
          <w:sz w:val="24"/>
          <w:highlight w:val="none"/>
          <w:u w:val="single"/>
        </w:rPr>
      </w:pPr>
      <w:r>
        <w:rPr>
          <w:rFonts w:hint="eastAsia" w:hAnsi="宋体" w:cs="仿宋_GB2312"/>
          <w:color w:val="auto"/>
          <w:sz w:val="24"/>
          <w:szCs w:val="24"/>
          <w:highlight w:val="none"/>
        </w:rPr>
        <w:t>所竞</w:t>
      </w:r>
      <w:r>
        <w:rPr>
          <w:rFonts w:hint="eastAsia" w:hAnsi="宋体" w:cs="仿宋_GB2312"/>
          <w:color w:val="auto"/>
          <w:sz w:val="24"/>
          <w:szCs w:val="24"/>
          <w:highlight w:val="none"/>
          <w:lang w:val="en-US" w:eastAsia="zh-CN"/>
        </w:rPr>
        <w:t>分</w:t>
      </w:r>
      <w:r>
        <w:rPr>
          <w:rFonts w:hint="eastAsia" w:hAnsi="宋体" w:cs="仿宋_GB2312"/>
          <w:color w:val="auto"/>
          <w:sz w:val="24"/>
          <w:szCs w:val="24"/>
          <w:highlight w:val="none"/>
          <w:lang w:eastAsia="zh-CN"/>
        </w:rPr>
        <w:t>标</w:t>
      </w:r>
      <w:r>
        <w:rPr>
          <w:rFonts w:hint="eastAsia" w:hAnsi="宋体" w:cs="仿宋_GB2312"/>
          <w:color w:val="auto"/>
          <w:sz w:val="24"/>
          <w:szCs w:val="24"/>
          <w:highlight w:val="none"/>
        </w:rPr>
        <w:t>：</w:t>
      </w:r>
    </w:p>
    <w:tbl>
      <w:tblPr>
        <w:tblStyle w:val="35"/>
        <w:tblW w:w="0" w:type="auto"/>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511"/>
        <w:gridCol w:w="414"/>
        <w:gridCol w:w="508"/>
        <w:gridCol w:w="931"/>
        <w:gridCol w:w="1131"/>
        <w:gridCol w:w="1132"/>
        <w:gridCol w:w="1011"/>
        <w:gridCol w:w="2158"/>
        <w:gridCol w:w="553"/>
      </w:tblGrid>
      <w:tr w14:paraId="07D8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10" w:type="dxa"/>
            <w:vAlign w:val="center"/>
          </w:tcPr>
          <w:p w14:paraId="56D31AED">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eastAsia="zh-CN"/>
              </w:rPr>
            </w:pPr>
            <w:r>
              <w:rPr>
                <w:rFonts w:hint="eastAsia" w:asciiTheme="minorEastAsia" w:hAnsiTheme="minorEastAsia" w:eastAsiaTheme="minorEastAsia" w:cstheme="minorEastAsia"/>
                <w:b/>
                <w:bCs/>
                <w:color w:val="auto"/>
                <w:sz w:val="24"/>
                <w:szCs w:val="24"/>
                <w:highlight w:val="none"/>
                <w:vertAlign w:val="baseline"/>
                <w:lang w:eastAsia="zh-CN"/>
              </w:rPr>
              <w:t>分项名称</w:t>
            </w:r>
          </w:p>
        </w:tc>
        <w:tc>
          <w:tcPr>
            <w:tcW w:w="511" w:type="dxa"/>
            <w:vAlign w:val="center"/>
          </w:tcPr>
          <w:p w14:paraId="108BE162">
            <w:pPr>
              <w:snapToGrid w:val="0"/>
              <w:spacing w:before="50" w:after="50" w:line="480" w:lineRule="auto"/>
              <w:jc w:val="center"/>
              <w:rPr>
                <w:rFonts w:hint="eastAsia" w:asciiTheme="minorEastAsia" w:hAnsiTheme="minorEastAsia" w:eastAsiaTheme="minorEastAsia" w:cstheme="minorEastAsia"/>
                <w:b/>
                <w:bCs/>
                <w:color w:val="000000"/>
                <w:kern w:val="0"/>
                <w:sz w:val="24"/>
                <w:szCs w:val="24"/>
                <w:u w:val="none"/>
                <w:vertAlign w:val="baseline"/>
                <w:lang w:bidi="ar"/>
              </w:rPr>
            </w:pPr>
            <w:r>
              <w:rPr>
                <w:rFonts w:hint="eastAsia" w:asciiTheme="minorEastAsia" w:hAnsiTheme="minorEastAsia" w:eastAsiaTheme="minorEastAsia" w:cstheme="minorEastAsia"/>
                <w:b/>
                <w:bCs/>
                <w:color w:val="000000"/>
                <w:kern w:val="0"/>
                <w:sz w:val="24"/>
                <w:szCs w:val="24"/>
                <w:u w:val="none"/>
                <w:vertAlign w:val="baseline"/>
                <w:lang w:bidi="ar"/>
              </w:rPr>
              <w:t>子项目名称</w:t>
            </w:r>
          </w:p>
        </w:tc>
        <w:tc>
          <w:tcPr>
            <w:tcW w:w="922" w:type="dxa"/>
            <w:gridSpan w:val="2"/>
            <w:vAlign w:val="center"/>
          </w:tcPr>
          <w:p w14:paraId="6A004AB3">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培训对象</w:t>
            </w:r>
          </w:p>
        </w:tc>
        <w:tc>
          <w:tcPr>
            <w:tcW w:w="931" w:type="dxa"/>
            <w:vAlign w:val="center"/>
          </w:tcPr>
          <w:p w14:paraId="0D5EA34A">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培训内容</w:t>
            </w:r>
          </w:p>
        </w:tc>
        <w:tc>
          <w:tcPr>
            <w:tcW w:w="1131" w:type="dxa"/>
            <w:vAlign w:val="center"/>
          </w:tcPr>
          <w:p w14:paraId="47242071">
            <w:pPr>
              <w:keepNext w:val="0"/>
              <w:keepLines w:val="0"/>
              <w:widowControl/>
              <w:suppressLineNumbers w:val="0"/>
              <w:spacing w:line="480" w:lineRule="auto"/>
              <w:jc w:val="center"/>
              <w:textAlignment w:val="center"/>
              <w:rPr>
                <w:rFonts w:hint="eastAsia" w:asciiTheme="minorEastAsia" w:hAnsiTheme="minorEastAsia" w:eastAsiaTheme="minorEastAsia" w:cstheme="minorEastAsia"/>
                <w:b/>
                <w:bCs/>
                <w:color w:val="auto"/>
                <w:sz w:val="24"/>
                <w:szCs w:val="24"/>
                <w:highlight w:val="none"/>
                <w:vertAlign w:val="baseline"/>
                <w:lang w:val="en-US"/>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培训时间（天）①</w:t>
            </w:r>
          </w:p>
        </w:tc>
        <w:tc>
          <w:tcPr>
            <w:tcW w:w="1132" w:type="dxa"/>
            <w:vAlign w:val="center"/>
          </w:tcPr>
          <w:p w14:paraId="276C20D9">
            <w:pPr>
              <w:keepNext w:val="0"/>
              <w:keepLines w:val="0"/>
              <w:widowControl/>
              <w:suppressLineNumbers w:val="0"/>
              <w:spacing w:line="480" w:lineRule="auto"/>
              <w:jc w:val="center"/>
              <w:textAlignment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培训人数(人)②</w:t>
            </w:r>
          </w:p>
        </w:tc>
        <w:tc>
          <w:tcPr>
            <w:tcW w:w="1011" w:type="dxa"/>
            <w:vAlign w:val="center"/>
          </w:tcPr>
          <w:p w14:paraId="738E0CEB">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单价报价（元/天.人）③</w:t>
            </w:r>
          </w:p>
        </w:tc>
        <w:tc>
          <w:tcPr>
            <w:tcW w:w="2158" w:type="dxa"/>
            <w:vAlign w:val="center"/>
          </w:tcPr>
          <w:p w14:paraId="094CCCA9">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单价合计报价（元）④=</w:t>
            </w:r>
            <w:r>
              <w:rPr>
                <w:rFonts w:hint="eastAsia" w:asciiTheme="minorEastAsia" w:hAnsiTheme="minorEastAsia" w:eastAsiaTheme="minorEastAsia" w:cstheme="minorEastAsia"/>
                <w:b/>
                <w:bCs/>
                <w:i w:val="0"/>
                <w:iCs w:val="0"/>
                <w:color w:val="000000"/>
                <w:kern w:val="0"/>
                <w:sz w:val="24"/>
                <w:szCs w:val="24"/>
                <w:u w:val="none"/>
                <w:lang w:val="en-US" w:eastAsia="zh-CN" w:bidi="ar"/>
              </w:rPr>
              <w:t>①×②×</w:t>
            </w:r>
            <w:r>
              <w:rPr>
                <w:rFonts w:hint="eastAsia" w:asciiTheme="minorEastAsia" w:hAnsiTheme="minorEastAsia" w:eastAsiaTheme="minorEastAsia" w:cstheme="minorEastAsia"/>
                <w:b/>
                <w:bCs/>
                <w:color w:val="auto"/>
                <w:sz w:val="24"/>
                <w:szCs w:val="24"/>
                <w:highlight w:val="none"/>
                <w:vertAlign w:val="baseline"/>
                <w:lang w:val="en-US" w:eastAsia="zh-CN"/>
              </w:rPr>
              <w:t>③</w:t>
            </w:r>
          </w:p>
        </w:tc>
        <w:tc>
          <w:tcPr>
            <w:tcW w:w="553" w:type="dxa"/>
            <w:vAlign w:val="center"/>
          </w:tcPr>
          <w:p w14:paraId="5BE7A9DE">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备注</w:t>
            </w:r>
          </w:p>
        </w:tc>
      </w:tr>
      <w:tr w14:paraId="53A7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10" w:type="dxa"/>
            <w:vMerge w:val="restart"/>
            <w:vAlign w:val="top"/>
          </w:tcPr>
          <w:p w14:paraId="06E46CE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A3229F3">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5822FECE">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14DA8A2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25A31003">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lang w:val="en-US" w:eastAsia="zh-CN"/>
              </w:rPr>
            </w:pPr>
          </w:p>
        </w:tc>
        <w:tc>
          <w:tcPr>
            <w:tcW w:w="1132" w:type="dxa"/>
          </w:tcPr>
          <w:p w14:paraId="36DCE3CB">
            <w:pPr>
              <w:snapToGrid w:val="0"/>
              <w:spacing w:before="50" w:after="50" w:line="480" w:lineRule="auto"/>
              <w:rPr>
                <w:rFonts w:hint="default" w:asciiTheme="minorEastAsia" w:hAnsiTheme="minorEastAsia" w:eastAsiaTheme="minorEastAsia" w:cstheme="minorEastAsia"/>
                <w:color w:val="auto"/>
                <w:sz w:val="24"/>
                <w:szCs w:val="24"/>
                <w:highlight w:val="none"/>
                <w:vertAlign w:val="baseline"/>
                <w:lang w:val="en-US" w:eastAsia="zh-CN"/>
              </w:rPr>
            </w:pPr>
          </w:p>
        </w:tc>
        <w:tc>
          <w:tcPr>
            <w:tcW w:w="1011" w:type="dxa"/>
          </w:tcPr>
          <w:p w14:paraId="63588D1E">
            <w:pPr>
              <w:snapToGrid w:val="0"/>
              <w:spacing w:before="50" w:after="50" w:line="480" w:lineRule="auto"/>
              <w:rPr>
                <w:rFonts w:hint="default" w:asciiTheme="minorEastAsia" w:hAnsiTheme="minorEastAsia" w:eastAsiaTheme="minorEastAsia" w:cstheme="minorEastAsia"/>
                <w:color w:val="auto"/>
                <w:sz w:val="24"/>
                <w:szCs w:val="24"/>
                <w:highlight w:val="none"/>
                <w:vertAlign w:val="baseline"/>
                <w:lang w:val="en-US" w:eastAsia="zh-CN"/>
              </w:rPr>
            </w:pPr>
          </w:p>
        </w:tc>
        <w:tc>
          <w:tcPr>
            <w:tcW w:w="2158" w:type="dxa"/>
          </w:tcPr>
          <w:p w14:paraId="332C3B7D">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55182151">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0CF7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10" w:type="dxa"/>
            <w:vMerge w:val="continue"/>
            <w:tcBorders/>
            <w:vAlign w:val="top"/>
          </w:tcPr>
          <w:p w14:paraId="08EE136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90C387E">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33C07DA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2CA5628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3EF9075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2" w:type="dxa"/>
          </w:tcPr>
          <w:p w14:paraId="15447AE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011" w:type="dxa"/>
          </w:tcPr>
          <w:p w14:paraId="5D3C387B">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2158" w:type="dxa"/>
          </w:tcPr>
          <w:p w14:paraId="67A88F7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79E80F6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0E0C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10" w:type="dxa"/>
            <w:vMerge w:val="continue"/>
            <w:tcBorders/>
            <w:vAlign w:val="top"/>
          </w:tcPr>
          <w:p w14:paraId="51A6FC7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73472B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38928509">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5DA5DA3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38627D58">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2" w:type="dxa"/>
          </w:tcPr>
          <w:p w14:paraId="03172F8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011" w:type="dxa"/>
          </w:tcPr>
          <w:p w14:paraId="070C1B4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2158" w:type="dxa"/>
          </w:tcPr>
          <w:p w14:paraId="0792E2D1">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2D58EA2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6BE4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435" w:type="dxa"/>
            <w:gridSpan w:val="3"/>
            <w:vAlign w:val="center"/>
          </w:tcPr>
          <w:p w14:paraId="1BCB0BC7">
            <w:pPr>
              <w:pStyle w:val="2"/>
              <w:jc w:val="center"/>
              <w:rPr>
                <w:rFonts w:hint="eastAsia" w:asciiTheme="minorEastAsia" w:hAnsiTheme="minorEastAsia" w:eastAsiaTheme="minorEastAsia" w:cstheme="minorEastAsia"/>
                <w:sz w:val="24"/>
                <w:szCs w:val="24"/>
              </w:rPr>
            </w:pPr>
          </w:p>
          <w:p w14:paraId="77B6818C">
            <w:pPr>
              <w:pStyle w:val="2"/>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磋商</w:t>
            </w:r>
            <w:r>
              <w:rPr>
                <w:rFonts w:hint="eastAsia" w:asciiTheme="minorEastAsia" w:hAnsiTheme="minorEastAsia" w:eastAsiaTheme="minorEastAsia" w:cstheme="minorEastAsia"/>
                <w:sz w:val="24"/>
                <w:szCs w:val="24"/>
              </w:rPr>
              <w:t>总</w:t>
            </w:r>
            <w:r>
              <w:rPr>
                <w:rFonts w:hint="eastAsia" w:asciiTheme="minorEastAsia" w:hAnsiTheme="minorEastAsia" w:eastAsiaTheme="minorEastAsia" w:cstheme="minorEastAsia"/>
                <w:sz w:val="24"/>
                <w:szCs w:val="24"/>
                <w:lang w:val="en-US" w:eastAsia="zh-CN"/>
              </w:rPr>
              <w:t>报价</w:t>
            </w:r>
          </w:p>
          <w:p w14:paraId="15C1ECB0">
            <w:pPr>
              <w:pStyle w:val="2"/>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7424" w:type="dxa"/>
            <w:gridSpan w:val="7"/>
            <w:vAlign w:val="center"/>
          </w:tcPr>
          <w:p w14:paraId="755C9043">
            <w:pPr>
              <w:snapToGrid w:val="0"/>
              <w:spacing w:before="50" w:after="50" w:line="480" w:lineRule="auto"/>
              <w:jc w:val="both"/>
              <w:rPr>
                <w:rFonts w:hint="eastAsia" w:asciiTheme="minorEastAsia" w:hAnsiTheme="minorEastAsia" w:eastAsiaTheme="minorEastAsia" w:cstheme="minorEastAsia"/>
                <w:color w:val="auto"/>
                <w:sz w:val="24"/>
                <w:szCs w:val="24"/>
                <w:highlight w:val="none"/>
                <w:vertAlign w:val="baseline"/>
                <w:lang w:val="en-US" w:eastAsia="zh-CN"/>
              </w:rPr>
            </w:pPr>
          </w:p>
          <w:p w14:paraId="3E398687">
            <w:pPr>
              <w:snapToGrid w:val="0"/>
              <w:spacing w:before="50" w:after="50" w:line="480" w:lineRule="auto"/>
              <w:jc w:val="both"/>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人民币（大写）：</w:t>
            </w:r>
            <w:r>
              <w:rPr>
                <w:rFonts w:hint="eastAsia" w:asciiTheme="minorEastAsia" w:hAnsiTheme="minorEastAsia" w:eastAsiaTheme="minorEastAsia" w:cstheme="minorEastAsia"/>
                <w:color w:val="auto"/>
                <w:sz w:val="24"/>
                <w:szCs w:val="24"/>
                <w:highlight w:val="none"/>
                <w:u w:val="single"/>
                <w:vertAlign w:val="baseline"/>
                <w:lang w:val="en-US" w:eastAsia="zh-CN"/>
              </w:rPr>
              <w:t xml:space="preserve">                     </w:t>
            </w:r>
            <w:r>
              <w:rPr>
                <w:rFonts w:hint="eastAsia" w:asciiTheme="minorEastAsia" w:hAnsiTheme="minorEastAsia" w:eastAsiaTheme="minorEastAsia" w:cstheme="minorEastAsia"/>
                <w:color w:val="auto"/>
                <w:sz w:val="24"/>
                <w:szCs w:val="24"/>
                <w:highlight w:val="none"/>
                <w:vertAlign w:val="baseline"/>
                <w:lang w:val="en-US" w:eastAsia="zh-CN"/>
              </w:rPr>
              <w:t xml:space="preserve">（¥ </w:t>
            </w:r>
            <w:r>
              <w:rPr>
                <w:rFonts w:hint="eastAsia" w:asciiTheme="minorEastAsia" w:hAnsiTheme="minorEastAsia" w:eastAsiaTheme="minorEastAsia" w:cstheme="minorEastAsia"/>
                <w:color w:val="auto"/>
                <w:sz w:val="24"/>
                <w:szCs w:val="24"/>
                <w:highlight w:val="none"/>
                <w:u w:val="single"/>
                <w:vertAlign w:val="baseline"/>
                <w:lang w:val="en-US" w:eastAsia="zh-CN"/>
              </w:rPr>
              <w:t xml:space="preserve">          </w:t>
            </w:r>
            <w:r>
              <w:rPr>
                <w:rFonts w:hint="eastAsia" w:asciiTheme="minorEastAsia" w:hAnsiTheme="minorEastAsia" w:eastAsiaTheme="minorEastAsia" w:cstheme="minorEastAsia"/>
                <w:color w:val="auto"/>
                <w:sz w:val="24"/>
                <w:szCs w:val="24"/>
                <w:highlight w:val="none"/>
                <w:vertAlign w:val="baseline"/>
                <w:lang w:val="en-US" w:eastAsia="zh-CN"/>
              </w:rPr>
              <w:t>）</w:t>
            </w:r>
          </w:p>
        </w:tc>
      </w:tr>
      <w:tr w14:paraId="09F9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435" w:type="dxa"/>
            <w:gridSpan w:val="3"/>
            <w:vAlign w:val="center"/>
          </w:tcPr>
          <w:p w14:paraId="47797A11">
            <w:pPr>
              <w:snapToGrid w:val="0"/>
              <w:spacing w:before="50" w:after="50" w:line="480" w:lineRule="auto"/>
              <w:jc w:val="center"/>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服务期限</w:t>
            </w:r>
          </w:p>
        </w:tc>
        <w:tc>
          <w:tcPr>
            <w:tcW w:w="7424" w:type="dxa"/>
            <w:gridSpan w:val="7"/>
          </w:tcPr>
          <w:p w14:paraId="7C0258B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bl>
    <w:p w14:paraId="7FF451A1">
      <w:pPr>
        <w:snapToGrid w:val="0"/>
        <w:spacing w:before="50" w:after="50" w:line="360" w:lineRule="auto"/>
        <w:ind w:firstLine="480" w:firstLineChars="200"/>
        <w:rPr>
          <w:rFonts w:hint="eastAsia" w:ascii="宋体" w:hAnsi="宋体"/>
          <w:color w:val="auto"/>
          <w:sz w:val="24"/>
          <w:highlight w:val="none"/>
        </w:rPr>
      </w:pPr>
    </w:p>
    <w:p w14:paraId="5A3B91FD">
      <w:pPr>
        <w:snapToGrid w:val="0"/>
        <w:spacing w:before="50" w:after="50" w:line="360" w:lineRule="auto"/>
        <w:ind w:firstLine="480" w:firstLineChars="200"/>
        <w:rPr>
          <w:rFonts w:hint="eastAsia" w:ascii="宋体" w:hAnsi="宋体"/>
          <w:color w:val="auto"/>
          <w:sz w:val="24"/>
          <w:highlight w:val="none"/>
        </w:rPr>
      </w:pPr>
    </w:p>
    <w:p w14:paraId="271C6D7D">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注： </w:t>
      </w:r>
    </w:p>
    <w:p w14:paraId="21E4E310">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1供应商需按本表格式填写，不得自行更改，也不得留空</w:t>
      </w:r>
      <w:r>
        <w:rPr>
          <w:rFonts w:hint="eastAsia" w:ascii="宋体" w:hAnsi="宋体"/>
          <w:color w:val="auto"/>
          <w:sz w:val="24"/>
          <w:highlight w:val="none"/>
          <w:lang w:eastAsia="zh-CN"/>
        </w:rPr>
        <w:t>，</w:t>
      </w:r>
      <w:r>
        <w:rPr>
          <w:rFonts w:hint="eastAsia" w:ascii="宋体" w:hAnsi="宋体"/>
          <w:color w:val="auto"/>
          <w:sz w:val="24"/>
          <w:highlight w:val="none"/>
        </w:rPr>
        <w:t xml:space="preserve"> 如有多分标，按分标分别提供响应报价表。</w:t>
      </w:r>
    </w:p>
    <w:p w14:paraId="129019AC">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3879CA6">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01CB6C1">
      <w:pPr>
        <w:pStyle w:val="25"/>
        <w:rPr>
          <w:rFonts w:hint="eastAsia" w:ascii="宋体" w:hAnsi="宋体" w:cs="仿宋_GB2312"/>
          <w:color w:val="auto"/>
          <w:sz w:val="24"/>
          <w:highlight w:val="none"/>
        </w:rPr>
        <w:sectPr>
          <w:headerReference r:id="rId8" w:type="default"/>
          <w:footerReference r:id="rId10" w:type="default"/>
          <w:headerReference r:id="rId9" w:type="even"/>
          <w:pgSz w:w="11906" w:h="16838"/>
          <w:pgMar w:top="1440" w:right="1701" w:bottom="1440" w:left="1701" w:header="851" w:footer="992" w:gutter="0"/>
          <w:pgNumType w:fmt="decimal"/>
          <w:cols w:space="720" w:num="1"/>
          <w:docGrid w:type="lines" w:linePitch="312" w:charSpace="0"/>
        </w:sectPr>
      </w:pPr>
    </w:p>
    <w:p w14:paraId="6873A8A9">
      <w:pPr>
        <w:rPr>
          <w:color w:val="auto"/>
          <w:highlight w:val="none"/>
        </w:rPr>
      </w:pPr>
    </w:p>
    <w:p w14:paraId="75523AA0">
      <w:pPr>
        <w:pStyle w:val="5"/>
        <w:spacing w:before="0" w:after="0" w:line="460" w:lineRule="exact"/>
        <w:jc w:val="center"/>
        <w:rPr>
          <w:rFonts w:ascii="宋体" w:hAnsi="宋体" w:cs="宋体"/>
          <w:color w:val="auto"/>
          <w:highlight w:val="none"/>
        </w:rPr>
      </w:pPr>
      <w:bookmarkStart w:id="158" w:name="_Toc13208"/>
      <w:bookmarkStart w:id="159" w:name="_Toc1250"/>
      <w:bookmarkStart w:id="160" w:name="_Toc29051"/>
      <w:bookmarkStart w:id="161" w:name="_Toc21458"/>
      <w:bookmarkStart w:id="162" w:name="_Toc13977"/>
      <w:r>
        <w:rPr>
          <w:rFonts w:hint="eastAsia" w:ascii="宋体" w:hAnsi="宋体" w:cs="宋体"/>
          <w:color w:val="auto"/>
          <w:highlight w:val="none"/>
        </w:rPr>
        <w:t>第六章 合同主要条款格式</w:t>
      </w:r>
      <w:bookmarkEnd w:id="158"/>
      <w:bookmarkEnd w:id="159"/>
      <w:bookmarkEnd w:id="160"/>
      <w:bookmarkEnd w:id="161"/>
      <w:bookmarkEnd w:id="162"/>
    </w:p>
    <w:p w14:paraId="416B0861">
      <w:pPr>
        <w:pStyle w:val="21"/>
        <w:jc w:val="center"/>
        <w:rPr>
          <w:rFonts w:hAnsi="宋体" w:cs="宋体"/>
          <w:b/>
          <w:color w:val="auto"/>
          <w:sz w:val="52"/>
          <w:szCs w:val="52"/>
          <w:highlight w:val="none"/>
        </w:rPr>
      </w:pPr>
    </w:p>
    <w:p w14:paraId="16C5AB73">
      <w:pPr>
        <w:jc w:val="center"/>
        <w:rPr>
          <w:rFonts w:ascii="方正公文小标宋" w:hAnsi="方正公文小标宋" w:eastAsia="方正公文小标宋" w:cs="方正公文小标宋"/>
          <w:sz w:val="48"/>
          <w:szCs w:val="48"/>
        </w:rPr>
      </w:pPr>
      <w:r>
        <w:rPr>
          <w:rFonts w:hint="eastAsia" w:ascii="方正公文小标宋" w:hAnsi="方正公文小标宋" w:eastAsia="方正公文小标宋" w:cs="方正公文小标宋"/>
          <w:sz w:val="48"/>
          <w:szCs w:val="48"/>
          <w:lang w:eastAsia="zh-CN"/>
        </w:rPr>
        <w:t>钦州市教育发展研究中心</w:t>
      </w:r>
      <w:r>
        <w:rPr>
          <w:rFonts w:hint="eastAsia" w:ascii="方正公文小标宋" w:hAnsi="方正公文小标宋" w:eastAsia="方正公文小标宋" w:cs="方正公文小标宋"/>
          <w:sz w:val="48"/>
          <w:szCs w:val="48"/>
          <w:lang w:val="en-US" w:eastAsia="zh-CN"/>
        </w:rPr>
        <w:t>2026年市本级教师培训</w:t>
      </w:r>
      <w:r>
        <w:rPr>
          <w:rFonts w:hint="eastAsia" w:ascii="方正公文小标宋" w:hAnsi="方正公文小标宋" w:eastAsia="方正公文小标宋" w:cs="方正公文小标宋"/>
          <w:sz w:val="48"/>
          <w:szCs w:val="48"/>
        </w:rPr>
        <w:t>项目合同</w:t>
      </w:r>
    </w:p>
    <w:p w14:paraId="384F0B2F">
      <w:pPr>
        <w:widowControl/>
        <w:jc w:val="left"/>
        <w:rPr>
          <w:rFonts w:ascii="方正公文小标宋" w:hAnsi="方正公文小标宋" w:eastAsia="方正公文小标宋" w:cs="方正公文小标宋"/>
          <w:sz w:val="36"/>
          <w:szCs w:val="36"/>
        </w:rPr>
      </w:pPr>
    </w:p>
    <w:p w14:paraId="4B6CCA96">
      <w:pPr>
        <w:widowControl/>
        <w:jc w:val="left"/>
        <w:rPr>
          <w:rFonts w:ascii="方正公文小标宋" w:hAnsi="方正公文小标宋" w:eastAsia="方正公文小标宋" w:cs="方正公文小标宋"/>
          <w:sz w:val="36"/>
          <w:szCs w:val="36"/>
        </w:rPr>
      </w:pPr>
    </w:p>
    <w:p w14:paraId="27A4C565">
      <w:pPr>
        <w:pStyle w:val="2"/>
        <w:rPr>
          <w:rFonts w:ascii="方正公文小标宋" w:hAnsi="方正公文小标宋" w:eastAsia="方正公文小标宋" w:cs="方正公文小标宋"/>
          <w:sz w:val="36"/>
          <w:szCs w:val="36"/>
        </w:rPr>
      </w:pPr>
    </w:p>
    <w:p w14:paraId="7735728E"/>
    <w:p w14:paraId="58789AA2">
      <w:pPr>
        <w:widowControl/>
        <w:spacing w:line="360" w:lineRule="auto"/>
        <w:ind w:left="1800" w:hanging="1800" w:hangingChars="500"/>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项目名称：</w:t>
      </w:r>
      <w:r>
        <w:rPr>
          <w:rFonts w:hint="eastAsia" w:ascii="方正公文小标宋" w:hAnsi="方正公文小标宋" w:eastAsia="方正公文小标宋" w:cs="方正公文小标宋"/>
          <w:sz w:val="36"/>
          <w:szCs w:val="36"/>
          <w:u w:val="single"/>
        </w:rPr>
        <w:t>钦州市教育发展研究中心2026年市本级教师培训项目</w:t>
      </w:r>
      <w:r>
        <w:rPr>
          <w:rFonts w:hint="eastAsia" w:ascii="方正公文小标宋" w:hAnsi="方正公文小标宋" w:eastAsia="方正公文小标宋" w:cs="方正公文小标宋"/>
          <w:sz w:val="36"/>
          <w:szCs w:val="36"/>
          <w:u w:val="single"/>
          <w:lang w:val="en-US" w:eastAsia="zh-CN"/>
        </w:rPr>
        <w:t xml:space="preserve">        </w:t>
      </w:r>
      <w:r>
        <w:rPr>
          <w:rFonts w:hint="eastAsia" w:ascii="方正公文小标宋" w:hAnsi="方正公文小标宋" w:eastAsia="方正公文小标宋" w:cs="方正公文小标宋"/>
          <w:sz w:val="36"/>
          <w:szCs w:val="36"/>
          <w:u w:val="single"/>
        </w:rPr>
        <w:t xml:space="preserve">                   </w:t>
      </w:r>
    </w:p>
    <w:p w14:paraId="25D12C2B">
      <w:pPr>
        <w:widowControl/>
        <w:spacing w:line="360" w:lineRule="auto"/>
        <w:ind w:firstLine="1800" w:firstLineChars="500"/>
        <w:jc w:val="left"/>
        <w:rPr>
          <w:rFonts w:ascii="方正公文小标宋" w:hAnsi="方正公文小标宋" w:eastAsia="方正公文小标宋" w:cs="方正公文小标宋"/>
          <w:sz w:val="36"/>
          <w:szCs w:val="36"/>
        </w:rPr>
      </w:pPr>
    </w:p>
    <w:p w14:paraId="64983600">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项目编号：</w:t>
      </w:r>
      <w:r>
        <w:rPr>
          <w:rFonts w:hint="eastAsia" w:ascii="方正公文小标宋" w:hAnsi="方正公文小标宋" w:eastAsia="方正公文小标宋" w:cs="方正公文小标宋"/>
          <w:sz w:val="36"/>
          <w:szCs w:val="36"/>
          <w:u w:val="single"/>
        </w:rPr>
        <w:t xml:space="preserve">                                   </w:t>
      </w:r>
    </w:p>
    <w:p w14:paraId="3E5C89AC">
      <w:pPr>
        <w:widowControl/>
        <w:spacing w:line="360" w:lineRule="auto"/>
        <w:jc w:val="left"/>
        <w:rPr>
          <w:rFonts w:ascii="方正公文小标宋" w:hAnsi="方正公文小标宋" w:eastAsia="方正公文小标宋" w:cs="方正公文小标宋"/>
          <w:sz w:val="36"/>
          <w:szCs w:val="36"/>
        </w:rPr>
      </w:pPr>
    </w:p>
    <w:p w14:paraId="7F1A65FF">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分 标 号：</w:t>
      </w:r>
      <w:r>
        <w:rPr>
          <w:rFonts w:hint="eastAsia" w:ascii="方正公文小标宋" w:hAnsi="方正公文小标宋" w:eastAsia="方正公文小标宋" w:cs="方正公文小标宋"/>
          <w:sz w:val="36"/>
          <w:szCs w:val="36"/>
          <w:u w:val="single"/>
        </w:rPr>
        <w:t xml:space="preserve">  分标         </w:t>
      </w:r>
    </w:p>
    <w:p w14:paraId="32C7D1A9">
      <w:pPr>
        <w:widowControl/>
        <w:spacing w:line="360" w:lineRule="auto"/>
        <w:jc w:val="left"/>
        <w:rPr>
          <w:rFonts w:ascii="方正公文小标宋" w:hAnsi="方正公文小标宋" w:eastAsia="方正公文小标宋" w:cs="方正公文小标宋"/>
          <w:sz w:val="36"/>
          <w:szCs w:val="36"/>
        </w:rPr>
      </w:pPr>
    </w:p>
    <w:p w14:paraId="36C31B22">
      <w:pPr>
        <w:widowControl/>
        <w:spacing w:line="360" w:lineRule="auto"/>
        <w:jc w:val="left"/>
        <w:rPr>
          <w:rFonts w:ascii="方正公文小标宋" w:hAnsi="方正公文小标宋" w:eastAsia="方正公文小标宋" w:cs="方正公文小标宋"/>
          <w:sz w:val="36"/>
          <w:szCs w:val="36"/>
        </w:rPr>
      </w:pPr>
    </w:p>
    <w:p w14:paraId="75F4BFEA">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签订地点：</w:t>
      </w:r>
      <w:r>
        <w:rPr>
          <w:rFonts w:hint="eastAsia" w:ascii="方正公文小标宋" w:hAnsi="方正公文小标宋" w:eastAsia="方正公文小标宋" w:cs="方正公文小标宋"/>
          <w:sz w:val="36"/>
          <w:szCs w:val="36"/>
          <w:u w:val="single"/>
        </w:rPr>
        <w:t xml:space="preserve">  广西钦州市           </w:t>
      </w:r>
    </w:p>
    <w:p w14:paraId="497368AC">
      <w:pPr>
        <w:widowControl/>
        <w:spacing w:line="360" w:lineRule="auto"/>
        <w:jc w:val="left"/>
        <w:rPr>
          <w:rFonts w:ascii="方正公文小标宋" w:hAnsi="方正公文小标宋" w:eastAsia="方正公文小标宋" w:cs="方正公文小标宋"/>
          <w:sz w:val="36"/>
          <w:szCs w:val="36"/>
        </w:rPr>
      </w:pPr>
    </w:p>
    <w:p w14:paraId="1DA7DA72">
      <w:pPr>
        <w:widowControl/>
        <w:spacing w:line="360" w:lineRule="auto"/>
        <w:jc w:val="left"/>
        <w:rPr>
          <w:rFonts w:ascii="宋体" w:hAnsi="宋体" w:eastAsia="方正公文小标宋"/>
          <w:b/>
          <w:bCs/>
          <w:sz w:val="36"/>
          <w:szCs w:val="36"/>
          <w:u w:val="single"/>
        </w:rPr>
        <w:sectPr>
          <w:pgSz w:w="11906" w:h="16838"/>
          <w:pgMar w:top="1440" w:right="1701" w:bottom="1440" w:left="1701" w:header="851" w:footer="992" w:gutter="0"/>
          <w:pgNumType w:fmt="decimal"/>
          <w:cols w:space="720" w:num="1"/>
          <w:docGrid w:type="lines" w:linePitch="312" w:charSpace="0"/>
        </w:sectPr>
      </w:pPr>
      <w:r>
        <w:rPr>
          <w:rFonts w:hint="eastAsia" w:ascii="方正公文小标宋" w:hAnsi="方正公文小标宋" w:eastAsia="方正公文小标宋" w:cs="方正公文小标宋"/>
          <w:sz w:val="36"/>
          <w:szCs w:val="36"/>
        </w:rPr>
        <w:t>签订时间：</w:t>
      </w:r>
      <w:r>
        <w:rPr>
          <w:rFonts w:hint="eastAsia" w:ascii="方正公文小标宋" w:hAnsi="方正公文小标宋" w:eastAsia="方正公文小标宋" w:cs="方正公文小标宋"/>
          <w:sz w:val="36"/>
          <w:szCs w:val="36"/>
          <w:u w:val="single"/>
        </w:rPr>
        <w:t xml:space="preserve"> 202</w:t>
      </w:r>
      <w:r>
        <w:rPr>
          <w:rFonts w:hint="eastAsia" w:ascii="方正公文小标宋" w:hAnsi="方正公文小标宋" w:eastAsia="方正公文小标宋" w:cs="方正公文小标宋"/>
          <w:sz w:val="36"/>
          <w:szCs w:val="36"/>
          <w:u w:val="single"/>
          <w:lang w:val="en-US" w:eastAsia="zh-CN"/>
        </w:rPr>
        <w:t>6</w:t>
      </w:r>
      <w:r>
        <w:rPr>
          <w:rFonts w:hint="eastAsia" w:ascii="方正公文小标宋" w:hAnsi="方正公文小标宋" w:eastAsia="方正公文小标宋" w:cs="方正公文小标宋"/>
          <w:sz w:val="36"/>
          <w:szCs w:val="36"/>
          <w:u w:val="single"/>
        </w:rPr>
        <w:t xml:space="preserve">年    月    日 </w:t>
      </w:r>
    </w:p>
    <w:p w14:paraId="5D4A68CC">
      <w:pPr>
        <w:pStyle w:val="110"/>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outlineLvl w:val="1"/>
        <w:rPr>
          <w:rFonts w:hint="eastAsia" w:ascii="宋体" w:hAnsi="宋体" w:eastAsia="宋体" w:cs="宋体"/>
          <w:b/>
          <w:color w:val="auto"/>
          <w:sz w:val="28"/>
          <w:szCs w:val="28"/>
          <w:highlight w:val="none"/>
        </w:rPr>
      </w:pPr>
      <w:bookmarkStart w:id="163" w:name="_Toc5757"/>
      <w:bookmarkStart w:id="164" w:name="_Toc18254"/>
      <w:bookmarkStart w:id="165" w:name="_Toc24101"/>
      <w:bookmarkStart w:id="166" w:name="_Toc1004"/>
      <w:bookmarkStart w:id="167" w:name="_Toc16500"/>
      <w:r>
        <w:rPr>
          <w:rFonts w:hint="eastAsia" w:ascii="宋体" w:hAnsi="宋体" w:eastAsia="宋体" w:cs="宋体"/>
          <w:b/>
          <w:color w:val="auto"/>
          <w:sz w:val="28"/>
          <w:szCs w:val="28"/>
          <w:highlight w:val="none"/>
        </w:rPr>
        <w:t>第一部分 合同书</w:t>
      </w:r>
    </w:p>
    <w:p w14:paraId="136C586C">
      <w:pPr>
        <w:jc w:val="center"/>
        <w:rPr>
          <w:rFonts w:hint="eastAsia" w:ascii="方正小标宋_GBK" w:hAnsi="方正小标宋_GBK" w:eastAsia="方正小标宋_GBK" w:cs="方正小标宋_GBK"/>
          <w:b/>
          <w:bCs/>
          <w:sz w:val="40"/>
          <w:szCs w:val="40"/>
        </w:rPr>
      </w:pPr>
      <w:r>
        <w:rPr>
          <w:rFonts w:hint="eastAsia" w:ascii="方正小标宋_GBK" w:hAnsi="方正小标宋_GBK" w:eastAsia="方正小标宋_GBK" w:cs="方正小标宋_GBK"/>
          <w:b/>
          <w:bCs/>
          <w:sz w:val="40"/>
          <w:szCs w:val="40"/>
        </w:rPr>
        <w:t>钦州市教育发展研究中心2026年市本级教师培训</w:t>
      </w:r>
    </w:p>
    <w:p w14:paraId="3D557884">
      <w:pPr>
        <w:jc w:val="center"/>
        <w:rPr>
          <w:rFonts w:ascii="方正小标宋_GBK" w:hAnsi="方正小标宋_GBK" w:eastAsia="方正小标宋_GBK" w:cs="方正小标宋_GBK"/>
          <w:b/>
          <w:bCs/>
          <w:sz w:val="40"/>
          <w:szCs w:val="40"/>
        </w:rPr>
      </w:pPr>
      <w:r>
        <w:rPr>
          <w:rFonts w:hint="eastAsia" w:ascii="方正小标宋_GBK" w:hAnsi="方正小标宋_GBK" w:eastAsia="方正小标宋_GBK" w:cs="方正小标宋_GBK"/>
          <w:b/>
          <w:bCs/>
          <w:sz w:val="40"/>
          <w:szCs w:val="40"/>
        </w:rPr>
        <w:t>项目合同</w:t>
      </w:r>
    </w:p>
    <w:p w14:paraId="12FD2F4E">
      <w:pPr>
        <w:spacing w:before="240" w:line="500" w:lineRule="exact"/>
        <w:rPr>
          <w:rFonts w:ascii="宋体" w:hAnsi="宋体" w:cs="宋体"/>
          <w:b/>
          <w:bCs/>
          <w:szCs w:val="21"/>
        </w:rPr>
      </w:pPr>
    </w:p>
    <w:p w14:paraId="160C8487">
      <w:pPr>
        <w:spacing w:before="240" w:line="500" w:lineRule="exact"/>
        <w:rPr>
          <w:rFonts w:ascii="宋体" w:hAnsi="宋体" w:cs="宋体"/>
          <w:b/>
          <w:bCs/>
          <w:szCs w:val="21"/>
          <w:u w:val="single"/>
        </w:rPr>
      </w:pPr>
      <w:r>
        <w:rPr>
          <w:rFonts w:hint="eastAsia" w:ascii="宋体" w:hAnsi="宋体" w:cs="宋体"/>
          <w:b/>
          <w:bCs/>
          <w:szCs w:val="21"/>
        </w:rPr>
        <w:t>合同编号：</w:t>
      </w:r>
      <w:r>
        <w:rPr>
          <w:rFonts w:hint="eastAsia" w:ascii="宋体" w:hAnsi="宋体" w:cs="宋体"/>
          <w:b/>
          <w:bCs/>
          <w:szCs w:val="21"/>
          <w:u w:val="single"/>
        </w:rPr>
        <w:t xml:space="preserve">                                                    </w:t>
      </w:r>
    </w:p>
    <w:p w14:paraId="7944E391">
      <w:pPr>
        <w:spacing w:line="500" w:lineRule="exact"/>
        <w:rPr>
          <w:rFonts w:ascii="宋体" w:hAnsi="宋体" w:cs="宋体"/>
          <w:b/>
          <w:bCs/>
          <w:szCs w:val="21"/>
          <w:u w:val="single"/>
        </w:rPr>
      </w:pPr>
      <w:r>
        <w:rPr>
          <w:rFonts w:hint="eastAsia" w:ascii="宋体" w:hAnsi="宋体" w:cs="宋体"/>
          <w:b/>
          <w:bCs/>
          <w:szCs w:val="21"/>
        </w:rPr>
        <w:t>采购计划号：</w:t>
      </w:r>
      <w:r>
        <w:rPr>
          <w:rFonts w:hint="eastAsia" w:ascii="宋体" w:hAnsi="宋体" w:cs="宋体"/>
          <w:b/>
          <w:bCs/>
          <w:szCs w:val="21"/>
          <w:u w:val="single"/>
        </w:rPr>
        <w:t xml:space="preserve">                                                  </w:t>
      </w:r>
    </w:p>
    <w:p w14:paraId="0A3B62C6">
      <w:pPr>
        <w:spacing w:line="500" w:lineRule="exact"/>
        <w:ind w:left="1687" w:hanging="1687" w:hangingChars="800"/>
        <w:rPr>
          <w:rFonts w:ascii="宋体" w:hAnsi="宋体" w:cs="宋体"/>
          <w:b/>
          <w:bCs/>
          <w:szCs w:val="21"/>
          <w:u w:val="single"/>
        </w:rPr>
      </w:pPr>
      <w:r>
        <w:rPr>
          <w:rFonts w:hint="eastAsia" w:ascii="宋体" w:hAnsi="宋体" w:cs="宋体"/>
          <w:b/>
          <w:bCs/>
          <w:szCs w:val="21"/>
        </w:rPr>
        <w:t>项目名称和编号：</w:t>
      </w:r>
      <w:r>
        <w:rPr>
          <w:rFonts w:hint="eastAsia" w:ascii="宋体" w:hAnsi="宋体" w:cs="宋体"/>
          <w:b/>
          <w:bCs/>
          <w:szCs w:val="21"/>
          <w:u w:val="single"/>
        </w:rPr>
        <w:t>钦州市教育发展研究中心2026年市本级教师培训项目</w:t>
      </w:r>
    </w:p>
    <w:p w14:paraId="2348F30A">
      <w:pPr>
        <w:spacing w:line="500" w:lineRule="exact"/>
        <w:rPr>
          <w:rFonts w:ascii="宋体" w:hAnsi="宋体" w:cs="宋体"/>
          <w:b/>
          <w:bCs/>
          <w:szCs w:val="21"/>
          <w:u w:val="single"/>
        </w:rPr>
      </w:pPr>
      <w:r>
        <w:rPr>
          <w:rFonts w:hint="eastAsia" w:ascii="宋体" w:hAnsi="宋体" w:cs="宋体"/>
          <w:b/>
          <w:bCs/>
          <w:szCs w:val="21"/>
        </w:rPr>
        <w:t>采购人（甲方）：</w:t>
      </w:r>
      <w:r>
        <w:rPr>
          <w:rFonts w:hint="eastAsia" w:ascii="宋体" w:hAnsi="宋体" w:cs="宋体"/>
          <w:b/>
          <w:bCs/>
          <w:szCs w:val="21"/>
          <w:u w:val="single"/>
        </w:rPr>
        <w:t xml:space="preserve">            钦州市</w:t>
      </w:r>
      <w:r>
        <w:rPr>
          <w:rFonts w:hint="eastAsia" w:ascii="宋体" w:hAnsi="宋体" w:cs="宋体"/>
          <w:b/>
          <w:bCs/>
          <w:szCs w:val="21"/>
          <w:u w:val="single"/>
          <w:lang w:eastAsia="zh-CN"/>
        </w:rPr>
        <w:t>教育发展研究中心</w:t>
      </w:r>
      <w:r>
        <w:rPr>
          <w:rFonts w:hint="eastAsia" w:ascii="宋体" w:hAnsi="宋体" w:cs="宋体"/>
          <w:b/>
          <w:bCs/>
          <w:szCs w:val="21"/>
          <w:u w:val="single"/>
        </w:rPr>
        <w:t xml:space="preserve">             </w:t>
      </w:r>
    </w:p>
    <w:p w14:paraId="40A08772">
      <w:pPr>
        <w:spacing w:line="500" w:lineRule="exact"/>
        <w:rPr>
          <w:rFonts w:ascii="宋体" w:hAnsi="宋体" w:cs="宋体"/>
          <w:b/>
          <w:bCs/>
          <w:szCs w:val="21"/>
          <w:u w:val="single"/>
        </w:rPr>
      </w:pPr>
      <w:r>
        <w:rPr>
          <w:rFonts w:hint="eastAsia" w:ascii="宋体" w:hAnsi="宋体" w:cs="宋体"/>
          <w:b/>
          <w:bCs/>
          <w:szCs w:val="21"/>
        </w:rPr>
        <w:t>成交供应商（乙方）：</w:t>
      </w:r>
      <w:r>
        <w:rPr>
          <w:rFonts w:hint="eastAsia" w:ascii="宋体" w:hAnsi="宋体" w:cs="宋体"/>
          <w:b/>
          <w:bCs/>
          <w:szCs w:val="21"/>
          <w:u w:val="single"/>
        </w:rPr>
        <w:t xml:space="preserve">                                           </w:t>
      </w:r>
    </w:p>
    <w:p w14:paraId="6978FED2">
      <w:pPr>
        <w:spacing w:line="500" w:lineRule="exact"/>
        <w:rPr>
          <w:rFonts w:ascii="宋体" w:hAnsi="宋体" w:cs="宋体"/>
          <w:b/>
          <w:bCs/>
          <w:szCs w:val="21"/>
          <w:u w:val="single"/>
        </w:rPr>
      </w:pPr>
      <w:r>
        <w:rPr>
          <w:rFonts w:hint="eastAsia" w:ascii="宋体" w:hAnsi="宋体" w:cs="宋体"/>
          <w:b/>
          <w:bCs/>
          <w:szCs w:val="21"/>
        </w:rPr>
        <w:t>签订地点：</w:t>
      </w:r>
      <w:r>
        <w:rPr>
          <w:rFonts w:hint="eastAsia" w:ascii="宋体" w:hAnsi="宋体" w:cs="宋体"/>
          <w:b/>
          <w:bCs/>
          <w:szCs w:val="21"/>
          <w:u w:val="single"/>
        </w:rPr>
        <w:t xml:space="preserve">       钦州市    </w:t>
      </w:r>
      <w:r>
        <w:rPr>
          <w:rFonts w:hint="eastAsia" w:ascii="宋体" w:hAnsi="宋体" w:cs="宋体"/>
          <w:b/>
          <w:bCs/>
          <w:szCs w:val="21"/>
        </w:rPr>
        <w:t xml:space="preserve">     签订时间：</w:t>
      </w:r>
      <w:r>
        <w:rPr>
          <w:rFonts w:hint="eastAsia" w:ascii="宋体" w:hAnsi="宋体" w:cs="宋体"/>
          <w:b/>
          <w:bCs/>
          <w:szCs w:val="21"/>
          <w:u w:val="single"/>
        </w:rPr>
        <w:t xml:space="preserve"> 202</w:t>
      </w:r>
      <w:r>
        <w:rPr>
          <w:rFonts w:hint="eastAsia" w:ascii="宋体" w:hAnsi="宋体" w:cs="宋体"/>
          <w:b/>
          <w:bCs/>
          <w:szCs w:val="21"/>
          <w:u w:val="single"/>
          <w:lang w:val="en-US" w:eastAsia="zh-CN"/>
        </w:rPr>
        <w:t>6</w:t>
      </w:r>
      <w:r>
        <w:rPr>
          <w:rFonts w:hint="eastAsia" w:ascii="宋体" w:hAnsi="宋体" w:cs="宋体"/>
          <w:b/>
          <w:bCs/>
          <w:szCs w:val="21"/>
          <w:u w:val="single"/>
        </w:rPr>
        <w:t>年  月   日</w:t>
      </w:r>
    </w:p>
    <w:p w14:paraId="61D4B965">
      <w:pPr>
        <w:spacing w:line="500" w:lineRule="exact"/>
        <w:ind w:firstLine="420" w:firstLineChars="200"/>
        <w:rPr>
          <w:rFonts w:ascii="宋体" w:hAnsi="宋体"/>
          <w:szCs w:val="21"/>
        </w:rPr>
      </w:pPr>
    </w:p>
    <w:p w14:paraId="38D9423D">
      <w:pPr>
        <w:spacing w:line="500" w:lineRule="exact"/>
        <w:ind w:firstLine="420" w:firstLineChars="200"/>
        <w:rPr>
          <w:rFonts w:ascii="宋体" w:hAnsi="宋体"/>
          <w:szCs w:val="21"/>
        </w:rPr>
      </w:pPr>
      <w:r>
        <w:rPr>
          <w:rFonts w:hint="eastAsia" w:ascii="宋体" w:hAnsi="宋体"/>
          <w:szCs w:val="21"/>
        </w:rPr>
        <w:t>甲方委托乙方组织实施</w:t>
      </w:r>
      <w:r>
        <w:rPr>
          <w:rFonts w:hint="eastAsia" w:ascii="宋体" w:hAnsi="宋体"/>
          <w:szCs w:val="21"/>
          <w:u w:val="single"/>
        </w:rPr>
        <w:t>钦州市教育发展研究中心2026年市本级教师培训项目</w:t>
      </w:r>
      <w:r>
        <w:rPr>
          <w:rFonts w:ascii="宋体" w:hAnsi="宋体"/>
          <w:szCs w:val="21"/>
        </w:rPr>
        <w:t>。为了维护当事人合法权益，根据《中华人民共和国政府采购法</w:t>
      </w:r>
      <w:r>
        <w:rPr>
          <w:rFonts w:hint="eastAsia" w:ascii="宋体" w:hAnsi="宋体"/>
          <w:szCs w:val="21"/>
        </w:rPr>
        <w:t>》《</w:t>
      </w:r>
      <w:r>
        <w:rPr>
          <w:rFonts w:ascii="宋体" w:hAnsi="宋体"/>
          <w:szCs w:val="21"/>
        </w:rPr>
        <w:t>中华人民共和国</w:t>
      </w:r>
      <w:r>
        <w:rPr>
          <w:rFonts w:hint="eastAsia" w:ascii="宋体" w:hAnsi="宋体"/>
          <w:szCs w:val="21"/>
        </w:rPr>
        <w:t>民法典</w:t>
      </w:r>
      <w:r>
        <w:rPr>
          <w:rFonts w:ascii="宋体" w:hAnsi="宋体"/>
          <w:szCs w:val="21"/>
        </w:rPr>
        <w:t>》等相关法律法规的规定，遵循平等、自愿、公平和诚实信用原则，甲乙双方同意按下述条款签订合同，并共同遵守。</w:t>
      </w:r>
    </w:p>
    <w:p w14:paraId="01CF033E">
      <w:pPr>
        <w:spacing w:line="500" w:lineRule="exact"/>
        <w:ind w:firstLine="422" w:firstLineChars="200"/>
        <w:rPr>
          <w:rFonts w:ascii="宋体" w:hAnsi="宋体"/>
          <w:b/>
          <w:bCs/>
          <w:szCs w:val="21"/>
        </w:rPr>
      </w:pPr>
      <w:r>
        <w:rPr>
          <w:rFonts w:hint="eastAsia" w:ascii="宋体" w:hAnsi="宋体"/>
          <w:b/>
          <w:bCs/>
          <w:szCs w:val="21"/>
        </w:rPr>
        <w:t>一、合同标的</w:t>
      </w:r>
    </w:p>
    <w:p w14:paraId="7DBC1645">
      <w:pPr>
        <w:spacing w:line="500" w:lineRule="exact"/>
        <w:rPr>
          <w:rFonts w:ascii="宋体" w:hAnsi="宋体"/>
          <w:b/>
          <w:bCs/>
          <w:szCs w:val="21"/>
          <w:u w:val="single"/>
        </w:rPr>
      </w:pPr>
      <w:r>
        <w:rPr>
          <w:rFonts w:ascii="宋体" w:hAnsi="宋体"/>
          <w:b/>
          <w:bCs/>
          <w:szCs w:val="21"/>
        </w:rPr>
        <w:t>合同总金额</w:t>
      </w:r>
      <w:r>
        <w:rPr>
          <w:rFonts w:hint="eastAsia" w:ascii="宋体" w:hAnsi="宋体"/>
          <w:b/>
          <w:bCs/>
          <w:szCs w:val="21"/>
        </w:rPr>
        <w:t>：</w:t>
      </w:r>
      <w:r>
        <w:rPr>
          <w:rFonts w:ascii="宋体" w:hAnsi="宋体"/>
          <w:b/>
          <w:bCs/>
          <w:szCs w:val="21"/>
          <w:u w:val="single"/>
        </w:rPr>
        <w:t>人民币大写</w:t>
      </w:r>
      <w:r>
        <w:rPr>
          <w:rFonts w:hint="eastAsia" w:ascii="宋体" w:hAnsi="宋体"/>
          <w:b/>
          <w:bCs/>
          <w:szCs w:val="21"/>
          <w:u w:val="single"/>
        </w:rPr>
        <w:t>：           （小写：¥              ）</w:t>
      </w:r>
    </w:p>
    <w:tbl>
      <w:tblPr>
        <w:tblStyle w:val="34"/>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993"/>
        <w:gridCol w:w="2028"/>
        <w:gridCol w:w="807"/>
        <w:gridCol w:w="850"/>
        <w:gridCol w:w="1559"/>
        <w:gridCol w:w="1714"/>
        <w:gridCol w:w="980"/>
      </w:tblGrid>
      <w:tr w14:paraId="2BD69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3AF507A">
            <w:pPr>
              <w:pStyle w:val="25"/>
              <w:spacing w:line="500" w:lineRule="exact"/>
              <w:jc w:val="center"/>
              <w:rPr>
                <w:sz w:val="21"/>
                <w:szCs w:val="21"/>
              </w:rPr>
            </w:pPr>
            <w:r>
              <w:rPr>
                <w:rFonts w:hint="eastAsia" w:ascii="宋体" w:hAnsi="宋体"/>
                <w:b/>
                <w:bCs/>
                <w:sz w:val="21"/>
                <w:szCs w:val="21"/>
              </w:rPr>
              <w:t>分标号</w:t>
            </w:r>
          </w:p>
        </w:tc>
        <w:tc>
          <w:tcPr>
            <w:tcW w:w="993" w:type="dxa"/>
            <w:vAlign w:val="center"/>
          </w:tcPr>
          <w:p w14:paraId="67AF2904">
            <w:pPr>
              <w:spacing w:line="500" w:lineRule="exact"/>
              <w:jc w:val="center"/>
              <w:rPr>
                <w:rFonts w:hint="eastAsia" w:ascii="宋体" w:hAnsi="宋体" w:eastAsia="宋体"/>
                <w:b/>
                <w:bCs/>
                <w:szCs w:val="21"/>
                <w:lang w:eastAsia="zh-CN"/>
              </w:rPr>
            </w:pPr>
            <w:r>
              <w:rPr>
                <w:rFonts w:hint="eastAsia" w:ascii="宋体" w:hAnsi="宋体"/>
                <w:b/>
                <w:bCs/>
                <w:szCs w:val="21"/>
              </w:rPr>
              <w:t>标</w:t>
            </w:r>
            <w:r>
              <w:rPr>
                <w:rFonts w:hint="eastAsia" w:ascii="宋体" w:hAnsi="宋体"/>
                <w:b/>
                <w:bCs/>
                <w:szCs w:val="21"/>
                <w:lang w:eastAsia="zh-CN"/>
              </w:rPr>
              <w:t>项</w:t>
            </w:r>
          </w:p>
          <w:p w14:paraId="45C57058">
            <w:pPr>
              <w:pStyle w:val="25"/>
              <w:spacing w:line="500" w:lineRule="exact"/>
              <w:jc w:val="center"/>
              <w:rPr>
                <w:sz w:val="21"/>
                <w:szCs w:val="21"/>
              </w:rPr>
            </w:pPr>
            <w:r>
              <w:rPr>
                <w:rFonts w:hint="eastAsia" w:ascii="宋体" w:hAnsi="宋体"/>
                <w:b/>
                <w:bCs/>
                <w:sz w:val="21"/>
                <w:szCs w:val="21"/>
              </w:rPr>
              <w:t>名称</w:t>
            </w:r>
          </w:p>
        </w:tc>
        <w:tc>
          <w:tcPr>
            <w:tcW w:w="2028" w:type="dxa"/>
            <w:vAlign w:val="center"/>
          </w:tcPr>
          <w:p w14:paraId="4273BD68">
            <w:pPr>
              <w:pStyle w:val="25"/>
              <w:spacing w:line="500" w:lineRule="exact"/>
              <w:jc w:val="center"/>
              <w:rPr>
                <w:sz w:val="21"/>
                <w:szCs w:val="21"/>
              </w:rPr>
            </w:pPr>
            <w:r>
              <w:rPr>
                <w:rFonts w:hint="eastAsia" w:ascii="宋体" w:hAnsi="宋体"/>
                <w:b/>
                <w:bCs/>
                <w:sz w:val="21"/>
                <w:szCs w:val="21"/>
              </w:rPr>
              <w:t>子项目/学科/学段</w:t>
            </w:r>
          </w:p>
        </w:tc>
        <w:tc>
          <w:tcPr>
            <w:tcW w:w="807" w:type="dxa"/>
            <w:vAlign w:val="center"/>
          </w:tcPr>
          <w:p w14:paraId="6D3605A9">
            <w:pPr>
              <w:pStyle w:val="25"/>
              <w:spacing w:line="500" w:lineRule="exact"/>
              <w:jc w:val="center"/>
              <w:rPr>
                <w:sz w:val="21"/>
                <w:szCs w:val="21"/>
              </w:rPr>
            </w:pPr>
            <w:r>
              <w:rPr>
                <w:rFonts w:hint="eastAsia" w:ascii="宋体" w:hAnsi="宋体"/>
                <w:b/>
                <w:bCs/>
                <w:sz w:val="21"/>
                <w:szCs w:val="21"/>
              </w:rPr>
              <w:t>培训人数</w:t>
            </w:r>
          </w:p>
        </w:tc>
        <w:tc>
          <w:tcPr>
            <w:tcW w:w="850" w:type="dxa"/>
            <w:vAlign w:val="center"/>
          </w:tcPr>
          <w:p w14:paraId="4C841E27">
            <w:pPr>
              <w:pStyle w:val="25"/>
              <w:spacing w:line="500" w:lineRule="exact"/>
              <w:jc w:val="center"/>
              <w:rPr>
                <w:sz w:val="21"/>
                <w:szCs w:val="21"/>
              </w:rPr>
            </w:pPr>
            <w:r>
              <w:rPr>
                <w:rFonts w:hint="eastAsia" w:ascii="宋体" w:hAnsi="宋体"/>
                <w:b/>
                <w:bCs/>
                <w:sz w:val="21"/>
                <w:szCs w:val="21"/>
              </w:rPr>
              <w:t>培训时间</w:t>
            </w:r>
          </w:p>
        </w:tc>
        <w:tc>
          <w:tcPr>
            <w:tcW w:w="1559" w:type="dxa"/>
            <w:vAlign w:val="center"/>
          </w:tcPr>
          <w:p w14:paraId="03859E74">
            <w:pPr>
              <w:pStyle w:val="25"/>
              <w:spacing w:line="500" w:lineRule="exact"/>
              <w:jc w:val="center"/>
              <w:rPr>
                <w:sz w:val="21"/>
                <w:szCs w:val="21"/>
              </w:rPr>
            </w:pPr>
            <w:r>
              <w:rPr>
                <w:rFonts w:hint="eastAsia" w:ascii="宋体" w:hAnsi="宋体"/>
                <w:b/>
                <w:bCs/>
                <w:sz w:val="21"/>
                <w:szCs w:val="21"/>
              </w:rPr>
              <w:t>培训地点</w:t>
            </w:r>
          </w:p>
        </w:tc>
        <w:tc>
          <w:tcPr>
            <w:tcW w:w="1714" w:type="dxa"/>
            <w:vAlign w:val="center"/>
          </w:tcPr>
          <w:p w14:paraId="381C8B47">
            <w:pPr>
              <w:pStyle w:val="25"/>
              <w:spacing w:line="500" w:lineRule="exact"/>
              <w:jc w:val="center"/>
              <w:rPr>
                <w:sz w:val="21"/>
                <w:szCs w:val="21"/>
              </w:rPr>
            </w:pPr>
            <w:r>
              <w:rPr>
                <w:rFonts w:hint="eastAsia" w:ascii="宋体" w:hAnsi="宋体"/>
                <w:b/>
                <w:bCs/>
                <w:sz w:val="21"/>
                <w:szCs w:val="21"/>
              </w:rPr>
              <w:t>经费标准</w:t>
            </w:r>
          </w:p>
        </w:tc>
        <w:tc>
          <w:tcPr>
            <w:tcW w:w="980" w:type="dxa"/>
            <w:vAlign w:val="center"/>
          </w:tcPr>
          <w:p w14:paraId="3A17F30B">
            <w:pPr>
              <w:spacing w:line="500" w:lineRule="exact"/>
              <w:jc w:val="center"/>
              <w:rPr>
                <w:rFonts w:ascii="宋体" w:hAnsi="宋体"/>
                <w:b/>
                <w:bCs/>
                <w:szCs w:val="21"/>
              </w:rPr>
            </w:pPr>
            <w:r>
              <w:rPr>
                <w:rFonts w:hint="eastAsia" w:ascii="宋体" w:hAnsi="宋体"/>
                <w:b/>
                <w:bCs/>
                <w:szCs w:val="21"/>
              </w:rPr>
              <w:t>成交</w:t>
            </w:r>
          </w:p>
          <w:p w14:paraId="43D3B514">
            <w:pPr>
              <w:pStyle w:val="25"/>
              <w:spacing w:line="500" w:lineRule="exact"/>
              <w:jc w:val="center"/>
              <w:rPr>
                <w:sz w:val="21"/>
                <w:szCs w:val="21"/>
              </w:rPr>
            </w:pPr>
            <w:r>
              <w:rPr>
                <w:rFonts w:hint="eastAsia" w:ascii="宋体" w:hAnsi="宋体"/>
                <w:b/>
                <w:bCs/>
                <w:sz w:val="21"/>
                <w:szCs w:val="21"/>
              </w:rPr>
              <w:t>金额</w:t>
            </w:r>
          </w:p>
        </w:tc>
      </w:tr>
      <w:tr w14:paraId="03901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vAlign w:val="center"/>
          </w:tcPr>
          <w:p w14:paraId="6161A0CF">
            <w:pPr>
              <w:pStyle w:val="25"/>
              <w:spacing w:line="500" w:lineRule="exact"/>
              <w:rPr>
                <w:rFonts w:ascii="宋体" w:hAnsi="宋体"/>
                <w:b/>
                <w:bCs/>
                <w:szCs w:val="21"/>
              </w:rPr>
            </w:pPr>
          </w:p>
        </w:tc>
        <w:tc>
          <w:tcPr>
            <w:tcW w:w="993" w:type="dxa"/>
            <w:vMerge w:val="restart"/>
            <w:vAlign w:val="center"/>
          </w:tcPr>
          <w:p w14:paraId="79630DB9">
            <w:pPr>
              <w:spacing w:line="500" w:lineRule="exact"/>
              <w:jc w:val="center"/>
              <w:rPr>
                <w:rFonts w:ascii="宋体" w:hAnsi="宋体"/>
                <w:b/>
                <w:bCs/>
                <w:szCs w:val="21"/>
              </w:rPr>
            </w:pPr>
          </w:p>
        </w:tc>
        <w:tc>
          <w:tcPr>
            <w:tcW w:w="2028" w:type="dxa"/>
            <w:vAlign w:val="center"/>
          </w:tcPr>
          <w:p w14:paraId="68125AF4">
            <w:pPr>
              <w:pStyle w:val="25"/>
              <w:spacing w:line="500" w:lineRule="exact"/>
              <w:rPr>
                <w:rFonts w:ascii="宋体" w:hAnsi="宋体"/>
                <w:b/>
                <w:bCs/>
                <w:szCs w:val="21"/>
              </w:rPr>
            </w:pPr>
          </w:p>
        </w:tc>
        <w:tc>
          <w:tcPr>
            <w:tcW w:w="807" w:type="dxa"/>
            <w:vAlign w:val="center"/>
          </w:tcPr>
          <w:p w14:paraId="23384073">
            <w:pPr>
              <w:pStyle w:val="25"/>
              <w:spacing w:line="500" w:lineRule="exact"/>
              <w:rPr>
                <w:rFonts w:ascii="宋体" w:hAnsi="宋体"/>
                <w:b/>
                <w:bCs/>
                <w:szCs w:val="21"/>
              </w:rPr>
            </w:pPr>
          </w:p>
        </w:tc>
        <w:tc>
          <w:tcPr>
            <w:tcW w:w="850" w:type="dxa"/>
            <w:vAlign w:val="center"/>
          </w:tcPr>
          <w:p w14:paraId="400D2E48">
            <w:pPr>
              <w:pStyle w:val="25"/>
              <w:spacing w:line="500" w:lineRule="exact"/>
              <w:rPr>
                <w:rFonts w:ascii="宋体" w:hAnsi="宋体"/>
                <w:b/>
                <w:bCs/>
                <w:szCs w:val="21"/>
              </w:rPr>
            </w:pPr>
          </w:p>
        </w:tc>
        <w:tc>
          <w:tcPr>
            <w:tcW w:w="1559" w:type="dxa"/>
            <w:vAlign w:val="center"/>
          </w:tcPr>
          <w:p w14:paraId="54B543F7">
            <w:pPr>
              <w:pStyle w:val="25"/>
              <w:spacing w:line="500" w:lineRule="exact"/>
              <w:rPr>
                <w:rFonts w:ascii="宋体" w:hAnsi="宋体"/>
                <w:b/>
                <w:bCs/>
                <w:szCs w:val="21"/>
              </w:rPr>
            </w:pPr>
          </w:p>
        </w:tc>
        <w:tc>
          <w:tcPr>
            <w:tcW w:w="1714" w:type="dxa"/>
            <w:vAlign w:val="center"/>
          </w:tcPr>
          <w:p w14:paraId="48FD4355">
            <w:pPr>
              <w:pStyle w:val="25"/>
              <w:spacing w:line="500" w:lineRule="exact"/>
              <w:rPr>
                <w:rFonts w:ascii="宋体" w:hAnsi="宋体"/>
                <w:b/>
                <w:bCs/>
                <w:szCs w:val="21"/>
              </w:rPr>
            </w:pPr>
          </w:p>
        </w:tc>
        <w:tc>
          <w:tcPr>
            <w:tcW w:w="980" w:type="dxa"/>
            <w:vAlign w:val="center"/>
          </w:tcPr>
          <w:p w14:paraId="370CDD3C">
            <w:pPr>
              <w:spacing w:line="500" w:lineRule="exact"/>
              <w:jc w:val="center"/>
              <w:rPr>
                <w:rFonts w:ascii="宋体" w:hAnsi="宋体"/>
                <w:b/>
                <w:bCs/>
                <w:szCs w:val="21"/>
              </w:rPr>
            </w:pPr>
          </w:p>
        </w:tc>
      </w:tr>
      <w:tr w14:paraId="33B5F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vAlign w:val="center"/>
          </w:tcPr>
          <w:p w14:paraId="4A410A65">
            <w:pPr>
              <w:pStyle w:val="25"/>
              <w:spacing w:line="500" w:lineRule="exact"/>
              <w:rPr>
                <w:rFonts w:ascii="宋体" w:hAnsi="宋体"/>
                <w:b/>
                <w:bCs/>
                <w:szCs w:val="21"/>
              </w:rPr>
            </w:pPr>
          </w:p>
        </w:tc>
        <w:tc>
          <w:tcPr>
            <w:tcW w:w="993" w:type="dxa"/>
            <w:vMerge w:val="continue"/>
            <w:vAlign w:val="center"/>
          </w:tcPr>
          <w:p w14:paraId="3C38B396">
            <w:pPr>
              <w:spacing w:line="500" w:lineRule="exact"/>
              <w:jc w:val="center"/>
              <w:rPr>
                <w:rFonts w:ascii="宋体" w:hAnsi="宋体"/>
                <w:b/>
                <w:bCs/>
                <w:szCs w:val="21"/>
              </w:rPr>
            </w:pPr>
          </w:p>
        </w:tc>
        <w:tc>
          <w:tcPr>
            <w:tcW w:w="2028" w:type="dxa"/>
            <w:vAlign w:val="center"/>
          </w:tcPr>
          <w:p w14:paraId="664E54BC">
            <w:pPr>
              <w:pStyle w:val="25"/>
              <w:spacing w:line="500" w:lineRule="exact"/>
              <w:rPr>
                <w:rFonts w:ascii="宋体" w:hAnsi="宋体"/>
                <w:b/>
                <w:bCs/>
                <w:szCs w:val="21"/>
              </w:rPr>
            </w:pPr>
          </w:p>
        </w:tc>
        <w:tc>
          <w:tcPr>
            <w:tcW w:w="807" w:type="dxa"/>
            <w:vAlign w:val="center"/>
          </w:tcPr>
          <w:p w14:paraId="6615A8EE">
            <w:pPr>
              <w:pStyle w:val="25"/>
              <w:spacing w:line="500" w:lineRule="exact"/>
              <w:rPr>
                <w:rFonts w:ascii="宋体" w:hAnsi="宋体"/>
                <w:b/>
                <w:bCs/>
                <w:szCs w:val="21"/>
              </w:rPr>
            </w:pPr>
          </w:p>
        </w:tc>
        <w:tc>
          <w:tcPr>
            <w:tcW w:w="850" w:type="dxa"/>
            <w:vAlign w:val="center"/>
          </w:tcPr>
          <w:p w14:paraId="67FE9D3B">
            <w:pPr>
              <w:pStyle w:val="25"/>
              <w:spacing w:line="500" w:lineRule="exact"/>
              <w:rPr>
                <w:rFonts w:ascii="宋体" w:hAnsi="宋体"/>
                <w:b/>
                <w:bCs/>
                <w:szCs w:val="21"/>
              </w:rPr>
            </w:pPr>
          </w:p>
        </w:tc>
        <w:tc>
          <w:tcPr>
            <w:tcW w:w="1559" w:type="dxa"/>
            <w:vAlign w:val="center"/>
          </w:tcPr>
          <w:p w14:paraId="2DE2DA6B">
            <w:pPr>
              <w:pStyle w:val="25"/>
              <w:spacing w:line="500" w:lineRule="exact"/>
              <w:rPr>
                <w:rFonts w:ascii="宋体" w:hAnsi="宋体"/>
                <w:b/>
                <w:bCs/>
                <w:szCs w:val="21"/>
              </w:rPr>
            </w:pPr>
          </w:p>
        </w:tc>
        <w:tc>
          <w:tcPr>
            <w:tcW w:w="1714" w:type="dxa"/>
            <w:vAlign w:val="center"/>
          </w:tcPr>
          <w:p w14:paraId="72E2099E">
            <w:pPr>
              <w:pStyle w:val="25"/>
              <w:spacing w:line="500" w:lineRule="exact"/>
              <w:rPr>
                <w:rFonts w:ascii="宋体" w:hAnsi="宋体"/>
                <w:b/>
                <w:bCs/>
                <w:szCs w:val="21"/>
              </w:rPr>
            </w:pPr>
          </w:p>
        </w:tc>
        <w:tc>
          <w:tcPr>
            <w:tcW w:w="980" w:type="dxa"/>
            <w:vAlign w:val="center"/>
          </w:tcPr>
          <w:p w14:paraId="6497EEED">
            <w:pPr>
              <w:spacing w:line="500" w:lineRule="exact"/>
              <w:jc w:val="center"/>
              <w:rPr>
                <w:rFonts w:ascii="宋体" w:hAnsi="宋体"/>
                <w:b/>
                <w:bCs/>
                <w:szCs w:val="21"/>
              </w:rPr>
            </w:pPr>
          </w:p>
        </w:tc>
      </w:tr>
    </w:tbl>
    <w:p w14:paraId="66AF34E2">
      <w:pPr>
        <w:spacing w:line="500" w:lineRule="exact"/>
        <w:ind w:firstLine="420" w:firstLineChars="200"/>
        <w:rPr>
          <w:rFonts w:ascii="宋体" w:hAnsi="宋体"/>
          <w:b/>
          <w:bCs/>
          <w:szCs w:val="21"/>
        </w:rPr>
      </w:pPr>
      <w:r>
        <w:rPr>
          <w:rFonts w:hint="eastAsia" w:ascii="宋体" w:hAnsi="宋体" w:cs="宋体"/>
          <w:szCs w:val="21"/>
        </w:rPr>
        <w:t>合同总金额包含满足本次竞标全部采购需求所应提供的服务价格，包含</w:t>
      </w:r>
      <w:r>
        <w:rPr>
          <w:rFonts w:hint="eastAsia" w:ascii="Calibri" w:hAnsi="Calibri"/>
        </w:rPr>
        <w:t>但不限于</w:t>
      </w:r>
      <w:r>
        <w:rPr>
          <w:rFonts w:hint="eastAsia" w:ascii="宋体" w:hAnsi="宋体" w:cs="宋体"/>
          <w:szCs w:val="21"/>
        </w:rPr>
        <w:t>培训实施期间全部的住宿费、伙食费、培训场地费、培训资料费、交通费</w:t>
      </w:r>
      <w:r>
        <w:rPr>
          <w:rFonts w:hint="eastAsia" w:ascii="宋体" w:hAnsi="宋体" w:cs="宋体"/>
          <w:szCs w:val="21"/>
          <w:lang w:eastAsia="zh-CN"/>
        </w:rPr>
        <w:t>（</w:t>
      </w:r>
      <w:r>
        <w:rPr>
          <w:rFonts w:hint="eastAsia" w:ascii="宋体" w:hAnsi="宋体" w:cs="宋体"/>
          <w:szCs w:val="21"/>
        </w:rPr>
        <w:t>培训地</w:t>
      </w:r>
      <w:r>
        <w:rPr>
          <w:rFonts w:hint="eastAsia" w:ascii="宋体" w:hAnsi="宋体" w:cs="宋体"/>
          <w:szCs w:val="21"/>
          <w:lang w:eastAsia="zh-CN"/>
        </w:rPr>
        <w:t>）</w:t>
      </w:r>
      <w:r>
        <w:rPr>
          <w:rFonts w:hint="eastAsia" w:ascii="宋体" w:hAnsi="宋体" w:cs="宋体"/>
          <w:szCs w:val="21"/>
        </w:rPr>
        <w:t>、劳务费、现场教学费、</w:t>
      </w:r>
      <w:r>
        <w:rPr>
          <w:rFonts w:hint="eastAsia" w:ascii="Calibri" w:hAnsi="Calibri"/>
        </w:rPr>
        <w:t>必要的保险费用、各项税金</w:t>
      </w:r>
      <w:r>
        <w:rPr>
          <w:rFonts w:hint="eastAsia" w:ascii="宋体" w:hAnsi="宋体" w:cs="宋体"/>
          <w:szCs w:val="21"/>
        </w:rPr>
        <w:t>等所有费用。</w:t>
      </w:r>
    </w:p>
    <w:p w14:paraId="6A8CC274">
      <w:pPr>
        <w:spacing w:line="500" w:lineRule="exact"/>
        <w:ind w:firstLine="422" w:firstLineChars="200"/>
        <w:rPr>
          <w:rFonts w:ascii="宋体" w:hAnsi="宋体"/>
          <w:b/>
          <w:bCs/>
          <w:szCs w:val="21"/>
        </w:rPr>
      </w:pPr>
      <w:r>
        <w:rPr>
          <w:rFonts w:hint="eastAsia" w:ascii="宋体" w:hAnsi="宋体"/>
          <w:b/>
          <w:bCs/>
          <w:szCs w:val="21"/>
        </w:rPr>
        <w:t>二、甲方应承担的责任与义务：</w:t>
      </w:r>
    </w:p>
    <w:p w14:paraId="350CBBC0">
      <w:pPr>
        <w:spacing w:line="500" w:lineRule="exact"/>
        <w:ind w:left="420" w:firstLine="420" w:firstLineChars="200"/>
        <w:rPr>
          <w:rFonts w:ascii="宋体" w:hAnsi="宋体"/>
          <w:szCs w:val="21"/>
        </w:rPr>
      </w:pPr>
      <w:r>
        <w:rPr>
          <w:rFonts w:hint="eastAsia" w:ascii="宋体" w:hAnsi="宋体"/>
          <w:szCs w:val="21"/>
        </w:rPr>
        <w:t>（一）</w:t>
      </w:r>
      <w:r>
        <w:rPr>
          <w:rFonts w:ascii="宋体" w:hAnsi="宋体"/>
          <w:szCs w:val="21"/>
        </w:rPr>
        <w:t>审核乙方研制的培训方案。</w:t>
      </w:r>
    </w:p>
    <w:p w14:paraId="448B85E6">
      <w:pPr>
        <w:spacing w:line="500" w:lineRule="exact"/>
        <w:ind w:left="420" w:firstLine="420" w:firstLineChars="200"/>
        <w:rPr>
          <w:rFonts w:ascii="宋体" w:hAnsi="宋体"/>
          <w:szCs w:val="21"/>
        </w:rPr>
      </w:pPr>
      <w:r>
        <w:rPr>
          <w:rFonts w:hint="eastAsia" w:ascii="宋体" w:hAnsi="宋体"/>
          <w:szCs w:val="21"/>
        </w:rPr>
        <w:t>（二）</w:t>
      </w:r>
      <w:r>
        <w:rPr>
          <w:rFonts w:ascii="宋体" w:hAnsi="宋体"/>
          <w:szCs w:val="21"/>
        </w:rPr>
        <w:t>组织地方教育部门选派学员参训。</w:t>
      </w:r>
    </w:p>
    <w:p w14:paraId="379C9788">
      <w:pPr>
        <w:spacing w:line="500" w:lineRule="exact"/>
        <w:ind w:left="420" w:firstLine="420" w:firstLineChars="200"/>
        <w:rPr>
          <w:rFonts w:ascii="宋体" w:hAnsi="宋体"/>
          <w:szCs w:val="21"/>
        </w:rPr>
      </w:pPr>
      <w:r>
        <w:rPr>
          <w:rFonts w:hint="eastAsia" w:ascii="宋体" w:hAnsi="宋体"/>
          <w:szCs w:val="21"/>
        </w:rPr>
        <w:t>（三）</w:t>
      </w:r>
      <w:r>
        <w:rPr>
          <w:rFonts w:ascii="宋体" w:hAnsi="宋体"/>
          <w:szCs w:val="21"/>
        </w:rPr>
        <w:t>协调地方教育部门与乙方衔接项目培训实施工作。</w:t>
      </w:r>
    </w:p>
    <w:p w14:paraId="0D6E011E">
      <w:pPr>
        <w:spacing w:line="500" w:lineRule="exact"/>
        <w:ind w:left="420" w:firstLine="420" w:firstLineChars="200"/>
        <w:rPr>
          <w:rFonts w:ascii="宋体" w:hAnsi="宋体"/>
          <w:szCs w:val="21"/>
        </w:rPr>
      </w:pPr>
      <w:r>
        <w:rPr>
          <w:rFonts w:hint="eastAsia" w:ascii="宋体" w:hAnsi="宋体"/>
          <w:szCs w:val="21"/>
        </w:rPr>
        <w:t>（四）</w:t>
      </w:r>
      <w:r>
        <w:rPr>
          <w:rFonts w:ascii="宋体" w:hAnsi="宋体"/>
          <w:szCs w:val="21"/>
        </w:rPr>
        <w:t>负责对乙方培训工作进行督导检查。</w:t>
      </w:r>
    </w:p>
    <w:p w14:paraId="502DA507">
      <w:pPr>
        <w:spacing w:line="500" w:lineRule="exact"/>
        <w:ind w:left="420" w:firstLine="420" w:firstLineChars="200"/>
        <w:rPr>
          <w:rFonts w:ascii="宋体" w:hAnsi="宋体"/>
          <w:szCs w:val="21"/>
        </w:rPr>
      </w:pPr>
      <w:r>
        <w:rPr>
          <w:rFonts w:hint="eastAsia" w:ascii="宋体" w:hAnsi="宋体"/>
          <w:szCs w:val="21"/>
        </w:rPr>
        <w:t>（五）</w:t>
      </w:r>
      <w:r>
        <w:rPr>
          <w:rFonts w:ascii="宋体" w:hAnsi="宋体"/>
          <w:szCs w:val="21"/>
        </w:rPr>
        <w:t>负责督促乙方按要求开展项目总结评估工作，并进行项目绩效考评。</w:t>
      </w:r>
    </w:p>
    <w:p w14:paraId="0220E22D">
      <w:pPr>
        <w:spacing w:line="500" w:lineRule="exact"/>
        <w:ind w:left="420" w:firstLine="420" w:firstLineChars="200"/>
        <w:rPr>
          <w:rFonts w:ascii="宋体" w:hAnsi="宋体"/>
          <w:szCs w:val="21"/>
          <w:u w:val="single"/>
        </w:rPr>
      </w:pPr>
      <w:r>
        <w:rPr>
          <w:rFonts w:hint="eastAsia" w:ascii="宋体" w:hAnsi="宋体"/>
          <w:szCs w:val="21"/>
        </w:rPr>
        <w:t>（六）本项目付款方式：</w:t>
      </w:r>
      <w:bookmarkStart w:id="168" w:name="_Hlk104544184"/>
      <w:r>
        <w:rPr>
          <w:rFonts w:hint="eastAsia" w:ascii="宋体" w:hAnsi="宋体"/>
          <w:szCs w:val="21"/>
        </w:rPr>
        <w:t>乙方</w:t>
      </w:r>
      <w:bookmarkEnd w:id="168"/>
      <w:r>
        <w:rPr>
          <w:rFonts w:hint="eastAsia" w:ascii="宋体" w:hAnsi="宋体"/>
          <w:szCs w:val="21"/>
        </w:rPr>
        <w:t>向甲方</w:t>
      </w:r>
      <w:r>
        <w:rPr>
          <w:rFonts w:hint="eastAsia" w:ascii="宋体" w:hAnsi="宋体" w:cs="宋体"/>
          <w:szCs w:val="21"/>
        </w:rPr>
        <w:t>提交培训实施方案合格后，</w:t>
      </w:r>
      <w:r>
        <w:rPr>
          <w:rFonts w:hint="eastAsia" w:ascii="宋体" w:hAnsi="宋体"/>
          <w:szCs w:val="21"/>
        </w:rPr>
        <w:t>甲方</w:t>
      </w:r>
      <w:r>
        <w:rPr>
          <w:rFonts w:hint="eastAsia" w:ascii="宋体" w:hAnsi="宋体" w:cs="宋体"/>
          <w:szCs w:val="21"/>
        </w:rPr>
        <w:t>向市财政申请下达资金后，甲</w:t>
      </w:r>
      <w:r>
        <w:rPr>
          <w:rFonts w:hint="eastAsia" w:ascii="宋体" w:hAnsi="宋体" w:cs="宋体"/>
          <w:szCs w:val="21"/>
          <w:u w:val="single"/>
        </w:rPr>
        <w:t>方预付合同总金额的30%给乙方，</w:t>
      </w:r>
      <w:r>
        <w:rPr>
          <w:rFonts w:hint="eastAsia" w:ascii="宋体" w:hAnsi="宋体"/>
          <w:szCs w:val="21"/>
        </w:rPr>
        <w:t>即（大写）人民币</w:t>
      </w:r>
      <w:r>
        <w:rPr>
          <w:rFonts w:hint="eastAsia" w:ascii="宋体" w:hAnsi="宋体"/>
          <w:szCs w:val="21"/>
          <w:u w:val="single"/>
        </w:rPr>
        <w:t xml:space="preserve">     </w:t>
      </w:r>
      <w:r>
        <w:rPr>
          <w:rFonts w:hint="eastAsia" w:ascii="宋体" w:hAnsi="宋体"/>
          <w:szCs w:val="21"/>
        </w:rPr>
        <w:t xml:space="preserve"> （小写）¥</w:t>
      </w:r>
      <w:r>
        <w:rPr>
          <w:rFonts w:hint="eastAsia" w:ascii="宋体" w:hAnsi="宋体"/>
          <w:szCs w:val="21"/>
          <w:u w:val="single"/>
        </w:rPr>
        <w:t xml:space="preserve">      </w:t>
      </w:r>
      <w:r>
        <w:rPr>
          <w:rFonts w:hint="eastAsia" w:ascii="宋体" w:hAnsi="宋体"/>
          <w:szCs w:val="21"/>
        </w:rPr>
        <w:t>，乙方</w:t>
      </w:r>
      <w:r>
        <w:rPr>
          <w:rFonts w:hint="eastAsia" w:ascii="宋体" w:hAnsi="宋体" w:cs="宋体"/>
          <w:szCs w:val="21"/>
        </w:rPr>
        <w:t>履行合同约定的责任义务，当培训结束时待</w:t>
      </w:r>
      <w:r>
        <w:rPr>
          <w:rFonts w:hint="eastAsia" w:ascii="宋体" w:hAnsi="宋体"/>
          <w:szCs w:val="21"/>
        </w:rPr>
        <w:t>甲方</w:t>
      </w:r>
      <w:r>
        <w:rPr>
          <w:rFonts w:hint="eastAsia" w:ascii="宋体" w:hAnsi="宋体" w:cs="宋体"/>
          <w:szCs w:val="21"/>
        </w:rPr>
        <w:t>验收合格后，</w:t>
      </w:r>
      <w:r>
        <w:rPr>
          <w:rFonts w:hint="eastAsia" w:ascii="宋体" w:hAnsi="宋体"/>
          <w:szCs w:val="21"/>
        </w:rPr>
        <w:t>甲方</w:t>
      </w:r>
      <w:r>
        <w:rPr>
          <w:rFonts w:hint="eastAsia" w:ascii="宋体" w:hAnsi="宋体" w:cs="宋体"/>
          <w:szCs w:val="21"/>
          <w:u w:val="single"/>
        </w:rPr>
        <w:t>再支付合同总金额的70%给</w:t>
      </w:r>
      <w:r>
        <w:rPr>
          <w:rFonts w:hint="eastAsia" w:ascii="宋体" w:hAnsi="宋体"/>
          <w:szCs w:val="21"/>
        </w:rPr>
        <w:t>乙方</w:t>
      </w:r>
      <w:r>
        <w:rPr>
          <w:rFonts w:hint="eastAsia" w:ascii="宋体" w:hAnsi="宋体" w:cs="宋体"/>
          <w:szCs w:val="21"/>
          <w:u w:val="single"/>
        </w:rPr>
        <w:t>，</w:t>
      </w:r>
      <w:r>
        <w:rPr>
          <w:rFonts w:hint="eastAsia" w:ascii="宋体" w:hAnsi="宋体"/>
          <w:szCs w:val="21"/>
        </w:rPr>
        <w:t>即人民币</w:t>
      </w:r>
      <w:r>
        <w:rPr>
          <w:rFonts w:hint="eastAsia" w:ascii="宋体" w:hAnsi="宋体"/>
          <w:szCs w:val="21"/>
          <w:u w:val="single"/>
        </w:rPr>
        <w:t xml:space="preserve">     </w:t>
      </w:r>
      <w:r>
        <w:rPr>
          <w:rFonts w:hint="eastAsia" w:ascii="宋体" w:hAnsi="宋体"/>
          <w:szCs w:val="21"/>
        </w:rPr>
        <w:t xml:space="preserve"> （小写）¥</w:t>
      </w:r>
      <w:r>
        <w:rPr>
          <w:rFonts w:hint="eastAsia" w:ascii="宋体" w:hAnsi="宋体"/>
          <w:szCs w:val="21"/>
          <w:u w:val="single"/>
        </w:rPr>
        <w:t xml:space="preserve">     </w:t>
      </w:r>
      <w:r>
        <w:rPr>
          <w:rFonts w:ascii="宋体" w:hAnsi="宋体"/>
          <w:szCs w:val="21"/>
        </w:rPr>
        <w:t>。</w:t>
      </w:r>
      <w:r>
        <w:rPr>
          <w:rFonts w:hint="eastAsia" w:ascii="宋体" w:hAnsi="宋体"/>
          <w:szCs w:val="21"/>
        </w:rPr>
        <w:t>乙方</w:t>
      </w:r>
      <w:r>
        <w:rPr>
          <w:rFonts w:hint="eastAsia" w:ascii="宋体" w:hAnsi="宋体" w:cs="宋体"/>
          <w:szCs w:val="21"/>
        </w:rPr>
        <w:t>先开具发票，</w:t>
      </w:r>
      <w:r>
        <w:rPr>
          <w:rFonts w:hint="eastAsia" w:ascii="宋体" w:hAnsi="宋体"/>
          <w:szCs w:val="21"/>
        </w:rPr>
        <w:t>甲方</w:t>
      </w:r>
      <w:r>
        <w:rPr>
          <w:rFonts w:hint="eastAsia" w:ascii="宋体" w:hAnsi="宋体" w:cs="宋体"/>
          <w:szCs w:val="21"/>
        </w:rPr>
        <w:t>收到发票，经</w:t>
      </w:r>
      <w:r>
        <w:rPr>
          <w:rFonts w:hint="eastAsia" w:ascii="宋体" w:hAnsi="宋体"/>
          <w:szCs w:val="21"/>
        </w:rPr>
        <w:t>甲方</w:t>
      </w:r>
      <w:r>
        <w:rPr>
          <w:rFonts w:hint="eastAsia" w:ascii="宋体" w:hAnsi="宋体" w:cs="宋体"/>
          <w:szCs w:val="21"/>
        </w:rPr>
        <w:t>财务审核无误待走完审批手续后拨款。具体支付时间如有变动，可由双方协商。</w:t>
      </w:r>
    </w:p>
    <w:p w14:paraId="429189A7">
      <w:pPr>
        <w:spacing w:before="120" w:beforeLines="50" w:after="120" w:afterLines="50" w:line="500" w:lineRule="exact"/>
        <w:ind w:firstLine="422" w:firstLineChars="200"/>
        <w:rPr>
          <w:rFonts w:ascii="宋体" w:hAnsi="宋体"/>
          <w:b/>
          <w:bCs/>
          <w:szCs w:val="21"/>
        </w:rPr>
      </w:pPr>
      <w:r>
        <w:rPr>
          <w:rFonts w:hint="eastAsia" w:ascii="宋体" w:hAnsi="宋体"/>
          <w:b/>
          <w:bCs/>
          <w:szCs w:val="21"/>
        </w:rPr>
        <w:t>三、</w:t>
      </w:r>
      <w:r>
        <w:rPr>
          <w:rFonts w:ascii="宋体" w:hAnsi="宋体"/>
          <w:b/>
          <w:bCs/>
          <w:szCs w:val="21"/>
        </w:rPr>
        <w:t>乙方应承担的责任与义务：</w:t>
      </w:r>
    </w:p>
    <w:p w14:paraId="645A9313">
      <w:pPr>
        <w:spacing w:line="500" w:lineRule="exact"/>
        <w:ind w:firstLine="420" w:firstLineChars="200"/>
        <w:rPr>
          <w:rFonts w:ascii="宋体" w:hAnsi="宋体"/>
          <w:bCs/>
          <w:szCs w:val="21"/>
        </w:rPr>
      </w:pPr>
      <w:r>
        <w:rPr>
          <w:rFonts w:hint="eastAsia" w:ascii="宋体" w:hAnsi="宋体"/>
          <w:bCs/>
          <w:szCs w:val="21"/>
        </w:rPr>
        <w:t>乙方应切实履行“诚信、廉洁、高效”的服务方针，严格执行国家和自治区颁布的培训规范、规程和技术标准，及时为甲方提供服务，优质、高效、独立完成所承担的培训项目。本合同范围的培训业务，应由乙方直接参与，不得转包他人，如有转包承接业务的行为，甲方有权解除合同，并追究乙方的违约责任。乙方应保证所提供的服务或其任何一部分均不会侵犯任何第三方的知识产权，如若出现侵权行为，由乙方承担全部责任。乙方应尽的责任与义务具体如下：</w:t>
      </w:r>
    </w:p>
    <w:p w14:paraId="01C934B8">
      <w:pPr>
        <w:spacing w:line="500" w:lineRule="exact"/>
        <w:ind w:firstLine="420" w:firstLineChars="200"/>
        <w:rPr>
          <w:rFonts w:ascii="宋体" w:hAnsi="宋体"/>
          <w:bCs/>
          <w:szCs w:val="21"/>
        </w:rPr>
      </w:pPr>
      <w:r>
        <w:rPr>
          <w:rFonts w:hint="eastAsia" w:ascii="宋体" w:hAnsi="宋体"/>
          <w:bCs/>
          <w:szCs w:val="21"/>
        </w:rPr>
        <w:t>（一）</w:t>
      </w:r>
      <w:r>
        <w:rPr>
          <w:rFonts w:ascii="宋体" w:hAnsi="宋体"/>
          <w:bCs/>
          <w:szCs w:val="21"/>
        </w:rPr>
        <w:t>制定培训实施方案，按规定条件选聘师资，组织实施培训工作。</w:t>
      </w:r>
    </w:p>
    <w:p w14:paraId="1EF83124">
      <w:pPr>
        <w:spacing w:line="500" w:lineRule="exact"/>
        <w:ind w:firstLine="420" w:firstLineChars="200"/>
        <w:rPr>
          <w:rFonts w:ascii="宋体" w:hAnsi="宋体"/>
          <w:bCs/>
          <w:szCs w:val="21"/>
          <w:u w:val="single"/>
        </w:rPr>
      </w:pPr>
      <w:r>
        <w:rPr>
          <w:rFonts w:hint="eastAsia" w:ascii="宋体" w:hAnsi="宋体"/>
          <w:bCs/>
          <w:szCs w:val="21"/>
        </w:rPr>
        <w:t>（二）</w:t>
      </w:r>
      <w:r>
        <w:rPr>
          <w:rFonts w:ascii="宋体" w:hAnsi="宋体"/>
          <w:bCs/>
          <w:szCs w:val="21"/>
        </w:rPr>
        <w:t>制定突发事件应急处理预案</w:t>
      </w:r>
      <w:r>
        <w:rPr>
          <w:rFonts w:hint="eastAsia" w:ascii="宋体" w:hAnsi="宋体"/>
          <w:bCs/>
          <w:szCs w:val="21"/>
        </w:rPr>
        <w:t>，培训实施期间，要求全体参训学员签署安全承诺书，并做好培训期间的安全提示，</w:t>
      </w:r>
      <w:r>
        <w:rPr>
          <w:rFonts w:ascii="宋体" w:hAnsi="宋体"/>
          <w:bCs/>
          <w:szCs w:val="21"/>
        </w:rPr>
        <w:t>确保参训学员在培训期间的安全。</w:t>
      </w:r>
    </w:p>
    <w:p w14:paraId="3281F1B2">
      <w:pPr>
        <w:spacing w:line="500" w:lineRule="exact"/>
        <w:ind w:firstLine="420" w:firstLineChars="200"/>
        <w:rPr>
          <w:rFonts w:ascii="宋体" w:hAnsi="宋体"/>
          <w:bCs/>
          <w:szCs w:val="21"/>
        </w:rPr>
      </w:pPr>
      <w:r>
        <w:rPr>
          <w:rFonts w:hint="eastAsia" w:ascii="宋体" w:hAnsi="宋体"/>
          <w:bCs/>
          <w:szCs w:val="21"/>
        </w:rPr>
        <w:t>（三）</w:t>
      </w:r>
      <w:r>
        <w:rPr>
          <w:rFonts w:ascii="宋体" w:hAnsi="宋体"/>
          <w:bCs/>
          <w:szCs w:val="21"/>
        </w:rPr>
        <w:t>建立学员报到、学习信息反馈制度。按照甲方统一要求，对参训学员的学习过程和效果进行综合评价，并提供反馈和跟踪指导。对考核合格的学员颁发结业证书，评选优秀学员。</w:t>
      </w:r>
    </w:p>
    <w:p w14:paraId="3E220C4F">
      <w:pPr>
        <w:spacing w:line="500" w:lineRule="exact"/>
        <w:ind w:firstLine="420" w:firstLineChars="200"/>
        <w:rPr>
          <w:rFonts w:ascii="宋体" w:hAnsi="宋体"/>
          <w:bCs/>
          <w:szCs w:val="21"/>
        </w:rPr>
      </w:pPr>
      <w:r>
        <w:rPr>
          <w:rFonts w:hint="eastAsia" w:ascii="宋体" w:hAnsi="宋体"/>
          <w:bCs/>
          <w:szCs w:val="21"/>
        </w:rPr>
        <w:t>（四）</w:t>
      </w:r>
      <w:r>
        <w:rPr>
          <w:rFonts w:ascii="宋体" w:hAnsi="宋体"/>
          <w:bCs/>
          <w:szCs w:val="21"/>
        </w:rPr>
        <w:t>严格执行甲方审定的方案实施培训，不得私自更换授课教师和授课专题。负责培训教师联系接待、日常教学组织等工作，为参训学员提供必要的资料。</w:t>
      </w:r>
    </w:p>
    <w:p w14:paraId="3B3F19F3">
      <w:pPr>
        <w:spacing w:line="500" w:lineRule="exact"/>
        <w:ind w:firstLine="420" w:firstLineChars="200"/>
        <w:rPr>
          <w:rFonts w:ascii="宋体" w:hAnsi="宋体"/>
          <w:bCs/>
          <w:szCs w:val="21"/>
        </w:rPr>
      </w:pPr>
      <w:r>
        <w:rPr>
          <w:rFonts w:hint="eastAsia" w:ascii="宋体" w:hAnsi="宋体"/>
          <w:bCs/>
          <w:szCs w:val="21"/>
        </w:rPr>
        <w:t>（五）</w:t>
      </w:r>
      <w:r>
        <w:rPr>
          <w:rFonts w:ascii="宋体" w:hAnsi="宋体"/>
          <w:bCs/>
          <w:szCs w:val="21"/>
        </w:rPr>
        <w:t>负责收集学员意见、安排课余文化生活、开展问卷调查工作，向甲方提供所需的文字、录音、录像资料。</w:t>
      </w:r>
    </w:p>
    <w:p w14:paraId="7ED364A7">
      <w:pPr>
        <w:spacing w:line="500" w:lineRule="exact"/>
        <w:ind w:firstLine="420" w:firstLineChars="200"/>
        <w:rPr>
          <w:rFonts w:ascii="宋体" w:hAnsi="宋体"/>
          <w:bCs/>
          <w:szCs w:val="21"/>
        </w:rPr>
      </w:pPr>
      <w:r>
        <w:rPr>
          <w:rFonts w:hint="eastAsia" w:ascii="宋体" w:hAnsi="宋体"/>
          <w:bCs/>
          <w:szCs w:val="21"/>
        </w:rPr>
        <w:t>（六）培训期间及时收集和整理学员参训学习的美篇并进行简报宣传。</w:t>
      </w:r>
      <w:r>
        <w:rPr>
          <w:rFonts w:ascii="宋体" w:hAnsi="宋体"/>
          <w:bCs/>
          <w:szCs w:val="21"/>
        </w:rPr>
        <w:t>按甲方要求，开展训前、训中、训后调研和跟踪指导工作。</w:t>
      </w:r>
    </w:p>
    <w:p w14:paraId="0EC951A8">
      <w:pPr>
        <w:spacing w:line="500" w:lineRule="exact"/>
        <w:ind w:firstLine="420" w:firstLineChars="200"/>
        <w:rPr>
          <w:rFonts w:ascii="宋体" w:hAnsi="宋体" w:cs="宋体"/>
          <w:szCs w:val="21"/>
        </w:rPr>
      </w:pPr>
      <w:r>
        <w:rPr>
          <w:rFonts w:hint="eastAsia" w:ascii="宋体" w:hAnsi="宋体"/>
          <w:bCs/>
          <w:szCs w:val="21"/>
        </w:rPr>
        <w:t>（七）</w:t>
      </w:r>
      <w:r>
        <w:rPr>
          <w:rFonts w:ascii="宋体" w:hAnsi="宋体" w:cs="宋体"/>
          <w:szCs w:val="21"/>
        </w:rPr>
        <w:t>培训结束后15个工作日内</w:t>
      </w:r>
      <w:r>
        <w:rPr>
          <w:rFonts w:hint="eastAsia" w:ascii="宋体" w:hAnsi="宋体" w:cs="宋体"/>
          <w:szCs w:val="21"/>
        </w:rPr>
        <w:t>，向甲方</w:t>
      </w:r>
      <w:r>
        <w:rPr>
          <w:rFonts w:ascii="宋体" w:hAnsi="宋体" w:cs="宋体"/>
          <w:szCs w:val="21"/>
        </w:rPr>
        <w:t>提交完整的培训过程材料，包括：参训学员名单信息</w:t>
      </w:r>
      <w:r>
        <w:rPr>
          <w:rFonts w:hint="eastAsia" w:ascii="宋体" w:hAnsi="宋体" w:cs="宋体"/>
          <w:kern w:val="0"/>
          <w:szCs w:val="21"/>
        </w:rPr>
        <w:t>、考勤表</w:t>
      </w:r>
      <w:r>
        <w:rPr>
          <w:rFonts w:ascii="宋体" w:hAnsi="宋体" w:cs="宋体"/>
          <w:szCs w:val="21"/>
        </w:rPr>
        <w:t>和考核结果、培训课件、培训工作简报、培训绩效自评报告、培训项目总结、学员培训满意度测评问卷及问卷分析报告、培训的过程性照片及视频、生成性资源等。</w:t>
      </w:r>
    </w:p>
    <w:p w14:paraId="5C4E5E97">
      <w:pPr>
        <w:spacing w:line="500" w:lineRule="exact"/>
        <w:ind w:firstLine="420" w:firstLineChars="200"/>
        <w:rPr>
          <w:rFonts w:ascii="宋体" w:hAnsi="宋体"/>
          <w:bCs/>
          <w:szCs w:val="21"/>
        </w:rPr>
      </w:pPr>
      <w:r>
        <w:rPr>
          <w:rFonts w:hint="eastAsia" w:ascii="宋体" w:hAnsi="宋体" w:cs="宋体"/>
          <w:szCs w:val="21"/>
        </w:rPr>
        <w:t>（八）</w:t>
      </w:r>
      <w:r>
        <w:rPr>
          <w:rFonts w:ascii="宋体" w:hAnsi="宋体"/>
          <w:bCs/>
          <w:szCs w:val="21"/>
        </w:rPr>
        <w:t>严格执行甲方制定的培训费用标准，垫付各项经费。</w:t>
      </w:r>
    </w:p>
    <w:p w14:paraId="458FA869">
      <w:pPr>
        <w:spacing w:line="500" w:lineRule="exact"/>
        <w:ind w:firstLine="420" w:firstLineChars="200"/>
        <w:rPr>
          <w:rFonts w:ascii="宋体" w:hAnsi="宋体"/>
          <w:bCs/>
          <w:szCs w:val="21"/>
        </w:rPr>
      </w:pPr>
      <w:bookmarkStart w:id="169" w:name="_Hlk104298705"/>
      <w:r>
        <w:rPr>
          <w:rFonts w:hint="eastAsia" w:ascii="宋体" w:hAnsi="宋体"/>
          <w:bCs/>
          <w:szCs w:val="21"/>
        </w:rPr>
        <w:t>（九）</w:t>
      </w:r>
      <w:r>
        <w:rPr>
          <w:rFonts w:ascii="宋体" w:hAnsi="宋体"/>
          <w:bCs/>
          <w:szCs w:val="21"/>
        </w:rPr>
        <w:t>负责提供培训所需的基本设施，具体如下：</w:t>
      </w:r>
    </w:p>
    <w:p w14:paraId="333CB104">
      <w:pPr>
        <w:numPr>
          <w:ilvl w:val="0"/>
          <w:numId w:val="2"/>
        </w:numPr>
        <w:tabs>
          <w:tab w:val="left" w:pos="399"/>
        </w:tabs>
        <w:spacing w:line="500" w:lineRule="exact"/>
        <w:ind w:left="0" w:firstLine="420" w:firstLineChars="200"/>
        <w:rPr>
          <w:rFonts w:ascii="宋体" w:hAnsi="宋体"/>
          <w:bCs/>
          <w:szCs w:val="21"/>
        </w:rPr>
      </w:pPr>
      <w:r>
        <w:rPr>
          <w:rFonts w:ascii="宋体" w:hAnsi="宋体"/>
          <w:bCs/>
          <w:szCs w:val="21"/>
        </w:rPr>
        <w:t>提供能满足培训所需的教室，每间教室必须配备空调、多媒体。</w:t>
      </w:r>
    </w:p>
    <w:p w14:paraId="3A5FBD5F">
      <w:pPr>
        <w:numPr>
          <w:ilvl w:val="0"/>
          <w:numId w:val="2"/>
        </w:numPr>
        <w:spacing w:line="500" w:lineRule="exact"/>
        <w:ind w:left="0" w:right="-210" w:rightChars="-100" w:firstLine="420" w:firstLineChars="200"/>
        <w:rPr>
          <w:rFonts w:ascii="宋体" w:hAnsi="宋体"/>
          <w:bCs/>
          <w:szCs w:val="21"/>
        </w:rPr>
      </w:pPr>
      <w:r>
        <w:rPr>
          <w:rFonts w:ascii="宋体" w:hAnsi="宋体"/>
          <w:bCs/>
          <w:szCs w:val="21"/>
        </w:rPr>
        <w:t>提供能满足培训所需的学员宿舍、进餐食堂、生活用水、医疗服务与安全保卫等。</w:t>
      </w:r>
    </w:p>
    <w:p w14:paraId="05F0B3F7">
      <w:pPr>
        <w:numPr>
          <w:ilvl w:val="0"/>
          <w:numId w:val="2"/>
        </w:numPr>
        <w:spacing w:line="500" w:lineRule="exact"/>
        <w:ind w:left="0" w:firstLine="420" w:firstLineChars="200"/>
        <w:rPr>
          <w:rFonts w:ascii="宋体" w:hAnsi="宋体"/>
          <w:bCs/>
          <w:szCs w:val="21"/>
        </w:rPr>
      </w:pPr>
      <w:r>
        <w:rPr>
          <w:rFonts w:ascii="宋体" w:hAnsi="宋体"/>
          <w:bCs/>
          <w:szCs w:val="21"/>
        </w:rPr>
        <w:t>提供培训所需的论坛、大型报告等所需要的会场。</w:t>
      </w:r>
    </w:p>
    <w:p w14:paraId="7E34C505">
      <w:pPr>
        <w:numPr>
          <w:ilvl w:val="0"/>
          <w:numId w:val="2"/>
        </w:numPr>
        <w:spacing w:line="500" w:lineRule="exact"/>
        <w:ind w:left="0" w:firstLine="420" w:firstLineChars="200"/>
        <w:rPr>
          <w:rFonts w:ascii="宋体" w:hAnsi="宋体"/>
          <w:bCs/>
          <w:szCs w:val="21"/>
        </w:rPr>
      </w:pPr>
      <w:r>
        <w:rPr>
          <w:rFonts w:ascii="宋体" w:hAnsi="宋体"/>
          <w:bCs/>
          <w:szCs w:val="21"/>
        </w:rPr>
        <w:t>配备培训期间接送教师、学员的交通用车。</w:t>
      </w:r>
    </w:p>
    <w:bookmarkEnd w:id="169"/>
    <w:p w14:paraId="49775D28">
      <w:pPr>
        <w:spacing w:line="500" w:lineRule="exact"/>
        <w:ind w:left="420"/>
        <w:rPr>
          <w:rFonts w:ascii="宋体" w:hAnsi="宋体"/>
          <w:bCs/>
          <w:szCs w:val="21"/>
        </w:rPr>
      </w:pPr>
      <w:r>
        <w:rPr>
          <w:rFonts w:hint="eastAsia" w:ascii="宋体" w:hAnsi="宋体"/>
          <w:bCs/>
          <w:szCs w:val="21"/>
        </w:rPr>
        <w:t>（十）</w:t>
      </w:r>
      <w:r>
        <w:rPr>
          <w:rFonts w:ascii="宋体" w:hAnsi="宋体"/>
          <w:bCs/>
          <w:szCs w:val="21"/>
        </w:rPr>
        <w:t>经费使用按财政部门批复的政府采购计划表执行，并按项目要求向有关部门拨付有关费用。</w:t>
      </w:r>
    </w:p>
    <w:p w14:paraId="033DA99E">
      <w:pPr>
        <w:spacing w:line="500" w:lineRule="exact"/>
        <w:ind w:firstLine="422" w:firstLineChars="200"/>
        <w:rPr>
          <w:rFonts w:ascii="宋体" w:hAnsi="宋体"/>
          <w:b/>
          <w:szCs w:val="21"/>
        </w:rPr>
      </w:pPr>
      <w:r>
        <w:rPr>
          <w:rFonts w:hint="eastAsia" w:ascii="宋体" w:hAnsi="宋体"/>
          <w:b/>
          <w:szCs w:val="21"/>
        </w:rPr>
        <w:t>四、税费</w:t>
      </w:r>
    </w:p>
    <w:p w14:paraId="6FA0BCF5">
      <w:pPr>
        <w:spacing w:line="500" w:lineRule="exact"/>
        <w:ind w:firstLine="420" w:firstLineChars="200"/>
        <w:rPr>
          <w:rFonts w:ascii="宋体" w:hAnsi="宋体"/>
          <w:bCs/>
          <w:szCs w:val="21"/>
        </w:rPr>
      </w:pPr>
      <w:r>
        <w:rPr>
          <w:rFonts w:hint="eastAsia" w:ascii="宋体" w:hAnsi="宋体"/>
          <w:bCs/>
          <w:szCs w:val="21"/>
        </w:rPr>
        <w:t>本合同执行中相关的一切税费均由乙方负担，合同另有约定的除外。</w:t>
      </w:r>
    </w:p>
    <w:p w14:paraId="047DE371">
      <w:pPr>
        <w:spacing w:line="500" w:lineRule="exact"/>
        <w:ind w:firstLine="422" w:firstLineChars="200"/>
        <w:rPr>
          <w:rFonts w:ascii="宋体" w:hAnsi="宋体"/>
          <w:b/>
          <w:szCs w:val="21"/>
        </w:rPr>
      </w:pPr>
      <w:r>
        <w:rPr>
          <w:rFonts w:hint="eastAsia" w:ascii="宋体" w:hAnsi="宋体"/>
          <w:b/>
          <w:szCs w:val="21"/>
        </w:rPr>
        <w:t>五、交付和验收</w:t>
      </w:r>
    </w:p>
    <w:p w14:paraId="6C8B27C3">
      <w:pPr>
        <w:spacing w:line="500" w:lineRule="exact"/>
        <w:ind w:firstLine="420" w:firstLineChars="200"/>
        <w:rPr>
          <w:rFonts w:ascii="宋体" w:hAnsi="宋体"/>
          <w:bCs/>
          <w:szCs w:val="21"/>
        </w:rPr>
      </w:pPr>
      <w:r>
        <w:rPr>
          <w:rFonts w:ascii="宋体" w:hAnsi="宋体"/>
          <w:bCs/>
          <w:szCs w:val="21"/>
        </w:rPr>
        <w:t>1</w:t>
      </w:r>
      <w:r>
        <w:rPr>
          <w:rFonts w:hint="eastAsia" w:ascii="宋体" w:hAnsi="宋体"/>
          <w:bCs/>
          <w:szCs w:val="21"/>
        </w:rPr>
        <w:t>、乙方应按响应文件的承诺向甲方提供相应的服务，并提供所服务内容的相关技术资料。</w:t>
      </w:r>
    </w:p>
    <w:p w14:paraId="31814925">
      <w:pPr>
        <w:spacing w:line="500" w:lineRule="exact"/>
        <w:ind w:firstLine="420" w:firstLineChars="200"/>
        <w:rPr>
          <w:rFonts w:ascii="宋体" w:hAnsi="宋体"/>
          <w:bCs/>
          <w:szCs w:val="21"/>
        </w:rPr>
      </w:pPr>
      <w:r>
        <w:rPr>
          <w:rFonts w:ascii="宋体" w:hAnsi="宋体"/>
          <w:bCs/>
          <w:szCs w:val="21"/>
        </w:rPr>
        <w:t>2</w:t>
      </w:r>
      <w:r>
        <w:rPr>
          <w:rFonts w:hint="eastAsia" w:ascii="宋体" w:hAnsi="宋体"/>
          <w:bCs/>
          <w:szCs w:val="21"/>
        </w:rPr>
        <w:t>、乙方提供不符合响应文件和本合同规定的服务成果，甲方有权拒绝接受。</w:t>
      </w:r>
    </w:p>
    <w:p w14:paraId="47DFDA19">
      <w:pPr>
        <w:spacing w:line="500" w:lineRule="exact"/>
        <w:ind w:firstLine="420" w:firstLineChars="200"/>
        <w:rPr>
          <w:rFonts w:ascii="宋体" w:hAnsi="宋体"/>
          <w:bCs/>
          <w:szCs w:val="21"/>
        </w:rPr>
      </w:pPr>
      <w:r>
        <w:rPr>
          <w:rFonts w:ascii="宋体" w:hAnsi="宋体"/>
          <w:bCs/>
          <w:szCs w:val="21"/>
        </w:rPr>
        <w:t>3</w:t>
      </w:r>
      <w:r>
        <w:rPr>
          <w:rFonts w:hint="eastAsia" w:ascii="宋体" w:hAnsi="宋体"/>
          <w:bCs/>
          <w:szCs w:val="21"/>
        </w:rPr>
        <w:t>、乙方完成服务后应及时书面通知甲方进行验收，甲方应在收到通知后五个工作日内进行验收，逾期不开始验收的，乙方可视同验收合格。验收合格后由甲乙双方签署验收单并加盖甲方公章，甲乙双方各执一份。</w:t>
      </w:r>
    </w:p>
    <w:p w14:paraId="71BEB9C3">
      <w:pPr>
        <w:spacing w:line="500" w:lineRule="exact"/>
        <w:ind w:firstLine="420" w:firstLineChars="200"/>
        <w:rPr>
          <w:rFonts w:ascii="宋体" w:hAnsi="宋体"/>
          <w:bCs/>
          <w:szCs w:val="21"/>
        </w:rPr>
      </w:pPr>
      <w:r>
        <w:rPr>
          <w:rFonts w:ascii="宋体" w:hAnsi="宋体"/>
          <w:bCs/>
          <w:szCs w:val="21"/>
        </w:rPr>
        <w:t>4</w:t>
      </w:r>
      <w:r>
        <w:rPr>
          <w:rFonts w:hint="eastAsia" w:ascii="宋体" w:hAnsi="宋体"/>
          <w:bCs/>
          <w:szCs w:val="21"/>
        </w:rPr>
        <w:t>、甲乙双方应按照《</w:t>
      </w:r>
      <w:r>
        <w:rPr>
          <w:rFonts w:ascii="宋体" w:hAnsi="宋体"/>
          <w:bCs/>
          <w:szCs w:val="21"/>
        </w:rPr>
        <w:t>广西壮族自治区政府采购项目履约验收管理办法</w:t>
      </w:r>
      <w:r>
        <w:rPr>
          <w:rFonts w:hint="eastAsia" w:ascii="宋体" w:hAnsi="宋体"/>
          <w:bCs/>
          <w:szCs w:val="21"/>
        </w:rPr>
        <w:t>》、双方合同、响应文件验收。</w:t>
      </w:r>
    </w:p>
    <w:p w14:paraId="3CE94F06">
      <w:pPr>
        <w:spacing w:line="500" w:lineRule="exact"/>
        <w:ind w:firstLine="420" w:firstLineChars="200"/>
        <w:rPr>
          <w:rFonts w:ascii="宋体" w:hAnsi="宋体"/>
          <w:bCs/>
          <w:szCs w:val="21"/>
        </w:rPr>
      </w:pPr>
      <w:r>
        <w:rPr>
          <w:rFonts w:ascii="宋体" w:hAnsi="宋体"/>
          <w:bCs/>
          <w:szCs w:val="21"/>
        </w:rPr>
        <w:t>5</w:t>
      </w:r>
      <w:r>
        <w:rPr>
          <w:rFonts w:hint="eastAsia" w:ascii="宋体" w:hAnsi="宋体"/>
          <w:bCs/>
          <w:szCs w:val="21"/>
        </w:rPr>
        <w:t>、甲方在初步验收或者最终验收过程中如发现乙方提供的服务成果不满足响应文件及本合同规定的，可暂缓向乙方付款，直到乙方及时完善并提交相应的服务成果且经甲方验收合格后，方可办理付款。</w:t>
      </w:r>
    </w:p>
    <w:p w14:paraId="5D896348">
      <w:pPr>
        <w:spacing w:line="500" w:lineRule="exact"/>
        <w:ind w:firstLine="420" w:firstLineChars="200"/>
        <w:rPr>
          <w:rFonts w:ascii="宋体" w:hAnsi="宋体"/>
          <w:bCs/>
          <w:szCs w:val="21"/>
        </w:rPr>
      </w:pPr>
      <w:r>
        <w:rPr>
          <w:rFonts w:ascii="宋体" w:hAnsi="宋体"/>
          <w:bCs/>
          <w:szCs w:val="21"/>
        </w:rPr>
        <w:t>6</w:t>
      </w:r>
      <w:r>
        <w:rPr>
          <w:rFonts w:hint="eastAsia" w:ascii="宋体" w:hAnsi="宋体"/>
          <w:bCs/>
          <w:szCs w:val="21"/>
        </w:rPr>
        <w:t>、甲方验收时以书面形式提出异议的，乙方应自收到甲方书面异议后五个工作日内及时予以解决，否则甲方有权不出具服务验收合格单。</w:t>
      </w:r>
    </w:p>
    <w:p w14:paraId="7AB2B3A5">
      <w:pPr>
        <w:spacing w:line="500" w:lineRule="exact"/>
        <w:ind w:firstLine="422" w:firstLineChars="200"/>
        <w:rPr>
          <w:rFonts w:ascii="宋体" w:hAnsi="宋体"/>
          <w:b/>
          <w:szCs w:val="21"/>
        </w:rPr>
      </w:pPr>
      <w:r>
        <w:rPr>
          <w:rFonts w:hint="eastAsia" w:ascii="宋体" w:hAnsi="宋体"/>
          <w:b/>
          <w:szCs w:val="21"/>
        </w:rPr>
        <w:t>六、违约责任</w:t>
      </w:r>
    </w:p>
    <w:p w14:paraId="34A2AFC3">
      <w:pPr>
        <w:spacing w:line="500" w:lineRule="exact"/>
        <w:ind w:firstLine="420" w:firstLineChars="200"/>
        <w:rPr>
          <w:rFonts w:ascii="宋体" w:hAnsi="宋体"/>
          <w:bCs/>
          <w:szCs w:val="21"/>
        </w:rPr>
      </w:pPr>
      <w:r>
        <w:rPr>
          <w:rFonts w:hint="eastAsia" w:ascii="宋体" w:hAnsi="宋体"/>
          <w:bCs/>
          <w:szCs w:val="21"/>
        </w:rPr>
        <w:t xml:space="preserve">1、除不可抗力原因外，乙方没有按照合同规定的时间提供服务的，甲方可要求乙方支付违约金。每推迟一天按合同总金额的3‰支付违约金，该违约金累计不超过合同总金额的10%。                                  </w:t>
      </w:r>
    </w:p>
    <w:p w14:paraId="603D9831">
      <w:pPr>
        <w:spacing w:line="500" w:lineRule="exact"/>
        <w:ind w:firstLine="420" w:firstLineChars="200"/>
        <w:rPr>
          <w:rFonts w:ascii="宋体" w:hAnsi="宋体"/>
          <w:bCs/>
          <w:szCs w:val="21"/>
        </w:rPr>
      </w:pPr>
      <w:r>
        <w:rPr>
          <w:rFonts w:hint="eastAsia" w:ascii="宋体" w:hAnsi="宋体"/>
          <w:bCs/>
          <w:szCs w:val="21"/>
        </w:rPr>
        <w:t>2、乙方提供的服务如侵犯了第三方合法权益而引发的任何纠纷或者诉讼，均由乙方负责交涉并承担全部责任。</w:t>
      </w:r>
    </w:p>
    <w:p w14:paraId="36046D2A">
      <w:pPr>
        <w:spacing w:line="500" w:lineRule="exact"/>
        <w:ind w:firstLine="420" w:firstLineChars="200"/>
        <w:rPr>
          <w:rFonts w:ascii="宋体" w:hAnsi="宋体"/>
          <w:bCs/>
          <w:szCs w:val="21"/>
        </w:rPr>
      </w:pPr>
      <w:r>
        <w:rPr>
          <w:rFonts w:hint="eastAsia" w:ascii="宋体" w:hAnsi="宋体"/>
          <w:bCs/>
          <w:szCs w:val="21"/>
        </w:rPr>
        <w:t>3、甲方延期付款的，每天向乙方偿付延期款额3‰滞纳金，但滞纳金累计不得超过延期款额5%。</w:t>
      </w:r>
    </w:p>
    <w:p w14:paraId="62DCA42B">
      <w:pPr>
        <w:spacing w:line="500" w:lineRule="exact"/>
        <w:ind w:firstLine="422" w:firstLineChars="200"/>
        <w:rPr>
          <w:rFonts w:ascii="宋体" w:hAnsi="宋体"/>
          <w:b/>
          <w:szCs w:val="21"/>
        </w:rPr>
      </w:pPr>
      <w:r>
        <w:rPr>
          <w:rFonts w:hint="eastAsia" w:ascii="宋体" w:hAnsi="宋体"/>
          <w:b/>
          <w:szCs w:val="21"/>
        </w:rPr>
        <w:t>七、不可抗力事件处理</w:t>
      </w:r>
    </w:p>
    <w:p w14:paraId="45930380">
      <w:pPr>
        <w:spacing w:line="500" w:lineRule="exact"/>
        <w:ind w:firstLine="420" w:firstLineChars="200"/>
        <w:rPr>
          <w:rFonts w:ascii="宋体" w:hAnsi="宋体"/>
          <w:bCs/>
          <w:szCs w:val="21"/>
        </w:rPr>
      </w:pPr>
      <w:r>
        <w:rPr>
          <w:rFonts w:hint="eastAsia" w:ascii="宋体" w:hAnsi="宋体"/>
          <w:bCs/>
          <w:szCs w:val="21"/>
        </w:rPr>
        <w:t>1、在合同有效期内，任何一方因不可抗力事件导致不能履行合同，则合同履行期可延长，其延长期与不可抗力影响期相同。</w:t>
      </w:r>
    </w:p>
    <w:p w14:paraId="33FA2556">
      <w:pPr>
        <w:spacing w:line="500" w:lineRule="exact"/>
        <w:ind w:firstLine="420" w:firstLineChars="200"/>
        <w:rPr>
          <w:rFonts w:ascii="宋体" w:hAnsi="宋体"/>
          <w:bCs/>
          <w:szCs w:val="21"/>
        </w:rPr>
      </w:pPr>
      <w:r>
        <w:rPr>
          <w:rFonts w:hint="eastAsia" w:ascii="宋体" w:hAnsi="宋体"/>
          <w:bCs/>
          <w:szCs w:val="21"/>
        </w:rPr>
        <w:t>2、不可抗力事件发生后，应立即通知对方，并寄送有关权威机构出具的证明。</w:t>
      </w:r>
    </w:p>
    <w:p w14:paraId="1E7713EF">
      <w:pPr>
        <w:spacing w:line="500" w:lineRule="exact"/>
        <w:ind w:firstLine="420" w:firstLineChars="200"/>
        <w:rPr>
          <w:rFonts w:ascii="宋体" w:hAnsi="宋体"/>
          <w:bCs/>
          <w:szCs w:val="21"/>
        </w:rPr>
      </w:pPr>
      <w:r>
        <w:rPr>
          <w:rFonts w:hint="eastAsia" w:ascii="宋体" w:hAnsi="宋体"/>
          <w:bCs/>
          <w:szCs w:val="21"/>
        </w:rPr>
        <w:t>3、不可抗力事件延续一百二十天以上，双方应通过友好协商，确定是否继续履行合同。</w:t>
      </w:r>
    </w:p>
    <w:p w14:paraId="59447A6F">
      <w:pPr>
        <w:spacing w:line="500" w:lineRule="exact"/>
        <w:ind w:firstLine="422" w:firstLineChars="200"/>
        <w:rPr>
          <w:rFonts w:ascii="宋体" w:hAnsi="宋体"/>
          <w:b/>
          <w:szCs w:val="21"/>
        </w:rPr>
      </w:pPr>
      <w:r>
        <w:rPr>
          <w:rFonts w:hint="eastAsia" w:ascii="宋体" w:hAnsi="宋体"/>
          <w:b/>
          <w:szCs w:val="21"/>
        </w:rPr>
        <w:t>八、合同争议解决</w:t>
      </w:r>
    </w:p>
    <w:p w14:paraId="3319E086">
      <w:pPr>
        <w:spacing w:line="500" w:lineRule="exact"/>
        <w:ind w:firstLine="420" w:firstLineChars="200"/>
        <w:rPr>
          <w:rFonts w:ascii="宋体" w:hAnsi="宋体"/>
          <w:bCs/>
          <w:szCs w:val="21"/>
        </w:rPr>
      </w:pPr>
      <w:r>
        <w:rPr>
          <w:rFonts w:hint="eastAsia" w:ascii="宋体" w:hAnsi="宋体"/>
          <w:bCs/>
          <w:szCs w:val="21"/>
        </w:rPr>
        <w:t>1、因服务质量问题发生争议的，应邀请国家认可的质量检测机构进行鉴定。服务符合标准的，鉴定费由甲方承担；服务不符合标准的，鉴定费由乙方承担。</w:t>
      </w:r>
    </w:p>
    <w:p w14:paraId="02C73340">
      <w:pPr>
        <w:spacing w:line="500" w:lineRule="exact"/>
        <w:ind w:firstLine="420" w:firstLineChars="200"/>
        <w:rPr>
          <w:rFonts w:ascii="宋体" w:hAnsi="宋体"/>
          <w:bCs/>
          <w:szCs w:val="21"/>
        </w:rPr>
      </w:pPr>
      <w:r>
        <w:rPr>
          <w:rFonts w:hint="eastAsia" w:ascii="宋体" w:hAnsi="宋体"/>
          <w:bCs/>
          <w:szCs w:val="21"/>
        </w:rPr>
        <w:t>2、因履行本合同引起的或者与本合同有关的争议，甲乙双方应首先通过友好协商解决，如果协商不能解决，可向甲方所在地有管辖权的人民法院提起诉讼。</w:t>
      </w:r>
    </w:p>
    <w:p w14:paraId="2F05C510">
      <w:pPr>
        <w:spacing w:line="500" w:lineRule="exact"/>
        <w:ind w:firstLine="420" w:firstLineChars="200"/>
        <w:rPr>
          <w:rFonts w:ascii="宋体" w:hAnsi="宋体"/>
          <w:bCs/>
          <w:szCs w:val="21"/>
        </w:rPr>
      </w:pPr>
      <w:r>
        <w:rPr>
          <w:rFonts w:hint="eastAsia" w:ascii="宋体" w:hAnsi="宋体"/>
          <w:bCs/>
          <w:szCs w:val="21"/>
        </w:rPr>
        <w:t>3、诉讼期间，本合同继续履行。</w:t>
      </w:r>
    </w:p>
    <w:p w14:paraId="0B65D41B">
      <w:pPr>
        <w:spacing w:line="500" w:lineRule="exact"/>
        <w:ind w:firstLine="422" w:firstLineChars="200"/>
        <w:rPr>
          <w:rFonts w:ascii="宋体" w:hAnsi="宋体"/>
          <w:b/>
          <w:szCs w:val="21"/>
        </w:rPr>
      </w:pPr>
      <w:r>
        <w:rPr>
          <w:rFonts w:hint="eastAsia" w:ascii="宋体" w:hAnsi="宋体"/>
          <w:b/>
          <w:szCs w:val="21"/>
        </w:rPr>
        <w:t>九、本合同所附下列文件是构成本合同不可分割的部分：</w:t>
      </w:r>
    </w:p>
    <w:p w14:paraId="5C86B964">
      <w:pPr>
        <w:spacing w:line="500" w:lineRule="exact"/>
        <w:ind w:firstLine="420" w:firstLineChars="200"/>
        <w:contextualSpacing/>
        <w:rPr>
          <w:rFonts w:ascii="宋体" w:hAnsi="宋体"/>
          <w:bCs/>
          <w:szCs w:val="21"/>
        </w:rPr>
      </w:pPr>
      <w:r>
        <w:rPr>
          <w:rFonts w:hint="eastAsia" w:ascii="宋体" w:hAnsi="宋体"/>
          <w:bCs/>
          <w:szCs w:val="21"/>
        </w:rPr>
        <w:t>（一）</w:t>
      </w:r>
      <w:r>
        <w:rPr>
          <w:rFonts w:ascii="宋体" w:hAnsi="宋体"/>
          <w:bCs/>
          <w:szCs w:val="21"/>
        </w:rPr>
        <w:t>本项目竞争性磋商文件</w:t>
      </w:r>
    </w:p>
    <w:p w14:paraId="37832A43">
      <w:pPr>
        <w:spacing w:line="500" w:lineRule="exact"/>
        <w:ind w:firstLine="420" w:firstLineChars="200"/>
        <w:contextualSpacing/>
        <w:rPr>
          <w:rFonts w:ascii="宋体" w:hAnsi="宋体"/>
          <w:bCs/>
          <w:szCs w:val="21"/>
        </w:rPr>
      </w:pPr>
      <w:r>
        <w:rPr>
          <w:rFonts w:hint="eastAsia" w:ascii="宋体" w:hAnsi="宋体"/>
          <w:bCs/>
          <w:szCs w:val="21"/>
        </w:rPr>
        <w:t>（二）</w:t>
      </w:r>
      <w:r>
        <w:rPr>
          <w:rFonts w:ascii="宋体" w:hAnsi="宋体"/>
          <w:bCs/>
          <w:szCs w:val="21"/>
        </w:rPr>
        <w:t>成交供应商的响应文件，包括</w:t>
      </w:r>
      <w:r>
        <w:rPr>
          <w:rFonts w:hint="eastAsia" w:ascii="宋体" w:hAnsi="宋体"/>
          <w:bCs/>
          <w:szCs w:val="21"/>
        </w:rPr>
        <w:t>响应函</w:t>
      </w:r>
      <w:r>
        <w:rPr>
          <w:rFonts w:ascii="宋体" w:hAnsi="宋体"/>
          <w:bCs/>
          <w:szCs w:val="21"/>
        </w:rPr>
        <w:t>、</w:t>
      </w:r>
      <w:r>
        <w:rPr>
          <w:rFonts w:hint="eastAsia" w:ascii="宋体" w:hAnsi="宋体"/>
          <w:bCs/>
          <w:szCs w:val="21"/>
        </w:rPr>
        <w:t>响应报价</w:t>
      </w:r>
      <w:r>
        <w:rPr>
          <w:rFonts w:ascii="宋体" w:hAnsi="宋体"/>
          <w:bCs/>
          <w:szCs w:val="21"/>
        </w:rPr>
        <w:t>表等</w:t>
      </w:r>
      <w:r>
        <w:rPr>
          <w:rFonts w:hint="eastAsia" w:ascii="宋体" w:hAnsi="宋体"/>
          <w:bCs/>
          <w:szCs w:val="21"/>
        </w:rPr>
        <w:t>。</w:t>
      </w:r>
    </w:p>
    <w:p w14:paraId="3DF92CA0">
      <w:pPr>
        <w:spacing w:line="500" w:lineRule="exact"/>
        <w:ind w:firstLine="420" w:firstLineChars="200"/>
        <w:contextualSpacing/>
        <w:rPr>
          <w:rFonts w:ascii="宋体" w:hAnsi="宋体"/>
          <w:bCs/>
          <w:szCs w:val="21"/>
        </w:rPr>
      </w:pPr>
      <w:r>
        <w:rPr>
          <w:rFonts w:hint="eastAsia" w:ascii="宋体" w:hAnsi="宋体"/>
          <w:bCs/>
          <w:szCs w:val="21"/>
        </w:rPr>
        <w:t>（三）</w:t>
      </w:r>
      <w:r>
        <w:rPr>
          <w:rFonts w:ascii="宋体" w:hAnsi="宋体"/>
          <w:bCs/>
          <w:szCs w:val="21"/>
        </w:rPr>
        <w:t>成交通知书</w:t>
      </w:r>
    </w:p>
    <w:p w14:paraId="1B31B943">
      <w:pPr>
        <w:spacing w:line="500" w:lineRule="exact"/>
        <w:ind w:firstLine="422" w:firstLineChars="200"/>
        <w:contextualSpacing/>
        <w:rPr>
          <w:rFonts w:ascii="宋体" w:hAnsi="宋体"/>
          <w:b/>
          <w:szCs w:val="21"/>
        </w:rPr>
      </w:pPr>
      <w:r>
        <w:rPr>
          <w:rFonts w:hint="eastAsia" w:ascii="宋体" w:hAnsi="宋体"/>
          <w:b/>
          <w:szCs w:val="21"/>
        </w:rPr>
        <w:t>十、合同生效</w:t>
      </w:r>
    </w:p>
    <w:p w14:paraId="5D9D0F96">
      <w:pPr>
        <w:spacing w:line="500" w:lineRule="exact"/>
        <w:ind w:firstLine="420" w:firstLineChars="200"/>
        <w:rPr>
          <w:rFonts w:ascii="宋体" w:hAnsi="宋体"/>
          <w:bCs/>
          <w:szCs w:val="21"/>
        </w:rPr>
      </w:pPr>
      <w:r>
        <w:rPr>
          <w:rFonts w:hint="eastAsia" w:ascii="宋体" w:hAnsi="宋体"/>
          <w:bCs/>
          <w:szCs w:val="21"/>
        </w:rPr>
        <w:t>（一）</w:t>
      </w:r>
      <w:r>
        <w:rPr>
          <w:rFonts w:ascii="宋体" w:hAnsi="宋体"/>
          <w:bCs/>
          <w:szCs w:val="21"/>
        </w:rPr>
        <w:t>本合同经双方授权代表签字并加盖公章后开始生效。</w:t>
      </w:r>
    </w:p>
    <w:p w14:paraId="6D6BDBEF">
      <w:pPr>
        <w:spacing w:line="500" w:lineRule="exact"/>
        <w:ind w:firstLine="420" w:firstLineChars="200"/>
        <w:rPr>
          <w:rFonts w:ascii="宋体" w:hAnsi="宋体"/>
          <w:szCs w:val="21"/>
        </w:rPr>
      </w:pPr>
      <w:r>
        <w:rPr>
          <w:rFonts w:hint="eastAsia" w:ascii="宋体" w:hAnsi="宋体"/>
          <w:bCs/>
          <w:szCs w:val="21"/>
        </w:rPr>
        <w:t>（二）</w:t>
      </w:r>
      <w:r>
        <w:rPr>
          <w:rFonts w:hint="eastAsia" w:ascii="宋体" w:hAnsi="宋体" w:cs="宋体"/>
          <w:szCs w:val="21"/>
        </w:rPr>
        <w:t>委托服务期限自本协议生效之日起至202</w:t>
      </w:r>
      <w:r>
        <w:rPr>
          <w:rFonts w:ascii="宋体" w:hAnsi="宋体" w:cs="宋体"/>
          <w:szCs w:val="21"/>
        </w:rPr>
        <w:t>3</w:t>
      </w:r>
      <w:r>
        <w:rPr>
          <w:rFonts w:hint="eastAsia" w:ascii="宋体" w:hAnsi="宋体" w:cs="宋体"/>
          <w:szCs w:val="21"/>
        </w:rPr>
        <w:t>年11月30日。</w:t>
      </w:r>
    </w:p>
    <w:p w14:paraId="5DE155FC">
      <w:pPr>
        <w:spacing w:line="500" w:lineRule="exact"/>
        <w:ind w:firstLine="420" w:firstLineChars="200"/>
        <w:rPr>
          <w:rFonts w:ascii="宋体" w:hAnsi="宋体"/>
          <w:bCs/>
          <w:szCs w:val="21"/>
        </w:rPr>
      </w:pPr>
      <w:r>
        <w:rPr>
          <w:rFonts w:hint="eastAsia" w:ascii="宋体" w:hAnsi="宋体"/>
          <w:bCs/>
          <w:szCs w:val="21"/>
        </w:rPr>
        <w:t>（三）</w:t>
      </w:r>
      <w:r>
        <w:rPr>
          <w:rFonts w:hint="eastAsia" w:ascii="宋体" w:hAnsi="宋体" w:cs="宋体"/>
          <w:color w:val="000000"/>
          <w:szCs w:val="21"/>
        </w:rPr>
        <w:t>合同执行中涉及采购资金和采购内容修改或者补充的，须经财政部门审批，并签订书面补充协议报财政部门备案，方可作为主合同不可分割的一部分</w:t>
      </w:r>
      <w:r>
        <w:rPr>
          <w:rFonts w:ascii="宋体" w:hAnsi="宋体"/>
          <w:bCs/>
          <w:szCs w:val="21"/>
        </w:rPr>
        <w:t>，对双方具有约束力。</w:t>
      </w:r>
    </w:p>
    <w:p w14:paraId="28AC8F9F">
      <w:pPr>
        <w:spacing w:line="500" w:lineRule="exact"/>
        <w:ind w:firstLine="420" w:firstLineChars="200"/>
        <w:rPr>
          <w:rFonts w:ascii="宋体" w:hAnsi="宋体"/>
          <w:bCs/>
          <w:szCs w:val="21"/>
        </w:rPr>
      </w:pPr>
      <w:r>
        <w:rPr>
          <w:rFonts w:hint="eastAsia" w:ascii="宋体" w:hAnsi="宋体"/>
          <w:bCs/>
          <w:szCs w:val="21"/>
        </w:rPr>
        <w:t>（四）</w:t>
      </w:r>
      <w:r>
        <w:rPr>
          <w:rFonts w:ascii="宋体" w:hAnsi="宋体"/>
          <w:bCs/>
          <w:szCs w:val="21"/>
        </w:rPr>
        <w:t>本合同用中文书写，一式</w:t>
      </w:r>
      <w:r>
        <w:rPr>
          <w:rFonts w:hint="eastAsia" w:ascii="宋体" w:hAnsi="宋体"/>
          <w:bCs/>
          <w:szCs w:val="21"/>
        </w:rPr>
        <w:t>陆</w:t>
      </w:r>
      <w:r>
        <w:rPr>
          <w:rFonts w:ascii="宋体" w:hAnsi="宋体"/>
          <w:bCs/>
          <w:szCs w:val="21"/>
        </w:rPr>
        <w:t>份，甲方执</w:t>
      </w:r>
      <w:r>
        <w:rPr>
          <w:rFonts w:hint="eastAsia" w:ascii="宋体" w:hAnsi="宋体"/>
          <w:bCs/>
          <w:szCs w:val="21"/>
        </w:rPr>
        <w:t>叁份</w:t>
      </w:r>
      <w:r>
        <w:rPr>
          <w:rFonts w:ascii="宋体" w:hAnsi="宋体"/>
          <w:bCs/>
          <w:szCs w:val="21"/>
        </w:rPr>
        <w:t>、乙方执一份，政府采购监督管理部门和采购代理机构各执一份，具有同等法律效力。</w:t>
      </w:r>
    </w:p>
    <w:p w14:paraId="7F0E8FE3">
      <w:pPr>
        <w:spacing w:line="500" w:lineRule="exact"/>
        <w:ind w:firstLine="420" w:firstLineChars="200"/>
        <w:rPr>
          <w:rFonts w:ascii="宋体" w:hAnsi="宋体" w:cs="仿宋"/>
          <w:color w:val="000000"/>
          <w:szCs w:val="21"/>
        </w:rPr>
      </w:pPr>
      <w:r>
        <w:rPr>
          <w:rFonts w:hint="eastAsia" w:ascii="宋体" w:hAnsi="宋体" w:cs="仿宋"/>
          <w:color w:val="000000"/>
          <w:szCs w:val="21"/>
        </w:rPr>
        <w:t>本合同自签订之日起七个工作日内，甲方应当将合同副本报同级财政部门备案。</w:t>
      </w:r>
    </w:p>
    <w:p w14:paraId="6CB30274">
      <w:pPr>
        <w:spacing w:line="500" w:lineRule="exact"/>
        <w:ind w:firstLine="420" w:firstLineChars="200"/>
        <w:rPr>
          <w:rFonts w:ascii="宋体" w:hAnsi="宋体" w:cs="仿宋"/>
          <w:color w:val="000000"/>
          <w:szCs w:val="21"/>
        </w:rPr>
      </w:pPr>
      <w:r>
        <w:rPr>
          <w:rFonts w:hint="eastAsia" w:ascii="宋体" w:hAnsi="宋体" w:cs="仿宋"/>
          <w:color w:val="000000"/>
          <w:szCs w:val="21"/>
        </w:rPr>
        <w:t>本合同自签订之日起2个工作日内，甲方应当将采购合同在广西壮族自治区财政厅指定的媒体上公告。</w:t>
      </w:r>
    </w:p>
    <w:p w14:paraId="2A721A3F">
      <w:pPr>
        <w:pStyle w:val="25"/>
        <w:spacing w:line="500" w:lineRule="exact"/>
      </w:pPr>
    </w:p>
    <w:tbl>
      <w:tblPr>
        <w:tblStyle w:val="34"/>
        <w:tblW w:w="9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85"/>
        <w:gridCol w:w="5699"/>
      </w:tblGrid>
      <w:tr w14:paraId="22AE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tcPr>
          <w:p w14:paraId="7665B155">
            <w:pPr>
              <w:snapToGrid w:val="0"/>
              <w:spacing w:line="500" w:lineRule="exact"/>
              <w:rPr>
                <w:rFonts w:ascii="宋体" w:hAnsi="宋体"/>
                <w:szCs w:val="21"/>
              </w:rPr>
            </w:pPr>
            <w:r>
              <w:rPr>
                <w:rFonts w:hint="eastAsia" w:ascii="宋体" w:hAnsi="宋体"/>
                <w:szCs w:val="21"/>
              </w:rPr>
              <w:t>甲方（章）</w:t>
            </w:r>
          </w:p>
          <w:p w14:paraId="365110E7">
            <w:pPr>
              <w:snapToGrid w:val="0"/>
              <w:spacing w:line="500" w:lineRule="exact"/>
              <w:rPr>
                <w:rFonts w:hint="eastAsia" w:ascii="宋体" w:hAnsi="宋体" w:eastAsia="宋体"/>
                <w:szCs w:val="21"/>
                <w:lang w:val="en-US" w:eastAsia="zh-CN"/>
              </w:rPr>
            </w:pPr>
            <w:r>
              <w:rPr>
                <w:rFonts w:hint="eastAsia" w:ascii="宋体" w:hAnsi="宋体"/>
                <w:szCs w:val="21"/>
              </w:rPr>
              <w:t>钦州市</w:t>
            </w:r>
            <w:r>
              <w:rPr>
                <w:rFonts w:hint="eastAsia" w:ascii="宋体" w:hAnsi="宋体"/>
                <w:szCs w:val="21"/>
                <w:lang w:eastAsia="zh-CN"/>
              </w:rPr>
              <w:t>教育发展研究中心</w:t>
            </w:r>
          </w:p>
          <w:p w14:paraId="5F022DAE">
            <w:pPr>
              <w:spacing w:line="500" w:lineRule="exact"/>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年   月   日</w:t>
            </w:r>
          </w:p>
        </w:tc>
        <w:tc>
          <w:tcPr>
            <w:tcW w:w="5699" w:type="dxa"/>
          </w:tcPr>
          <w:p w14:paraId="719F5C27">
            <w:pPr>
              <w:snapToGrid w:val="0"/>
              <w:spacing w:line="500" w:lineRule="exact"/>
              <w:rPr>
                <w:rFonts w:ascii="宋体" w:hAnsi="宋体"/>
                <w:szCs w:val="21"/>
              </w:rPr>
            </w:pPr>
            <w:r>
              <w:rPr>
                <w:rFonts w:hint="eastAsia" w:ascii="宋体" w:hAnsi="宋体"/>
                <w:szCs w:val="21"/>
              </w:rPr>
              <w:t>乙方（章）</w:t>
            </w:r>
          </w:p>
          <w:p w14:paraId="099F2C3F">
            <w:pPr>
              <w:snapToGrid w:val="0"/>
              <w:spacing w:line="500" w:lineRule="exact"/>
              <w:rPr>
                <w:rFonts w:ascii="宋体" w:hAnsi="宋体"/>
                <w:szCs w:val="21"/>
              </w:rPr>
            </w:pPr>
          </w:p>
          <w:p w14:paraId="3A712BE7">
            <w:pPr>
              <w:spacing w:line="500" w:lineRule="exact"/>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 xml:space="preserve"> 年   月   日</w:t>
            </w:r>
          </w:p>
        </w:tc>
      </w:tr>
      <w:tr w14:paraId="4996B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9" w:hRule="atLeast"/>
          <w:jc w:val="center"/>
        </w:trPr>
        <w:tc>
          <w:tcPr>
            <w:tcW w:w="4185" w:type="dxa"/>
            <w:vAlign w:val="center"/>
          </w:tcPr>
          <w:p w14:paraId="0A4A520F">
            <w:pPr>
              <w:snapToGrid w:val="0"/>
              <w:spacing w:line="500" w:lineRule="exact"/>
              <w:rPr>
                <w:rFonts w:ascii="宋体" w:hAnsi="宋体"/>
                <w:szCs w:val="21"/>
              </w:rPr>
            </w:pPr>
            <w:r>
              <w:rPr>
                <w:rFonts w:hint="eastAsia" w:ascii="宋体" w:hAnsi="宋体"/>
                <w:szCs w:val="21"/>
              </w:rPr>
              <w:t>单位地址：钦州市乘风大道</w:t>
            </w:r>
          </w:p>
        </w:tc>
        <w:tc>
          <w:tcPr>
            <w:tcW w:w="5699" w:type="dxa"/>
            <w:vAlign w:val="center"/>
          </w:tcPr>
          <w:p w14:paraId="603AC4A4">
            <w:pPr>
              <w:spacing w:line="500" w:lineRule="exact"/>
              <w:ind w:left="4921" w:right="-692" w:hanging="5057"/>
              <w:rPr>
                <w:rFonts w:ascii="宋体" w:hAnsi="宋体"/>
                <w:szCs w:val="21"/>
              </w:rPr>
            </w:pPr>
            <w:r>
              <w:rPr>
                <w:rFonts w:hint="eastAsia" w:ascii="宋体" w:hAnsi="宋体"/>
                <w:szCs w:val="21"/>
              </w:rPr>
              <w:t>单位地址：</w:t>
            </w:r>
          </w:p>
        </w:tc>
      </w:tr>
      <w:tr w14:paraId="49228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4185" w:type="dxa"/>
            <w:vAlign w:val="center"/>
          </w:tcPr>
          <w:p w14:paraId="359576B2">
            <w:pPr>
              <w:snapToGrid w:val="0"/>
              <w:spacing w:line="500" w:lineRule="exact"/>
              <w:rPr>
                <w:rFonts w:ascii="宋体" w:hAnsi="宋体"/>
                <w:szCs w:val="21"/>
              </w:rPr>
            </w:pPr>
            <w:r>
              <w:rPr>
                <w:rFonts w:hint="eastAsia" w:ascii="宋体" w:hAnsi="宋体"/>
                <w:szCs w:val="21"/>
              </w:rPr>
              <w:t>法定代表人：</w:t>
            </w:r>
          </w:p>
        </w:tc>
        <w:tc>
          <w:tcPr>
            <w:tcW w:w="5699" w:type="dxa"/>
            <w:vAlign w:val="center"/>
          </w:tcPr>
          <w:p w14:paraId="41F7591D">
            <w:pPr>
              <w:spacing w:line="500" w:lineRule="exact"/>
              <w:rPr>
                <w:rFonts w:ascii="宋体" w:hAnsi="宋体"/>
                <w:szCs w:val="21"/>
              </w:rPr>
            </w:pPr>
            <w:r>
              <w:rPr>
                <w:rFonts w:hint="eastAsia" w:ascii="宋体" w:hAnsi="宋体"/>
                <w:szCs w:val="21"/>
              </w:rPr>
              <w:t>法定代表人：</w:t>
            </w:r>
          </w:p>
        </w:tc>
      </w:tr>
      <w:tr w14:paraId="7DDD6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4185" w:type="dxa"/>
            <w:vAlign w:val="center"/>
          </w:tcPr>
          <w:p w14:paraId="4DB5D3C7">
            <w:pPr>
              <w:spacing w:line="500" w:lineRule="exact"/>
              <w:rPr>
                <w:rFonts w:ascii="宋体" w:hAnsi="宋体"/>
                <w:szCs w:val="21"/>
              </w:rPr>
            </w:pPr>
            <w:r>
              <w:rPr>
                <w:rFonts w:hint="eastAsia" w:ascii="宋体" w:hAnsi="宋体"/>
                <w:szCs w:val="21"/>
              </w:rPr>
              <w:t>委托代理人：</w:t>
            </w:r>
          </w:p>
        </w:tc>
        <w:tc>
          <w:tcPr>
            <w:tcW w:w="5699" w:type="dxa"/>
            <w:vAlign w:val="center"/>
          </w:tcPr>
          <w:p w14:paraId="538A5B4C">
            <w:pPr>
              <w:spacing w:line="500" w:lineRule="exact"/>
              <w:rPr>
                <w:rFonts w:ascii="宋体" w:hAnsi="宋体"/>
                <w:szCs w:val="21"/>
              </w:rPr>
            </w:pPr>
            <w:r>
              <w:rPr>
                <w:rFonts w:hint="eastAsia" w:ascii="宋体" w:hAnsi="宋体"/>
                <w:szCs w:val="21"/>
              </w:rPr>
              <w:t>委托代理人：</w:t>
            </w:r>
          </w:p>
        </w:tc>
      </w:tr>
      <w:tr w14:paraId="73764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atLeast"/>
          <w:jc w:val="center"/>
        </w:trPr>
        <w:tc>
          <w:tcPr>
            <w:tcW w:w="4185" w:type="dxa"/>
            <w:vAlign w:val="center"/>
          </w:tcPr>
          <w:p w14:paraId="312902A7">
            <w:pPr>
              <w:spacing w:line="500" w:lineRule="exact"/>
              <w:rPr>
                <w:rFonts w:ascii="宋体" w:hAnsi="宋体"/>
                <w:szCs w:val="21"/>
              </w:rPr>
            </w:pPr>
            <w:r>
              <w:rPr>
                <w:rFonts w:hint="eastAsia" w:ascii="宋体" w:hAnsi="宋体"/>
                <w:szCs w:val="21"/>
              </w:rPr>
              <w:t>电话：0</w:t>
            </w:r>
            <w:r>
              <w:rPr>
                <w:rFonts w:ascii="宋体" w:hAnsi="宋体"/>
                <w:szCs w:val="21"/>
              </w:rPr>
              <w:t>777-2811299</w:t>
            </w:r>
          </w:p>
        </w:tc>
        <w:tc>
          <w:tcPr>
            <w:tcW w:w="5699" w:type="dxa"/>
            <w:vAlign w:val="center"/>
          </w:tcPr>
          <w:p w14:paraId="0D579185">
            <w:pPr>
              <w:spacing w:line="500" w:lineRule="exact"/>
              <w:rPr>
                <w:rFonts w:ascii="宋体" w:hAnsi="宋体"/>
                <w:szCs w:val="21"/>
              </w:rPr>
            </w:pPr>
            <w:r>
              <w:rPr>
                <w:rFonts w:hint="eastAsia" w:ascii="宋体" w:hAnsi="宋体"/>
                <w:szCs w:val="21"/>
              </w:rPr>
              <w:t>电话：</w:t>
            </w:r>
          </w:p>
        </w:tc>
      </w:tr>
      <w:tr w14:paraId="69E1A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4185" w:type="dxa"/>
            <w:vAlign w:val="center"/>
          </w:tcPr>
          <w:p w14:paraId="1CAB3411">
            <w:pPr>
              <w:spacing w:line="500" w:lineRule="exact"/>
              <w:rPr>
                <w:rFonts w:ascii="宋体" w:hAnsi="宋体"/>
                <w:szCs w:val="21"/>
              </w:rPr>
            </w:pPr>
            <w:r>
              <w:rPr>
                <w:rFonts w:hint="eastAsia" w:ascii="宋体" w:hAnsi="宋体"/>
                <w:szCs w:val="21"/>
              </w:rPr>
              <w:t>电子邮箱：</w:t>
            </w:r>
          </w:p>
        </w:tc>
        <w:tc>
          <w:tcPr>
            <w:tcW w:w="5699" w:type="dxa"/>
            <w:vAlign w:val="center"/>
          </w:tcPr>
          <w:p w14:paraId="6EF937E1">
            <w:pPr>
              <w:spacing w:line="500" w:lineRule="exact"/>
              <w:rPr>
                <w:rFonts w:ascii="宋体" w:hAnsi="宋体"/>
                <w:szCs w:val="21"/>
              </w:rPr>
            </w:pPr>
            <w:r>
              <w:rPr>
                <w:rFonts w:hint="eastAsia" w:ascii="宋体" w:hAnsi="宋体"/>
                <w:szCs w:val="21"/>
              </w:rPr>
              <w:t>电子邮箱：</w:t>
            </w:r>
          </w:p>
        </w:tc>
      </w:tr>
      <w:tr w14:paraId="6515C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vAlign w:val="center"/>
          </w:tcPr>
          <w:p w14:paraId="11A0847A">
            <w:pPr>
              <w:spacing w:line="500" w:lineRule="exact"/>
              <w:rPr>
                <w:rFonts w:ascii="宋体" w:hAnsi="宋体"/>
                <w:szCs w:val="21"/>
              </w:rPr>
            </w:pPr>
            <w:r>
              <w:rPr>
                <w:rFonts w:hint="eastAsia" w:ascii="宋体" w:hAnsi="宋体"/>
                <w:szCs w:val="21"/>
              </w:rPr>
              <w:t>开户银行：</w:t>
            </w:r>
          </w:p>
        </w:tc>
        <w:tc>
          <w:tcPr>
            <w:tcW w:w="5699" w:type="dxa"/>
            <w:vAlign w:val="center"/>
          </w:tcPr>
          <w:p w14:paraId="5606FC9C">
            <w:pPr>
              <w:spacing w:line="500" w:lineRule="exact"/>
              <w:ind w:left="1050" w:hanging="1050" w:hangingChars="500"/>
              <w:rPr>
                <w:rFonts w:ascii="宋体" w:hAnsi="宋体"/>
                <w:szCs w:val="21"/>
              </w:rPr>
            </w:pPr>
            <w:r>
              <w:rPr>
                <w:rFonts w:hint="eastAsia" w:ascii="宋体" w:hAnsi="宋体"/>
                <w:szCs w:val="21"/>
              </w:rPr>
              <w:t>开户银行：</w:t>
            </w:r>
          </w:p>
        </w:tc>
      </w:tr>
      <w:tr w14:paraId="13690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4185" w:type="dxa"/>
            <w:vAlign w:val="center"/>
          </w:tcPr>
          <w:p w14:paraId="0E8D2B5A">
            <w:pPr>
              <w:spacing w:line="500" w:lineRule="exact"/>
              <w:rPr>
                <w:rFonts w:ascii="宋体" w:hAnsi="宋体"/>
                <w:szCs w:val="21"/>
              </w:rPr>
            </w:pPr>
            <w:r>
              <w:rPr>
                <w:rFonts w:hint="eastAsia" w:ascii="宋体" w:hAnsi="宋体"/>
                <w:szCs w:val="21"/>
              </w:rPr>
              <w:t>账号：</w:t>
            </w:r>
          </w:p>
        </w:tc>
        <w:tc>
          <w:tcPr>
            <w:tcW w:w="5699" w:type="dxa"/>
            <w:vAlign w:val="center"/>
          </w:tcPr>
          <w:p w14:paraId="58C4DD42">
            <w:pPr>
              <w:spacing w:line="500" w:lineRule="exact"/>
              <w:rPr>
                <w:rFonts w:ascii="宋体" w:hAnsi="宋体"/>
                <w:szCs w:val="21"/>
              </w:rPr>
            </w:pPr>
            <w:r>
              <w:rPr>
                <w:rFonts w:hint="eastAsia" w:ascii="宋体" w:hAnsi="宋体"/>
                <w:szCs w:val="21"/>
              </w:rPr>
              <w:t>账号：</w:t>
            </w:r>
          </w:p>
        </w:tc>
      </w:tr>
      <w:tr w14:paraId="41FA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4185" w:type="dxa"/>
            <w:vAlign w:val="center"/>
          </w:tcPr>
          <w:p w14:paraId="3ED875DE">
            <w:pPr>
              <w:spacing w:line="500" w:lineRule="exact"/>
              <w:rPr>
                <w:rFonts w:ascii="宋体" w:hAnsi="宋体"/>
                <w:szCs w:val="21"/>
              </w:rPr>
            </w:pPr>
            <w:r>
              <w:rPr>
                <w:rFonts w:hint="eastAsia" w:ascii="宋体" w:hAnsi="宋体"/>
                <w:szCs w:val="21"/>
              </w:rPr>
              <w:t>邮政编码：</w:t>
            </w:r>
          </w:p>
        </w:tc>
        <w:tc>
          <w:tcPr>
            <w:tcW w:w="5699" w:type="dxa"/>
            <w:vAlign w:val="center"/>
          </w:tcPr>
          <w:p w14:paraId="112E8D95">
            <w:pPr>
              <w:spacing w:line="500" w:lineRule="exact"/>
              <w:rPr>
                <w:rFonts w:ascii="宋体" w:hAnsi="宋体"/>
                <w:szCs w:val="21"/>
              </w:rPr>
            </w:pPr>
            <w:r>
              <w:rPr>
                <w:rFonts w:hint="eastAsia" w:ascii="宋体" w:hAnsi="宋体"/>
                <w:szCs w:val="21"/>
              </w:rPr>
              <w:t>邮政编码：</w:t>
            </w:r>
          </w:p>
        </w:tc>
      </w:tr>
      <w:tr w14:paraId="1F86B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9884" w:type="dxa"/>
            <w:gridSpan w:val="2"/>
          </w:tcPr>
          <w:p w14:paraId="3AB53327">
            <w:pPr>
              <w:spacing w:line="500" w:lineRule="exact"/>
              <w:rPr>
                <w:rFonts w:ascii="宋体" w:hAnsi="宋体"/>
                <w:szCs w:val="21"/>
              </w:rPr>
            </w:pPr>
            <w:r>
              <w:rPr>
                <w:rFonts w:hint="eastAsia" w:ascii="宋体" w:hAnsi="宋体"/>
                <w:szCs w:val="21"/>
              </w:rPr>
              <w:t>经办人：</w:t>
            </w:r>
          </w:p>
          <w:p w14:paraId="54782094">
            <w:pPr>
              <w:spacing w:line="500" w:lineRule="exact"/>
              <w:ind w:firstLine="5460" w:firstLineChars="2600"/>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年  月   日</w:t>
            </w:r>
          </w:p>
        </w:tc>
      </w:tr>
    </w:tbl>
    <w:p w14:paraId="614EC5EB">
      <w:pPr>
        <w:tabs>
          <w:tab w:val="left" w:pos="3261"/>
        </w:tabs>
        <w:spacing w:line="360" w:lineRule="auto"/>
        <w:contextualSpacing/>
        <w:jc w:val="both"/>
      </w:pPr>
      <w:r>
        <w:rPr>
          <w:rFonts w:cs="仿宋_GB2312"/>
          <w:b/>
          <w:sz w:val="44"/>
          <w:szCs w:val="44"/>
        </w:rPr>
        <w:br w:type="page"/>
      </w:r>
    </w:p>
    <w:p w14:paraId="7447665C">
      <w:pPr>
        <w:pStyle w:val="110"/>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第二部分 合同一般条款</w:t>
      </w:r>
    </w:p>
    <w:p w14:paraId="700FA165">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定义</w:t>
      </w:r>
    </w:p>
    <w:p w14:paraId="5EF1154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1729366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 “合同”系指采购人和</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签订的载明双方当事人所达成的协议，并包括所有的附件、附录和构成合同的其他文件。</w:t>
      </w:r>
    </w:p>
    <w:p w14:paraId="79D527D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 “合同价”系指根据合同约定，</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在完全履行合同义务后，采购人应支付给</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的价格。</w:t>
      </w:r>
    </w:p>
    <w:p w14:paraId="06C6256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 “标的物”系指</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DCA1D5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 “甲方”系指与</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签署合同的采购人；采购人委托采购机构代表其与乙方签订合同的，采购人的授权委托书作为合同附件。</w:t>
      </w:r>
    </w:p>
    <w:p w14:paraId="6CB1B68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2.1.5 “乙方”系指根据合同约定交付标的物的</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5D00B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 “现场”系指合同约定标的物将要运至或者实施或者安装的地点。</w:t>
      </w:r>
    </w:p>
    <w:p w14:paraId="6930F82F">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技术规范</w:t>
      </w:r>
    </w:p>
    <w:p w14:paraId="32C71C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4BD5AD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知识产权</w:t>
      </w:r>
    </w:p>
    <w:p w14:paraId="2E91D63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B34BD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2.3.2具有知识产权的计算机软件等标的物的知识产权归属，详见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13874C5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 包装和装运</w:t>
      </w:r>
    </w:p>
    <w:p w14:paraId="468E2BB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2.4.1除</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E834A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 装运标的物的要求和通知，详见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4725D8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 履约检查和问题反馈</w:t>
      </w:r>
    </w:p>
    <w:p w14:paraId="1361634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6C2814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 合同履行期间，甲方有权将履行过程中出现的问题反馈给乙方，双方当事人应以书面形式约定需要完善和改进的内容。</w:t>
      </w:r>
    </w:p>
    <w:p w14:paraId="54CA012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 结算方式和付款条件</w:t>
      </w:r>
    </w:p>
    <w:p w14:paraId="60655B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5104800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 技术资料和保密义务</w:t>
      </w:r>
    </w:p>
    <w:p w14:paraId="68101E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2.7.1 乙方有权依据合同约定和项目需要，向甲方了解有关情况，调阅有关资料等，甲方应予积极配合；</w:t>
      </w:r>
    </w:p>
    <w:p w14:paraId="5C8A7F2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 乙方有义务妥善保管和保护由甲方提供的前款信息和资料等；</w:t>
      </w:r>
    </w:p>
    <w:p w14:paraId="4FAABCF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F3D238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 质量保证</w:t>
      </w:r>
    </w:p>
    <w:p w14:paraId="7958B93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 乙方应建立和完善履行合同的内部质量保证体系，并提供相关内部规章制度给甲方，以便甲方进行监督检查；</w:t>
      </w:r>
    </w:p>
    <w:p w14:paraId="650CC5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2.8.2 乙方应保证履行合同的人员数量和素质、软件和硬件设备的配置、场地、环境和设施等满足全面履行合同的要求，并应接受甲方的监督检查。</w:t>
      </w:r>
    </w:p>
    <w:p w14:paraId="73C7DE62">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宋体"/>
          <w:color w:val="auto"/>
          <w:kern w:val="0"/>
          <w:sz w:val="24"/>
          <w:highlight w:val="none"/>
        </w:rPr>
        <w:t>甲方有权放弃或终止合同。</w:t>
      </w:r>
    </w:p>
    <w:p w14:paraId="29FBCA1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（根据项目实际情况填写，一般为30%）。</w:t>
      </w:r>
    </w:p>
    <w:p w14:paraId="5047D00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 标的物的风险负担</w:t>
      </w:r>
    </w:p>
    <w:p w14:paraId="4F6669CA">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5AB3967F">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2.10 延迟交货/交付</w:t>
      </w:r>
    </w:p>
    <w:p w14:paraId="138DD8F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6C8C06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2.11 合同变更</w:t>
      </w:r>
    </w:p>
    <w:p w14:paraId="70C1507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ECCE61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20DD99D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2.12 合同转让和分包</w:t>
      </w:r>
    </w:p>
    <w:p w14:paraId="6BE320A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4630D6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2.13 不可抗力</w:t>
      </w:r>
    </w:p>
    <w:p w14:paraId="1CD184B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2.13.1如果任何一方遭遇法律规定的不可抗力，致使合同履行受阻时，履行合同的期限应予延长，延长的期限应相当于不可抗力所影响的时间；</w:t>
      </w:r>
    </w:p>
    <w:p w14:paraId="329E19C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68B6E3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 因不可抗力致使不能实现合同目的的，当事人可以解除合同；</w:t>
      </w:r>
    </w:p>
    <w:p w14:paraId="214199B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 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7EEAE18B">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2.14 税费</w:t>
      </w:r>
    </w:p>
    <w:p w14:paraId="260065C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与合同有关的一切税费，均按照中华人民共和国法律的相关规定执行。</w:t>
      </w:r>
    </w:p>
    <w:p w14:paraId="122599D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2.15 乙方破产</w:t>
      </w:r>
    </w:p>
    <w:p w14:paraId="1B08092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5C57E14">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2.16 合同中止、终止</w:t>
      </w:r>
    </w:p>
    <w:p w14:paraId="14E8400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2.16.1 双方当事人不得擅自中止或者终止合同；</w:t>
      </w:r>
    </w:p>
    <w:p w14:paraId="4196B7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6AA068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2.17 检验和验收</w:t>
      </w:r>
    </w:p>
    <w:p w14:paraId="4CDB77C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约定时间内组织验收，并可依法邀请相关方参加，验收应出具验收书。</w:t>
      </w:r>
    </w:p>
    <w:p w14:paraId="48413B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670920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p w14:paraId="1EE380F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2.18 通知和送达</w:t>
      </w:r>
    </w:p>
    <w:p w14:paraId="43F3141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2.18.1 任何一方因履行合同而以合同第一部分尾部所列明的</w:t>
      </w:r>
      <w:r>
        <w:rPr>
          <w:rFonts w:hint="eastAsia" w:ascii="宋体" w:hAnsi="宋体" w:eastAsia="宋体" w:cs="宋体"/>
          <w:color w:val="auto"/>
          <w:sz w:val="24"/>
          <w:highlight w:val="none"/>
          <w:u w:val="single"/>
        </w:rPr>
        <w:t>“约定送达地址”</w:t>
      </w:r>
      <w:r>
        <w:rPr>
          <w:rFonts w:hint="eastAsia" w:ascii="宋体" w:hAnsi="宋体" w:eastAsia="宋体" w:cs="宋体"/>
          <w:color w:val="auto"/>
          <w:sz w:val="24"/>
          <w:highlight w:val="none"/>
        </w:rPr>
        <w:t>为收件地址的所有通知、文件、材料，均视为已向对方当事人送达；任何一方变更上述送达方式或者地址的，应于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个工作日内（根据项目实际填写）书面通知对方当事人，在对方当事人收到有关变更通知之前，变更前的约定送达方式或者地址仍视为有效。</w:t>
      </w:r>
    </w:p>
    <w:p w14:paraId="25377C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79C94A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2.19 计量单位</w:t>
      </w:r>
    </w:p>
    <w:p w14:paraId="46960C7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除技术规范中另有规定外,合同的计量单位均使用国家法定计量单位。</w:t>
      </w:r>
    </w:p>
    <w:p w14:paraId="0549435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2.20 合同使用的文字和适用的法律</w:t>
      </w:r>
    </w:p>
    <w:p w14:paraId="06AF811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2.20.1 合同使用汉语书就、变更和解释；</w:t>
      </w:r>
    </w:p>
    <w:p w14:paraId="1BD7D73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2.20.2 合同适用中华人民共和国法律。</w:t>
      </w:r>
    </w:p>
    <w:p w14:paraId="3E1F208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2.21 履约保证金</w:t>
      </w:r>
    </w:p>
    <w:p w14:paraId="2B75D0CD">
      <w:pPr>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本项目不收取履约保证金</w:t>
      </w:r>
    </w:p>
    <w:p w14:paraId="56D4CF38">
      <w:pPr>
        <w:spacing w:line="360" w:lineRule="auto"/>
        <w:ind w:firstLine="482" w:firstLineChars="200"/>
        <w:rPr>
          <w:rFonts w:hint="eastAsia" w:ascii="宋体" w:hAnsi="宋体" w:eastAsia="宋体" w:cs="宋体"/>
          <w:color w:val="auto"/>
          <w:kern w:val="0"/>
          <w:sz w:val="24"/>
          <w:highlight w:val="none"/>
          <w:lang w:val="zh-CN"/>
        </w:rPr>
      </w:pPr>
      <w:r>
        <w:rPr>
          <w:rFonts w:hint="eastAsia" w:ascii="宋体" w:hAnsi="宋体" w:eastAsia="宋体" w:cs="宋体"/>
          <w:b/>
          <w:color w:val="auto"/>
          <w:sz w:val="24"/>
          <w:highlight w:val="none"/>
        </w:rPr>
        <w:t>2.22 中小企业政策</w:t>
      </w:r>
    </w:p>
    <w:p w14:paraId="4246D7F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2.22.1本合同（□是  □否）为中小企业“政采贷”可融资合同，关于中小企业信用融资事项见采购文件“供应商须知正文”。</w:t>
      </w:r>
    </w:p>
    <w:p w14:paraId="5706209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2.22.2本合同（□是  □否）为中小企业预留合同。</w:t>
      </w:r>
    </w:p>
    <w:p w14:paraId="0DD59F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2.23 合同份数</w:t>
      </w:r>
    </w:p>
    <w:p w14:paraId="2C56E33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份，甲方执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份。每份均具有同等法律效力。</w:t>
      </w:r>
    </w:p>
    <w:p w14:paraId="66F6B1C6">
      <w:pPr>
        <w:pStyle w:val="110"/>
        <w:jc w:val="center"/>
        <w:outlineLvl w:val="1"/>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8"/>
          <w:szCs w:val="28"/>
          <w:highlight w:val="none"/>
        </w:rPr>
        <w:t>第三部分  合同专用条款</w:t>
      </w:r>
    </w:p>
    <w:p w14:paraId="285A1B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D8F888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2.3.2具有知识产权的标的物知识产权归属：</w:t>
      </w:r>
    </w:p>
    <w:p w14:paraId="07261BC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6694F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2.4.1包装和装运专用条款（如果有）：</w:t>
      </w:r>
    </w:p>
    <w:p w14:paraId="4A75C8AF">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69C2534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2.4.2装运标的物的要求和通知：</w:t>
      </w:r>
    </w:p>
    <w:p w14:paraId="7E293D44">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2E2BDC91">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2.6</w:t>
      </w:r>
      <w:r>
        <w:rPr>
          <w:rFonts w:hint="eastAsia" w:ascii="宋体" w:hAnsi="宋体" w:eastAsia="宋体" w:cs="宋体"/>
          <w:b/>
          <w:color w:val="auto"/>
          <w:sz w:val="24"/>
          <w:highlight w:val="none"/>
        </w:rPr>
        <w:t>结算方式和付款条件</w:t>
      </w:r>
    </w:p>
    <w:p w14:paraId="15F9D30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本次项目合同总价为大写人民币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    元）。本项目采用以下勾选结算方式进行支付：</w:t>
      </w:r>
    </w:p>
    <w:p w14:paraId="2F9A4249">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□采用一次性支付方式，付款条件为：</w:t>
      </w:r>
      <w:r>
        <w:rPr>
          <w:rFonts w:hint="eastAsia" w:ascii="宋体" w:hAnsi="宋体" w:eastAsia="宋体" w:cs="宋体"/>
          <w:color w:val="auto"/>
          <w:kern w:val="0"/>
          <w:sz w:val="24"/>
          <w:highlight w:val="none"/>
          <w:u w:val="single"/>
        </w:rPr>
        <w:t xml:space="preserve">           </w:t>
      </w:r>
    </w:p>
    <w:p w14:paraId="5D4E3F2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□采用分期付款方式，付款条件为</w:t>
      </w:r>
      <w:r>
        <w:rPr>
          <w:rFonts w:hint="eastAsia" w:ascii="宋体" w:hAnsi="宋体" w:eastAsia="宋体" w:cs="宋体"/>
          <w:color w:val="auto"/>
          <w:kern w:val="0"/>
          <w:sz w:val="24"/>
          <w:highlight w:val="none"/>
        </w:rPr>
        <w:t>：</w:t>
      </w:r>
    </w:p>
    <w:p w14:paraId="31FD95A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第一期付款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597167DF">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zh-CN"/>
        </w:rPr>
        <w:t>第</w:t>
      </w: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val="zh-CN"/>
        </w:rPr>
        <w:t>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2627B839">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p w14:paraId="48153DC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甲方无故逾期支付服务费用的，按照每逾期一日支付欠付服务费额度的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（根据项目实际填写，一般为万分之五）承担违约责任，违约金上限按照《合同书》约定执行。</w:t>
      </w:r>
    </w:p>
    <w:p w14:paraId="65198E07">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8DD4EBE">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2.9</w:t>
      </w:r>
      <w:r>
        <w:rPr>
          <w:rFonts w:hint="eastAsia" w:ascii="宋体" w:hAnsi="宋体" w:eastAsia="宋体" w:cs="宋体"/>
          <w:b/>
          <w:color w:val="auto"/>
          <w:sz w:val="24"/>
          <w:highlight w:val="none"/>
        </w:rPr>
        <w:t>标的物的风险负担</w:t>
      </w:r>
    </w:p>
    <w:p w14:paraId="5D3BCA9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w:t>
      </w:r>
    </w:p>
    <w:p w14:paraId="16DDEC2E">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乙方                                                                       </w:t>
      </w:r>
    </w:p>
    <w:p w14:paraId="62EB9F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日内（根据项目实际填写）以书面形式通知对方当事人，并在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日内（根据项目实际填写），将有关部门出具的证明文件送达对方当事人。</w:t>
      </w:r>
    </w:p>
    <w:p w14:paraId="75B8169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2.13.4因不可抗力致使合同有变更必要的，双方当事人应在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日内（根据项目实际填写）以书面形式变更合同；</w:t>
      </w:r>
    </w:p>
    <w:p w14:paraId="5298AB0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日内（根据项目实际填写）发起验收，并可依法邀请相关方参加，验收应出具验收书。</w:t>
      </w:r>
    </w:p>
    <w:p w14:paraId="25FFF4A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w:t>
      </w:r>
    </w:p>
    <w:p w14:paraId="21481E32">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22D165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其他：</w:t>
      </w:r>
    </w:p>
    <w:p w14:paraId="1243B06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项目验收：</w:t>
      </w:r>
    </w:p>
    <w:p w14:paraId="18AD78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6972B5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255DDF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6C18E8D3">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4、验收产生的费用：首次验收费用由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承担，如首次验收不合格，后续验收费用由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支付。</w:t>
      </w:r>
    </w:p>
    <w:p w14:paraId="079E7CB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5、验收内容及资料要求：</w:t>
      </w:r>
    </w:p>
    <w:p w14:paraId="17462B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根根据采购文件确定的技术指标或者服务要求确定验收指标和标准。未进行相应约定的，应当符合国家强制性规定、政策要求、安全标准、行业或企业有关标准等。</w:t>
      </w:r>
    </w:p>
    <w:p w14:paraId="4C5E8453">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5.1验收内容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A7F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348DA4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53B06ED">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5914D2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验收标准</w:t>
            </w:r>
          </w:p>
        </w:tc>
      </w:tr>
      <w:tr w14:paraId="3A53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91E0004">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EF7342">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9636A9D">
            <w:pPr>
              <w:widowControl/>
              <w:spacing w:line="360" w:lineRule="auto"/>
              <w:ind w:firstLine="200"/>
              <w:jc w:val="center"/>
              <w:rPr>
                <w:rFonts w:hint="eastAsia" w:ascii="宋体" w:hAnsi="宋体" w:eastAsia="宋体" w:cs="宋体"/>
                <w:color w:val="auto"/>
                <w:kern w:val="0"/>
                <w:sz w:val="24"/>
                <w:highlight w:val="none"/>
              </w:rPr>
            </w:pPr>
          </w:p>
        </w:tc>
      </w:tr>
      <w:tr w14:paraId="299D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D9BBE33">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1DADBB5">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6F3710D">
            <w:pPr>
              <w:widowControl/>
              <w:spacing w:line="360" w:lineRule="auto"/>
              <w:ind w:firstLine="200"/>
              <w:jc w:val="center"/>
              <w:rPr>
                <w:rFonts w:hint="eastAsia" w:ascii="宋体" w:hAnsi="宋体" w:eastAsia="宋体" w:cs="宋体"/>
                <w:color w:val="auto"/>
                <w:kern w:val="0"/>
                <w:sz w:val="24"/>
                <w:highlight w:val="none"/>
              </w:rPr>
            </w:pPr>
          </w:p>
        </w:tc>
      </w:tr>
      <w:tr w14:paraId="1A84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AC688DE">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BBB878C">
            <w:pPr>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901C7C8">
            <w:pPr>
              <w:pStyle w:val="2"/>
              <w:spacing w:after="0" w:line="360" w:lineRule="auto"/>
              <w:ind w:firstLine="200"/>
              <w:jc w:val="left"/>
              <w:rPr>
                <w:rFonts w:hint="eastAsia" w:ascii="宋体" w:hAnsi="宋体" w:eastAsia="宋体" w:cs="宋体"/>
                <w:color w:val="auto"/>
                <w:highlight w:val="none"/>
                <w:lang w:val="en-US" w:eastAsia="zh-CN"/>
              </w:rPr>
            </w:pPr>
          </w:p>
        </w:tc>
      </w:tr>
      <w:tr w14:paraId="1272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71FFAAE">
            <w:pPr>
              <w:widowControl/>
              <w:spacing w:line="360" w:lineRule="auto"/>
              <w:ind w:firstLine="2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5E991DC">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5CA1FEA">
            <w:pPr>
              <w:widowControl/>
              <w:spacing w:line="360" w:lineRule="auto"/>
              <w:ind w:firstLine="200"/>
              <w:jc w:val="center"/>
              <w:rPr>
                <w:rFonts w:hint="eastAsia" w:ascii="宋体" w:hAnsi="宋体" w:eastAsia="宋体" w:cs="宋体"/>
                <w:color w:val="auto"/>
                <w:kern w:val="0"/>
                <w:sz w:val="24"/>
                <w:highlight w:val="none"/>
              </w:rPr>
            </w:pPr>
          </w:p>
        </w:tc>
      </w:tr>
      <w:tr w14:paraId="58CF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094F41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0E9AF73">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E3DC04F">
            <w:pPr>
              <w:widowControl/>
              <w:spacing w:line="360" w:lineRule="auto"/>
              <w:ind w:firstLine="200"/>
              <w:jc w:val="left"/>
              <w:rPr>
                <w:rFonts w:hint="eastAsia" w:ascii="宋体" w:hAnsi="宋体" w:eastAsia="宋体" w:cs="宋体"/>
                <w:color w:val="auto"/>
                <w:kern w:val="0"/>
                <w:sz w:val="24"/>
                <w:highlight w:val="none"/>
              </w:rPr>
            </w:pPr>
          </w:p>
        </w:tc>
      </w:tr>
    </w:tbl>
    <w:p w14:paraId="2E5B5A0E">
      <w:pPr>
        <w:tabs>
          <w:tab w:val="left" w:pos="904"/>
        </w:tabs>
        <w:snapToGrid w:val="0"/>
        <w:spacing w:line="360" w:lineRule="auto"/>
        <w:ind w:firstLine="480" w:firstLineChars="200"/>
        <w:jc w:val="left"/>
        <w:rPr>
          <w:rFonts w:hint="eastAsia" w:ascii="宋体" w:hAnsi="宋体" w:eastAsia="宋体" w:cs="宋体"/>
          <w:color w:val="auto"/>
          <w:sz w:val="24"/>
          <w:highlight w:val="none"/>
        </w:rPr>
      </w:pPr>
    </w:p>
    <w:p w14:paraId="64DECCB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5.2验收资料要求</w:t>
      </w:r>
    </w:p>
    <w:p w14:paraId="7FFEDA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验收资料要求包括（不限于）以下内容：</w:t>
      </w:r>
    </w:p>
    <w:p w14:paraId="7B32084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（1）采购文件；</w:t>
      </w:r>
    </w:p>
    <w:p w14:paraId="3D51B28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w:t>
      </w:r>
    </w:p>
    <w:p w14:paraId="1F2759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（3）采购合同；</w:t>
      </w:r>
    </w:p>
    <w:p w14:paraId="188C6BBC">
      <w:pPr>
        <w:keepNext w:val="0"/>
        <w:keepLines w:val="0"/>
        <w:widowControl w:val="0"/>
        <w:suppressLineNumbers w:val="0"/>
        <w:spacing w:line="500" w:lineRule="exact"/>
        <w:ind w:firstLine="480" w:firstLineChars="200"/>
        <w:jc w:val="left"/>
        <w:rPr>
          <w:rFonts w:hint="eastAsia" w:ascii="宋体" w:hAnsi="宋体" w:eastAsia="宋体" w:cs="宋体"/>
          <w:bCs/>
          <w:color w:val="auto"/>
          <w:sz w:val="21"/>
          <w:szCs w:val="21"/>
          <w:highlight w:val="none"/>
          <w:lang w:bidi="ar"/>
        </w:rPr>
      </w:pPr>
      <w:r>
        <w:rPr>
          <w:rFonts w:hint="eastAsia" w:ascii="宋体" w:hAnsi="宋体" w:eastAsia="宋体" w:cs="宋体"/>
          <w:color w:val="auto"/>
          <w:sz w:val="24"/>
          <w:highlight w:val="none"/>
        </w:rPr>
        <w:t>（4）其他需提供的相关材料：（由业主根据实际情况填写）。</w:t>
      </w:r>
      <w:r>
        <w:rPr>
          <w:rFonts w:hint="eastAsia" w:ascii="宋体" w:hAnsi="宋体" w:eastAsia="宋体" w:cs="宋体"/>
          <w:b w:val="0"/>
          <w:bCs/>
          <w:color w:val="auto"/>
          <w:kern w:val="2"/>
          <w:sz w:val="21"/>
          <w:szCs w:val="21"/>
          <w:highlight w:val="none"/>
          <w:lang w:val="en-US" w:eastAsia="zh-CN" w:bidi="ar"/>
        </w:rPr>
        <w:t xml:space="preserve"> </w:t>
      </w:r>
    </w:p>
    <w:p w14:paraId="68A10493">
      <w:pPr>
        <w:pStyle w:val="2"/>
        <w:rPr>
          <w:rFonts w:hint="eastAsia"/>
          <w:color w:val="auto"/>
          <w:highlight w:val="none"/>
        </w:rPr>
      </w:pPr>
    </w:p>
    <w:p w14:paraId="0B4D5CE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2DCF87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0A75C26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D53C581">
      <w:pPr>
        <w:rPr>
          <w:rFonts w:hint="eastAsia"/>
          <w:sz w:val="28"/>
          <w:szCs w:val="36"/>
          <w:lang w:eastAsia="zh-CN"/>
        </w:rPr>
      </w:pPr>
    </w:p>
    <w:p w14:paraId="39592488">
      <w:pPr>
        <w:rPr>
          <w:rFonts w:hint="eastAsia"/>
          <w:sz w:val="28"/>
          <w:szCs w:val="36"/>
          <w:lang w:eastAsia="zh-CN"/>
        </w:rPr>
      </w:pPr>
      <w:r>
        <w:rPr>
          <w:rFonts w:hint="eastAsia"/>
          <w:sz w:val="28"/>
          <w:szCs w:val="36"/>
          <w:lang w:eastAsia="zh-CN"/>
        </w:rPr>
        <w:t>申报书格式</w:t>
      </w:r>
    </w:p>
    <w:p w14:paraId="31AD13B4">
      <w:pPr>
        <w:pStyle w:val="25"/>
        <w:rPr>
          <w:rFonts w:hint="eastAsia"/>
          <w:sz w:val="28"/>
          <w:szCs w:val="36"/>
          <w:lang w:eastAsia="zh-CN"/>
        </w:rPr>
      </w:pPr>
    </w:p>
    <w:p w14:paraId="387887FC">
      <w:pPr>
        <w:spacing w:line="520" w:lineRule="exact"/>
        <w:ind w:firstLine="180" w:firstLineChars="50"/>
        <w:jc w:val="center"/>
        <w:rPr>
          <w:rFonts w:eastAsia="华文中宋"/>
          <w:color w:val="FF0000"/>
          <w:w w:val="90"/>
          <w:sz w:val="40"/>
          <w:szCs w:val="44"/>
        </w:rPr>
      </w:pPr>
      <w:r>
        <w:rPr>
          <w:rFonts w:hint="eastAsia" w:eastAsia="华文中宋"/>
          <w:color w:val="FF0000"/>
          <w:w w:val="90"/>
          <w:sz w:val="40"/>
          <w:szCs w:val="44"/>
          <w:lang w:eastAsia="zh-CN"/>
        </w:rPr>
        <w:t>钦州市教育发展研究中心</w:t>
      </w:r>
      <w:r>
        <w:rPr>
          <w:rFonts w:hint="eastAsia" w:eastAsia="华文中宋"/>
          <w:color w:val="FF0000"/>
          <w:w w:val="90"/>
          <w:sz w:val="40"/>
          <w:szCs w:val="44"/>
          <w:lang w:val="en-US" w:eastAsia="zh-CN"/>
        </w:rPr>
        <w:t>2026年市本级</w:t>
      </w:r>
      <w:r>
        <w:rPr>
          <w:rFonts w:hint="eastAsia" w:eastAsia="华文中宋"/>
          <w:color w:val="FF0000"/>
          <w:w w:val="90"/>
          <w:sz w:val="40"/>
          <w:szCs w:val="44"/>
        </w:rPr>
        <w:t>培训项目</w:t>
      </w:r>
    </w:p>
    <w:p w14:paraId="54722805">
      <w:pPr>
        <w:spacing w:line="520" w:lineRule="exact"/>
        <w:rPr>
          <w:rFonts w:eastAsia="华文楷体"/>
          <w:color w:val="FF0000"/>
          <w:sz w:val="52"/>
          <w:szCs w:val="52"/>
        </w:rPr>
      </w:pPr>
    </w:p>
    <w:p w14:paraId="5D1AE659">
      <w:pPr>
        <w:spacing w:before="120" w:beforeLines="50" w:after="120" w:afterLines="50" w:line="520" w:lineRule="exact"/>
        <w:jc w:val="center"/>
        <w:rPr>
          <w:rFonts w:eastAsia="华文中宋"/>
          <w:color w:val="FF0000"/>
          <w:sz w:val="72"/>
          <w:szCs w:val="72"/>
        </w:rPr>
      </w:pPr>
      <w:r>
        <w:rPr>
          <w:rFonts w:eastAsia="华文中宋"/>
          <w:color w:val="FF0000"/>
          <w:sz w:val="72"/>
          <w:szCs w:val="72"/>
        </w:rPr>
        <w:t>申报书</w:t>
      </w:r>
    </w:p>
    <w:p w14:paraId="5DAC0A38">
      <w:pPr>
        <w:spacing w:line="600" w:lineRule="auto"/>
        <w:ind w:firstLine="960" w:firstLineChars="300"/>
        <w:rPr>
          <w:sz w:val="32"/>
          <w:szCs w:val="32"/>
        </w:rPr>
      </w:pPr>
    </w:p>
    <w:p w14:paraId="74EB5719">
      <w:pPr>
        <w:spacing w:line="600" w:lineRule="auto"/>
        <w:ind w:firstLine="960" w:firstLineChars="300"/>
        <w:rPr>
          <w:sz w:val="32"/>
          <w:szCs w:val="32"/>
        </w:rPr>
      </w:pPr>
    </w:p>
    <w:p w14:paraId="4AEE8C16">
      <w:pPr>
        <w:spacing w:line="600" w:lineRule="auto"/>
        <w:ind w:firstLine="960" w:firstLineChars="300"/>
        <w:rPr>
          <w:sz w:val="32"/>
          <w:szCs w:val="32"/>
        </w:rPr>
      </w:pPr>
    </w:p>
    <w:p w14:paraId="2D14C3CA">
      <w:pPr>
        <w:spacing w:line="600" w:lineRule="auto"/>
        <w:ind w:firstLine="960" w:firstLineChars="300"/>
        <w:rPr>
          <w:sz w:val="32"/>
          <w:szCs w:val="32"/>
        </w:rPr>
      </w:pPr>
      <w:r>
        <w:rPr>
          <w:sz w:val="32"/>
          <w:szCs w:val="32"/>
        </w:rPr>
        <w:t>申报单位（公章）：</w:t>
      </w:r>
      <w:r>
        <w:rPr>
          <w:sz w:val="32"/>
          <w:u w:val="single"/>
        </w:rPr>
        <w:t xml:space="preserve">                     </w:t>
      </w:r>
    </w:p>
    <w:p w14:paraId="516F6D7E">
      <w:pPr>
        <w:spacing w:line="600" w:lineRule="auto"/>
        <w:ind w:firstLine="960" w:firstLineChars="300"/>
        <w:rPr>
          <w:sz w:val="32"/>
          <w:szCs w:val="32"/>
          <w:u w:val="single"/>
        </w:rPr>
      </w:pPr>
      <w:r>
        <w:rPr>
          <w:sz w:val="32"/>
          <w:szCs w:val="32"/>
        </w:rPr>
        <w:t>负 责 人：</w:t>
      </w:r>
      <w:r>
        <w:rPr>
          <w:sz w:val="32"/>
          <w:u w:val="single"/>
        </w:rPr>
        <w:t xml:space="preserve">                            </w:t>
      </w:r>
    </w:p>
    <w:p w14:paraId="1D92B037">
      <w:pPr>
        <w:spacing w:line="600" w:lineRule="auto"/>
        <w:ind w:firstLine="960" w:firstLineChars="300"/>
        <w:rPr>
          <w:sz w:val="32"/>
          <w:szCs w:val="32"/>
        </w:rPr>
      </w:pPr>
      <w:r>
        <w:rPr>
          <w:rFonts w:hint="eastAsia"/>
          <w:sz w:val="32"/>
          <w:szCs w:val="32"/>
        </w:rPr>
        <w:t>子项目</w:t>
      </w:r>
      <w:r>
        <w:rPr>
          <w:sz w:val="32"/>
          <w:szCs w:val="32"/>
        </w:rPr>
        <w:t>名称：</w:t>
      </w:r>
      <w:r>
        <w:rPr>
          <w:sz w:val="32"/>
          <w:u w:val="single"/>
        </w:rPr>
        <w:t xml:space="preserve">                          </w:t>
      </w:r>
    </w:p>
    <w:p w14:paraId="60BA4A1D">
      <w:pPr>
        <w:spacing w:line="600" w:lineRule="auto"/>
        <w:ind w:firstLine="960" w:firstLineChars="300"/>
        <w:rPr>
          <w:sz w:val="32"/>
          <w:szCs w:val="32"/>
          <w:u w:val="single"/>
        </w:rPr>
      </w:pPr>
      <w:r>
        <w:rPr>
          <w:sz w:val="32"/>
          <w:szCs w:val="32"/>
        </w:rPr>
        <w:t>学科（领域）：</w:t>
      </w:r>
      <w:r>
        <w:rPr>
          <w:sz w:val="32"/>
          <w:u w:val="single"/>
        </w:rPr>
        <w:t xml:space="preserve">                         </w:t>
      </w:r>
      <w:r>
        <w:rPr>
          <w:rFonts w:hint="eastAsia"/>
          <w:sz w:val="32"/>
          <w:szCs w:val="32"/>
        </w:rPr>
        <w:t xml:space="preserve"> </w:t>
      </w:r>
    </w:p>
    <w:p w14:paraId="77984594">
      <w:pPr>
        <w:spacing w:before="48" w:after="48" w:line="600" w:lineRule="auto"/>
        <w:ind w:firstLine="960" w:firstLineChars="300"/>
        <w:rPr>
          <w:sz w:val="32"/>
          <w:szCs w:val="32"/>
        </w:rPr>
      </w:pPr>
      <w:r>
        <w:rPr>
          <w:sz w:val="32"/>
          <w:szCs w:val="32"/>
        </w:rPr>
        <w:t>项目执行部门：</w:t>
      </w:r>
      <w:r>
        <w:rPr>
          <w:sz w:val="32"/>
          <w:u w:val="single"/>
        </w:rPr>
        <w:t xml:space="preserve">                        </w:t>
      </w:r>
      <w:r>
        <w:rPr>
          <w:rFonts w:hint="eastAsia"/>
          <w:sz w:val="32"/>
          <w:szCs w:val="32"/>
        </w:rPr>
        <w:t xml:space="preserve"> </w:t>
      </w:r>
    </w:p>
    <w:p w14:paraId="44960D7F">
      <w:pPr>
        <w:spacing w:line="600" w:lineRule="auto"/>
        <w:ind w:firstLine="960" w:firstLineChars="300"/>
        <w:rPr>
          <w:sz w:val="32"/>
          <w:szCs w:val="32"/>
          <w:u w:val="single"/>
        </w:rPr>
      </w:pPr>
      <w:r>
        <w:rPr>
          <w:sz w:val="32"/>
          <w:szCs w:val="32"/>
        </w:rPr>
        <w:t>负 责 人：</w:t>
      </w:r>
      <w:r>
        <w:rPr>
          <w:sz w:val="32"/>
          <w:u w:val="single"/>
        </w:rPr>
        <w:t xml:space="preserve">                            </w:t>
      </w:r>
    </w:p>
    <w:p w14:paraId="559994A9">
      <w:pPr>
        <w:spacing w:line="600" w:lineRule="auto"/>
        <w:ind w:firstLine="960" w:firstLineChars="300"/>
        <w:rPr>
          <w:sz w:val="32"/>
          <w:szCs w:val="32"/>
        </w:rPr>
      </w:pPr>
      <w:r>
        <w:rPr>
          <w:sz w:val="32"/>
          <w:szCs w:val="32"/>
        </w:rPr>
        <w:t>手    机</w:t>
      </w:r>
      <w:r>
        <w:rPr>
          <w:rFonts w:hint="eastAsia"/>
          <w:sz w:val="32"/>
          <w:szCs w:val="32"/>
        </w:rPr>
        <w:t>：</w:t>
      </w:r>
      <w:r>
        <w:rPr>
          <w:sz w:val="32"/>
          <w:u w:val="single"/>
        </w:rPr>
        <w:t xml:space="preserve">                            </w:t>
      </w:r>
    </w:p>
    <w:p w14:paraId="2DA8C0F0">
      <w:pPr>
        <w:snapToGrid w:val="0"/>
        <w:spacing w:before="50" w:after="120" w:afterLines="50" w:line="500" w:lineRule="exact"/>
        <w:jc w:val="center"/>
        <w:rPr>
          <w:rFonts w:ascii="宋体" w:hAnsi="宋体"/>
          <w:color w:val="000000"/>
          <w:szCs w:val="21"/>
        </w:rPr>
      </w:pPr>
      <w:r>
        <w:rPr>
          <w:rFonts w:hint="eastAsia" w:ascii="微软雅黑" w:eastAsia="微软雅黑"/>
          <w:sz w:val="32"/>
          <w:szCs w:val="32"/>
        </w:rPr>
        <w:t>广西教育厅 制</w:t>
      </w:r>
    </w:p>
    <w:p w14:paraId="20DDD2F0">
      <w:pPr>
        <w:rPr>
          <w:color w:val="auto"/>
          <w:highlight w:val="none"/>
        </w:rPr>
      </w:pPr>
      <w:r>
        <w:rPr>
          <w:rFonts w:hint="eastAsia"/>
          <w:color w:val="auto"/>
          <w:highlight w:val="none"/>
        </w:rPr>
        <w:br w:type="page"/>
      </w:r>
    </w:p>
    <w:p w14:paraId="3A66AD86">
      <w:pPr>
        <w:pStyle w:val="6"/>
        <w:rPr>
          <w:rFonts w:hint="eastAsia" w:eastAsia="宋体"/>
          <w:color w:val="auto"/>
          <w:highlight w:val="none"/>
          <w:lang w:eastAsia="zh-CN"/>
        </w:rPr>
      </w:pPr>
      <w:r>
        <w:rPr>
          <w:rFonts w:hint="eastAsia"/>
          <w:color w:val="auto"/>
          <w:highlight w:val="none"/>
          <w:lang w:eastAsia="zh-CN"/>
        </w:rPr>
        <w:t>一、基本情况</w:t>
      </w:r>
    </w:p>
    <w:tbl>
      <w:tblPr>
        <w:tblStyle w:val="34"/>
        <w:tblW w:w="842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125"/>
        <w:gridCol w:w="98"/>
        <w:gridCol w:w="1239"/>
        <w:gridCol w:w="239"/>
        <w:gridCol w:w="109"/>
        <w:gridCol w:w="741"/>
        <w:gridCol w:w="177"/>
        <w:gridCol w:w="767"/>
        <w:gridCol w:w="562"/>
        <w:gridCol w:w="1123"/>
        <w:gridCol w:w="128"/>
        <w:gridCol w:w="1558"/>
      </w:tblGrid>
      <w:tr w14:paraId="1B3016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9" w:hRule="atLeast"/>
          <w:jc w:val="center"/>
        </w:trPr>
        <w:tc>
          <w:tcPr>
            <w:tcW w:w="1783" w:type="dxa"/>
            <w:gridSpan w:val="4"/>
            <w:vAlign w:val="center"/>
          </w:tcPr>
          <w:p w14:paraId="1334C5EB">
            <w:pPr>
              <w:spacing w:before="48" w:after="48"/>
              <w:jc w:val="center"/>
              <w:rPr>
                <w:rFonts w:ascii="宋体" w:hAnsi="宋体" w:cs="仿宋_GB2312"/>
                <w:b/>
                <w:szCs w:val="21"/>
              </w:rPr>
            </w:pPr>
            <w:r>
              <w:rPr>
                <w:rFonts w:hint="eastAsia" w:ascii="宋体" w:hAnsi="宋体" w:cs="仿宋_GB2312"/>
                <w:b/>
                <w:szCs w:val="21"/>
              </w:rPr>
              <w:t>项目执行部门</w:t>
            </w:r>
          </w:p>
        </w:tc>
        <w:tc>
          <w:tcPr>
            <w:tcW w:w="6643" w:type="dxa"/>
            <w:gridSpan w:val="10"/>
            <w:vAlign w:val="center"/>
          </w:tcPr>
          <w:p w14:paraId="33D31916">
            <w:pPr>
              <w:keepNext/>
              <w:keepLines/>
              <w:spacing w:before="48" w:after="48" w:line="578" w:lineRule="auto"/>
              <w:jc w:val="left"/>
              <w:rPr>
                <w:rFonts w:ascii="宋体" w:hAnsi="宋体" w:cs="仿宋_GB2312"/>
                <w:szCs w:val="21"/>
              </w:rPr>
            </w:pPr>
          </w:p>
        </w:tc>
      </w:tr>
      <w:tr w14:paraId="221373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709" w:type="dxa"/>
            <w:vMerge w:val="restart"/>
            <w:vAlign w:val="center"/>
          </w:tcPr>
          <w:p w14:paraId="74333CA7">
            <w:pPr>
              <w:spacing w:before="48" w:after="48"/>
              <w:jc w:val="center"/>
              <w:rPr>
                <w:rFonts w:ascii="宋体" w:hAnsi="宋体" w:cs="仿宋_GB2312"/>
                <w:szCs w:val="21"/>
              </w:rPr>
            </w:pPr>
            <w:r>
              <w:rPr>
                <w:rFonts w:hint="eastAsia" w:ascii="宋体" w:hAnsi="宋体" w:cs="仿宋_GB2312"/>
                <w:szCs w:val="21"/>
              </w:rPr>
              <w:t>负责人</w:t>
            </w:r>
          </w:p>
        </w:tc>
        <w:tc>
          <w:tcPr>
            <w:tcW w:w="1074" w:type="dxa"/>
            <w:gridSpan w:val="3"/>
            <w:vAlign w:val="center"/>
          </w:tcPr>
          <w:p w14:paraId="5B01D237">
            <w:pPr>
              <w:spacing w:before="48" w:after="48"/>
              <w:jc w:val="center"/>
              <w:rPr>
                <w:rFonts w:ascii="宋体" w:hAnsi="宋体" w:cs="仿宋_GB2312"/>
                <w:szCs w:val="21"/>
              </w:rPr>
            </w:pPr>
            <w:r>
              <w:rPr>
                <w:rFonts w:hint="eastAsia" w:ascii="宋体" w:hAnsi="宋体" w:cs="仿宋_GB2312"/>
                <w:szCs w:val="21"/>
              </w:rPr>
              <w:t>姓名</w:t>
            </w:r>
          </w:p>
        </w:tc>
        <w:tc>
          <w:tcPr>
            <w:tcW w:w="1478" w:type="dxa"/>
            <w:gridSpan w:val="2"/>
            <w:vAlign w:val="center"/>
          </w:tcPr>
          <w:p w14:paraId="497DECCB">
            <w:pPr>
              <w:keepNext/>
              <w:keepLines/>
              <w:spacing w:before="48" w:after="48" w:line="578" w:lineRule="auto"/>
              <w:jc w:val="left"/>
              <w:rPr>
                <w:rFonts w:ascii="宋体" w:hAnsi="宋体" w:cs="仿宋_GB2312"/>
                <w:szCs w:val="21"/>
              </w:rPr>
            </w:pPr>
          </w:p>
        </w:tc>
        <w:tc>
          <w:tcPr>
            <w:tcW w:w="850" w:type="dxa"/>
            <w:gridSpan w:val="2"/>
            <w:vAlign w:val="center"/>
          </w:tcPr>
          <w:p w14:paraId="52A42E40">
            <w:pPr>
              <w:spacing w:before="48" w:after="48"/>
              <w:jc w:val="center"/>
              <w:rPr>
                <w:rFonts w:ascii="宋体" w:hAnsi="宋体" w:cs="仿宋_GB2312"/>
                <w:szCs w:val="21"/>
              </w:rPr>
            </w:pPr>
            <w:r>
              <w:rPr>
                <w:rFonts w:hint="eastAsia" w:ascii="宋体" w:hAnsi="宋体" w:cs="仿宋_GB2312"/>
                <w:szCs w:val="21"/>
              </w:rPr>
              <w:t>职务</w:t>
            </w:r>
          </w:p>
        </w:tc>
        <w:tc>
          <w:tcPr>
            <w:tcW w:w="1506" w:type="dxa"/>
            <w:gridSpan w:val="3"/>
            <w:vAlign w:val="center"/>
          </w:tcPr>
          <w:p w14:paraId="1DB8F4BC">
            <w:pPr>
              <w:keepNext/>
              <w:keepLines/>
              <w:spacing w:before="48" w:after="48" w:line="578" w:lineRule="auto"/>
              <w:jc w:val="left"/>
              <w:rPr>
                <w:rFonts w:ascii="宋体" w:hAnsi="宋体" w:cs="仿宋_GB2312"/>
                <w:szCs w:val="21"/>
              </w:rPr>
            </w:pPr>
          </w:p>
        </w:tc>
        <w:tc>
          <w:tcPr>
            <w:tcW w:w="1251" w:type="dxa"/>
            <w:gridSpan w:val="2"/>
            <w:vAlign w:val="center"/>
          </w:tcPr>
          <w:p w14:paraId="0691BAD6">
            <w:pPr>
              <w:spacing w:before="48" w:after="48"/>
              <w:jc w:val="center"/>
              <w:rPr>
                <w:rFonts w:ascii="宋体" w:hAnsi="宋体" w:cs="仿宋_GB2312"/>
                <w:szCs w:val="21"/>
              </w:rPr>
            </w:pPr>
            <w:r>
              <w:rPr>
                <w:rFonts w:hint="eastAsia" w:ascii="宋体" w:hAnsi="宋体" w:cs="仿宋_GB2312"/>
                <w:szCs w:val="21"/>
              </w:rPr>
              <w:t>职称</w:t>
            </w:r>
          </w:p>
        </w:tc>
        <w:tc>
          <w:tcPr>
            <w:tcW w:w="1558" w:type="dxa"/>
            <w:vAlign w:val="center"/>
          </w:tcPr>
          <w:p w14:paraId="4E1921E7">
            <w:pPr>
              <w:keepNext/>
              <w:keepLines/>
              <w:spacing w:before="48" w:after="48" w:line="578" w:lineRule="auto"/>
              <w:jc w:val="left"/>
              <w:rPr>
                <w:rFonts w:ascii="宋体" w:hAnsi="宋体" w:cs="仿宋_GB2312"/>
                <w:szCs w:val="21"/>
              </w:rPr>
            </w:pPr>
          </w:p>
        </w:tc>
      </w:tr>
      <w:tr w14:paraId="4E8280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09" w:type="dxa"/>
            <w:vMerge w:val="continue"/>
            <w:vAlign w:val="center"/>
          </w:tcPr>
          <w:p w14:paraId="78E7D73F">
            <w:pPr>
              <w:keepNext/>
              <w:keepLines/>
              <w:spacing w:before="48" w:after="48" w:line="578" w:lineRule="auto"/>
              <w:jc w:val="center"/>
              <w:rPr>
                <w:rFonts w:ascii="宋体" w:hAnsi="宋体" w:cs="仿宋_GB2312"/>
                <w:szCs w:val="21"/>
              </w:rPr>
            </w:pPr>
          </w:p>
        </w:tc>
        <w:tc>
          <w:tcPr>
            <w:tcW w:w="1074" w:type="dxa"/>
            <w:gridSpan w:val="3"/>
            <w:vAlign w:val="center"/>
          </w:tcPr>
          <w:p w14:paraId="363D4B6F">
            <w:pPr>
              <w:spacing w:before="48" w:after="48"/>
              <w:jc w:val="center"/>
              <w:rPr>
                <w:rFonts w:ascii="宋体" w:hAnsi="宋体" w:cs="仿宋_GB2312"/>
                <w:szCs w:val="21"/>
              </w:rPr>
            </w:pPr>
            <w:r>
              <w:rPr>
                <w:rFonts w:hint="eastAsia" w:ascii="宋体" w:hAnsi="宋体" w:cs="仿宋_GB2312"/>
                <w:szCs w:val="21"/>
              </w:rPr>
              <w:t>电话</w:t>
            </w:r>
          </w:p>
        </w:tc>
        <w:tc>
          <w:tcPr>
            <w:tcW w:w="1478" w:type="dxa"/>
            <w:gridSpan w:val="2"/>
            <w:vAlign w:val="center"/>
          </w:tcPr>
          <w:p w14:paraId="24499520">
            <w:pPr>
              <w:keepNext/>
              <w:keepLines/>
              <w:spacing w:before="48" w:after="48" w:line="578" w:lineRule="auto"/>
              <w:jc w:val="left"/>
              <w:rPr>
                <w:rFonts w:ascii="宋体" w:hAnsi="宋体" w:cs="仿宋_GB2312"/>
                <w:szCs w:val="21"/>
              </w:rPr>
            </w:pPr>
          </w:p>
        </w:tc>
        <w:tc>
          <w:tcPr>
            <w:tcW w:w="850" w:type="dxa"/>
            <w:gridSpan w:val="2"/>
            <w:vAlign w:val="center"/>
          </w:tcPr>
          <w:p w14:paraId="71A69DE0">
            <w:pPr>
              <w:spacing w:before="48" w:after="48"/>
              <w:jc w:val="center"/>
              <w:rPr>
                <w:rFonts w:ascii="宋体" w:hAnsi="宋体" w:cs="仿宋_GB2312"/>
                <w:szCs w:val="21"/>
              </w:rPr>
            </w:pPr>
            <w:r>
              <w:rPr>
                <w:rFonts w:hint="eastAsia" w:ascii="宋体" w:hAnsi="宋体" w:cs="仿宋_GB2312"/>
                <w:szCs w:val="21"/>
              </w:rPr>
              <w:t>手机</w:t>
            </w:r>
          </w:p>
        </w:tc>
        <w:tc>
          <w:tcPr>
            <w:tcW w:w="1506" w:type="dxa"/>
            <w:gridSpan w:val="3"/>
            <w:vAlign w:val="center"/>
          </w:tcPr>
          <w:p w14:paraId="2C7392C2">
            <w:pPr>
              <w:keepNext/>
              <w:keepLines/>
              <w:spacing w:before="48" w:after="48" w:line="578" w:lineRule="auto"/>
              <w:jc w:val="left"/>
              <w:rPr>
                <w:rFonts w:ascii="宋体" w:hAnsi="宋体" w:cs="仿宋_GB2312"/>
                <w:szCs w:val="21"/>
              </w:rPr>
            </w:pPr>
          </w:p>
        </w:tc>
        <w:tc>
          <w:tcPr>
            <w:tcW w:w="1251" w:type="dxa"/>
            <w:gridSpan w:val="2"/>
            <w:vAlign w:val="center"/>
          </w:tcPr>
          <w:p w14:paraId="49662815">
            <w:pPr>
              <w:spacing w:before="48" w:after="48"/>
              <w:jc w:val="center"/>
              <w:rPr>
                <w:rFonts w:ascii="宋体" w:hAnsi="宋体" w:cs="仿宋_GB2312"/>
                <w:szCs w:val="21"/>
              </w:rPr>
            </w:pPr>
            <w:r>
              <w:rPr>
                <w:rFonts w:hint="eastAsia" w:ascii="宋体" w:hAnsi="宋体" w:cs="仿宋_GB2312"/>
                <w:szCs w:val="21"/>
              </w:rPr>
              <w:t>电子信箱</w:t>
            </w:r>
          </w:p>
        </w:tc>
        <w:tc>
          <w:tcPr>
            <w:tcW w:w="1558" w:type="dxa"/>
            <w:vAlign w:val="center"/>
          </w:tcPr>
          <w:p w14:paraId="03CA964F">
            <w:pPr>
              <w:keepNext/>
              <w:keepLines/>
              <w:spacing w:before="48" w:after="48" w:line="578" w:lineRule="auto"/>
              <w:jc w:val="left"/>
              <w:rPr>
                <w:rFonts w:ascii="宋体" w:hAnsi="宋体" w:cs="仿宋_GB2312"/>
                <w:szCs w:val="21"/>
              </w:rPr>
            </w:pPr>
          </w:p>
        </w:tc>
      </w:tr>
      <w:tr w14:paraId="1ED0AD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46" w:hRule="atLeast"/>
          <w:jc w:val="center"/>
        </w:trPr>
        <w:tc>
          <w:tcPr>
            <w:tcW w:w="709" w:type="dxa"/>
            <w:tcBorders>
              <w:bottom w:val="single" w:color="auto" w:sz="6" w:space="0"/>
            </w:tcBorders>
            <w:vAlign w:val="center"/>
          </w:tcPr>
          <w:p w14:paraId="493220AF">
            <w:pPr>
              <w:spacing w:before="48" w:after="48"/>
              <w:jc w:val="center"/>
              <w:rPr>
                <w:rFonts w:ascii="宋体" w:hAnsi="宋体" w:cs="仿宋_GB2312"/>
                <w:kern w:val="0"/>
                <w:szCs w:val="21"/>
              </w:rPr>
            </w:pPr>
            <w:r>
              <w:rPr>
                <w:rFonts w:hint="eastAsia" w:ascii="宋体" w:hAnsi="宋体" w:cs="仿宋_GB2312"/>
                <w:kern w:val="0"/>
                <w:szCs w:val="21"/>
              </w:rPr>
              <w:t>相关培训经验</w:t>
            </w:r>
          </w:p>
        </w:tc>
        <w:tc>
          <w:tcPr>
            <w:tcW w:w="7717" w:type="dxa"/>
            <w:gridSpan w:val="13"/>
            <w:tcBorders>
              <w:bottom w:val="single" w:color="auto" w:sz="6" w:space="0"/>
            </w:tcBorders>
          </w:tcPr>
          <w:p w14:paraId="67796341">
            <w:pPr>
              <w:spacing w:before="48" w:after="48"/>
              <w:rPr>
                <w:rFonts w:ascii="宋体" w:hAnsi="宋体" w:cs="仿宋_GB2312"/>
                <w:szCs w:val="21"/>
              </w:rPr>
            </w:pPr>
            <w:r>
              <w:rPr>
                <w:rFonts w:hint="eastAsia" w:ascii="宋体" w:hAnsi="宋体" w:cs="仿宋_GB2312"/>
                <w:szCs w:val="21"/>
              </w:rPr>
              <w:t>请列出近两年承担的与申请学科（领域）相关的省级以上培训项目，培训人数、时长、特色与成果、社会影响等。</w:t>
            </w:r>
          </w:p>
          <w:p w14:paraId="7827790B">
            <w:pPr>
              <w:keepNext/>
              <w:keepLines/>
              <w:spacing w:before="48" w:after="48" w:line="416" w:lineRule="auto"/>
              <w:rPr>
                <w:rFonts w:ascii="宋体" w:hAnsi="宋体" w:cs="仿宋_GB2312"/>
                <w:szCs w:val="21"/>
              </w:rPr>
            </w:pPr>
          </w:p>
        </w:tc>
      </w:tr>
      <w:tr w14:paraId="119D55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4"/>
            <w:tcBorders>
              <w:top w:val="single" w:color="auto" w:sz="6" w:space="0"/>
              <w:bottom w:val="single" w:color="auto" w:sz="6" w:space="0"/>
            </w:tcBorders>
            <w:vAlign w:val="center"/>
          </w:tcPr>
          <w:p w14:paraId="6E4E2D86">
            <w:pPr>
              <w:spacing w:before="48" w:after="48"/>
              <w:rPr>
                <w:rFonts w:ascii="宋体" w:hAnsi="宋体" w:cs="仿宋_GB2312"/>
                <w:b/>
                <w:szCs w:val="21"/>
              </w:rPr>
            </w:pPr>
            <w:r>
              <w:rPr>
                <w:rFonts w:hint="eastAsia" w:ascii="宋体" w:hAnsi="宋体" w:cs="仿宋_GB2312"/>
                <w:b/>
                <w:szCs w:val="21"/>
              </w:rPr>
              <w:t>管理团队</w:t>
            </w:r>
          </w:p>
        </w:tc>
      </w:tr>
      <w:tr w14:paraId="5D4F5B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184AABCE">
            <w:pPr>
              <w:spacing w:before="48" w:after="48"/>
              <w:jc w:val="center"/>
              <w:rPr>
                <w:rFonts w:ascii="宋体" w:hAnsi="宋体" w:cs="仿宋_GB2312"/>
                <w:szCs w:val="21"/>
              </w:rPr>
            </w:pPr>
            <w:r>
              <w:rPr>
                <w:rFonts w:hint="eastAsia" w:ascii="宋体" w:hAnsi="宋体" w:cs="仿宋_GB2312"/>
                <w:szCs w:val="21"/>
              </w:rPr>
              <w:t>姓名</w:t>
            </w:r>
          </w:p>
        </w:tc>
        <w:tc>
          <w:tcPr>
            <w:tcW w:w="1685" w:type="dxa"/>
            <w:gridSpan w:val="4"/>
            <w:tcBorders>
              <w:top w:val="single" w:color="auto" w:sz="6" w:space="0"/>
              <w:bottom w:val="single" w:color="auto" w:sz="6" w:space="0"/>
            </w:tcBorders>
            <w:vAlign w:val="center"/>
          </w:tcPr>
          <w:p w14:paraId="288A7B39">
            <w:pPr>
              <w:spacing w:before="48" w:after="48"/>
              <w:jc w:val="center"/>
              <w:rPr>
                <w:rFonts w:ascii="宋体" w:hAnsi="宋体" w:cs="仿宋_GB2312"/>
                <w:szCs w:val="21"/>
              </w:rPr>
            </w:pPr>
            <w:r>
              <w:rPr>
                <w:rFonts w:hint="eastAsia" w:ascii="宋体" w:hAnsi="宋体" w:cs="仿宋_GB2312"/>
                <w:szCs w:val="21"/>
              </w:rPr>
              <w:t>职务</w:t>
            </w:r>
          </w:p>
        </w:tc>
        <w:tc>
          <w:tcPr>
            <w:tcW w:w="1685" w:type="dxa"/>
            <w:gridSpan w:val="3"/>
            <w:tcBorders>
              <w:top w:val="single" w:color="auto" w:sz="6" w:space="0"/>
              <w:bottom w:val="single" w:color="auto" w:sz="6" w:space="0"/>
            </w:tcBorders>
            <w:vAlign w:val="center"/>
          </w:tcPr>
          <w:p w14:paraId="0C44D87C">
            <w:pPr>
              <w:spacing w:before="48" w:after="48"/>
              <w:jc w:val="center"/>
              <w:rPr>
                <w:rFonts w:ascii="宋体" w:hAnsi="宋体" w:cs="仿宋_GB2312"/>
                <w:szCs w:val="21"/>
              </w:rPr>
            </w:pPr>
            <w:r>
              <w:rPr>
                <w:rFonts w:hint="eastAsia" w:ascii="宋体" w:hAnsi="宋体" w:cs="仿宋_GB2312"/>
                <w:szCs w:val="21"/>
              </w:rPr>
              <w:t>专业</w:t>
            </w:r>
          </w:p>
        </w:tc>
        <w:tc>
          <w:tcPr>
            <w:tcW w:w="1685" w:type="dxa"/>
            <w:gridSpan w:val="2"/>
            <w:tcBorders>
              <w:top w:val="single" w:color="auto" w:sz="6" w:space="0"/>
              <w:bottom w:val="single" w:color="auto" w:sz="6" w:space="0"/>
            </w:tcBorders>
            <w:vAlign w:val="center"/>
          </w:tcPr>
          <w:p w14:paraId="45541FCC">
            <w:pPr>
              <w:spacing w:before="48" w:after="48"/>
              <w:jc w:val="center"/>
              <w:rPr>
                <w:rFonts w:ascii="宋体" w:hAnsi="宋体" w:cs="仿宋_GB2312"/>
                <w:szCs w:val="21"/>
              </w:rPr>
            </w:pPr>
            <w:r>
              <w:rPr>
                <w:rFonts w:hint="eastAsia" w:ascii="宋体" w:hAnsi="宋体" w:cs="仿宋_GB2312"/>
                <w:szCs w:val="21"/>
              </w:rPr>
              <w:t>学历</w:t>
            </w:r>
          </w:p>
        </w:tc>
        <w:tc>
          <w:tcPr>
            <w:tcW w:w="1686" w:type="dxa"/>
            <w:gridSpan w:val="2"/>
            <w:tcBorders>
              <w:top w:val="single" w:color="auto" w:sz="6" w:space="0"/>
              <w:bottom w:val="single" w:color="auto" w:sz="6" w:space="0"/>
            </w:tcBorders>
            <w:vAlign w:val="center"/>
          </w:tcPr>
          <w:p w14:paraId="15ECD29E">
            <w:pPr>
              <w:spacing w:before="48" w:after="48"/>
              <w:jc w:val="center"/>
              <w:rPr>
                <w:rFonts w:ascii="宋体" w:hAnsi="宋体" w:cs="仿宋_GB2312"/>
                <w:szCs w:val="21"/>
              </w:rPr>
            </w:pPr>
            <w:r>
              <w:rPr>
                <w:rFonts w:hint="eastAsia" w:ascii="宋体" w:hAnsi="宋体" w:cs="仿宋_GB2312"/>
                <w:szCs w:val="21"/>
              </w:rPr>
              <w:t>负责事务</w:t>
            </w:r>
          </w:p>
        </w:tc>
      </w:tr>
      <w:tr w14:paraId="0F8109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3736FF9E">
            <w:pPr>
              <w:keepNext/>
              <w:keepLines/>
              <w:spacing w:before="48" w:after="48" w:line="578" w:lineRule="auto"/>
              <w:jc w:val="left"/>
              <w:rPr>
                <w:rFonts w:ascii="宋体" w:hAnsi="宋体" w:cs="仿宋_GB2312"/>
                <w:b/>
                <w:szCs w:val="21"/>
              </w:rPr>
            </w:pPr>
          </w:p>
        </w:tc>
        <w:tc>
          <w:tcPr>
            <w:tcW w:w="1685" w:type="dxa"/>
            <w:gridSpan w:val="4"/>
            <w:tcBorders>
              <w:top w:val="single" w:color="auto" w:sz="6" w:space="0"/>
              <w:bottom w:val="single" w:color="auto" w:sz="6" w:space="0"/>
            </w:tcBorders>
            <w:vAlign w:val="center"/>
          </w:tcPr>
          <w:p w14:paraId="792D3A8C">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39B75458">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51AA9CBA">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4F07725C">
            <w:pPr>
              <w:keepNext/>
              <w:keepLines/>
              <w:spacing w:before="48" w:after="48" w:line="578" w:lineRule="auto"/>
              <w:jc w:val="left"/>
              <w:rPr>
                <w:rFonts w:ascii="宋体" w:hAnsi="宋体" w:cs="仿宋_GB2312"/>
                <w:b/>
                <w:szCs w:val="21"/>
              </w:rPr>
            </w:pPr>
          </w:p>
        </w:tc>
      </w:tr>
      <w:tr w14:paraId="296490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64052FA5">
            <w:pPr>
              <w:keepNext/>
              <w:keepLines/>
              <w:spacing w:before="48" w:after="48" w:line="578" w:lineRule="auto"/>
              <w:jc w:val="left"/>
              <w:rPr>
                <w:rFonts w:ascii="宋体" w:hAnsi="宋体" w:cs="仿宋_GB2312"/>
                <w:b/>
                <w:szCs w:val="21"/>
              </w:rPr>
            </w:pPr>
          </w:p>
        </w:tc>
        <w:tc>
          <w:tcPr>
            <w:tcW w:w="1685" w:type="dxa"/>
            <w:gridSpan w:val="4"/>
            <w:tcBorders>
              <w:top w:val="single" w:color="auto" w:sz="6" w:space="0"/>
              <w:bottom w:val="single" w:color="auto" w:sz="6" w:space="0"/>
            </w:tcBorders>
            <w:vAlign w:val="center"/>
          </w:tcPr>
          <w:p w14:paraId="40DB9401">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6E5FC932">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1FB234F8">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66B455E4">
            <w:pPr>
              <w:keepNext/>
              <w:keepLines/>
              <w:spacing w:before="48" w:after="48" w:line="578" w:lineRule="auto"/>
              <w:jc w:val="left"/>
              <w:rPr>
                <w:rFonts w:ascii="宋体" w:hAnsi="宋体" w:cs="仿宋_GB2312"/>
                <w:b/>
                <w:szCs w:val="21"/>
              </w:rPr>
            </w:pPr>
          </w:p>
        </w:tc>
      </w:tr>
      <w:tr w14:paraId="4560AF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7C78E9E8">
            <w:pPr>
              <w:spacing w:before="48" w:after="48"/>
              <w:jc w:val="center"/>
              <w:rPr>
                <w:rFonts w:ascii="宋体" w:hAnsi="宋体" w:cs="仿宋_GB2312"/>
                <w:b/>
                <w:szCs w:val="21"/>
              </w:rPr>
            </w:pPr>
            <w:r>
              <w:rPr>
                <w:rFonts w:hint="eastAsia" w:ascii="宋体" w:hAnsi="宋体" w:cs="仿宋_GB2312"/>
                <w:b/>
                <w:szCs w:val="21"/>
              </w:rPr>
              <w:t>……</w:t>
            </w:r>
          </w:p>
        </w:tc>
        <w:tc>
          <w:tcPr>
            <w:tcW w:w="1685" w:type="dxa"/>
            <w:gridSpan w:val="4"/>
            <w:tcBorders>
              <w:top w:val="single" w:color="auto" w:sz="6" w:space="0"/>
              <w:bottom w:val="single" w:color="auto" w:sz="6" w:space="0"/>
            </w:tcBorders>
            <w:vAlign w:val="center"/>
          </w:tcPr>
          <w:p w14:paraId="0397D12B">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0F4A1400">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29661674">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69A11E06">
            <w:pPr>
              <w:keepNext/>
              <w:keepLines/>
              <w:spacing w:before="48" w:after="48" w:line="578" w:lineRule="auto"/>
              <w:jc w:val="left"/>
              <w:rPr>
                <w:rFonts w:ascii="宋体" w:hAnsi="宋体" w:cs="仿宋_GB2312"/>
                <w:b/>
                <w:szCs w:val="21"/>
              </w:rPr>
            </w:pPr>
          </w:p>
        </w:tc>
      </w:tr>
      <w:tr w14:paraId="40D21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4"/>
            <w:tcBorders>
              <w:top w:val="single" w:color="auto" w:sz="6" w:space="0"/>
              <w:bottom w:val="single" w:color="auto" w:sz="6" w:space="0"/>
            </w:tcBorders>
            <w:vAlign w:val="center"/>
          </w:tcPr>
          <w:p w14:paraId="15022CC0">
            <w:pPr>
              <w:spacing w:before="48" w:after="48"/>
              <w:jc w:val="left"/>
              <w:rPr>
                <w:rFonts w:ascii="宋体" w:hAnsi="宋体" w:cs="仿宋_GB2312"/>
                <w:b/>
                <w:szCs w:val="21"/>
              </w:rPr>
            </w:pPr>
            <w:r>
              <w:rPr>
                <w:rFonts w:hint="eastAsia" w:ascii="宋体" w:hAnsi="宋体" w:cs="仿宋_GB2312"/>
                <w:b/>
                <w:szCs w:val="21"/>
              </w:rPr>
              <w:t>首席专家</w:t>
            </w:r>
          </w:p>
        </w:tc>
      </w:tr>
      <w:tr w14:paraId="32A936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tcBorders>
              <w:top w:val="single" w:color="auto" w:sz="6" w:space="0"/>
            </w:tcBorders>
            <w:vAlign w:val="center"/>
          </w:tcPr>
          <w:p w14:paraId="26E50A1A">
            <w:pPr>
              <w:spacing w:before="48" w:after="48"/>
              <w:jc w:val="center"/>
              <w:rPr>
                <w:rFonts w:ascii="宋体" w:hAnsi="宋体" w:cs="仿宋_GB2312"/>
                <w:szCs w:val="21"/>
              </w:rPr>
            </w:pPr>
            <w:r>
              <w:rPr>
                <w:rFonts w:hint="eastAsia" w:ascii="宋体" w:hAnsi="宋体" w:cs="仿宋_GB2312"/>
                <w:szCs w:val="21"/>
              </w:rPr>
              <w:t>姓名</w:t>
            </w:r>
          </w:p>
        </w:tc>
        <w:tc>
          <w:tcPr>
            <w:tcW w:w="1462" w:type="dxa"/>
            <w:gridSpan w:val="3"/>
            <w:tcBorders>
              <w:top w:val="single" w:color="auto" w:sz="6" w:space="0"/>
            </w:tcBorders>
            <w:vAlign w:val="center"/>
          </w:tcPr>
          <w:p w14:paraId="6A3CFA0B">
            <w:pPr>
              <w:keepNext/>
              <w:keepLines/>
              <w:spacing w:before="48" w:after="48" w:line="578" w:lineRule="auto"/>
              <w:jc w:val="left"/>
              <w:rPr>
                <w:rFonts w:ascii="宋体" w:hAnsi="宋体" w:cs="仿宋_GB2312"/>
                <w:szCs w:val="21"/>
              </w:rPr>
            </w:pPr>
          </w:p>
        </w:tc>
        <w:tc>
          <w:tcPr>
            <w:tcW w:w="1266" w:type="dxa"/>
            <w:gridSpan w:val="4"/>
            <w:tcBorders>
              <w:top w:val="single" w:color="auto" w:sz="6" w:space="0"/>
            </w:tcBorders>
            <w:vAlign w:val="center"/>
          </w:tcPr>
          <w:p w14:paraId="27E896F2">
            <w:pPr>
              <w:spacing w:before="48" w:after="48"/>
              <w:jc w:val="center"/>
              <w:rPr>
                <w:rFonts w:ascii="宋体" w:hAnsi="宋体" w:cs="仿宋_GB2312"/>
                <w:szCs w:val="21"/>
              </w:rPr>
            </w:pPr>
            <w:r>
              <w:rPr>
                <w:rFonts w:hint="eastAsia" w:ascii="宋体" w:hAnsi="宋体" w:cs="仿宋_GB2312"/>
                <w:szCs w:val="21"/>
              </w:rPr>
              <w:t>职务</w:t>
            </w:r>
          </w:p>
        </w:tc>
        <w:tc>
          <w:tcPr>
            <w:tcW w:w="1329" w:type="dxa"/>
            <w:gridSpan w:val="2"/>
            <w:tcBorders>
              <w:top w:val="single" w:color="auto" w:sz="6" w:space="0"/>
            </w:tcBorders>
            <w:vAlign w:val="center"/>
          </w:tcPr>
          <w:p w14:paraId="2AB962B4">
            <w:pPr>
              <w:keepNext/>
              <w:keepLines/>
              <w:spacing w:before="48" w:after="48" w:line="578" w:lineRule="auto"/>
              <w:jc w:val="left"/>
              <w:rPr>
                <w:rFonts w:ascii="宋体" w:hAnsi="宋体" w:cs="仿宋_GB2312"/>
                <w:szCs w:val="21"/>
              </w:rPr>
            </w:pPr>
          </w:p>
        </w:tc>
        <w:tc>
          <w:tcPr>
            <w:tcW w:w="1123" w:type="dxa"/>
            <w:tcBorders>
              <w:top w:val="single" w:color="auto" w:sz="6" w:space="0"/>
            </w:tcBorders>
            <w:vAlign w:val="center"/>
          </w:tcPr>
          <w:p w14:paraId="6AF5E7E8">
            <w:pPr>
              <w:spacing w:before="48" w:after="48"/>
              <w:jc w:val="center"/>
              <w:rPr>
                <w:rFonts w:ascii="宋体" w:hAnsi="宋体" w:cs="仿宋_GB2312"/>
                <w:szCs w:val="21"/>
              </w:rPr>
            </w:pPr>
            <w:r>
              <w:rPr>
                <w:rFonts w:hint="eastAsia" w:ascii="宋体" w:hAnsi="宋体" w:cs="仿宋_GB2312"/>
                <w:szCs w:val="21"/>
              </w:rPr>
              <w:t>职称</w:t>
            </w:r>
          </w:p>
        </w:tc>
        <w:tc>
          <w:tcPr>
            <w:tcW w:w="1686" w:type="dxa"/>
            <w:gridSpan w:val="2"/>
            <w:tcBorders>
              <w:top w:val="single" w:color="auto" w:sz="6" w:space="0"/>
            </w:tcBorders>
            <w:vAlign w:val="center"/>
          </w:tcPr>
          <w:p w14:paraId="7E458DBF">
            <w:pPr>
              <w:keepNext/>
              <w:keepLines/>
              <w:spacing w:before="48" w:after="48" w:line="578" w:lineRule="auto"/>
              <w:jc w:val="left"/>
              <w:rPr>
                <w:rFonts w:ascii="宋体" w:hAnsi="宋体" w:cs="仿宋_GB2312"/>
                <w:szCs w:val="21"/>
              </w:rPr>
            </w:pPr>
          </w:p>
        </w:tc>
      </w:tr>
      <w:tr w14:paraId="7007B0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70E73000">
            <w:pPr>
              <w:spacing w:before="48" w:after="48"/>
              <w:jc w:val="center"/>
              <w:rPr>
                <w:rFonts w:ascii="宋体" w:hAnsi="宋体" w:cs="仿宋_GB2312"/>
                <w:szCs w:val="21"/>
              </w:rPr>
            </w:pPr>
            <w:r>
              <w:rPr>
                <w:rFonts w:hint="eastAsia" w:ascii="宋体" w:hAnsi="宋体" w:cs="仿宋_GB2312"/>
                <w:szCs w:val="21"/>
              </w:rPr>
              <w:t>单位</w:t>
            </w:r>
          </w:p>
        </w:tc>
        <w:tc>
          <w:tcPr>
            <w:tcW w:w="1462" w:type="dxa"/>
            <w:gridSpan w:val="3"/>
            <w:vAlign w:val="center"/>
          </w:tcPr>
          <w:p w14:paraId="7BCA91E3">
            <w:pPr>
              <w:keepNext/>
              <w:keepLines/>
              <w:spacing w:before="48" w:after="48" w:line="578" w:lineRule="auto"/>
              <w:jc w:val="left"/>
              <w:rPr>
                <w:rFonts w:ascii="宋体" w:hAnsi="宋体" w:cs="仿宋_GB2312"/>
                <w:szCs w:val="21"/>
              </w:rPr>
            </w:pPr>
          </w:p>
        </w:tc>
        <w:tc>
          <w:tcPr>
            <w:tcW w:w="1266" w:type="dxa"/>
            <w:gridSpan w:val="4"/>
            <w:vAlign w:val="center"/>
          </w:tcPr>
          <w:p w14:paraId="0B6D08F6">
            <w:pPr>
              <w:spacing w:before="48" w:after="48"/>
              <w:jc w:val="center"/>
              <w:rPr>
                <w:rFonts w:ascii="宋体" w:hAnsi="宋体" w:cs="仿宋_GB2312"/>
                <w:szCs w:val="21"/>
              </w:rPr>
            </w:pPr>
            <w:r>
              <w:rPr>
                <w:rFonts w:hint="eastAsia" w:ascii="宋体" w:hAnsi="宋体" w:cs="仿宋_GB2312"/>
                <w:szCs w:val="21"/>
              </w:rPr>
              <w:t>研究专长</w:t>
            </w:r>
          </w:p>
        </w:tc>
        <w:tc>
          <w:tcPr>
            <w:tcW w:w="4138" w:type="dxa"/>
            <w:gridSpan w:val="5"/>
            <w:vAlign w:val="center"/>
          </w:tcPr>
          <w:p w14:paraId="048DD8AB">
            <w:pPr>
              <w:keepNext/>
              <w:keepLines/>
              <w:spacing w:before="48" w:after="48" w:line="578" w:lineRule="auto"/>
              <w:jc w:val="left"/>
              <w:rPr>
                <w:rFonts w:ascii="宋体" w:hAnsi="宋体" w:cs="仿宋_GB2312"/>
                <w:szCs w:val="21"/>
              </w:rPr>
            </w:pPr>
          </w:p>
        </w:tc>
      </w:tr>
      <w:tr w14:paraId="6206AA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007B6207">
            <w:pPr>
              <w:spacing w:before="48" w:after="48"/>
              <w:jc w:val="center"/>
              <w:rPr>
                <w:rFonts w:ascii="宋体" w:hAnsi="宋体" w:cs="仿宋_GB2312"/>
                <w:szCs w:val="21"/>
              </w:rPr>
            </w:pPr>
            <w:r>
              <w:rPr>
                <w:rFonts w:hint="eastAsia" w:ascii="宋体" w:hAnsi="宋体" w:cs="仿宋_GB2312"/>
                <w:szCs w:val="21"/>
              </w:rPr>
              <w:t>电话</w:t>
            </w:r>
          </w:p>
        </w:tc>
        <w:tc>
          <w:tcPr>
            <w:tcW w:w="1462" w:type="dxa"/>
            <w:gridSpan w:val="3"/>
            <w:vAlign w:val="center"/>
          </w:tcPr>
          <w:p w14:paraId="2DE8A442">
            <w:pPr>
              <w:keepNext/>
              <w:keepLines/>
              <w:spacing w:before="48" w:after="48" w:line="578" w:lineRule="auto"/>
              <w:jc w:val="left"/>
              <w:rPr>
                <w:rFonts w:ascii="宋体" w:hAnsi="宋体" w:cs="仿宋_GB2312"/>
                <w:szCs w:val="21"/>
              </w:rPr>
            </w:pPr>
          </w:p>
        </w:tc>
        <w:tc>
          <w:tcPr>
            <w:tcW w:w="1266" w:type="dxa"/>
            <w:gridSpan w:val="4"/>
            <w:vAlign w:val="center"/>
          </w:tcPr>
          <w:p w14:paraId="57E01485">
            <w:pPr>
              <w:spacing w:before="48" w:after="48"/>
              <w:jc w:val="center"/>
              <w:rPr>
                <w:rFonts w:ascii="宋体" w:hAnsi="宋体" w:cs="仿宋_GB2312"/>
                <w:szCs w:val="21"/>
              </w:rPr>
            </w:pPr>
            <w:r>
              <w:rPr>
                <w:rFonts w:hint="eastAsia" w:ascii="宋体" w:hAnsi="宋体" w:cs="仿宋_GB2312"/>
                <w:szCs w:val="21"/>
              </w:rPr>
              <w:t>手机</w:t>
            </w:r>
          </w:p>
        </w:tc>
        <w:tc>
          <w:tcPr>
            <w:tcW w:w="1329" w:type="dxa"/>
            <w:gridSpan w:val="2"/>
            <w:vAlign w:val="center"/>
          </w:tcPr>
          <w:p w14:paraId="1A2627DC">
            <w:pPr>
              <w:keepNext/>
              <w:keepLines/>
              <w:spacing w:before="48" w:after="48" w:line="578" w:lineRule="auto"/>
              <w:jc w:val="left"/>
              <w:rPr>
                <w:rFonts w:ascii="宋体" w:hAnsi="宋体" w:cs="仿宋_GB2312"/>
                <w:szCs w:val="21"/>
              </w:rPr>
            </w:pPr>
          </w:p>
        </w:tc>
        <w:tc>
          <w:tcPr>
            <w:tcW w:w="1123" w:type="dxa"/>
            <w:vAlign w:val="center"/>
          </w:tcPr>
          <w:p w14:paraId="55AD0E59">
            <w:pPr>
              <w:spacing w:before="48" w:after="48"/>
              <w:jc w:val="center"/>
              <w:rPr>
                <w:rFonts w:ascii="宋体" w:hAnsi="宋体" w:cs="仿宋_GB2312"/>
                <w:szCs w:val="21"/>
              </w:rPr>
            </w:pPr>
            <w:r>
              <w:rPr>
                <w:rFonts w:hint="eastAsia" w:ascii="宋体" w:hAnsi="宋体" w:cs="仿宋_GB2312"/>
                <w:szCs w:val="21"/>
              </w:rPr>
              <w:t>电子</w:t>
            </w:r>
          </w:p>
          <w:p w14:paraId="7306FF14">
            <w:pPr>
              <w:spacing w:before="48" w:after="48"/>
              <w:jc w:val="center"/>
              <w:rPr>
                <w:rFonts w:ascii="宋体" w:hAnsi="宋体" w:cs="仿宋_GB2312"/>
                <w:szCs w:val="21"/>
              </w:rPr>
            </w:pPr>
            <w:r>
              <w:rPr>
                <w:rFonts w:hint="eastAsia" w:ascii="宋体" w:hAnsi="宋体" w:cs="仿宋_GB2312"/>
                <w:szCs w:val="21"/>
              </w:rPr>
              <w:t>邮件</w:t>
            </w:r>
          </w:p>
        </w:tc>
        <w:tc>
          <w:tcPr>
            <w:tcW w:w="1686" w:type="dxa"/>
            <w:gridSpan w:val="2"/>
            <w:vAlign w:val="center"/>
          </w:tcPr>
          <w:p w14:paraId="3DE0C3DC">
            <w:pPr>
              <w:keepNext/>
              <w:keepLines/>
              <w:spacing w:before="48" w:after="48" w:line="578" w:lineRule="auto"/>
              <w:jc w:val="left"/>
              <w:rPr>
                <w:rFonts w:ascii="宋体" w:hAnsi="宋体" w:cs="仿宋_GB2312"/>
                <w:szCs w:val="21"/>
              </w:rPr>
            </w:pPr>
          </w:p>
        </w:tc>
      </w:tr>
      <w:tr w14:paraId="7AE3F3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24EA0685">
            <w:pPr>
              <w:spacing w:before="48" w:after="48"/>
              <w:jc w:val="center"/>
              <w:rPr>
                <w:rFonts w:ascii="宋体" w:hAnsi="宋体" w:cs="仿宋_GB2312"/>
                <w:szCs w:val="21"/>
              </w:rPr>
            </w:pPr>
            <w:r>
              <w:rPr>
                <w:rFonts w:hint="eastAsia" w:ascii="宋体" w:hAnsi="宋体" w:cs="仿宋_GB2312"/>
                <w:szCs w:val="21"/>
              </w:rPr>
              <w:t>培训专长</w:t>
            </w:r>
          </w:p>
        </w:tc>
        <w:tc>
          <w:tcPr>
            <w:tcW w:w="6866" w:type="dxa"/>
            <w:gridSpan w:val="12"/>
            <w:vAlign w:val="center"/>
          </w:tcPr>
          <w:p w14:paraId="5D1DF79F">
            <w:pPr>
              <w:keepNext/>
              <w:keepLines/>
              <w:spacing w:before="48" w:after="48" w:line="578" w:lineRule="auto"/>
              <w:jc w:val="left"/>
              <w:rPr>
                <w:rFonts w:ascii="宋体" w:hAnsi="宋体" w:cs="仿宋_GB2312"/>
                <w:szCs w:val="21"/>
              </w:rPr>
            </w:pPr>
          </w:p>
        </w:tc>
      </w:tr>
    </w:tbl>
    <w:p w14:paraId="3CF418BC">
      <w:pPr>
        <w:widowControl/>
        <w:ind w:firstLine="562" w:firstLineChars="200"/>
        <w:jc w:val="left"/>
        <w:rPr>
          <w:rFonts w:hint="eastAsia" w:ascii="宋体" w:hAnsi="宋体" w:cs="宋体"/>
          <w:b/>
          <w:bCs/>
          <w:sz w:val="28"/>
          <w:szCs w:val="28"/>
        </w:rPr>
      </w:pPr>
    </w:p>
    <w:p w14:paraId="1A702702">
      <w:pPr>
        <w:widowControl/>
        <w:ind w:firstLine="562" w:firstLineChars="200"/>
        <w:jc w:val="left"/>
        <w:rPr>
          <w:rFonts w:hint="eastAsia" w:ascii="宋体" w:hAnsi="宋体" w:cs="宋体"/>
          <w:b/>
          <w:bCs/>
          <w:sz w:val="28"/>
          <w:szCs w:val="28"/>
        </w:rPr>
      </w:pPr>
    </w:p>
    <w:p w14:paraId="63A9C2D8">
      <w:pPr>
        <w:widowControl/>
        <w:ind w:firstLine="562" w:firstLineChars="200"/>
        <w:jc w:val="left"/>
        <w:rPr>
          <w:rFonts w:ascii="宋体" w:hAnsi="宋体" w:cs="宋体"/>
          <w:b/>
          <w:bCs/>
          <w:sz w:val="28"/>
          <w:szCs w:val="28"/>
        </w:rPr>
      </w:pPr>
      <w:r>
        <w:rPr>
          <w:rFonts w:hint="eastAsia" w:ascii="宋体" w:hAnsi="宋体" w:cs="宋体"/>
          <w:b/>
          <w:bCs/>
          <w:sz w:val="28"/>
          <w:szCs w:val="28"/>
        </w:rPr>
        <w:t>二、培训实施方案</w:t>
      </w:r>
    </w:p>
    <w:tbl>
      <w:tblPr>
        <w:tblStyle w:val="34"/>
        <w:tblW w:w="8602" w:type="dxa"/>
        <w:tblInd w:w="5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893"/>
      </w:tblGrid>
      <w:tr w14:paraId="49D45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7" w:hRule="atLeast"/>
        </w:trPr>
        <w:tc>
          <w:tcPr>
            <w:tcW w:w="709" w:type="dxa"/>
            <w:vAlign w:val="center"/>
          </w:tcPr>
          <w:p w14:paraId="147E8CE7">
            <w:pPr>
              <w:spacing w:before="48" w:after="48" w:line="440" w:lineRule="exact"/>
              <w:jc w:val="center"/>
              <w:rPr>
                <w:rFonts w:ascii="宋体" w:hAnsi="宋体" w:cs="宋体"/>
                <w:b/>
                <w:szCs w:val="21"/>
              </w:rPr>
            </w:pPr>
            <w:r>
              <w:rPr>
                <w:rFonts w:hint="eastAsia" w:ascii="宋体" w:hAnsi="宋体" w:cs="宋体"/>
                <w:b/>
                <w:szCs w:val="21"/>
              </w:rPr>
              <w:t>目标定位</w:t>
            </w:r>
          </w:p>
        </w:tc>
        <w:tc>
          <w:tcPr>
            <w:tcW w:w="7893" w:type="dxa"/>
          </w:tcPr>
          <w:p w14:paraId="4FB6B81B">
            <w:pPr>
              <w:spacing w:before="48" w:after="48" w:line="440" w:lineRule="exact"/>
              <w:rPr>
                <w:rFonts w:ascii="宋体" w:hAnsi="宋体" w:cs="宋体"/>
                <w:szCs w:val="21"/>
              </w:rPr>
            </w:pPr>
            <w:r>
              <w:rPr>
                <w:rFonts w:hint="eastAsia" w:ascii="宋体" w:hAnsi="宋体" w:cs="宋体"/>
                <w:szCs w:val="21"/>
              </w:rPr>
              <w:t>阐述本项目能够达到的具体目标和定位。</w:t>
            </w:r>
          </w:p>
        </w:tc>
      </w:tr>
      <w:tr w14:paraId="6FB88C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4" w:hRule="atLeast"/>
        </w:trPr>
        <w:tc>
          <w:tcPr>
            <w:tcW w:w="709" w:type="dxa"/>
            <w:vAlign w:val="center"/>
          </w:tcPr>
          <w:p w14:paraId="56BF374A">
            <w:pPr>
              <w:spacing w:before="48" w:after="48" w:line="440" w:lineRule="exact"/>
              <w:jc w:val="center"/>
              <w:rPr>
                <w:rFonts w:ascii="宋体" w:hAnsi="宋体" w:cs="宋体"/>
                <w:b/>
                <w:szCs w:val="21"/>
              </w:rPr>
            </w:pPr>
            <w:r>
              <w:rPr>
                <w:rFonts w:hint="eastAsia" w:ascii="宋体" w:hAnsi="宋体" w:cs="宋体"/>
                <w:b/>
                <w:szCs w:val="21"/>
              </w:rPr>
              <w:t>对象及需求分析</w:t>
            </w:r>
          </w:p>
        </w:tc>
        <w:tc>
          <w:tcPr>
            <w:tcW w:w="7893" w:type="dxa"/>
          </w:tcPr>
          <w:p w14:paraId="0EA9F3DF">
            <w:pPr>
              <w:spacing w:before="48" w:after="48" w:line="440" w:lineRule="exact"/>
              <w:rPr>
                <w:rFonts w:ascii="宋体" w:hAnsi="宋体" w:cs="宋体"/>
                <w:szCs w:val="21"/>
              </w:rPr>
            </w:pPr>
            <w:r>
              <w:rPr>
                <w:rFonts w:hint="eastAsia" w:ascii="宋体" w:hAnsi="宋体" w:cs="宋体"/>
                <w:szCs w:val="21"/>
              </w:rPr>
              <w:t>请根据本项目的目标定位及学员需求调查情况，分析培训对象的需求。</w:t>
            </w:r>
          </w:p>
        </w:tc>
      </w:tr>
      <w:tr w14:paraId="03F8E8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0" w:hRule="atLeast"/>
        </w:trPr>
        <w:tc>
          <w:tcPr>
            <w:tcW w:w="709" w:type="dxa"/>
            <w:vAlign w:val="center"/>
          </w:tcPr>
          <w:p w14:paraId="1EB092F6">
            <w:pPr>
              <w:spacing w:before="48" w:after="48" w:line="440" w:lineRule="exact"/>
              <w:jc w:val="center"/>
              <w:rPr>
                <w:rFonts w:ascii="宋体" w:hAnsi="宋体" w:cs="宋体"/>
                <w:b/>
                <w:szCs w:val="21"/>
              </w:rPr>
            </w:pPr>
            <w:r>
              <w:rPr>
                <w:rFonts w:hint="eastAsia" w:ascii="宋体" w:hAnsi="宋体" w:cs="宋体"/>
                <w:b/>
                <w:szCs w:val="21"/>
              </w:rPr>
              <w:t>内容设计</w:t>
            </w:r>
          </w:p>
        </w:tc>
        <w:tc>
          <w:tcPr>
            <w:tcW w:w="7893" w:type="dxa"/>
          </w:tcPr>
          <w:p w14:paraId="1964739E">
            <w:pPr>
              <w:spacing w:before="62" w:after="62" w:line="440" w:lineRule="exact"/>
              <w:rPr>
                <w:rFonts w:ascii="宋体" w:hAnsi="宋体" w:cs="宋体"/>
                <w:szCs w:val="21"/>
              </w:rPr>
            </w:pPr>
            <w:r>
              <w:rPr>
                <w:rFonts w:hint="eastAsia" w:ascii="宋体" w:hAnsi="宋体" w:cs="宋体"/>
                <w:szCs w:val="21"/>
              </w:rPr>
              <w:t>请用图示化方式说明培训内容设计及模块设置之间的逻辑关系。</w:t>
            </w:r>
          </w:p>
          <w:p w14:paraId="1988FE50">
            <w:pPr>
              <w:spacing w:before="48" w:after="48" w:line="440" w:lineRule="exact"/>
              <w:rPr>
                <w:rFonts w:ascii="宋体" w:hAnsi="宋体" w:cs="宋体"/>
                <w:szCs w:val="21"/>
              </w:rPr>
            </w:pPr>
          </w:p>
        </w:tc>
      </w:tr>
    </w:tbl>
    <w:p w14:paraId="2DE203B9">
      <w:pPr>
        <w:spacing w:line="520" w:lineRule="exact"/>
        <w:rPr>
          <w:rFonts w:ascii="宋体" w:hAnsi="宋体" w:cs="宋体"/>
          <w:szCs w:val="21"/>
        </w:rPr>
      </w:pPr>
      <w:r>
        <w:rPr>
          <w:rFonts w:hint="eastAsia" w:ascii="宋体" w:hAnsi="宋体" w:cs="宋体"/>
          <w:b/>
          <w:szCs w:val="21"/>
        </w:rPr>
        <w:t>课程资源</w:t>
      </w:r>
      <w:r>
        <w:rPr>
          <w:rFonts w:hint="eastAsia" w:ascii="宋体" w:hAnsi="宋体" w:cs="宋体"/>
          <w:szCs w:val="21"/>
        </w:rPr>
        <w:t xml:space="preserve">：实践性课程所占比例__________%    </w:t>
      </w:r>
    </w:p>
    <w:p w14:paraId="53B81498">
      <w:pPr>
        <w:spacing w:line="520" w:lineRule="exact"/>
        <w:rPr>
          <w:rFonts w:ascii="宋体" w:hAnsi="宋体" w:cs="宋体"/>
          <w:szCs w:val="21"/>
        </w:rPr>
      </w:pPr>
      <w:r>
        <w:rPr>
          <w:rFonts w:hint="eastAsia" w:ascii="宋体" w:hAnsi="宋体" w:cs="宋体"/>
          <w:szCs w:val="21"/>
        </w:rPr>
        <w:t>授课教师中一线教师、教研员所占比例___________%</w:t>
      </w:r>
    </w:p>
    <w:tbl>
      <w:tblPr>
        <w:tblStyle w:val="34"/>
        <w:tblW w:w="89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3"/>
        <w:gridCol w:w="126"/>
        <w:gridCol w:w="583"/>
        <w:gridCol w:w="851"/>
        <w:gridCol w:w="708"/>
        <w:gridCol w:w="709"/>
        <w:gridCol w:w="903"/>
        <w:gridCol w:w="1115"/>
        <w:gridCol w:w="850"/>
        <w:gridCol w:w="709"/>
        <w:gridCol w:w="545"/>
        <w:gridCol w:w="1227"/>
      </w:tblGrid>
      <w:tr w14:paraId="1EAE5E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583" w:type="dxa"/>
            <w:vMerge w:val="restart"/>
            <w:vAlign w:val="center"/>
          </w:tcPr>
          <w:p w14:paraId="2F61DD75">
            <w:pPr>
              <w:spacing w:before="48" w:after="48"/>
              <w:jc w:val="center"/>
              <w:rPr>
                <w:rFonts w:ascii="宋体" w:hAnsi="宋体" w:cs="宋体"/>
                <w:szCs w:val="21"/>
              </w:rPr>
            </w:pPr>
            <w:r>
              <w:rPr>
                <w:rFonts w:hint="eastAsia" w:ascii="宋体" w:hAnsi="宋体" w:cs="宋体"/>
                <w:szCs w:val="21"/>
              </w:rPr>
              <w:t>培训课程</w:t>
            </w:r>
          </w:p>
        </w:tc>
        <w:tc>
          <w:tcPr>
            <w:tcW w:w="709" w:type="dxa"/>
            <w:gridSpan w:val="2"/>
            <w:tcBorders>
              <w:bottom w:val="single" w:color="auto" w:sz="4" w:space="0"/>
            </w:tcBorders>
            <w:vAlign w:val="center"/>
          </w:tcPr>
          <w:p w14:paraId="2EC6654D">
            <w:pPr>
              <w:spacing w:before="20" w:after="20"/>
              <w:ind w:right="113"/>
              <w:rPr>
                <w:rFonts w:ascii="宋体" w:hAnsi="宋体" w:cs="宋体"/>
                <w:szCs w:val="21"/>
              </w:rPr>
            </w:pPr>
            <w:r>
              <w:rPr>
                <w:rFonts w:hint="eastAsia" w:ascii="宋体" w:hAnsi="宋体" w:cs="宋体"/>
                <w:szCs w:val="21"/>
              </w:rPr>
              <w:t>维度</w:t>
            </w:r>
          </w:p>
        </w:tc>
        <w:tc>
          <w:tcPr>
            <w:tcW w:w="851" w:type="dxa"/>
            <w:vAlign w:val="center"/>
          </w:tcPr>
          <w:p w14:paraId="38719102">
            <w:pPr>
              <w:spacing w:before="20" w:after="20"/>
              <w:ind w:right="113"/>
              <w:jc w:val="center"/>
              <w:rPr>
                <w:rFonts w:ascii="宋体" w:hAnsi="宋体" w:cs="宋体"/>
                <w:szCs w:val="21"/>
              </w:rPr>
            </w:pPr>
            <w:r>
              <w:rPr>
                <w:rFonts w:hint="eastAsia" w:ascii="宋体" w:hAnsi="宋体" w:cs="宋体"/>
                <w:szCs w:val="21"/>
              </w:rPr>
              <w:t>模块</w:t>
            </w:r>
          </w:p>
        </w:tc>
        <w:tc>
          <w:tcPr>
            <w:tcW w:w="708" w:type="dxa"/>
            <w:tcBorders>
              <w:right w:val="single" w:color="auto" w:sz="4" w:space="0"/>
            </w:tcBorders>
            <w:vAlign w:val="center"/>
          </w:tcPr>
          <w:p w14:paraId="4A2F830B">
            <w:pPr>
              <w:spacing w:before="20" w:after="20"/>
              <w:ind w:right="113"/>
              <w:jc w:val="center"/>
              <w:rPr>
                <w:rFonts w:ascii="宋体" w:hAnsi="宋体" w:cs="宋体"/>
                <w:szCs w:val="21"/>
              </w:rPr>
            </w:pPr>
            <w:r>
              <w:rPr>
                <w:rFonts w:hint="eastAsia" w:ascii="宋体" w:hAnsi="宋体" w:cs="宋体"/>
                <w:szCs w:val="21"/>
              </w:rPr>
              <w:t>专题</w:t>
            </w:r>
          </w:p>
        </w:tc>
        <w:tc>
          <w:tcPr>
            <w:tcW w:w="709" w:type="dxa"/>
            <w:tcBorders>
              <w:left w:val="single" w:color="auto" w:sz="4" w:space="0"/>
            </w:tcBorders>
            <w:vAlign w:val="center"/>
          </w:tcPr>
          <w:p w14:paraId="5CC7AE99">
            <w:pPr>
              <w:spacing w:before="20" w:after="20"/>
              <w:ind w:right="113"/>
              <w:jc w:val="center"/>
              <w:rPr>
                <w:rFonts w:ascii="宋体" w:hAnsi="宋体" w:cs="宋体"/>
                <w:szCs w:val="21"/>
              </w:rPr>
            </w:pPr>
            <w:r>
              <w:rPr>
                <w:rFonts w:hint="eastAsia" w:ascii="宋体" w:hAnsi="宋体" w:cs="宋体"/>
                <w:szCs w:val="21"/>
              </w:rPr>
              <w:t>学时</w:t>
            </w:r>
          </w:p>
        </w:tc>
        <w:tc>
          <w:tcPr>
            <w:tcW w:w="903" w:type="dxa"/>
            <w:tcBorders>
              <w:right w:val="single" w:color="auto" w:sz="4" w:space="0"/>
            </w:tcBorders>
            <w:vAlign w:val="center"/>
          </w:tcPr>
          <w:p w14:paraId="7874C018">
            <w:pPr>
              <w:spacing w:before="20" w:after="20"/>
              <w:ind w:right="113"/>
              <w:jc w:val="center"/>
              <w:rPr>
                <w:rFonts w:ascii="宋体" w:hAnsi="宋体" w:cs="宋体"/>
                <w:szCs w:val="21"/>
              </w:rPr>
            </w:pPr>
            <w:r>
              <w:rPr>
                <w:rFonts w:hint="eastAsia" w:ascii="宋体" w:hAnsi="宋体" w:cs="宋体"/>
                <w:szCs w:val="21"/>
              </w:rPr>
              <w:t>内容要点</w:t>
            </w:r>
          </w:p>
        </w:tc>
        <w:tc>
          <w:tcPr>
            <w:tcW w:w="1115" w:type="dxa"/>
          </w:tcPr>
          <w:p w14:paraId="007FEF0C">
            <w:pPr>
              <w:spacing w:before="20" w:after="20"/>
              <w:ind w:right="113"/>
              <w:jc w:val="center"/>
              <w:rPr>
                <w:rFonts w:ascii="宋体" w:hAnsi="宋体" w:cs="宋体"/>
                <w:szCs w:val="21"/>
              </w:rPr>
            </w:pPr>
            <w:r>
              <w:rPr>
                <w:rFonts w:hint="eastAsia" w:ascii="宋体" w:hAnsi="宋体" w:cs="宋体"/>
                <w:szCs w:val="21"/>
              </w:rPr>
              <w:t>是否为实践性课程</w:t>
            </w:r>
          </w:p>
        </w:tc>
        <w:tc>
          <w:tcPr>
            <w:tcW w:w="850" w:type="dxa"/>
            <w:vAlign w:val="center"/>
          </w:tcPr>
          <w:p w14:paraId="7E58AFD4">
            <w:pPr>
              <w:spacing w:before="20" w:after="20"/>
              <w:ind w:right="113"/>
              <w:jc w:val="center"/>
              <w:rPr>
                <w:rFonts w:ascii="宋体" w:hAnsi="宋体" w:cs="宋体"/>
                <w:szCs w:val="21"/>
              </w:rPr>
            </w:pPr>
            <w:r>
              <w:rPr>
                <w:rFonts w:hint="eastAsia" w:ascii="宋体" w:hAnsi="宋体" w:cs="宋体"/>
                <w:szCs w:val="21"/>
              </w:rPr>
              <w:t>授课教师</w:t>
            </w:r>
          </w:p>
        </w:tc>
        <w:tc>
          <w:tcPr>
            <w:tcW w:w="709" w:type="dxa"/>
            <w:vAlign w:val="center"/>
          </w:tcPr>
          <w:p w14:paraId="49C3FA57">
            <w:pPr>
              <w:spacing w:before="20" w:after="20"/>
              <w:ind w:right="113"/>
              <w:jc w:val="center"/>
              <w:rPr>
                <w:rFonts w:ascii="宋体" w:hAnsi="宋体" w:cs="宋体"/>
                <w:szCs w:val="21"/>
              </w:rPr>
            </w:pPr>
            <w:r>
              <w:rPr>
                <w:rFonts w:hint="eastAsia" w:ascii="宋体" w:hAnsi="宋体" w:cs="宋体"/>
                <w:szCs w:val="21"/>
              </w:rPr>
              <w:t>单位</w:t>
            </w:r>
          </w:p>
        </w:tc>
        <w:tc>
          <w:tcPr>
            <w:tcW w:w="545" w:type="dxa"/>
            <w:vAlign w:val="center"/>
          </w:tcPr>
          <w:p w14:paraId="5AABAB03">
            <w:pPr>
              <w:spacing w:before="20" w:after="20"/>
              <w:ind w:right="113"/>
              <w:jc w:val="center"/>
              <w:rPr>
                <w:rFonts w:ascii="宋体" w:hAnsi="宋体" w:cs="宋体"/>
                <w:szCs w:val="21"/>
              </w:rPr>
            </w:pPr>
            <w:r>
              <w:rPr>
                <w:rFonts w:hint="eastAsia" w:ascii="宋体" w:hAnsi="宋体" w:cs="宋体"/>
                <w:szCs w:val="21"/>
              </w:rPr>
              <w:t>职称</w:t>
            </w:r>
          </w:p>
        </w:tc>
        <w:tc>
          <w:tcPr>
            <w:tcW w:w="1227" w:type="dxa"/>
          </w:tcPr>
          <w:p w14:paraId="3EADAF6F">
            <w:pPr>
              <w:spacing w:before="20" w:after="20"/>
              <w:ind w:right="113"/>
              <w:jc w:val="center"/>
              <w:rPr>
                <w:rFonts w:ascii="宋体" w:hAnsi="宋体" w:cs="宋体"/>
                <w:szCs w:val="21"/>
              </w:rPr>
            </w:pPr>
            <w:r>
              <w:rPr>
                <w:rFonts w:hint="eastAsia" w:ascii="宋体" w:hAnsi="宋体" w:cs="宋体"/>
                <w:szCs w:val="21"/>
              </w:rPr>
              <w:t>是否为一线教师/教研员</w:t>
            </w:r>
          </w:p>
        </w:tc>
      </w:tr>
      <w:tr w14:paraId="60EF54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005FB060">
            <w:pPr>
              <w:spacing w:before="48" w:after="48"/>
              <w:jc w:val="center"/>
              <w:rPr>
                <w:rFonts w:ascii="宋体" w:hAnsi="宋体" w:cs="宋体"/>
                <w:szCs w:val="21"/>
              </w:rPr>
            </w:pPr>
          </w:p>
        </w:tc>
        <w:tc>
          <w:tcPr>
            <w:tcW w:w="709" w:type="dxa"/>
            <w:gridSpan w:val="2"/>
            <w:tcBorders>
              <w:top w:val="single" w:color="auto" w:sz="4" w:space="0"/>
            </w:tcBorders>
            <w:vAlign w:val="center"/>
          </w:tcPr>
          <w:p w14:paraId="75F44196">
            <w:pPr>
              <w:spacing w:before="20" w:after="20"/>
              <w:ind w:right="113"/>
              <w:rPr>
                <w:rFonts w:ascii="宋体" w:hAnsi="宋体" w:cs="宋体"/>
                <w:szCs w:val="21"/>
              </w:rPr>
            </w:pPr>
          </w:p>
        </w:tc>
        <w:tc>
          <w:tcPr>
            <w:tcW w:w="851" w:type="dxa"/>
            <w:vAlign w:val="center"/>
          </w:tcPr>
          <w:p w14:paraId="7E4A5049">
            <w:pPr>
              <w:spacing w:before="20" w:after="20"/>
              <w:ind w:right="113"/>
              <w:rPr>
                <w:rFonts w:ascii="宋体" w:hAnsi="宋体" w:cs="宋体"/>
                <w:szCs w:val="21"/>
              </w:rPr>
            </w:pPr>
          </w:p>
        </w:tc>
        <w:tc>
          <w:tcPr>
            <w:tcW w:w="708" w:type="dxa"/>
            <w:tcBorders>
              <w:right w:val="single" w:color="auto" w:sz="4" w:space="0"/>
            </w:tcBorders>
            <w:vAlign w:val="center"/>
          </w:tcPr>
          <w:p w14:paraId="4888E3EE">
            <w:pPr>
              <w:spacing w:before="20" w:after="20"/>
              <w:ind w:right="113"/>
              <w:rPr>
                <w:rFonts w:ascii="宋体" w:hAnsi="宋体" w:cs="宋体"/>
                <w:szCs w:val="21"/>
              </w:rPr>
            </w:pPr>
          </w:p>
        </w:tc>
        <w:tc>
          <w:tcPr>
            <w:tcW w:w="709" w:type="dxa"/>
            <w:tcBorders>
              <w:left w:val="single" w:color="auto" w:sz="4" w:space="0"/>
            </w:tcBorders>
            <w:vAlign w:val="center"/>
          </w:tcPr>
          <w:p w14:paraId="6CC80832">
            <w:pPr>
              <w:spacing w:before="20" w:after="20"/>
              <w:ind w:right="113"/>
              <w:rPr>
                <w:rFonts w:ascii="宋体" w:hAnsi="宋体" w:cs="宋体"/>
                <w:szCs w:val="21"/>
              </w:rPr>
            </w:pPr>
          </w:p>
        </w:tc>
        <w:tc>
          <w:tcPr>
            <w:tcW w:w="903" w:type="dxa"/>
            <w:tcBorders>
              <w:right w:val="single" w:color="auto" w:sz="4" w:space="0"/>
            </w:tcBorders>
            <w:vAlign w:val="center"/>
          </w:tcPr>
          <w:p w14:paraId="0617E488">
            <w:pPr>
              <w:spacing w:before="20" w:after="20"/>
              <w:ind w:right="113"/>
              <w:rPr>
                <w:rFonts w:ascii="宋体" w:hAnsi="宋体" w:cs="宋体"/>
                <w:szCs w:val="21"/>
              </w:rPr>
            </w:pPr>
          </w:p>
        </w:tc>
        <w:tc>
          <w:tcPr>
            <w:tcW w:w="1115" w:type="dxa"/>
            <w:vAlign w:val="center"/>
          </w:tcPr>
          <w:p w14:paraId="2D6FCC3C">
            <w:pPr>
              <w:spacing w:before="20" w:after="20"/>
              <w:ind w:right="113"/>
              <w:rPr>
                <w:rFonts w:ascii="宋体" w:hAnsi="宋体" w:cs="宋体"/>
                <w:szCs w:val="21"/>
              </w:rPr>
            </w:pPr>
          </w:p>
        </w:tc>
        <w:tc>
          <w:tcPr>
            <w:tcW w:w="850" w:type="dxa"/>
            <w:vAlign w:val="center"/>
          </w:tcPr>
          <w:p w14:paraId="743CD5EF">
            <w:pPr>
              <w:spacing w:before="20" w:after="20"/>
              <w:ind w:right="113"/>
              <w:rPr>
                <w:rFonts w:ascii="宋体" w:hAnsi="宋体" w:cs="宋体"/>
                <w:szCs w:val="21"/>
              </w:rPr>
            </w:pPr>
          </w:p>
        </w:tc>
        <w:tc>
          <w:tcPr>
            <w:tcW w:w="709" w:type="dxa"/>
            <w:vAlign w:val="center"/>
          </w:tcPr>
          <w:p w14:paraId="70845E38">
            <w:pPr>
              <w:spacing w:before="20" w:after="20"/>
              <w:ind w:right="113"/>
              <w:rPr>
                <w:rFonts w:ascii="宋体" w:hAnsi="宋体" w:cs="宋体"/>
                <w:szCs w:val="21"/>
              </w:rPr>
            </w:pPr>
          </w:p>
        </w:tc>
        <w:tc>
          <w:tcPr>
            <w:tcW w:w="545" w:type="dxa"/>
            <w:vAlign w:val="center"/>
          </w:tcPr>
          <w:p w14:paraId="7497F5DB">
            <w:pPr>
              <w:spacing w:before="20" w:after="20"/>
              <w:ind w:right="113"/>
              <w:rPr>
                <w:rFonts w:ascii="宋体" w:hAnsi="宋体" w:cs="宋体"/>
                <w:szCs w:val="21"/>
              </w:rPr>
            </w:pPr>
          </w:p>
        </w:tc>
        <w:tc>
          <w:tcPr>
            <w:tcW w:w="1227" w:type="dxa"/>
            <w:vAlign w:val="center"/>
          </w:tcPr>
          <w:p w14:paraId="5AEAD9B7">
            <w:pPr>
              <w:spacing w:before="20" w:after="20"/>
              <w:ind w:right="113"/>
              <w:rPr>
                <w:rFonts w:ascii="宋体" w:hAnsi="宋体" w:cs="宋体"/>
                <w:szCs w:val="21"/>
              </w:rPr>
            </w:pPr>
          </w:p>
        </w:tc>
      </w:tr>
      <w:tr w14:paraId="39432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6375451B">
            <w:pPr>
              <w:spacing w:before="48" w:after="48"/>
              <w:jc w:val="center"/>
              <w:rPr>
                <w:rFonts w:ascii="宋体" w:hAnsi="宋体" w:cs="宋体"/>
                <w:szCs w:val="21"/>
              </w:rPr>
            </w:pPr>
          </w:p>
        </w:tc>
        <w:tc>
          <w:tcPr>
            <w:tcW w:w="709" w:type="dxa"/>
            <w:gridSpan w:val="2"/>
            <w:vAlign w:val="center"/>
          </w:tcPr>
          <w:p w14:paraId="04410EA3">
            <w:pPr>
              <w:spacing w:before="20" w:after="20"/>
              <w:ind w:right="113"/>
              <w:rPr>
                <w:rFonts w:ascii="宋体" w:hAnsi="宋体" w:cs="宋体"/>
                <w:szCs w:val="21"/>
              </w:rPr>
            </w:pPr>
          </w:p>
        </w:tc>
        <w:tc>
          <w:tcPr>
            <w:tcW w:w="851" w:type="dxa"/>
            <w:vAlign w:val="center"/>
          </w:tcPr>
          <w:p w14:paraId="217C2BD1">
            <w:pPr>
              <w:spacing w:before="20" w:after="20"/>
              <w:ind w:right="113"/>
              <w:rPr>
                <w:rFonts w:ascii="宋体" w:hAnsi="宋体" w:cs="宋体"/>
                <w:szCs w:val="21"/>
              </w:rPr>
            </w:pPr>
          </w:p>
        </w:tc>
        <w:tc>
          <w:tcPr>
            <w:tcW w:w="708" w:type="dxa"/>
            <w:tcBorders>
              <w:right w:val="single" w:color="auto" w:sz="4" w:space="0"/>
            </w:tcBorders>
            <w:vAlign w:val="center"/>
          </w:tcPr>
          <w:p w14:paraId="7D7D72CE">
            <w:pPr>
              <w:spacing w:before="20" w:after="20"/>
              <w:ind w:right="113"/>
              <w:rPr>
                <w:rFonts w:ascii="宋体" w:hAnsi="宋体" w:cs="宋体"/>
                <w:szCs w:val="21"/>
              </w:rPr>
            </w:pPr>
          </w:p>
        </w:tc>
        <w:tc>
          <w:tcPr>
            <w:tcW w:w="709" w:type="dxa"/>
            <w:tcBorders>
              <w:left w:val="single" w:color="auto" w:sz="4" w:space="0"/>
            </w:tcBorders>
            <w:vAlign w:val="center"/>
          </w:tcPr>
          <w:p w14:paraId="3626BC01">
            <w:pPr>
              <w:spacing w:before="20" w:after="20"/>
              <w:ind w:right="113"/>
              <w:rPr>
                <w:rFonts w:ascii="宋体" w:hAnsi="宋体" w:cs="宋体"/>
                <w:szCs w:val="21"/>
              </w:rPr>
            </w:pPr>
          </w:p>
        </w:tc>
        <w:tc>
          <w:tcPr>
            <w:tcW w:w="903" w:type="dxa"/>
            <w:tcBorders>
              <w:right w:val="single" w:color="auto" w:sz="4" w:space="0"/>
            </w:tcBorders>
            <w:vAlign w:val="center"/>
          </w:tcPr>
          <w:p w14:paraId="6352619A">
            <w:pPr>
              <w:spacing w:before="20" w:after="20"/>
              <w:ind w:right="113"/>
              <w:rPr>
                <w:rFonts w:ascii="宋体" w:hAnsi="宋体" w:cs="宋体"/>
                <w:szCs w:val="21"/>
              </w:rPr>
            </w:pPr>
          </w:p>
        </w:tc>
        <w:tc>
          <w:tcPr>
            <w:tcW w:w="1115" w:type="dxa"/>
            <w:vAlign w:val="center"/>
          </w:tcPr>
          <w:p w14:paraId="2904A6FE">
            <w:pPr>
              <w:spacing w:before="20" w:after="20"/>
              <w:ind w:right="113"/>
              <w:rPr>
                <w:rFonts w:ascii="宋体" w:hAnsi="宋体" w:cs="宋体"/>
                <w:szCs w:val="21"/>
              </w:rPr>
            </w:pPr>
          </w:p>
        </w:tc>
        <w:tc>
          <w:tcPr>
            <w:tcW w:w="850" w:type="dxa"/>
            <w:vAlign w:val="center"/>
          </w:tcPr>
          <w:p w14:paraId="2D7A6F5F">
            <w:pPr>
              <w:spacing w:before="20" w:after="20"/>
              <w:ind w:right="113"/>
              <w:rPr>
                <w:rFonts w:ascii="宋体" w:hAnsi="宋体" w:cs="宋体"/>
                <w:szCs w:val="21"/>
              </w:rPr>
            </w:pPr>
          </w:p>
        </w:tc>
        <w:tc>
          <w:tcPr>
            <w:tcW w:w="709" w:type="dxa"/>
            <w:vAlign w:val="center"/>
          </w:tcPr>
          <w:p w14:paraId="4F2E3373">
            <w:pPr>
              <w:spacing w:before="20" w:after="20"/>
              <w:ind w:right="113"/>
              <w:rPr>
                <w:rFonts w:ascii="宋体" w:hAnsi="宋体" w:cs="宋体"/>
                <w:szCs w:val="21"/>
              </w:rPr>
            </w:pPr>
          </w:p>
        </w:tc>
        <w:tc>
          <w:tcPr>
            <w:tcW w:w="545" w:type="dxa"/>
            <w:vAlign w:val="center"/>
          </w:tcPr>
          <w:p w14:paraId="42997092">
            <w:pPr>
              <w:spacing w:before="20" w:after="20"/>
              <w:ind w:right="113"/>
              <w:rPr>
                <w:rFonts w:ascii="宋体" w:hAnsi="宋体" w:cs="宋体"/>
                <w:szCs w:val="21"/>
              </w:rPr>
            </w:pPr>
          </w:p>
        </w:tc>
        <w:tc>
          <w:tcPr>
            <w:tcW w:w="1227" w:type="dxa"/>
            <w:vAlign w:val="center"/>
          </w:tcPr>
          <w:p w14:paraId="7F5BDC82">
            <w:pPr>
              <w:spacing w:before="20" w:after="20"/>
              <w:ind w:right="113"/>
              <w:rPr>
                <w:rFonts w:ascii="宋体" w:hAnsi="宋体" w:cs="宋体"/>
                <w:szCs w:val="21"/>
              </w:rPr>
            </w:pPr>
          </w:p>
        </w:tc>
      </w:tr>
      <w:tr w14:paraId="7D8C47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3C633D23">
            <w:pPr>
              <w:spacing w:before="48" w:after="48"/>
              <w:jc w:val="center"/>
              <w:rPr>
                <w:rFonts w:ascii="宋体" w:hAnsi="宋体" w:cs="宋体"/>
                <w:szCs w:val="21"/>
              </w:rPr>
            </w:pPr>
          </w:p>
        </w:tc>
        <w:tc>
          <w:tcPr>
            <w:tcW w:w="709" w:type="dxa"/>
            <w:gridSpan w:val="2"/>
            <w:vAlign w:val="center"/>
          </w:tcPr>
          <w:p w14:paraId="59E8E872">
            <w:pPr>
              <w:spacing w:before="20" w:after="20"/>
              <w:ind w:right="113"/>
              <w:rPr>
                <w:rFonts w:ascii="宋体" w:hAnsi="宋体" w:cs="宋体"/>
                <w:szCs w:val="21"/>
              </w:rPr>
            </w:pPr>
          </w:p>
        </w:tc>
        <w:tc>
          <w:tcPr>
            <w:tcW w:w="851" w:type="dxa"/>
            <w:vAlign w:val="center"/>
          </w:tcPr>
          <w:p w14:paraId="21356F4A">
            <w:pPr>
              <w:spacing w:before="20" w:after="20"/>
              <w:ind w:right="113"/>
              <w:rPr>
                <w:rFonts w:ascii="宋体" w:hAnsi="宋体" w:cs="宋体"/>
                <w:szCs w:val="21"/>
              </w:rPr>
            </w:pPr>
          </w:p>
        </w:tc>
        <w:tc>
          <w:tcPr>
            <w:tcW w:w="708" w:type="dxa"/>
            <w:tcBorders>
              <w:right w:val="single" w:color="auto" w:sz="4" w:space="0"/>
            </w:tcBorders>
            <w:vAlign w:val="center"/>
          </w:tcPr>
          <w:p w14:paraId="19DCC1F5">
            <w:pPr>
              <w:spacing w:before="20" w:after="20"/>
              <w:ind w:right="113"/>
              <w:rPr>
                <w:rFonts w:ascii="宋体" w:hAnsi="宋体" w:cs="宋体"/>
                <w:szCs w:val="21"/>
              </w:rPr>
            </w:pPr>
          </w:p>
        </w:tc>
        <w:tc>
          <w:tcPr>
            <w:tcW w:w="709" w:type="dxa"/>
            <w:tcBorders>
              <w:left w:val="single" w:color="auto" w:sz="4" w:space="0"/>
            </w:tcBorders>
            <w:vAlign w:val="center"/>
          </w:tcPr>
          <w:p w14:paraId="66FB5C34">
            <w:pPr>
              <w:spacing w:before="20" w:after="20"/>
              <w:ind w:right="113"/>
              <w:rPr>
                <w:rFonts w:ascii="宋体" w:hAnsi="宋体" w:cs="宋体"/>
                <w:szCs w:val="21"/>
              </w:rPr>
            </w:pPr>
          </w:p>
        </w:tc>
        <w:tc>
          <w:tcPr>
            <w:tcW w:w="903" w:type="dxa"/>
            <w:tcBorders>
              <w:right w:val="single" w:color="auto" w:sz="4" w:space="0"/>
            </w:tcBorders>
            <w:vAlign w:val="center"/>
          </w:tcPr>
          <w:p w14:paraId="0559BC35">
            <w:pPr>
              <w:spacing w:before="20" w:after="20"/>
              <w:ind w:right="113"/>
              <w:rPr>
                <w:rFonts w:ascii="宋体" w:hAnsi="宋体" w:cs="宋体"/>
                <w:szCs w:val="21"/>
              </w:rPr>
            </w:pPr>
          </w:p>
        </w:tc>
        <w:tc>
          <w:tcPr>
            <w:tcW w:w="1115" w:type="dxa"/>
            <w:vAlign w:val="center"/>
          </w:tcPr>
          <w:p w14:paraId="46AA48F2">
            <w:pPr>
              <w:spacing w:before="20" w:after="20"/>
              <w:ind w:right="113"/>
              <w:rPr>
                <w:rFonts w:ascii="宋体" w:hAnsi="宋体" w:cs="宋体"/>
                <w:szCs w:val="21"/>
              </w:rPr>
            </w:pPr>
          </w:p>
        </w:tc>
        <w:tc>
          <w:tcPr>
            <w:tcW w:w="850" w:type="dxa"/>
            <w:vAlign w:val="center"/>
          </w:tcPr>
          <w:p w14:paraId="675D8E5A">
            <w:pPr>
              <w:spacing w:before="20" w:after="20"/>
              <w:ind w:right="113"/>
              <w:rPr>
                <w:rFonts w:ascii="宋体" w:hAnsi="宋体" w:cs="宋体"/>
                <w:szCs w:val="21"/>
              </w:rPr>
            </w:pPr>
          </w:p>
        </w:tc>
        <w:tc>
          <w:tcPr>
            <w:tcW w:w="709" w:type="dxa"/>
            <w:vAlign w:val="center"/>
          </w:tcPr>
          <w:p w14:paraId="77FA722B">
            <w:pPr>
              <w:spacing w:before="20" w:after="20"/>
              <w:ind w:right="113"/>
              <w:rPr>
                <w:rFonts w:ascii="宋体" w:hAnsi="宋体" w:cs="宋体"/>
                <w:szCs w:val="21"/>
              </w:rPr>
            </w:pPr>
          </w:p>
        </w:tc>
        <w:tc>
          <w:tcPr>
            <w:tcW w:w="545" w:type="dxa"/>
            <w:vAlign w:val="center"/>
          </w:tcPr>
          <w:p w14:paraId="30B289EE">
            <w:pPr>
              <w:spacing w:before="20" w:after="20"/>
              <w:ind w:right="113"/>
              <w:rPr>
                <w:rFonts w:ascii="宋体" w:hAnsi="宋体" w:cs="宋体"/>
                <w:szCs w:val="21"/>
              </w:rPr>
            </w:pPr>
          </w:p>
        </w:tc>
        <w:tc>
          <w:tcPr>
            <w:tcW w:w="1227" w:type="dxa"/>
            <w:vAlign w:val="center"/>
          </w:tcPr>
          <w:p w14:paraId="3CD57EC8">
            <w:pPr>
              <w:spacing w:before="20" w:after="20"/>
              <w:ind w:right="113"/>
              <w:rPr>
                <w:rFonts w:ascii="宋体" w:hAnsi="宋体" w:cs="宋体"/>
                <w:szCs w:val="21"/>
              </w:rPr>
            </w:pPr>
          </w:p>
        </w:tc>
      </w:tr>
      <w:tr w14:paraId="17AA91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D03B624">
            <w:pPr>
              <w:spacing w:before="48" w:after="48"/>
              <w:jc w:val="center"/>
              <w:rPr>
                <w:rFonts w:ascii="宋体" w:hAnsi="宋体" w:cs="宋体"/>
                <w:szCs w:val="21"/>
              </w:rPr>
            </w:pPr>
          </w:p>
        </w:tc>
        <w:tc>
          <w:tcPr>
            <w:tcW w:w="709" w:type="dxa"/>
            <w:gridSpan w:val="2"/>
            <w:vAlign w:val="center"/>
          </w:tcPr>
          <w:p w14:paraId="18B571EE">
            <w:pPr>
              <w:spacing w:before="20" w:after="20"/>
              <w:ind w:right="113"/>
              <w:rPr>
                <w:rFonts w:ascii="宋体" w:hAnsi="宋体" w:cs="宋体"/>
                <w:szCs w:val="21"/>
              </w:rPr>
            </w:pPr>
          </w:p>
        </w:tc>
        <w:tc>
          <w:tcPr>
            <w:tcW w:w="851" w:type="dxa"/>
            <w:vAlign w:val="center"/>
          </w:tcPr>
          <w:p w14:paraId="3720F6A1">
            <w:pPr>
              <w:spacing w:before="20" w:after="20"/>
              <w:ind w:right="113"/>
              <w:rPr>
                <w:rFonts w:ascii="宋体" w:hAnsi="宋体" w:cs="宋体"/>
                <w:szCs w:val="21"/>
              </w:rPr>
            </w:pPr>
          </w:p>
        </w:tc>
        <w:tc>
          <w:tcPr>
            <w:tcW w:w="708" w:type="dxa"/>
            <w:tcBorders>
              <w:right w:val="single" w:color="auto" w:sz="4" w:space="0"/>
            </w:tcBorders>
            <w:vAlign w:val="center"/>
          </w:tcPr>
          <w:p w14:paraId="19822738">
            <w:pPr>
              <w:spacing w:before="20" w:after="20"/>
              <w:ind w:right="113"/>
              <w:rPr>
                <w:rFonts w:ascii="宋体" w:hAnsi="宋体" w:cs="宋体"/>
                <w:szCs w:val="21"/>
              </w:rPr>
            </w:pPr>
          </w:p>
        </w:tc>
        <w:tc>
          <w:tcPr>
            <w:tcW w:w="709" w:type="dxa"/>
            <w:tcBorders>
              <w:left w:val="single" w:color="auto" w:sz="4" w:space="0"/>
            </w:tcBorders>
            <w:vAlign w:val="center"/>
          </w:tcPr>
          <w:p w14:paraId="2F4E11DE">
            <w:pPr>
              <w:spacing w:before="20" w:after="20"/>
              <w:ind w:right="113"/>
              <w:rPr>
                <w:rFonts w:ascii="宋体" w:hAnsi="宋体" w:cs="宋体"/>
                <w:szCs w:val="21"/>
              </w:rPr>
            </w:pPr>
          </w:p>
        </w:tc>
        <w:tc>
          <w:tcPr>
            <w:tcW w:w="903" w:type="dxa"/>
            <w:tcBorders>
              <w:right w:val="single" w:color="auto" w:sz="4" w:space="0"/>
            </w:tcBorders>
            <w:vAlign w:val="center"/>
          </w:tcPr>
          <w:p w14:paraId="7D9CA55D">
            <w:pPr>
              <w:spacing w:before="20" w:after="20"/>
              <w:ind w:right="113"/>
              <w:rPr>
                <w:rFonts w:ascii="宋体" w:hAnsi="宋体" w:cs="宋体"/>
                <w:szCs w:val="21"/>
              </w:rPr>
            </w:pPr>
          </w:p>
        </w:tc>
        <w:tc>
          <w:tcPr>
            <w:tcW w:w="1115" w:type="dxa"/>
            <w:vAlign w:val="center"/>
          </w:tcPr>
          <w:p w14:paraId="358F528E">
            <w:pPr>
              <w:spacing w:before="20" w:after="20"/>
              <w:ind w:right="113"/>
              <w:rPr>
                <w:rFonts w:ascii="宋体" w:hAnsi="宋体" w:cs="宋体"/>
                <w:szCs w:val="21"/>
              </w:rPr>
            </w:pPr>
          </w:p>
        </w:tc>
        <w:tc>
          <w:tcPr>
            <w:tcW w:w="850" w:type="dxa"/>
            <w:vAlign w:val="center"/>
          </w:tcPr>
          <w:p w14:paraId="4F3683C6">
            <w:pPr>
              <w:spacing w:before="20" w:after="20"/>
              <w:ind w:right="113"/>
              <w:rPr>
                <w:rFonts w:ascii="宋体" w:hAnsi="宋体" w:cs="宋体"/>
                <w:szCs w:val="21"/>
              </w:rPr>
            </w:pPr>
          </w:p>
        </w:tc>
        <w:tc>
          <w:tcPr>
            <w:tcW w:w="709" w:type="dxa"/>
            <w:vAlign w:val="center"/>
          </w:tcPr>
          <w:p w14:paraId="32D19524">
            <w:pPr>
              <w:spacing w:before="20" w:after="20"/>
              <w:ind w:right="113"/>
              <w:rPr>
                <w:rFonts w:ascii="宋体" w:hAnsi="宋体" w:cs="宋体"/>
                <w:szCs w:val="21"/>
              </w:rPr>
            </w:pPr>
          </w:p>
        </w:tc>
        <w:tc>
          <w:tcPr>
            <w:tcW w:w="545" w:type="dxa"/>
            <w:vAlign w:val="center"/>
          </w:tcPr>
          <w:p w14:paraId="29CC85CD">
            <w:pPr>
              <w:spacing w:before="20" w:after="20"/>
              <w:ind w:right="113"/>
              <w:rPr>
                <w:rFonts w:ascii="宋体" w:hAnsi="宋体" w:cs="宋体"/>
                <w:szCs w:val="21"/>
              </w:rPr>
            </w:pPr>
          </w:p>
        </w:tc>
        <w:tc>
          <w:tcPr>
            <w:tcW w:w="1227" w:type="dxa"/>
            <w:vAlign w:val="center"/>
          </w:tcPr>
          <w:p w14:paraId="3A712942">
            <w:pPr>
              <w:spacing w:before="20" w:after="20"/>
              <w:ind w:right="113"/>
              <w:rPr>
                <w:rFonts w:ascii="宋体" w:hAnsi="宋体" w:cs="宋体"/>
                <w:szCs w:val="21"/>
              </w:rPr>
            </w:pPr>
          </w:p>
        </w:tc>
      </w:tr>
      <w:tr w14:paraId="26E15D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7CD909AF">
            <w:pPr>
              <w:spacing w:before="48" w:after="48"/>
              <w:jc w:val="center"/>
              <w:rPr>
                <w:rFonts w:ascii="宋体" w:hAnsi="宋体" w:cs="宋体"/>
                <w:szCs w:val="21"/>
              </w:rPr>
            </w:pPr>
          </w:p>
        </w:tc>
        <w:tc>
          <w:tcPr>
            <w:tcW w:w="709" w:type="dxa"/>
            <w:gridSpan w:val="2"/>
            <w:vAlign w:val="center"/>
          </w:tcPr>
          <w:p w14:paraId="047F3885">
            <w:pPr>
              <w:spacing w:before="20" w:after="20"/>
              <w:ind w:right="113"/>
              <w:rPr>
                <w:rFonts w:ascii="宋体" w:hAnsi="宋体" w:cs="宋体"/>
                <w:szCs w:val="21"/>
              </w:rPr>
            </w:pPr>
          </w:p>
        </w:tc>
        <w:tc>
          <w:tcPr>
            <w:tcW w:w="851" w:type="dxa"/>
            <w:vAlign w:val="center"/>
          </w:tcPr>
          <w:p w14:paraId="048D3F0D">
            <w:pPr>
              <w:spacing w:before="20" w:after="20"/>
              <w:ind w:right="113"/>
              <w:rPr>
                <w:rFonts w:ascii="宋体" w:hAnsi="宋体" w:cs="宋体"/>
                <w:szCs w:val="21"/>
              </w:rPr>
            </w:pPr>
          </w:p>
        </w:tc>
        <w:tc>
          <w:tcPr>
            <w:tcW w:w="708" w:type="dxa"/>
            <w:tcBorders>
              <w:right w:val="single" w:color="auto" w:sz="4" w:space="0"/>
            </w:tcBorders>
            <w:vAlign w:val="center"/>
          </w:tcPr>
          <w:p w14:paraId="7908B3AE">
            <w:pPr>
              <w:spacing w:before="20" w:after="20"/>
              <w:ind w:right="113"/>
              <w:rPr>
                <w:rFonts w:ascii="宋体" w:hAnsi="宋体" w:cs="宋体"/>
                <w:szCs w:val="21"/>
              </w:rPr>
            </w:pPr>
          </w:p>
        </w:tc>
        <w:tc>
          <w:tcPr>
            <w:tcW w:w="709" w:type="dxa"/>
            <w:tcBorders>
              <w:left w:val="single" w:color="auto" w:sz="4" w:space="0"/>
            </w:tcBorders>
            <w:vAlign w:val="center"/>
          </w:tcPr>
          <w:p w14:paraId="24CD8DE9">
            <w:pPr>
              <w:spacing w:before="20" w:after="20"/>
              <w:ind w:right="113"/>
              <w:rPr>
                <w:rFonts w:ascii="宋体" w:hAnsi="宋体" w:cs="宋体"/>
                <w:szCs w:val="21"/>
              </w:rPr>
            </w:pPr>
          </w:p>
        </w:tc>
        <w:tc>
          <w:tcPr>
            <w:tcW w:w="903" w:type="dxa"/>
            <w:tcBorders>
              <w:right w:val="single" w:color="auto" w:sz="4" w:space="0"/>
            </w:tcBorders>
            <w:vAlign w:val="center"/>
          </w:tcPr>
          <w:p w14:paraId="62697AE1">
            <w:pPr>
              <w:spacing w:before="20" w:after="20"/>
              <w:ind w:right="113"/>
              <w:rPr>
                <w:rFonts w:ascii="宋体" w:hAnsi="宋体" w:cs="宋体"/>
                <w:szCs w:val="21"/>
              </w:rPr>
            </w:pPr>
          </w:p>
        </w:tc>
        <w:tc>
          <w:tcPr>
            <w:tcW w:w="1115" w:type="dxa"/>
            <w:vAlign w:val="center"/>
          </w:tcPr>
          <w:p w14:paraId="21E2A58D">
            <w:pPr>
              <w:spacing w:before="20" w:after="20"/>
              <w:ind w:right="113"/>
              <w:rPr>
                <w:rFonts w:ascii="宋体" w:hAnsi="宋体" w:cs="宋体"/>
                <w:szCs w:val="21"/>
              </w:rPr>
            </w:pPr>
          </w:p>
        </w:tc>
        <w:tc>
          <w:tcPr>
            <w:tcW w:w="850" w:type="dxa"/>
            <w:vAlign w:val="center"/>
          </w:tcPr>
          <w:p w14:paraId="56540F58">
            <w:pPr>
              <w:spacing w:before="20" w:after="20"/>
              <w:ind w:right="113"/>
              <w:rPr>
                <w:rFonts w:ascii="宋体" w:hAnsi="宋体" w:cs="宋体"/>
                <w:szCs w:val="21"/>
              </w:rPr>
            </w:pPr>
          </w:p>
        </w:tc>
        <w:tc>
          <w:tcPr>
            <w:tcW w:w="709" w:type="dxa"/>
            <w:vAlign w:val="center"/>
          </w:tcPr>
          <w:p w14:paraId="0DAE6CD0">
            <w:pPr>
              <w:spacing w:before="20" w:after="20"/>
              <w:ind w:right="113"/>
              <w:rPr>
                <w:rFonts w:ascii="宋体" w:hAnsi="宋体" w:cs="宋体"/>
                <w:szCs w:val="21"/>
              </w:rPr>
            </w:pPr>
          </w:p>
        </w:tc>
        <w:tc>
          <w:tcPr>
            <w:tcW w:w="545" w:type="dxa"/>
            <w:vAlign w:val="center"/>
          </w:tcPr>
          <w:p w14:paraId="72AB6D4D">
            <w:pPr>
              <w:spacing w:before="20" w:after="20"/>
              <w:ind w:right="113"/>
              <w:rPr>
                <w:rFonts w:ascii="宋体" w:hAnsi="宋体" w:cs="宋体"/>
                <w:szCs w:val="21"/>
              </w:rPr>
            </w:pPr>
          </w:p>
        </w:tc>
        <w:tc>
          <w:tcPr>
            <w:tcW w:w="1227" w:type="dxa"/>
            <w:vAlign w:val="center"/>
          </w:tcPr>
          <w:p w14:paraId="3F4B48D0">
            <w:pPr>
              <w:spacing w:before="20" w:after="20"/>
              <w:ind w:right="113"/>
              <w:rPr>
                <w:rFonts w:ascii="宋体" w:hAnsi="宋体" w:cs="宋体"/>
                <w:szCs w:val="21"/>
              </w:rPr>
            </w:pPr>
          </w:p>
        </w:tc>
      </w:tr>
      <w:tr w14:paraId="24AAD6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386AA7B">
            <w:pPr>
              <w:spacing w:before="48" w:after="48"/>
              <w:jc w:val="center"/>
              <w:rPr>
                <w:rFonts w:ascii="宋体" w:hAnsi="宋体" w:cs="宋体"/>
                <w:szCs w:val="21"/>
              </w:rPr>
            </w:pPr>
          </w:p>
        </w:tc>
        <w:tc>
          <w:tcPr>
            <w:tcW w:w="709" w:type="dxa"/>
            <w:gridSpan w:val="2"/>
            <w:vAlign w:val="center"/>
          </w:tcPr>
          <w:p w14:paraId="1EF58019">
            <w:pPr>
              <w:spacing w:before="20" w:after="20"/>
              <w:ind w:right="113"/>
              <w:rPr>
                <w:rFonts w:ascii="宋体" w:hAnsi="宋体" w:cs="宋体"/>
                <w:szCs w:val="21"/>
              </w:rPr>
            </w:pPr>
          </w:p>
        </w:tc>
        <w:tc>
          <w:tcPr>
            <w:tcW w:w="851" w:type="dxa"/>
            <w:vAlign w:val="center"/>
          </w:tcPr>
          <w:p w14:paraId="75F1BF53">
            <w:pPr>
              <w:spacing w:before="20" w:after="20"/>
              <w:ind w:right="113"/>
              <w:rPr>
                <w:rFonts w:ascii="宋体" w:hAnsi="宋体" w:cs="宋体"/>
                <w:szCs w:val="21"/>
              </w:rPr>
            </w:pPr>
          </w:p>
        </w:tc>
        <w:tc>
          <w:tcPr>
            <w:tcW w:w="708" w:type="dxa"/>
            <w:tcBorders>
              <w:right w:val="single" w:color="auto" w:sz="4" w:space="0"/>
            </w:tcBorders>
            <w:vAlign w:val="center"/>
          </w:tcPr>
          <w:p w14:paraId="6AFEBE5B">
            <w:pPr>
              <w:spacing w:before="20" w:after="20"/>
              <w:ind w:right="113"/>
              <w:rPr>
                <w:rFonts w:ascii="宋体" w:hAnsi="宋体" w:cs="宋体"/>
                <w:szCs w:val="21"/>
              </w:rPr>
            </w:pPr>
          </w:p>
        </w:tc>
        <w:tc>
          <w:tcPr>
            <w:tcW w:w="709" w:type="dxa"/>
            <w:tcBorders>
              <w:left w:val="single" w:color="auto" w:sz="4" w:space="0"/>
            </w:tcBorders>
            <w:vAlign w:val="center"/>
          </w:tcPr>
          <w:p w14:paraId="2D72C3C7">
            <w:pPr>
              <w:spacing w:before="20" w:after="20"/>
              <w:ind w:right="113"/>
              <w:rPr>
                <w:rFonts w:ascii="宋体" w:hAnsi="宋体" w:cs="宋体"/>
                <w:szCs w:val="21"/>
              </w:rPr>
            </w:pPr>
          </w:p>
        </w:tc>
        <w:tc>
          <w:tcPr>
            <w:tcW w:w="903" w:type="dxa"/>
            <w:tcBorders>
              <w:right w:val="single" w:color="auto" w:sz="4" w:space="0"/>
            </w:tcBorders>
            <w:vAlign w:val="center"/>
          </w:tcPr>
          <w:p w14:paraId="20D20903">
            <w:pPr>
              <w:spacing w:before="20" w:after="20"/>
              <w:ind w:right="113"/>
              <w:rPr>
                <w:rFonts w:ascii="宋体" w:hAnsi="宋体" w:cs="宋体"/>
                <w:szCs w:val="21"/>
              </w:rPr>
            </w:pPr>
          </w:p>
        </w:tc>
        <w:tc>
          <w:tcPr>
            <w:tcW w:w="1115" w:type="dxa"/>
            <w:vAlign w:val="center"/>
          </w:tcPr>
          <w:p w14:paraId="23914620">
            <w:pPr>
              <w:spacing w:before="20" w:after="20"/>
              <w:ind w:right="113"/>
              <w:rPr>
                <w:rFonts w:ascii="宋体" w:hAnsi="宋体" w:cs="宋体"/>
                <w:szCs w:val="21"/>
              </w:rPr>
            </w:pPr>
          </w:p>
        </w:tc>
        <w:tc>
          <w:tcPr>
            <w:tcW w:w="850" w:type="dxa"/>
            <w:vAlign w:val="center"/>
          </w:tcPr>
          <w:p w14:paraId="4DECEC51">
            <w:pPr>
              <w:spacing w:before="20" w:after="20"/>
              <w:ind w:right="113"/>
              <w:rPr>
                <w:rFonts w:ascii="宋体" w:hAnsi="宋体" w:cs="宋体"/>
                <w:szCs w:val="21"/>
              </w:rPr>
            </w:pPr>
          </w:p>
        </w:tc>
        <w:tc>
          <w:tcPr>
            <w:tcW w:w="709" w:type="dxa"/>
            <w:vAlign w:val="center"/>
          </w:tcPr>
          <w:p w14:paraId="02D0A736">
            <w:pPr>
              <w:spacing w:before="20" w:after="20"/>
              <w:ind w:right="113"/>
              <w:rPr>
                <w:rFonts w:ascii="宋体" w:hAnsi="宋体" w:cs="宋体"/>
                <w:szCs w:val="21"/>
              </w:rPr>
            </w:pPr>
          </w:p>
        </w:tc>
        <w:tc>
          <w:tcPr>
            <w:tcW w:w="545" w:type="dxa"/>
            <w:vAlign w:val="center"/>
          </w:tcPr>
          <w:p w14:paraId="4E5BC656">
            <w:pPr>
              <w:spacing w:before="20" w:after="20"/>
              <w:ind w:right="113"/>
              <w:rPr>
                <w:rFonts w:ascii="宋体" w:hAnsi="宋体" w:cs="宋体"/>
                <w:szCs w:val="21"/>
              </w:rPr>
            </w:pPr>
          </w:p>
        </w:tc>
        <w:tc>
          <w:tcPr>
            <w:tcW w:w="1227" w:type="dxa"/>
            <w:vAlign w:val="center"/>
          </w:tcPr>
          <w:p w14:paraId="635E7462">
            <w:pPr>
              <w:spacing w:before="20" w:after="20"/>
              <w:ind w:right="113"/>
              <w:rPr>
                <w:rFonts w:ascii="宋体" w:hAnsi="宋体" w:cs="宋体"/>
                <w:szCs w:val="21"/>
              </w:rPr>
            </w:pPr>
          </w:p>
        </w:tc>
      </w:tr>
      <w:tr w14:paraId="559B90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393716A">
            <w:pPr>
              <w:spacing w:before="48" w:after="48"/>
              <w:jc w:val="center"/>
              <w:rPr>
                <w:rFonts w:ascii="宋体" w:hAnsi="宋体" w:cs="宋体"/>
                <w:szCs w:val="21"/>
              </w:rPr>
            </w:pPr>
          </w:p>
        </w:tc>
        <w:tc>
          <w:tcPr>
            <w:tcW w:w="709" w:type="dxa"/>
            <w:gridSpan w:val="2"/>
            <w:vAlign w:val="center"/>
          </w:tcPr>
          <w:p w14:paraId="3674DB9A">
            <w:pPr>
              <w:spacing w:before="20" w:after="20"/>
              <w:ind w:right="113"/>
              <w:rPr>
                <w:rFonts w:ascii="宋体" w:hAnsi="宋体" w:cs="宋体"/>
                <w:szCs w:val="21"/>
              </w:rPr>
            </w:pPr>
          </w:p>
        </w:tc>
        <w:tc>
          <w:tcPr>
            <w:tcW w:w="851" w:type="dxa"/>
            <w:vAlign w:val="center"/>
          </w:tcPr>
          <w:p w14:paraId="60521508">
            <w:pPr>
              <w:spacing w:before="20" w:after="20"/>
              <w:ind w:right="113"/>
              <w:rPr>
                <w:rFonts w:ascii="宋体" w:hAnsi="宋体" w:cs="宋体"/>
                <w:szCs w:val="21"/>
              </w:rPr>
            </w:pPr>
          </w:p>
        </w:tc>
        <w:tc>
          <w:tcPr>
            <w:tcW w:w="708" w:type="dxa"/>
            <w:tcBorders>
              <w:right w:val="single" w:color="auto" w:sz="4" w:space="0"/>
            </w:tcBorders>
            <w:vAlign w:val="center"/>
          </w:tcPr>
          <w:p w14:paraId="2F356B51">
            <w:pPr>
              <w:spacing w:before="20" w:after="20"/>
              <w:ind w:right="113"/>
              <w:rPr>
                <w:rFonts w:ascii="宋体" w:hAnsi="宋体" w:cs="宋体"/>
                <w:szCs w:val="21"/>
              </w:rPr>
            </w:pPr>
          </w:p>
        </w:tc>
        <w:tc>
          <w:tcPr>
            <w:tcW w:w="709" w:type="dxa"/>
            <w:tcBorders>
              <w:left w:val="single" w:color="auto" w:sz="4" w:space="0"/>
            </w:tcBorders>
            <w:vAlign w:val="center"/>
          </w:tcPr>
          <w:p w14:paraId="2821350D">
            <w:pPr>
              <w:spacing w:before="20" w:after="20"/>
              <w:ind w:right="113"/>
              <w:rPr>
                <w:rFonts w:ascii="宋体" w:hAnsi="宋体" w:cs="宋体"/>
                <w:szCs w:val="21"/>
              </w:rPr>
            </w:pPr>
          </w:p>
        </w:tc>
        <w:tc>
          <w:tcPr>
            <w:tcW w:w="903" w:type="dxa"/>
            <w:tcBorders>
              <w:right w:val="single" w:color="auto" w:sz="4" w:space="0"/>
            </w:tcBorders>
            <w:vAlign w:val="center"/>
          </w:tcPr>
          <w:p w14:paraId="65B32BDC">
            <w:pPr>
              <w:spacing w:before="20" w:after="20"/>
              <w:ind w:right="113"/>
              <w:rPr>
                <w:rFonts w:ascii="宋体" w:hAnsi="宋体" w:cs="宋体"/>
                <w:szCs w:val="21"/>
              </w:rPr>
            </w:pPr>
          </w:p>
        </w:tc>
        <w:tc>
          <w:tcPr>
            <w:tcW w:w="1115" w:type="dxa"/>
            <w:vAlign w:val="center"/>
          </w:tcPr>
          <w:p w14:paraId="7293CE67">
            <w:pPr>
              <w:spacing w:before="20" w:after="20"/>
              <w:ind w:right="113"/>
              <w:rPr>
                <w:rFonts w:ascii="宋体" w:hAnsi="宋体" w:cs="宋体"/>
                <w:szCs w:val="21"/>
              </w:rPr>
            </w:pPr>
          </w:p>
        </w:tc>
        <w:tc>
          <w:tcPr>
            <w:tcW w:w="850" w:type="dxa"/>
            <w:vAlign w:val="center"/>
          </w:tcPr>
          <w:p w14:paraId="27FBA7B3">
            <w:pPr>
              <w:spacing w:before="20" w:after="20"/>
              <w:ind w:right="113"/>
              <w:rPr>
                <w:rFonts w:ascii="宋体" w:hAnsi="宋体" w:cs="宋体"/>
                <w:szCs w:val="21"/>
              </w:rPr>
            </w:pPr>
          </w:p>
        </w:tc>
        <w:tc>
          <w:tcPr>
            <w:tcW w:w="709" w:type="dxa"/>
            <w:vAlign w:val="center"/>
          </w:tcPr>
          <w:p w14:paraId="4DC280BD">
            <w:pPr>
              <w:spacing w:before="20" w:after="20"/>
              <w:ind w:right="113"/>
              <w:rPr>
                <w:rFonts w:ascii="宋体" w:hAnsi="宋体" w:cs="宋体"/>
                <w:szCs w:val="21"/>
              </w:rPr>
            </w:pPr>
          </w:p>
        </w:tc>
        <w:tc>
          <w:tcPr>
            <w:tcW w:w="545" w:type="dxa"/>
            <w:vAlign w:val="center"/>
          </w:tcPr>
          <w:p w14:paraId="5B015476">
            <w:pPr>
              <w:spacing w:before="20" w:after="20"/>
              <w:ind w:right="113"/>
              <w:rPr>
                <w:rFonts w:ascii="宋体" w:hAnsi="宋体" w:cs="宋体"/>
                <w:szCs w:val="21"/>
              </w:rPr>
            </w:pPr>
          </w:p>
        </w:tc>
        <w:tc>
          <w:tcPr>
            <w:tcW w:w="1227" w:type="dxa"/>
            <w:vAlign w:val="center"/>
          </w:tcPr>
          <w:p w14:paraId="7A8DA7F8">
            <w:pPr>
              <w:spacing w:before="20" w:after="20"/>
              <w:ind w:right="113"/>
              <w:rPr>
                <w:rFonts w:ascii="宋体" w:hAnsi="宋体" w:cs="宋体"/>
                <w:szCs w:val="21"/>
              </w:rPr>
            </w:pPr>
          </w:p>
        </w:tc>
      </w:tr>
      <w:tr w14:paraId="4EFFF6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7D622E7E">
            <w:pPr>
              <w:spacing w:before="48" w:after="48"/>
              <w:jc w:val="center"/>
              <w:rPr>
                <w:rFonts w:ascii="宋体" w:hAnsi="宋体" w:cs="宋体"/>
                <w:szCs w:val="21"/>
              </w:rPr>
            </w:pPr>
          </w:p>
        </w:tc>
        <w:tc>
          <w:tcPr>
            <w:tcW w:w="709" w:type="dxa"/>
            <w:gridSpan w:val="2"/>
            <w:vAlign w:val="center"/>
          </w:tcPr>
          <w:p w14:paraId="51C869E4">
            <w:pPr>
              <w:spacing w:before="20" w:after="20"/>
              <w:ind w:right="113"/>
              <w:rPr>
                <w:rFonts w:ascii="宋体" w:hAnsi="宋体" w:cs="宋体"/>
                <w:szCs w:val="21"/>
              </w:rPr>
            </w:pPr>
          </w:p>
        </w:tc>
        <w:tc>
          <w:tcPr>
            <w:tcW w:w="851" w:type="dxa"/>
            <w:vAlign w:val="center"/>
          </w:tcPr>
          <w:p w14:paraId="3E851F97">
            <w:pPr>
              <w:spacing w:before="20" w:after="20"/>
              <w:ind w:right="113"/>
              <w:rPr>
                <w:rFonts w:ascii="宋体" w:hAnsi="宋体" w:cs="宋体"/>
                <w:szCs w:val="21"/>
              </w:rPr>
            </w:pPr>
          </w:p>
        </w:tc>
        <w:tc>
          <w:tcPr>
            <w:tcW w:w="708" w:type="dxa"/>
            <w:tcBorders>
              <w:right w:val="single" w:color="auto" w:sz="4" w:space="0"/>
            </w:tcBorders>
            <w:vAlign w:val="center"/>
          </w:tcPr>
          <w:p w14:paraId="1C7D3B76">
            <w:pPr>
              <w:spacing w:before="20" w:after="20"/>
              <w:ind w:right="113"/>
              <w:rPr>
                <w:rFonts w:ascii="宋体" w:hAnsi="宋体" w:cs="宋体"/>
                <w:szCs w:val="21"/>
              </w:rPr>
            </w:pPr>
          </w:p>
        </w:tc>
        <w:tc>
          <w:tcPr>
            <w:tcW w:w="709" w:type="dxa"/>
            <w:tcBorders>
              <w:left w:val="single" w:color="auto" w:sz="4" w:space="0"/>
            </w:tcBorders>
            <w:vAlign w:val="center"/>
          </w:tcPr>
          <w:p w14:paraId="5D70A8A0">
            <w:pPr>
              <w:spacing w:before="20" w:after="20"/>
              <w:ind w:right="113"/>
              <w:rPr>
                <w:rFonts w:ascii="宋体" w:hAnsi="宋体" w:cs="宋体"/>
                <w:szCs w:val="21"/>
              </w:rPr>
            </w:pPr>
          </w:p>
        </w:tc>
        <w:tc>
          <w:tcPr>
            <w:tcW w:w="903" w:type="dxa"/>
            <w:tcBorders>
              <w:right w:val="single" w:color="auto" w:sz="4" w:space="0"/>
            </w:tcBorders>
            <w:vAlign w:val="center"/>
          </w:tcPr>
          <w:p w14:paraId="27358D45">
            <w:pPr>
              <w:spacing w:before="20" w:after="20"/>
              <w:ind w:right="113"/>
              <w:rPr>
                <w:rFonts w:ascii="宋体" w:hAnsi="宋体" w:cs="宋体"/>
                <w:szCs w:val="21"/>
              </w:rPr>
            </w:pPr>
          </w:p>
        </w:tc>
        <w:tc>
          <w:tcPr>
            <w:tcW w:w="1115" w:type="dxa"/>
            <w:vAlign w:val="center"/>
          </w:tcPr>
          <w:p w14:paraId="6AACE446">
            <w:pPr>
              <w:spacing w:before="20" w:after="20"/>
              <w:ind w:right="113"/>
              <w:rPr>
                <w:rFonts w:ascii="宋体" w:hAnsi="宋体" w:cs="宋体"/>
                <w:szCs w:val="21"/>
              </w:rPr>
            </w:pPr>
          </w:p>
        </w:tc>
        <w:tc>
          <w:tcPr>
            <w:tcW w:w="850" w:type="dxa"/>
            <w:vAlign w:val="center"/>
          </w:tcPr>
          <w:p w14:paraId="153E52AA">
            <w:pPr>
              <w:spacing w:before="20" w:after="20"/>
              <w:ind w:right="113"/>
              <w:rPr>
                <w:rFonts w:ascii="宋体" w:hAnsi="宋体" w:cs="宋体"/>
                <w:szCs w:val="21"/>
              </w:rPr>
            </w:pPr>
          </w:p>
        </w:tc>
        <w:tc>
          <w:tcPr>
            <w:tcW w:w="709" w:type="dxa"/>
            <w:vAlign w:val="center"/>
          </w:tcPr>
          <w:p w14:paraId="5462904B">
            <w:pPr>
              <w:spacing w:before="20" w:after="20"/>
              <w:ind w:right="113"/>
              <w:rPr>
                <w:rFonts w:ascii="宋体" w:hAnsi="宋体" w:cs="宋体"/>
                <w:szCs w:val="21"/>
              </w:rPr>
            </w:pPr>
          </w:p>
        </w:tc>
        <w:tc>
          <w:tcPr>
            <w:tcW w:w="545" w:type="dxa"/>
            <w:vAlign w:val="center"/>
          </w:tcPr>
          <w:p w14:paraId="20CF4BAB">
            <w:pPr>
              <w:spacing w:before="20" w:after="20"/>
              <w:ind w:right="113"/>
              <w:rPr>
                <w:rFonts w:ascii="宋体" w:hAnsi="宋体" w:cs="宋体"/>
                <w:szCs w:val="21"/>
              </w:rPr>
            </w:pPr>
          </w:p>
        </w:tc>
        <w:tc>
          <w:tcPr>
            <w:tcW w:w="1227" w:type="dxa"/>
            <w:vAlign w:val="center"/>
          </w:tcPr>
          <w:p w14:paraId="76C1C4EC">
            <w:pPr>
              <w:spacing w:before="20" w:after="20"/>
              <w:ind w:right="113"/>
              <w:rPr>
                <w:rFonts w:ascii="宋体" w:hAnsi="宋体" w:cs="宋体"/>
                <w:szCs w:val="21"/>
              </w:rPr>
            </w:pPr>
          </w:p>
        </w:tc>
      </w:tr>
      <w:tr w14:paraId="68FF6C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tcBorders>
              <w:bottom w:val="single" w:color="auto" w:sz="4" w:space="0"/>
            </w:tcBorders>
            <w:vAlign w:val="center"/>
          </w:tcPr>
          <w:p w14:paraId="4637489B">
            <w:pPr>
              <w:spacing w:before="48" w:after="48"/>
              <w:jc w:val="center"/>
              <w:rPr>
                <w:rFonts w:ascii="宋体" w:hAnsi="宋体" w:cs="宋体"/>
                <w:szCs w:val="21"/>
              </w:rPr>
            </w:pPr>
          </w:p>
        </w:tc>
        <w:tc>
          <w:tcPr>
            <w:tcW w:w="709" w:type="dxa"/>
            <w:gridSpan w:val="2"/>
            <w:vAlign w:val="center"/>
          </w:tcPr>
          <w:p w14:paraId="5B2EE0B6">
            <w:pPr>
              <w:spacing w:before="20" w:after="20"/>
              <w:ind w:right="113"/>
              <w:rPr>
                <w:rFonts w:ascii="宋体" w:hAnsi="宋体" w:cs="宋体"/>
                <w:szCs w:val="21"/>
              </w:rPr>
            </w:pPr>
          </w:p>
        </w:tc>
        <w:tc>
          <w:tcPr>
            <w:tcW w:w="851" w:type="dxa"/>
            <w:vAlign w:val="center"/>
          </w:tcPr>
          <w:p w14:paraId="39529DCB">
            <w:pPr>
              <w:spacing w:before="20" w:after="20"/>
              <w:ind w:right="113"/>
              <w:rPr>
                <w:rFonts w:ascii="宋体" w:hAnsi="宋体" w:cs="宋体"/>
                <w:szCs w:val="21"/>
              </w:rPr>
            </w:pPr>
          </w:p>
        </w:tc>
        <w:tc>
          <w:tcPr>
            <w:tcW w:w="708" w:type="dxa"/>
            <w:tcBorders>
              <w:right w:val="single" w:color="auto" w:sz="4" w:space="0"/>
            </w:tcBorders>
            <w:vAlign w:val="center"/>
          </w:tcPr>
          <w:p w14:paraId="76306543">
            <w:pPr>
              <w:spacing w:before="20" w:after="20"/>
              <w:ind w:right="113"/>
              <w:rPr>
                <w:rFonts w:ascii="宋体" w:hAnsi="宋体" w:cs="宋体"/>
                <w:szCs w:val="21"/>
              </w:rPr>
            </w:pPr>
          </w:p>
        </w:tc>
        <w:tc>
          <w:tcPr>
            <w:tcW w:w="709" w:type="dxa"/>
            <w:tcBorders>
              <w:left w:val="single" w:color="auto" w:sz="4" w:space="0"/>
            </w:tcBorders>
            <w:vAlign w:val="center"/>
          </w:tcPr>
          <w:p w14:paraId="6BA82C71">
            <w:pPr>
              <w:spacing w:before="20" w:after="20"/>
              <w:ind w:right="113"/>
              <w:rPr>
                <w:rFonts w:ascii="宋体" w:hAnsi="宋体" w:cs="宋体"/>
                <w:szCs w:val="21"/>
              </w:rPr>
            </w:pPr>
          </w:p>
        </w:tc>
        <w:tc>
          <w:tcPr>
            <w:tcW w:w="903" w:type="dxa"/>
            <w:tcBorders>
              <w:right w:val="single" w:color="auto" w:sz="4" w:space="0"/>
            </w:tcBorders>
            <w:vAlign w:val="center"/>
          </w:tcPr>
          <w:p w14:paraId="351E45F0">
            <w:pPr>
              <w:spacing w:before="20" w:after="20"/>
              <w:ind w:right="113"/>
              <w:rPr>
                <w:rFonts w:ascii="宋体" w:hAnsi="宋体" w:cs="宋体"/>
                <w:szCs w:val="21"/>
              </w:rPr>
            </w:pPr>
          </w:p>
        </w:tc>
        <w:tc>
          <w:tcPr>
            <w:tcW w:w="1115" w:type="dxa"/>
            <w:vAlign w:val="center"/>
          </w:tcPr>
          <w:p w14:paraId="3D07D7B3">
            <w:pPr>
              <w:spacing w:before="20" w:after="20"/>
              <w:ind w:right="113"/>
              <w:rPr>
                <w:rFonts w:ascii="宋体" w:hAnsi="宋体" w:cs="宋体"/>
                <w:szCs w:val="21"/>
              </w:rPr>
            </w:pPr>
          </w:p>
        </w:tc>
        <w:tc>
          <w:tcPr>
            <w:tcW w:w="850" w:type="dxa"/>
            <w:vAlign w:val="center"/>
          </w:tcPr>
          <w:p w14:paraId="68E60C43">
            <w:pPr>
              <w:spacing w:before="20" w:after="20"/>
              <w:ind w:right="113"/>
              <w:rPr>
                <w:rFonts w:ascii="宋体" w:hAnsi="宋体" w:cs="宋体"/>
                <w:szCs w:val="21"/>
              </w:rPr>
            </w:pPr>
          </w:p>
        </w:tc>
        <w:tc>
          <w:tcPr>
            <w:tcW w:w="709" w:type="dxa"/>
            <w:vAlign w:val="center"/>
          </w:tcPr>
          <w:p w14:paraId="54D33E04">
            <w:pPr>
              <w:spacing w:before="20" w:after="20"/>
              <w:ind w:right="113"/>
              <w:rPr>
                <w:rFonts w:ascii="宋体" w:hAnsi="宋体" w:cs="宋体"/>
                <w:szCs w:val="21"/>
              </w:rPr>
            </w:pPr>
          </w:p>
        </w:tc>
        <w:tc>
          <w:tcPr>
            <w:tcW w:w="545" w:type="dxa"/>
            <w:vAlign w:val="center"/>
          </w:tcPr>
          <w:p w14:paraId="31B1C6C5">
            <w:pPr>
              <w:spacing w:before="20" w:after="20"/>
              <w:ind w:right="113"/>
              <w:rPr>
                <w:rFonts w:ascii="宋体" w:hAnsi="宋体" w:cs="宋体"/>
                <w:szCs w:val="21"/>
              </w:rPr>
            </w:pPr>
          </w:p>
        </w:tc>
        <w:tc>
          <w:tcPr>
            <w:tcW w:w="1227" w:type="dxa"/>
            <w:vAlign w:val="center"/>
          </w:tcPr>
          <w:p w14:paraId="5E632A2A">
            <w:pPr>
              <w:pStyle w:val="25"/>
            </w:pPr>
          </w:p>
        </w:tc>
      </w:tr>
      <w:tr w14:paraId="613081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2545769F">
            <w:pPr>
              <w:spacing w:before="48" w:after="48"/>
              <w:jc w:val="center"/>
              <w:rPr>
                <w:rFonts w:ascii="宋体" w:hAnsi="宋体" w:cs="仿宋_GB2312"/>
                <w:szCs w:val="21"/>
              </w:rPr>
            </w:pPr>
            <w:r>
              <w:rPr>
                <w:rFonts w:hint="eastAsia" w:ascii="宋体" w:hAnsi="宋体" w:cs="仿宋_GB2312"/>
                <w:szCs w:val="21"/>
              </w:rPr>
              <w:t>课程资源</w:t>
            </w:r>
          </w:p>
        </w:tc>
        <w:tc>
          <w:tcPr>
            <w:tcW w:w="8200" w:type="dxa"/>
            <w:gridSpan w:val="10"/>
          </w:tcPr>
          <w:p w14:paraId="4713E02B">
            <w:pPr>
              <w:widowControl/>
              <w:jc w:val="left"/>
              <w:rPr>
                <w:rFonts w:ascii="宋体" w:hAnsi="宋体" w:cs="仿宋_GB2312"/>
                <w:szCs w:val="21"/>
              </w:rPr>
            </w:pPr>
            <w:r>
              <w:rPr>
                <w:rFonts w:hint="eastAsia" w:ascii="宋体" w:hAnsi="宋体" w:cs="仿宋_GB2312"/>
                <w:szCs w:val="21"/>
              </w:rPr>
              <w:t>请简要说明拟开发和使用的资源。</w:t>
            </w:r>
          </w:p>
        </w:tc>
      </w:tr>
      <w:tr w14:paraId="75777C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79" w:hRule="atLeast"/>
          <w:jc w:val="center"/>
        </w:trPr>
        <w:tc>
          <w:tcPr>
            <w:tcW w:w="709" w:type="dxa"/>
            <w:gridSpan w:val="2"/>
            <w:vAlign w:val="center"/>
          </w:tcPr>
          <w:p w14:paraId="5F98D4BB">
            <w:pPr>
              <w:spacing w:before="48" w:after="48"/>
              <w:jc w:val="center"/>
              <w:rPr>
                <w:rFonts w:ascii="宋体" w:hAnsi="宋体" w:cs="仿宋_GB2312"/>
                <w:szCs w:val="21"/>
              </w:rPr>
            </w:pPr>
            <w:r>
              <w:rPr>
                <w:rFonts w:hint="eastAsia" w:ascii="宋体" w:hAnsi="宋体" w:cs="仿宋_GB2312"/>
                <w:szCs w:val="21"/>
              </w:rPr>
              <w:t>培训</w:t>
            </w:r>
          </w:p>
          <w:p w14:paraId="081EBA96">
            <w:pPr>
              <w:spacing w:before="48" w:after="48"/>
              <w:jc w:val="center"/>
              <w:rPr>
                <w:rFonts w:ascii="宋体" w:hAnsi="宋体" w:cs="仿宋_GB2312"/>
                <w:szCs w:val="21"/>
              </w:rPr>
            </w:pPr>
            <w:r>
              <w:rPr>
                <w:rFonts w:hint="eastAsia" w:ascii="宋体" w:hAnsi="宋体" w:cs="仿宋_GB2312"/>
                <w:szCs w:val="21"/>
              </w:rPr>
              <w:t>方式</w:t>
            </w:r>
          </w:p>
        </w:tc>
        <w:tc>
          <w:tcPr>
            <w:tcW w:w="8200" w:type="dxa"/>
            <w:gridSpan w:val="10"/>
          </w:tcPr>
          <w:p w14:paraId="3C3FAA37">
            <w:pPr>
              <w:spacing w:before="48" w:after="48"/>
              <w:rPr>
                <w:rFonts w:ascii="宋体" w:hAnsi="宋体" w:cs="仿宋_GB2312"/>
                <w:szCs w:val="21"/>
              </w:rPr>
            </w:pPr>
            <w:r>
              <w:rPr>
                <w:rFonts w:hint="eastAsia" w:ascii="宋体" w:hAnsi="宋体" w:cs="仿宋_GB2312"/>
                <w:szCs w:val="21"/>
              </w:rPr>
              <w:t>将培训方式与培训内容相结合，介绍本项目中拟采用的培训方式，如专题讲座、参与式培训、任务驱动、案例学习、名师示范课、听课评课、问题研讨、实地考察、跟岗培训和情景体验、真实课堂现场诊断等。</w:t>
            </w:r>
          </w:p>
        </w:tc>
      </w:tr>
      <w:tr w14:paraId="54D7C7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7580505C">
            <w:pPr>
              <w:spacing w:before="48" w:after="48"/>
              <w:jc w:val="center"/>
              <w:rPr>
                <w:rFonts w:ascii="宋体" w:hAnsi="宋体" w:cs="仿宋_GB2312"/>
                <w:szCs w:val="21"/>
              </w:rPr>
            </w:pPr>
            <w:r>
              <w:rPr>
                <w:rFonts w:hint="eastAsia" w:ascii="宋体" w:hAnsi="宋体" w:cs="仿宋_GB2312"/>
                <w:szCs w:val="21"/>
              </w:rPr>
              <w:t>考核</w:t>
            </w:r>
          </w:p>
          <w:p w14:paraId="4F0D3A99">
            <w:pPr>
              <w:spacing w:before="48" w:after="48"/>
              <w:jc w:val="center"/>
              <w:rPr>
                <w:rFonts w:ascii="宋体" w:hAnsi="宋体" w:cs="仿宋_GB2312"/>
                <w:szCs w:val="21"/>
              </w:rPr>
            </w:pPr>
            <w:r>
              <w:rPr>
                <w:rFonts w:hint="eastAsia" w:ascii="宋体" w:hAnsi="宋体" w:cs="仿宋_GB2312"/>
                <w:szCs w:val="21"/>
              </w:rPr>
              <w:t>评价</w:t>
            </w:r>
          </w:p>
        </w:tc>
        <w:tc>
          <w:tcPr>
            <w:tcW w:w="8200" w:type="dxa"/>
            <w:gridSpan w:val="10"/>
          </w:tcPr>
          <w:p w14:paraId="0E724BF1">
            <w:pPr>
              <w:spacing w:before="20" w:after="20"/>
              <w:jc w:val="left"/>
              <w:rPr>
                <w:rFonts w:ascii="宋体" w:hAnsi="宋体" w:cs="仿宋_GB2312"/>
                <w:szCs w:val="21"/>
              </w:rPr>
            </w:pPr>
            <w:r>
              <w:rPr>
                <w:rFonts w:hint="eastAsia" w:ascii="宋体" w:hAnsi="宋体" w:cs="仿宋_GB2312"/>
                <w:szCs w:val="21"/>
              </w:rPr>
              <w:t>请着重阐释本项目对学员的考核评估要求，如果设计了绩效考核任务，也需在此陈述。</w:t>
            </w:r>
          </w:p>
        </w:tc>
      </w:tr>
      <w:tr w14:paraId="7C98EE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56B8957A">
            <w:pPr>
              <w:spacing w:before="48" w:after="48"/>
              <w:jc w:val="center"/>
              <w:rPr>
                <w:rFonts w:ascii="宋体" w:hAnsi="宋体" w:cs="仿宋_GB2312"/>
                <w:szCs w:val="21"/>
              </w:rPr>
            </w:pPr>
            <w:r>
              <w:rPr>
                <w:rFonts w:hint="eastAsia" w:ascii="宋体" w:hAnsi="宋体" w:cs="仿宋_GB2312"/>
                <w:szCs w:val="21"/>
              </w:rPr>
              <w:t>网络研修</w:t>
            </w:r>
          </w:p>
        </w:tc>
        <w:tc>
          <w:tcPr>
            <w:tcW w:w="8200" w:type="dxa"/>
            <w:gridSpan w:val="10"/>
          </w:tcPr>
          <w:p w14:paraId="14CB013E">
            <w:pPr>
              <w:spacing w:before="20" w:after="20"/>
              <w:jc w:val="left"/>
              <w:rPr>
                <w:rFonts w:ascii="宋体" w:hAnsi="宋体" w:cs="仿宋_GB2312"/>
                <w:szCs w:val="21"/>
              </w:rPr>
            </w:pPr>
            <w:r>
              <w:rPr>
                <w:rFonts w:hint="eastAsia" w:ascii="宋体" w:hAnsi="宋体" w:cs="仿宋_GB2312"/>
                <w:szCs w:val="21"/>
              </w:rPr>
              <w:t>请</w:t>
            </w:r>
            <w:r>
              <w:rPr>
                <w:rFonts w:hint="eastAsia" w:ascii="宋体" w:hAnsi="宋体" w:cs="仿宋_GB2312"/>
                <w:kern w:val="0"/>
                <w:szCs w:val="21"/>
              </w:rPr>
              <w:t>说明利用教师网络研修社区</w:t>
            </w:r>
            <w:r>
              <w:rPr>
                <w:rFonts w:hint="eastAsia" w:ascii="宋体" w:hAnsi="宋体" w:cs="仿宋_GB2312"/>
                <w:szCs w:val="21"/>
              </w:rPr>
              <w:t>（可为自建平台、购买服务或开放平台）</w:t>
            </w:r>
            <w:r>
              <w:rPr>
                <w:rFonts w:hint="eastAsia" w:ascii="宋体" w:hAnsi="宋体" w:cs="仿宋_GB2312"/>
                <w:kern w:val="0"/>
                <w:szCs w:val="21"/>
              </w:rPr>
              <w:t>在培训过程与训后跟踪指导中的应用路径与工作安排</w:t>
            </w:r>
            <w:r>
              <w:rPr>
                <w:rFonts w:ascii="宋体" w:hAnsi="宋体" w:cs="仿宋_GB2312"/>
                <w:szCs w:val="21"/>
              </w:rPr>
              <w:t>。</w:t>
            </w:r>
          </w:p>
        </w:tc>
      </w:tr>
      <w:tr w14:paraId="05D323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42" w:hRule="atLeast"/>
          <w:jc w:val="center"/>
        </w:trPr>
        <w:tc>
          <w:tcPr>
            <w:tcW w:w="709" w:type="dxa"/>
            <w:gridSpan w:val="2"/>
            <w:vAlign w:val="center"/>
          </w:tcPr>
          <w:p w14:paraId="784189E2">
            <w:pPr>
              <w:spacing w:before="48" w:after="48"/>
              <w:jc w:val="center"/>
              <w:rPr>
                <w:rFonts w:ascii="宋体" w:hAnsi="宋体" w:cs="仿宋_GB2312"/>
                <w:szCs w:val="21"/>
              </w:rPr>
            </w:pPr>
            <w:r>
              <w:rPr>
                <w:rFonts w:hint="eastAsia" w:ascii="宋体" w:hAnsi="宋体" w:cs="仿宋_GB2312"/>
                <w:szCs w:val="21"/>
              </w:rPr>
              <w:t>跟踪</w:t>
            </w:r>
          </w:p>
          <w:p w14:paraId="16E3CAEC">
            <w:pPr>
              <w:spacing w:before="48" w:after="48"/>
              <w:jc w:val="center"/>
              <w:rPr>
                <w:rFonts w:ascii="宋体" w:hAnsi="宋体" w:cs="仿宋_GB2312"/>
                <w:szCs w:val="21"/>
              </w:rPr>
            </w:pPr>
            <w:r>
              <w:rPr>
                <w:rFonts w:hint="eastAsia" w:ascii="宋体" w:hAnsi="宋体" w:cs="仿宋_GB2312"/>
                <w:szCs w:val="21"/>
              </w:rPr>
              <w:t>指导</w:t>
            </w:r>
          </w:p>
        </w:tc>
        <w:tc>
          <w:tcPr>
            <w:tcW w:w="8200" w:type="dxa"/>
            <w:gridSpan w:val="10"/>
          </w:tcPr>
          <w:p w14:paraId="70A47411">
            <w:pPr>
              <w:widowControl/>
              <w:spacing w:before="48" w:beforeLines="20" w:after="48" w:afterLines="20"/>
              <w:jc w:val="left"/>
              <w:rPr>
                <w:rFonts w:ascii="宋体" w:hAnsi="宋体" w:cs="仿宋_GB2312"/>
                <w:szCs w:val="21"/>
              </w:rPr>
            </w:pPr>
            <w:r>
              <w:rPr>
                <w:rFonts w:hint="eastAsia" w:ascii="宋体" w:hAnsi="宋体" w:cs="仿宋_GB2312"/>
                <w:szCs w:val="21"/>
              </w:rPr>
              <w:t>请简要介绍本项目将对学员采用的训后跟踪指导的手段、方式和方法。</w:t>
            </w:r>
          </w:p>
          <w:p w14:paraId="6BAA2C4B">
            <w:pPr>
              <w:spacing w:before="20" w:after="20"/>
              <w:jc w:val="left"/>
              <w:rPr>
                <w:rFonts w:ascii="宋体" w:hAnsi="宋体" w:cs="仿宋_GB2312"/>
                <w:szCs w:val="21"/>
              </w:rPr>
            </w:pPr>
          </w:p>
        </w:tc>
      </w:tr>
      <w:tr w14:paraId="421905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2" w:hRule="atLeast"/>
          <w:jc w:val="center"/>
        </w:trPr>
        <w:tc>
          <w:tcPr>
            <w:tcW w:w="709" w:type="dxa"/>
            <w:gridSpan w:val="2"/>
            <w:vAlign w:val="center"/>
          </w:tcPr>
          <w:p w14:paraId="78D74BCF">
            <w:pPr>
              <w:spacing w:before="48" w:after="48"/>
              <w:jc w:val="center"/>
              <w:rPr>
                <w:rFonts w:ascii="宋体" w:hAnsi="宋体" w:cs="仿宋_GB2312"/>
                <w:szCs w:val="21"/>
              </w:rPr>
            </w:pPr>
            <w:r>
              <w:rPr>
                <w:rFonts w:hint="eastAsia" w:ascii="宋体" w:hAnsi="宋体" w:cs="仿宋_GB2312"/>
                <w:szCs w:val="21"/>
              </w:rPr>
              <w:t>培训师资</w:t>
            </w:r>
          </w:p>
        </w:tc>
        <w:tc>
          <w:tcPr>
            <w:tcW w:w="8200" w:type="dxa"/>
            <w:gridSpan w:val="10"/>
          </w:tcPr>
          <w:p w14:paraId="4F3A6394">
            <w:pPr>
              <w:widowControl/>
              <w:jc w:val="left"/>
              <w:rPr>
                <w:rFonts w:ascii="宋体" w:hAnsi="宋体" w:cs="仿宋_GB2312"/>
                <w:szCs w:val="21"/>
              </w:rPr>
            </w:pPr>
            <w:r>
              <w:rPr>
                <w:rFonts w:hint="eastAsia" w:ascii="宋体" w:hAnsi="宋体" w:cs="仿宋_GB2312"/>
                <w:szCs w:val="21"/>
              </w:rPr>
              <w:t>请</w:t>
            </w:r>
            <w:r>
              <w:rPr>
                <w:rFonts w:ascii="宋体" w:hAnsi="宋体" w:cs="仿宋_GB2312"/>
                <w:szCs w:val="21"/>
              </w:rPr>
              <w:t>简要说明培训师资</w:t>
            </w:r>
            <w:r>
              <w:rPr>
                <w:rFonts w:hint="eastAsia" w:ascii="宋体" w:hAnsi="宋体" w:cs="仿宋_GB2312"/>
                <w:szCs w:val="21"/>
              </w:rPr>
              <w:t>构成情况</w:t>
            </w:r>
            <w:r>
              <w:rPr>
                <w:rFonts w:ascii="宋体" w:hAnsi="宋体" w:cs="仿宋_GB2312"/>
                <w:szCs w:val="21"/>
              </w:rPr>
              <w:t>。</w:t>
            </w:r>
          </w:p>
        </w:tc>
      </w:tr>
      <w:tr w14:paraId="50943D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2" w:hRule="atLeast"/>
          <w:jc w:val="center"/>
        </w:trPr>
        <w:tc>
          <w:tcPr>
            <w:tcW w:w="709" w:type="dxa"/>
            <w:gridSpan w:val="2"/>
            <w:vAlign w:val="center"/>
          </w:tcPr>
          <w:p w14:paraId="4399C532">
            <w:pPr>
              <w:spacing w:before="48" w:after="48"/>
              <w:jc w:val="center"/>
              <w:rPr>
                <w:rFonts w:ascii="宋体" w:hAnsi="宋体" w:cs="仿宋_GB2312"/>
                <w:szCs w:val="21"/>
              </w:rPr>
            </w:pPr>
            <w:r>
              <w:rPr>
                <w:rFonts w:hint="eastAsia" w:ascii="宋体" w:hAnsi="宋体" w:cs="仿宋_GB2312"/>
                <w:szCs w:val="21"/>
              </w:rPr>
              <w:t>管理团队</w:t>
            </w:r>
          </w:p>
        </w:tc>
        <w:tc>
          <w:tcPr>
            <w:tcW w:w="8200" w:type="dxa"/>
            <w:gridSpan w:val="10"/>
          </w:tcPr>
          <w:p w14:paraId="7E3E3D93">
            <w:pPr>
              <w:widowControl/>
              <w:jc w:val="left"/>
              <w:rPr>
                <w:rFonts w:ascii="宋体" w:hAnsi="宋体" w:cs="仿宋_GB2312"/>
                <w:szCs w:val="21"/>
              </w:rPr>
            </w:pPr>
            <w:r>
              <w:rPr>
                <w:rFonts w:hint="eastAsia" w:ascii="宋体" w:hAnsi="宋体" w:cs="仿宋_GB2312"/>
                <w:szCs w:val="21"/>
              </w:rPr>
              <w:t>请</w:t>
            </w:r>
            <w:r>
              <w:rPr>
                <w:rFonts w:ascii="宋体" w:hAnsi="宋体" w:cs="仿宋_GB2312"/>
                <w:szCs w:val="21"/>
              </w:rPr>
              <w:t>简要说明培训</w:t>
            </w:r>
            <w:r>
              <w:rPr>
                <w:rFonts w:hint="eastAsia" w:ascii="宋体" w:hAnsi="宋体" w:cs="仿宋_GB2312"/>
                <w:szCs w:val="21"/>
              </w:rPr>
              <w:t>管理团队构成情况</w:t>
            </w:r>
            <w:r>
              <w:rPr>
                <w:rFonts w:ascii="宋体" w:hAnsi="宋体" w:cs="仿宋_GB2312"/>
                <w:szCs w:val="21"/>
              </w:rPr>
              <w:t>。</w:t>
            </w:r>
          </w:p>
        </w:tc>
      </w:tr>
      <w:tr w14:paraId="714C71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53" w:hRule="atLeast"/>
          <w:jc w:val="center"/>
        </w:trPr>
        <w:tc>
          <w:tcPr>
            <w:tcW w:w="709" w:type="dxa"/>
            <w:gridSpan w:val="2"/>
            <w:vAlign w:val="center"/>
          </w:tcPr>
          <w:p w14:paraId="293B481D">
            <w:pPr>
              <w:spacing w:before="48" w:after="48"/>
              <w:jc w:val="center"/>
              <w:rPr>
                <w:rFonts w:ascii="宋体" w:hAnsi="宋体" w:cs="仿宋_GB2312"/>
                <w:szCs w:val="21"/>
              </w:rPr>
            </w:pPr>
            <w:r>
              <w:rPr>
                <w:rFonts w:hint="eastAsia" w:ascii="宋体" w:hAnsi="宋体" w:cs="仿宋_GB2312"/>
                <w:szCs w:val="21"/>
              </w:rPr>
              <w:t>实践跟岗基地</w:t>
            </w:r>
          </w:p>
        </w:tc>
        <w:tc>
          <w:tcPr>
            <w:tcW w:w="8200" w:type="dxa"/>
            <w:gridSpan w:val="10"/>
          </w:tcPr>
          <w:p w14:paraId="6C27428A">
            <w:pPr>
              <w:widowControl/>
              <w:jc w:val="left"/>
              <w:rPr>
                <w:rFonts w:ascii="宋体" w:hAnsi="宋体" w:cs="仿宋_GB2312"/>
                <w:szCs w:val="21"/>
              </w:rPr>
            </w:pPr>
            <w:r>
              <w:rPr>
                <w:rFonts w:hint="eastAsia" w:ascii="宋体" w:hAnsi="宋体" w:cs="仿宋_GB2312"/>
                <w:szCs w:val="21"/>
              </w:rPr>
              <w:t>请简要介绍供学员进行教学观摩、跟岗实践的实践基地。</w:t>
            </w:r>
          </w:p>
        </w:tc>
      </w:tr>
      <w:tr w14:paraId="397D73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4" w:hRule="atLeast"/>
          <w:jc w:val="center"/>
        </w:trPr>
        <w:tc>
          <w:tcPr>
            <w:tcW w:w="709" w:type="dxa"/>
            <w:gridSpan w:val="2"/>
            <w:vAlign w:val="center"/>
          </w:tcPr>
          <w:p w14:paraId="560E4472">
            <w:pPr>
              <w:spacing w:before="48" w:after="48" w:line="440" w:lineRule="exact"/>
              <w:jc w:val="center"/>
              <w:rPr>
                <w:rFonts w:ascii="宋体" w:hAnsi="宋体" w:cs="仿宋_GB2312"/>
                <w:szCs w:val="21"/>
              </w:rPr>
            </w:pPr>
            <w:r>
              <w:rPr>
                <w:rFonts w:hint="eastAsia" w:ascii="宋体" w:hAnsi="宋体" w:cs="仿宋_GB2312"/>
                <w:szCs w:val="21"/>
              </w:rPr>
              <w:t>后勤保障</w:t>
            </w:r>
          </w:p>
        </w:tc>
        <w:tc>
          <w:tcPr>
            <w:tcW w:w="8200" w:type="dxa"/>
            <w:gridSpan w:val="10"/>
          </w:tcPr>
          <w:p w14:paraId="23E372B2">
            <w:pPr>
              <w:spacing w:before="48" w:after="48" w:line="440" w:lineRule="exact"/>
              <w:rPr>
                <w:rFonts w:ascii="宋体" w:hAnsi="宋体" w:cs="仿宋_GB2312"/>
                <w:szCs w:val="21"/>
              </w:rPr>
            </w:pPr>
            <w:r>
              <w:rPr>
                <w:rFonts w:hint="eastAsia" w:ascii="宋体" w:hAnsi="宋体" w:cs="仿宋_GB2312"/>
                <w:szCs w:val="21"/>
              </w:rPr>
              <w:t>请说明组织管理、教学条件、食宿条件等安排设想。</w:t>
            </w:r>
          </w:p>
          <w:p w14:paraId="777BEE9B">
            <w:pPr>
              <w:spacing w:before="48" w:after="48" w:line="440" w:lineRule="exact"/>
              <w:rPr>
                <w:rFonts w:ascii="宋体" w:hAnsi="宋体" w:cs="仿宋_GB2312"/>
                <w:szCs w:val="21"/>
              </w:rPr>
            </w:pPr>
          </w:p>
          <w:p w14:paraId="46202C63">
            <w:pPr>
              <w:keepNext/>
              <w:keepLines/>
              <w:spacing w:before="48" w:after="48" w:line="440" w:lineRule="exact"/>
              <w:rPr>
                <w:rFonts w:ascii="宋体" w:hAnsi="宋体" w:cs="仿宋_GB2312"/>
                <w:szCs w:val="21"/>
              </w:rPr>
            </w:pPr>
          </w:p>
        </w:tc>
      </w:tr>
      <w:tr w14:paraId="306A2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12" w:hRule="atLeast"/>
          <w:jc w:val="center"/>
        </w:trPr>
        <w:tc>
          <w:tcPr>
            <w:tcW w:w="709" w:type="dxa"/>
            <w:gridSpan w:val="2"/>
            <w:vAlign w:val="center"/>
          </w:tcPr>
          <w:p w14:paraId="5E8DDE5E">
            <w:pPr>
              <w:spacing w:before="48" w:after="48" w:line="440" w:lineRule="exact"/>
              <w:jc w:val="center"/>
              <w:rPr>
                <w:rFonts w:ascii="宋体" w:hAnsi="宋体" w:cs="仿宋_GB2312"/>
                <w:sz w:val="24"/>
              </w:rPr>
            </w:pPr>
            <w:r>
              <w:rPr>
                <w:rFonts w:hint="eastAsia" w:ascii="宋体" w:hAnsi="宋体" w:cs="仿宋_GB2312"/>
                <w:sz w:val="24"/>
              </w:rPr>
              <w:t>特色与创新</w:t>
            </w:r>
          </w:p>
        </w:tc>
        <w:tc>
          <w:tcPr>
            <w:tcW w:w="8200" w:type="dxa"/>
            <w:gridSpan w:val="10"/>
          </w:tcPr>
          <w:p w14:paraId="6C31002D">
            <w:pPr>
              <w:spacing w:before="20" w:after="20" w:line="440" w:lineRule="exact"/>
              <w:jc w:val="left"/>
              <w:rPr>
                <w:rFonts w:ascii="宋体" w:hAnsi="宋体" w:cs="仿宋_GB2312"/>
                <w:sz w:val="24"/>
              </w:rPr>
            </w:pPr>
            <w:r>
              <w:rPr>
                <w:rFonts w:hint="eastAsia" w:ascii="宋体" w:hAnsi="宋体"/>
                <w:sz w:val="24"/>
              </w:rPr>
              <w:t>请简要阐述培训的亮点、特色、创新之处。</w:t>
            </w:r>
          </w:p>
        </w:tc>
      </w:tr>
    </w:tbl>
    <w:p w14:paraId="01206824">
      <w:pPr>
        <w:widowControl/>
        <w:ind w:firstLine="560" w:firstLineChars="200"/>
        <w:jc w:val="left"/>
        <w:rPr>
          <w:rFonts w:eastAsia="黑体"/>
          <w:sz w:val="28"/>
          <w:szCs w:val="28"/>
        </w:rPr>
      </w:pPr>
      <w:r>
        <w:rPr>
          <w:rFonts w:hint="eastAsia" w:eastAsia="黑体"/>
          <w:sz w:val="28"/>
          <w:szCs w:val="28"/>
        </w:rPr>
        <w:t>三、申请单位意见</w:t>
      </w:r>
    </w:p>
    <w:tbl>
      <w:tblPr>
        <w:tblStyle w:val="34"/>
        <w:tblW w:w="8638" w:type="dxa"/>
        <w:jc w:val="center"/>
        <w:tblLayout w:type="fixed"/>
        <w:tblCellMar>
          <w:top w:w="0" w:type="dxa"/>
          <w:left w:w="108" w:type="dxa"/>
          <w:bottom w:w="0" w:type="dxa"/>
          <w:right w:w="108" w:type="dxa"/>
        </w:tblCellMar>
      </w:tblPr>
      <w:tblGrid>
        <w:gridCol w:w="709"/>
        <w:gridCol w:w="7929"/>
      </w:tblGrid>
      <w:tr w14:paraId="4DBAB206">
        <w:tblPrEx>
          <w:tblCellMar>
            <w:top w:w="0" w:type="dxa"/>
            <w:left w:w="108" w:type="dxa"/>
            <w:bottom w:w="0" w:type="dxa"/>
            <w:right w:w="108" w:type="dxa"/>
          </w:tblCellMar>
        </w:tblPrEx>
        <w:trPr>
          <w:trHeight w:val="380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5B0FAA4">
            <w:pPr>
              <w:spacing w:before="48" w:after="48"/>
              <w:jc w:val="center"/>
              <w:rPr>
                <w:rFonts w:ascii="宋体" w:hAnsi="宋体" w:cs="仿宋_GB2312"/>
                <w:b/>
                <w:szCs w:val="21"/>
              </w:rPr>
            </w:pPr>
            <w:r>
              <w:rPr>
                <w:rFonts w:hint="eastAsia" w:ascii="宋体" w:hAnsi="宋体" w:cs="仿宋_GB2312"/>
                <w:b/>
                <w:szCs w:val="21"/>
              </w:rPr>
              <w:t>申请单位</w:t>
            </w:r>
          </w:p>
          <w:p w14:paraId="58FF7482">
            <w:pPr>
              <w:spacing w:before="48" w:after="48"/>
              <w:jc w:val="center"/>
              <w:rPr>
                <w:rFonts w:ascii="宋体" w:hAnsi="宋体" w:cs="仿宋_GB2312"/>
                <w:szCs w:val="21"/>
              </w:rPr>
            </w:pPr>
            <w:r>
              <w:rPr>
                <w:rFonts w:hint="eastAsia" w:ascii="宋体" w:hAnsi="宋体" w:cs="仿宋_GB2312"/>
                <w:b/>
                <w:szCs w:val="21"/>
              </w:rPr>
              <w:t>意见</w:t>
            </w:r>
          </w:p>
        </w:tc>
        <w:tc>
          <w:tcPr>
            <w:tcW w:w="7929" w:type="dxa"/>
            <w:tcBorders>
              <w:top w:val="single" w:color="auto" w:sz="4" w:space="0"/>
              <w:left w:val="single" w:color="auto" w:sz="4" w:space="0"/>
              <w:bottom w:val="single" w:color="auto" w:sz="4" w:space="0"/>
              <w:right w:val="single" w:color="auto" w:sz="4" w:space="0"/>
            </w:tcBorders>
          </w:tcPr>
          <w:p w14:paraId="3F631B0C">
            <w:pPr>
              <w:rPr>
                <w:rFonts w:ascii="宋体" w:hAnsi="宋体" w:cs="仿宋_GB2312"/>
                <w:szCs w:val="21"/>
              </w:rPr>
            </w:pPr>
            <w:r>
              <w:rPr>
                <w:rFonts w:hint="eastAsia" w:ascii="宋体" w:hAnsi="宋体" w:cs="仿宋_GB2312"/>
                <w:szCs w:val="21"/>
              </w:rPr>
              <w:t>申请单位对实施本项目的承诺等。</w:t>
            </w:r>
          </w:p>
          <w:p w14:paraId="7F72AEE9">
            <w:pPr>
              <w:keepNext/>
              <w:keepLines/>
              <w:spacing w:before="48" w:after="48" w:line="416" w:lineRule="auto"/>
              <w:rPr>
                <w:rFonts w:ascii="宋体" w:hAnsi="宋体" w:cs="仿宋_GB2312"/>
                <w:szCs w:val="21"/>
              </w:rPr>
            </w:pPr>
          </w:p>
          <w:p w14:paraId="25FBC7EC">
            <w:pPr>
              <w:keepNext/>
              <w:keepLines/>
              <w:spacing w:before="48" w:after="48" w:line="416" w:lineRule="auto"/>
              <w:ind w:firstLine="4200" w:firstLineChars="2000"/>
              <w:rPr>
                <w:rFonts w:ascii="宋体" w:hAnsi="宋体" w:cs="仿宋_GB2312"/>
                <w:szCs w:val="21"/>
              </w:rPr>
            </w:pPr>
          </w:p>
          <w:p w14:paraId="44860096">
            <w:pPr>
              <w:keepNext/>
              <w:keepLines/>
              <w:spacing w:before="48" w:after="48" w:line="416" w:lineRule="auto"/>
              <w:ind w:firstLine="4200" w:firstLineChars="2000"/>
              <w:rPr>
                <w:rFonts w:ascii="宋体" w:hAnsi="宋体" w:cs="仿宋_GB2312"/>
                <w:szCs w:val="21"/>
              </w:rPr>
            </w:pPr>
          </w:p>
          <w:p w14:paraId="5B0ED46C">
            <w:pPr>
              <w:keepNext/>
              <w:keepLines/>
              <w:spacing w:before="48" w:after="48" w:line="416" w:lineRule="auto"/>
              <w:ind w:firstLine="4200" w:firstLineChars="2000"/>
              <w:rPr>
                <w:rFonts w:ascii="宋体" w:hAnsi="宋体" w:cs="仿宋_GB2312"/>
                <w:szCs w:val="21"/>
              </w:rPr>
            </w:pPr>
          </w:p>
          <w:p w14:paraId="32F39D5E">
            <w:pPr>
              <w:widowControl/>
              <w:spacing w:before="48" w:after="48"/>
              <w:ind w:firstLine="3675" w:firstLineChars="1750"/>
              <w:jc w:val="left"/>
              <w:rPr>
                <w:rFonts w:ascii="宋体" w:hAnsi="宋体" w:cs="仿宋_GB2312"/>
                <w:szCs w:val="21"/>
              </w:rPr>
            </w:pPr>
            <w:r>
              <w:rPr>
                <w:rFonts w:ascii="宋体" w:hAnsi="宋体" w:cs="仿宋_GB2312"/>
                <w:szCs w:val="21"/>
              </w:rPr>
              <w:t xml:space="preserve">  负责人签名：              </w:t>
            </w:r>
          </w:p>
          <w:p w14:paraId="4766DE3C">
            <w:pPr>
              <w:spacing w:before="48" w:after="48"/>
              <w:ind w:firstLine="4305" w:firstLineChars="2050"/>
              <w:rPr>
                <w:rFonts w:ascii="宋体" w:hAnsi="宋体" w:cs="仿宋_GB2312"/>
                <w:szCs w:val="21"/>
              </w:rPr>
            </w:pPr>
            <w:r>
              <w:rPr>
                <w:rFonts w:hint="eastAsia" w:ascii="宋体" w:hAnsi="宋体" w:cs="仿宋_GB2312"/>
                <w:szCs w:val="21"/>
              </w:rPr>
              <w:t>（单位公章）</w:t>
            </w:r>
          </w:p>
          <w:p w14:paraId="3C5F4CF6">
            <w:pPr>
              <w:widowControl/>
              <w:spacing w:before="48" w:after="48"/>
              <w:ind w:firstLine="3255" w:firstLineChars="1550"/>
              <w:jc w:val="center"/>
              <w:rPr>
                <w:rFonts w:ascii="宋体" w:hAnsi="宋体" w:cs="仿宋_GB2312"/>
                <w:szCs w:val="21"/>
              </w:rPr>
            </w:pPr>
            <w:r>
              <w:rPr>
                <w:rFonts w:hint="eastAsia" w:ascii="宋体" w:hAnsi="宋体" w:cs="仿宋_GB2312"/>
                <w:szCs w:val="21"/>
              </w:rPr>
              <w:t>年月日</w:t>
            </w:r>
          </w:p>
        </w:tc>
      </w:tr>
      <w:bookmarkEnd w:id="163"/>
      <w:bookmarkEnd w:id="164"/>
      <w:bookmarkEnd w:id="165"/>
      <w:bookmarkEnd w:id="166"/>
    </w:tbl>
    <w:p w14:paraId="4B30E098">
      <w:pPr>
        <w:pStyle w:val="5"/>
        <w:spacing w:before="0" w:after="0" w:line="460" w:lineRule="exact"/>
        <w:jc w:val="center"/>
        <w:rPr>
          <w:rFonts w:hint="eastAsia" w:ascii="宋体" w:hAnsi="宋体" w:cs="仿宋_GB2312"/>
          <w:color w:val="auto"/>
          <w:highlight w:val="none"/>
        </w:rPr>
      </w:pPr>
      <w:bookmarkStart w:id="170" w:name="_Toc22323"/>
      <w:bookmarkStart w:id="171" w:name="_Toc6585"/>
      <w:bookmarkStart w:id="172" w:name="_Toc25754"/>
      <w:bookmarkStart w:id="173" w:name="_Toc22260"/>
      <w:bookmarkStart w:id="174" w:name="_Toc4019"/>
    </w:p>
    <w:p w14:paraId="6726E345">
      <w:pPr>
        <w:pStyle w:val="5"/>
        <w:spacing w:before="0" w:after="0" w:line="460" w:lineRule="exact"/>
        <w:jc w:val="center"/>
        <w:rPr>
          <w:rFonts w:hint="eastAsia" w:ascii="宋体" w:hAnsi="宋体" w:cs="仿宋_GB2312"/>
          <w:color w:val="auto"/>
          <w:highlight w:val="none"/>
        </w:rPr>
      </w:pPr>
    </w:p>
    <w:p w14:paraId="657F891F">
      <w:pPr>
        <w:pStyle w:val="5"/>
        <w:spacing w:before="0" w:after="0" w:line="460" w:lineRule="exact"/>
        <w:jc w:val="center"/>
        <w:rPr>
          <w:rFonts w:hint="eastAsia" w:ascii="宋体" w:hAnsi="宋体" w:cs="仿宋_GB2312"/>
          <w:color w:val="auto"/>
          <w:highlight w:val="none"/>
        </w:rPr>
      </w:pPr>
    </w:p>
    <w:p w14:paraId="4BED0B0D">
      <w:pPr>
        <w:pStyle w:val="5"/>
        <w:spacing w:before="0" w:after="0" w:line="460" w:lineRule="exact"/>
        <w:jc w:val="center"/>
        <w:rPr>
          <w:rFonts w:hint="eastAsia" w:ascii="宋体" w:hAnsi="宋体" w:cs="仿宋_GB2312"/>
          <w:color w:val="auto"/>
          <w:highlight w:val="none"/>
        </w:rPr>
      </w:pPr>
    </w:p>
    <w:p w14:paraId="0953B031">
      <w:pPr>
        <w:pStyle w:val="5"/>
        <w:spacing w:before="0" w:after="0" w:line="460" w:lineRule="exact"/>
        <w:jc w:val="center"/>
        <w:rPr>
          <w:rFonts w:hint="eastAsia" w:ascii="宋体" w:hAnsi="宋体" w:cs="仿宋_GB2312"/>
          <w:color w:val="auto"/>
          <w:highlight w:val="none"/>
        </w:rPr>
      </w:pPr>
    </w:p>
    <w:p w14:paraId="0807D815">
      <w:pPr>
        <w:pStyle w:val="5"/>
        <w:spacing w:before="0" w:after="0" w:line="460" w:lineRule="exact"/>
        <w:jc w:val="center"/>
        <w:rPr>
          <w:rFonts w:hint="eastAsia" w:ascii="宋体" w:hAnsi="宋体" w:cs="仿宋_GB2312"/>
          <w:color w:val="auto"/>
          <w:highlight w:val="none"/>
        </w:rPr>
      </w:pPr>
    </w:p>
    <w:p w14:paraId="1290EA44">
      <w:pPr>
        <w:pStyle w:val="5"/>
        <w:spacing w:before="0" w:after="0" w:line="460" w:lineRule="exact"/>
        <w:jc w:val="center"/>
        <w:rPr>
          <w:rFonts w:hint="eastAsia" w:ascii="宋体" w:hAnsi="宋体" w:cs="仿宋_GB2312"/>
          <w:color w:val="auto"/>
          <w:highlight w:val="none"/>
        </w:rPr>
      </w:pPr>
    </w:p>
    <w:p w14:paraId="59CF5668">
      <w:pPr>
        <w:pStyle w:val="5"/>
        <w:spacing w:before="0" w:after="0" w:line="460" w:lineRule="exact"/>
        <w:jc w:val="center"/>
        <w:rPr>
          <w:rFonts w:hint="eastAsia" w:ascii="宋体" w:hAnsi="宋体" w:cs="仿宋_GB2312"/>
          <w:color w:val="auto"/>
          <w:highlight w:val="none"/>
        </w:rPr>
      </w:pPr>
    </w:p>
    <w:p w14:paraId="4E871E7B">
      <w:pPr>
        <w:pStyle w:val="5"/>
        <w:spacing w:before="0" w:after="0" w:line="460" w:lineRule="exact"/>
        <w:jc w:val="center"/>
        <w:rPr>
          <w:rFonts w:hint="eastAsia" w:ascii="宋体" w:hAnsi="宋体" w:cs="仿宋_GB2312"/>
          <w:color w:val="auto"/>
          <w:highlight w:val="none"/>
        </w:rPr>
      </w:pPr>
    </w:p>
    <w:p w14:paraId="271F7733">
      <w:pPr>
        <w:pStyle w:val="5"/>
        <w:spacing w:before="0" w:after="0" w:line="460" w:lineRule="exact"/>
        <w:jc w:val="center"/>
        <w:rPr>
          <w:rFonts w:hint="eastAsia" w:ascii="宋体" w:hAnsi="宋体" w:cs="仿宋_GB2312"/>
          <w:color w:val="auto"/>
          <w:highlight w:val="none"/>
        </w:rPr>
      </w:pPr>
    </w:p>
    <w:p w14:paraId="0A54834E">
      <w:pPr>
        <w:pStyle w:val="5"/>
        <w:spacing w:before="0" w:after="0" w:line="460" w:lineRule="exact"/>
        <w:jc w:val="center"/>
        <w:rPr>
          <w:rFonts w:ascii="宋体" w:hAnsi="宋体" w:cs="仿宋_GB2312"/>
          <w:color w:val="auto"/>
          <w:highlight w:val="none"/>
        </w:rPr>
      </w:pPr>
      <w:r>
        <w:rPr>
          <w:rFonts w:hint="eastAsia" w:ascii="宋体" w:hAnsi="宋体" w:cs="仿宋_GB2312"/>
          <w:color w:val="auto"/>
          <w:highlight w:val="none"/>
        </w:rPr>
        <w:t>第七章 质疑、投诉材料格式</w:t>
      </w:r>
      <w:bookmarkEnd w:id="167"/>
      <w:bookmarkEnd w:id="170"/>
      <w:bookmarkEnd w:id="171"/>
      <w:bookmarkEnd w:id="172"/>
      <w:bookmarkEnd w:id="173"/>
      <w:bookmarkEnd w:id="174"/>
    </w:p>
    <w:p w14:paraId="09030DE5">
      <w:pPr>
        <w:spacing w:line="360" w:lineRule="auto"/>
        <w:jc w:val="center"/>
        <w:rPr>
          <w:rFonts w:hint="eastAsia" w:ascii="宋体" w:hAnsi="宋体" w:cs="宋体"/>
          <w:b/>
          <w:color w:val="auto"/>
          <w:sz w:val="44"/>
          <w:szCs w:val="44"/>
          <w:highlight w:val="none"/>
        </w:rPr>
      </w:pPr>
    </w:p>
    <w:p w14:paraId="2D1B20E6">
      <w:pPr>
        <w:spacing w:line="360" w:lineRule="auto"/>
        <w:jc w:val="center"/>
        <w:rPr>
          <w:rFonts w:hint="eastAsia" w:ascii="宋体" w:hAnsi="宋体" w:cs="宋体"/>
          <w:b/>
          <w:color w:val="auto"/>
          <w:sz w:val="44"/>
          <w:szCs w:val="44"/>
          <w:highlight w:val="none"/>
        </w:rPr>
      </w:pPr>
    </w:p>
    <w:p w14:paraId="3E938395">
      <w:pPr>
        <w:spacing w:line="360" w:lineRule="auto"/>
        <w:jc w:val="center"/>
        <w:rPr>
          <w:rFonts w:hint="eastAsia" w:ascii="宋体" w:hAnsi="宋体" w:cs="宋体"/>
          <w:b/>
          <w:color w:val="auto"/>
          <w:sz w:val="44"/>
          <w:szCs w:val="44"/>
          <w:highlight w:val="none"/>
        </w:rPr>
      </w:pPr>
    </w:p>
    <w:p w14:paraId="3337AE32">
      <w:pPr>
        <w:spacing w:line="360" w:lineRule="auto"/>
        <w:jc w:val="center"/>
        <w:rPr>
          <w:rFonts w:hint="eastAsia" w:ascii="宋体" w:hAnsi="宋体" w:cs="宋体"/>
          <w:b/>
          <w:color w:val="auto"/>
          <w:sz w:val="44"/>
          <w:szCs w:val="44"/>
          <w:highlight w:val="none"/>
        </w:rPr>
      </w:pPr>
    </w:p>
    <w:p w14:paraId="4485A9AB">
      <w:pPr>
        <w:spacing w:line="360" w:lineRule="auto"/>
        <w:jc w:val="center"/>
        <w:rPr>
          <w:rFonts w:hint="eastAsia" w:ascii="宋体" w:hAnsi="宋体" w:cs="宋体"/>
          <w:b/>
          <w:color w:val="auto"/>
          <w:sz w:val="44"/>
          <w:szCs w:val="44"/>
          <w:highlight w:val="none"/>
        </w:rPr>
      </w:pPr>
    </w:p>
    <w:p w14:paraId="2F7A4BEC">
      <w:pPr>
        <w:spacing w:line="360" w:lineRule="auto"/>
        <w:jc w:val="center"/>
        <w:rPr>
          <w:rFonts w:hint="eastAsia" w:ascii="宋体" w:hAnsi="宋体" w:cs="宋体"/>
          <w:b/>
          <w:color w:val="auto"/>
          <w:sz w:val="44"/>
          <w:szCs w:val="44"/>
          <w:highlight w:val="none"/>
        </w:rPr>
      </w:pPr>
    </w:p>
    <w:p w14:paraId="32792548">
      <w:pPr>
        <w:spacing w:line="360" w:lineRule="auto"/>
        <w:jc w:val="center"/>
        <w:rPr>
          <w:rFonts w:hint="eastAsia" w:ascii="宋体" w:hAnsi="宋体" w:cs="宋体"/>
          <w:b/>
          <w:color w:val="auto"/>
          <w:sz w:val="44"/>
          <w:szCs w:val="44"/>
          <w:highlight w:val="none"/>
        </w:rPr>
      </w:pPr>
    </w:p>
    <w:p w14:paraId="420DF145">
      <w:pPr>
        <w:pStyle w:val="23"/>
        <w:rPr>
          <w:rFonts w:hint="eastAsia"/>
        </w:rPr>
      </w:pPr>
    </w:p>
    <w:p w14:paraId="28FE3F1D">
      <w:pPr>
        <w:spacing w:line="360" w:lineRule="auto"/>
        <w:jc w:val="center"/>
        <w:rPr>
          <w:rFonts w:hint="eastAsia" w:ascii="宋体" w:hAnsi="宋体" w:cs="宋体"/>
          <w:b/>
          <w:color w:val="auto"/>
          <w:sz w:val="44"/>
          <w:szCs w:val="44"/>
          <w:highlight w:val="none"/>
        </w:rPr>
      </w:pPr>
    </w:p>
    <w:p w14:paraId="579CEBBF">
      <w:pPr>
        <w:spacing w:line="360" w:lineRule="auto"/>
        <w:jc w:val="center"/>
        <w:rPr>
          <w:rFonts w:hint="eastAsia" w:ascii="宋体" w:hAnsi="宋体" w:cs="宋体"/>
          <w:b/>
          <w:color w:val="auto"/>
          <w:sz w:val="44"/>
          <w:szCs w:val="44"/>
          <w:highlight w:val="none"/>
        </w:rPr>
      </w:pPr>
    </w:p>
    <w:p w14:paraId="753BE9B7">
      <w:pPr>
        <w:spacing w:line="360" w:lineRule="auto"/>
        <w:jc w:val="center"/>
        <w:rPr>
          <w:rFonts w:hint="eastAsia" w:ascii="宋体" w:hAnsi="宋体" w:cs="宋体"/>
          <w:b/>
          <w:color w:val="auto"/>
          <w:sz w:val="44"/>
          <w:szCs w:val="44"/>
          <w:highlight w:val="none"/>
        </w:rPr>
      </w:pPr>
    </w:p>
    <w:p w14:paraId="1422AFEC">
      <w:pPr>
        <w:spacing w:line="360" w:lineRule="auto"/>
        <w:jc w:val="center"/>
        <w:rPr>
          <w:rFonts w:hint="eastAsia" w:ascii="宋体" w:hAnsi="宋体" w:cs="宋体"/>
          <w:b/>
          <w:color w:val="auto"/>
          <w:sz w:val="44"/>
          <w:szCs w:val="44"/>
          <w:highlight w:val="none"/>
        </w:rPr>
      </w:pPr>
    </w:p>
    <w:p w14:paraId="03ED3AEB">
      <w:pPr>
        <w:spacing w:line="360" w:lineRule="auto"/>
        <w:jc w:val="center"/>
        <w:rPr>
          <w:rFonts w:hint="eastAsia" w:ascii="宋体" w:hAnsi="宋体" w:cs="宋体"/>
          <w:b/>
          <w:color w:val="auto"/>
          <w:sz w:val="44"/>
          <w:szCs w:val="44"/>
          <w:highlight w:val="none"/>
        </w:rPr>
      </w:pPr>
    </w:p>
    <w:p w14:paraId="28862AF5">
      <w:pPr>
        <w:spacing w:line="360" w:lineRule="auto"/>
        <w:jc w:val="center"/>
        <w:rPr>
          <w:rFonts w:hint="eastAsia" w:ascii="宋体" w:hAnsi="宋体" w:cs="宋体"/>
          <w:b/>
          <w:color w:val="auto"/>
          <w:sz w:val="44"/>
          <w:szCs w:val="44"/>
          <w:highlight w:val="none"/>
        </w:rPr>
      </w:pPr>
    </w:p>
    <w:p w14:paraId="4B3A5F90">
      <w:pPr>
        <w:spacing w:line="360" w:lineRule="auto"/>
        <w:jc w:val="center"/>
        <w:rPr>
          <w:rFonts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1D9FBAAD">
      <w:pPr>
        <w:pStyle w:val="21"/>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A736C2E">
      <w:pPr>
        <w:pStyle w:val="21"/>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p>
    <w:p w14:paraId="3035D733">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2EC7E2D2">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联系人：联系电话：</w:t>
      </w:r>
    </w:p>
    <w:p w14:paraId="670A183F">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p>
    <w:p w14:paraId="7A1639AF">
      <w:pPr>
        <w:pStyle w:val="21"/>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p>
    <w:p w14:paraId="25148CB7">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7B0717D4">
      <w:pPr>
        <w:pStyle w:val="21"/>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19E0603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14:paraId="699DFE75">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14:paraId="1554575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p>
    <w:p w14:paraId="687633AA">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272A1602">
      <w:pPr>
        <w:pStyle w:val="21"/>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p>
    <w:p w14:paraId="4A987EFF">
      <w:pPr>
        <w:pStyle w:val="21"/>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0659CF47">
      <w:pPr>
        <w:pStyle w:val="21"/>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797143F9">
      <w:pPr>
        <w:pStyle w:val="21"/>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00C9A0C8">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p>
    <w:p w14:paraId="7BEA4A5C">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p>
    <w:p w14:paraId="45B149C0">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p>
    <w:p w14:paraId="72EC051B">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4BD8E9BD">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0AB8B21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8B1570F">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p>
    <w:p w14:paraId="7F7A8502">
      <w:pPr>
        <w:pStyle w:val="21"/>
        <w:spacing w:line="360" w:lineRule="auto"/>
        <w:ind w:left="25" w:leftChars="12" w:firstLine="352" w:firstLineChars="147"/>
        <w:contextualSpacing/>
        <w:rPr>
          <w:rFonts w:hAnsi="宋体" w:cs="宋体"/>
          <w:color w:val="auto"/>
          <w:sz w:val="24"/>
          <w:szCs w:val="24"/>
          <w:highlight w:val="none"/>
        </w:rPr>
      </w:pPr>
    </w:p>
    <w:p w14:paraId="2586F667">
      <w:pPr>
        <w:pStyle w:val="21"/>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 xml:space="preserve">签字（签章）：                                       </w:t>
      </w:r>
    </w:p>
    <w:p w14:paraId="36D2E0A3">
      <w:pPr>
        <w:pStyle w:val="21"/>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公章：</w:t>
      </w:r>
    </w:p>
    <w:p w14:paraId="623E66A4">
      <w:pPr>
        <w:pStyle w:val="21"/>
        <w:spacing w:line="360" w:lineRule="auto"/>
        <w:ind w:firstLine="2640" w:firstLineChars="1100"/>
        <w:contextualSpacing/>
        <w:rPr>
          <w:rFonts w:hAnsi="宋体" w:cs="宋体"/>
          <w:color w:val="auto"/>
          <w:sz w:val="24"/>
          <w:szCs w:val="24"/>
          <w:highlight w:val="none"/>
        </w:rPr>
      </w:pPr>
      <w:r>
        <w:rPr>
          <w:rFonts w:hint="eastAsia" w:hAnsi="宋体" w:cs="宋体"/>
          <w:color w:val="auto"/>
          <w:sz w:val="24"/>
          <w:szCs w:val="24"/>
          <w:highlight w:val="none"/>
        </w:rPr>
        <w:t>日期： 年 月 日</w:t>
      </w:r>
    </w:p>
    <w:p w14:paraId="1DF088E7">
      <w:pPr>
        <w:pStyle w:val="21"/>
        <w:spacing w:line="360" w:lineRule="auto"/>
        <w:ind w:firstLine="482" w:firstLineChars="200"/>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52C246D5">
      <w:pPr>
        <w:pStyle w:val="21"/>
        <w:spacing w:line="360" w:lineRule="auto"/>
        <w:ind w:left="25" w:leftChars="12" w:firstLine="354" w:firstLineChars="147"/>
        <w:contextualSpacing/>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1.供应商提出质疑时，应提交质疑函和必要的证明材料</w:t>
      </w:r>
      <w:r>
        <w:rPr>
          <w:rFonts w:hint="eastAsia" w:ascii="楷体" w:hAnsi="楷体" w:eastAsia="楷体" w:cs="宋体"/>
          <w:b/>
          <w:bCs/>
          <w:color w:val="auto"/>
          <w:sz w:val="24"/>
          <w:szCs w:val="24"/>
          <w:highlight w:val="none"/>
        </w:rPr>
        <w:t>。</w:t>
      </w:r>
    </w:p>
    <w:p w14:paraId="50507455">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2.质疑供应商若委托代理人进行质疑的，</w:t>
      </w:r>
      <w:r>
        <w:rPr>
          <w:rFonts w:hint="eastAsia" w:ascii="楷体" w:hAnsi="楷体" w:eastAsia="楷体" w:cs="宋体"/>
          <w:b/>
          <w:color w:val="auto"/>
          <w:sz w:val="24"/>
          <w:szCs w:val="24"/>
          <w:highlight w:val="none"/>
        </w:rPr>
        <w:t>质疑函应按要求列明“授权代表”的有关内容，并在附件中提交由质疑供应商签署的授权委托书。授权委托书应载明代理人的姓名或者名称、代理事项、具体权限、期限和相关事项。</w:t>
      </w:r>
    </w:p>
    <w:p w14:paraId="111356CC">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3.质疑函的质疑事项应具体、明确，并有必要的事实依据和法律依据。</w:t>
      </w:r>
    </w:p>
    <w:p w14:paraId="75A1769F">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4.质疑函的质疑请求应与质疑事项相关。</w:t>
      </w:r>
    </w:p>
    <w:p w14:paraId="25F0414D">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5.质疑供应商为法人或者其他组织的，</w:t>
      </w:r>
      <w:r>
        <w:rPr>
          <w:rFonts w:hint="eastAsia" w:ascii="楷体" w:hAnsi="楷体" w:eastAsia="楷体" w:cs="宋体"/>
          <w:b/>
          <w:color w:val="auto"/>
          <w:sz w:val="24"/>
          <w:szCs w:val="24"/>
          <w:highlight w:val="none"/>
        </w:rPr>
        <w:t>质疑函应由法定代表人、主要负责人，或者其授权代表签字或者盖章，并加盖公章。</w:t>
      </w:r>
    </w:p>
    <w:p w14:paraId="2CA14B49">
      <w:pPr>
        <w:pStyle w:val="21"/>
        <w:snapToGrid w:val="0"/>
        <w:rPr>
          <w:rFonts w:hAnsi="宋体" w:cs="宋体"/>
          <w:b/>
          <w:color w:val="auto"/>
          <w:sz w:val="24"/>
          <w:szCs w:val="24"/>
          <w:highlight w:val="none"/>
        </w:rPr>
      </w:pPr>
    </w:p>
    <w:p w14:paraId="4D877626">
      <w:pPr>
        <w:rPr>
          <w:rFonts w:ascii="宋体" w:hAnsi="宋体" w:cs="宋体"/>
          <w:color w:val="auto"/>
          <w:sz w:val="32"/>
          <w:szCs w:val="40"/>
          <w:highlight w:val="none"/>
        </w:rPr>
      </w:pPr>
    </w:p>
    <w:p w14:paraId="30C8BA62">
      <w:pPr>
        <w:rPr>
          <w:rFonts w:ascii="宋体" w:hAnsi="宋体" w:cs="宋体"/>
          <w:color w:val="auto"/>
          <w:sz w:val="32"/>
          <w:szCs w:val="40"/>
          <w:highlight w:val="none"/>
        </w:rPr>
      </w:pPr>
    </w:p>
    <w:p w14:paraId="6394FEBA">
      <w:pPr>
        <w:rPr>
          <w:rFonts w:ascii="宋体" w:hAnsi="宋体" w:cs="宋体"/>
          <w:color w:val="auto"/>
          <w:sz w:val="32"/>
          <w:szCs w:val="40"/>
          <w:highlight w:val="none"/>
        </w:rPr>
      </w:pPr>
    </w:p>
    <w:p w14:paraId="75772E63">
      <w:pPr>
        <w:rPr>
          <w:rFonts w:ascii="宋体" w:hAnsi="宋体" w:cs="宋体"/>
          <w:color w:val="auto"/>
          <w:sz w:val="32"/>
          <w:szCs w:val="40"/>
          <w:highlight w:val="none"/>
        </w:rPr>
      </w:pPr>
    </w:p>
    <w:p w14:paraId="27702C96">
      <w:pPr>
        <w:rPr>
          <w:rFonts w:ascii="宋体" w:hAnsi="宋体" w:cs="宋体"/>
          <w:color w:val="auto"/>
          <w:sz w:val="32"/>
          <w:szCs w:val="40"/>
          <w:highlight w:val="none"/>
        </w:rPr>
      </w:pPr>
    </w:p>
    <w:p w14:paraId="41C28C79">
      <w:pPr>
        <w:rPr>
          <w:rFonts w:ascii="宋体" w:hAnsi="宋体" w:cs="宋体"/>
          <w:color w:val="auto"/>
          <w:sz w:val="32"/>
          <w:szCs w:val="40"/>
          <w:highlight w:val="none"/>
        </w:rPr>
      </w:pPr>
    </w:p>
    <w:p w14:paraId="34C7F207">
      <w:pPr>
        <w:rPr>
          <w:rFonts w:ascii="宋体" w:hAnsi="宋体" w:cs="宋体"/>
          <w:color w:val="auto"/>
          <w:sz w:val="32"/>
          <w:szCs w:val="40"/>
          <w:highlight w:val="none"/>
        </w:rPr>
      </w:pPr>
    </w:p>
    <w:p w14:paraId="41A7D9B1">
      <w:pPr>
        <w:rPr>
          <w:rFonts w:ascii="宋体" w:hAnsi="宋体" w:cs="宋体"/>
          <w:color w:val="auto"/>
          <w:sz w:val="32"/>
          <w:szCs w:val="40"/>
          <w:highlight w:val="none"/>
        </w:rPr>
      </w:pPr>
    </w:p>
    <w:p w14:paraId="2530D97B">
      <w:pPr>
        <w:rPr>
          <w:rFonts w:ascii="宋体" w:hAnsi="宋体" w:cs="宋体"/>
          <w:color w:val="auto"/>
          <w:sz w:val="32"/>
          <w:szCs w:val="40"/>
          <w:highlight w:val="none"/>
        </w:rPr>
      </w:pPr>
    </w:p>
    <w:p w14:paraId="743301A5">
      <w:pPr>
        <w:rPr>
          <w:rFonts w:ascii="宋体" w:hAnsi="宋体" w:cs="宋体"/>
          <w:color w:val="auto"/>
          <w:sz w:val="32"/>
          <w:szCs w:val="40"/>
          <w:highlight w:val="none"/>
        </w:rPr>
      </w:pPr>
    </w:p>
    <w:p w14:paraId="5C8EE82C">
      <w:pPr>
        <w:pStyle w:val="23"/>
        <w:rPr>
          <w:rFonts w:ascii="宋体" w:hAnsi="宋体" w:cs="宋体"/>
          <w:color w:val="auto"/>
          <w:sz w:val="32"/>
          <w:szCs w:val="40"/>
          <w:highlight w:val="none"/>
        </w:rPr>
      </w:pPr>
    </w:p>
    <w:p w14:paraId="0EE9A453">
      <w:pPr>
        <w:pStyle w:val="23"/>
        <w:rPr>
          <w:rFonts w:ascii="宋体" w:hAnsi="宋体" w:cs="宋体"/>
          <w:color w:val="auto"/>
          <w:sz w:val="32"/>
          <w:szCs w:val="40"/>
          <w:highlight w:val="none"/>
        </w:rPr>
      </w:pPr>
    </w:p>
    <w:p w14:paraId="675A64F3">
      <w:pPr>
        <w:pStyle w:val="23"/>
        <w:rPr>
          <w:rFonts w:ascii="宋体" w:hAnsi="宋体" w:cs="宋体"/>
          <w:color w:val="auto"/>
          <w:sz w:val="32"/>
          <w:szCs w:val="40"/>
          <w:highlight w:val="none"/>
        </w:rPr>
      </w:pPr>
    </w:p>
    <w:p w14:paraId="60F64AD9">
      <w:pPr>
        <w:pStyle w:val="23"/>
        <w:rPr>
          <w:rFonts w:ascii="宋体" w:hAnsi="宋体" w:cs="宋体"/>
          <w:color w:val="auto"/>
          <w:sz w:val="32"/>
          <w:szCs w:val="40"/>
          <w:highlight w:val="none"/>
        </w:rPr>
      </w:pPr>
    </w:p>
    <w:p w14:paraId="3841BBEB">
      <w:pPr>
        <w:pStyle w:val="23"/>
        <w:rPr>
          <w:rFonts w:ascii="宋体" w:hAnsi="宋体" w:cs="宋体"/>
          <w:color w:val="auto"/>
          <w:sz w:val="32"/>
          <w:szCs w:val="40"/>
          <w:highlight w:val="none"/>
        </w:rPr>
      </w:pPr>
    </w:p>
    <w:p w14:paraId="1E17F005">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6FD971C7">
      <w:pPr>
        <w:pStyle w:val="21"/>
        <w:snapToGrid w:val="0"/>
        <w:spacing w:line="360" w:lineRule="auto"/>
        <w:ind w:firstLine="482" w:firstLineChars="200"/>
        <w:rPr>
          <w:rFonts w:hint="eastAsia" w:hAnsi="宋体" w:cs="宋体"/>
          <w:b/>
          <w:bCs/>
          <w:color w:val="auto"/>
          <w:sz w:val="24"/>
          <w:szCs w:val="24"/>
          <w:highlight w:val="none"/>
        </w:rPr>
      </w:pPr>
    </w:p>
    <w:p w14:paraId="3A4DB333">
      <w:pPr>
        <w:pStyle w:val="21"/>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12ED33A5">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p>
    <w:p w14:paraId="2873B40A">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50B7C534">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14:paraId="72E7D88B">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p>
    <w:p w14:paraId="22BA6106">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授权代表：联系电话：</w:t>
      </w:r>
    </w:p>
    <w:p w14:paraId="274B4EFF">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7AF1CE70">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7F00B16">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06A8588C">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543141DC">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CAC2C5F">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联系人：联系电话：</w:t>
      </w:r>
    </w:p>
    <w:p w14:paraId="23B93E10">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2CF11667">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AD9C420">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p>
    <w:p w14:paraId="6A521151">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地址：邮编：</w:t>
      </w:r>
    </w:p>
    <w:p w14:paraId="10F464D2">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联系人：联系电话：</w:t>
      </w:r>
    </w:p>
    <w:p w14:paraId="3A8150F8">
      <w:pPr>
        <w:pStyle w:val="21"/>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68A6DA6B">
      <w:pPr>
        <w:pStyle w:val="21"/>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14:paraId="0274755E">
      <w:pPr>
        <w:pStyle w:val="21"/>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14:paraId="4104E798">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p>
    <w:p w14:paraId="6A52DB75">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p>
    <w:p w14:paraId="7963FD6C">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竞争性磋商文件公告：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35E56BC2">
      <w:pPr>
        <w:pStyle w:val="21"/>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024B9DE1">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4686BE91">
      <w:pPr>
        <w:pStyle w:val="21"/>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投诉人于年月日</w:t>
      </w:r>
      <w:r>
        <w:rPr>
          <w:rFonts w:hint="eastAsia" w:hAnsi="宋体" w:cs="宋体"/>
          <w:color w:val="auto"/>
          <w:sz w:val="24"/>
          <w:szCs w:val="24"/>
          <w:highlight w:val="none"/>
          <w:lang w:eastAsia="zh-CN"/>
        </w:rPr>
        <w:t>，</w:t>
      </w:r>
      <w:r>
        <w:rPr>
          <w:rFonts w:hint="eastAsia" w:hAnsi="宋体" w:cs="宋体"/>
          <w:color w:val="auto"/>
          <w:sz w:val="24"/>
          <w:szCs w:val="24"/>
          <w:highlight w:val="none"/>
        </w:rPr>
        <w:t>提出质疑，质疑事项为：</w:t>
      </w:r>
    </w:p>
    <w:p w14:paraId="1C5C56D3">
      <w:pPr>
        <w:pStyle w:val="21"/>
        <w:spacing w:line="360" w:lineRule="auto"/>
        <w:ind w:firstLine="241"/>
        <w:rPr>
          <w:rFonts w:hAnsi="宋体" w:cs="宋体"/>
          <w:bCs/>
          <w:color w:val="auto"/>
          <w:sz w:val="24"/>
          <w:szCs w:val="24"/>
          <w:highlight w:val="none"/>
          <w:u w:val="single"/>
        </w:rPr>
      </w:pPr>
    </w:p>
    <w:p w14:paraId="3F897B86">
      <w:pPr>
        <w:pStyle w:val="21"/>
        <w:spacing w:line="360" w:lineRule="auto"/>
        <w:ind w:firstLine="241"/>
        <w:rPr>
          <w:rFonts w:hAnsi="宋体" w:cs="宋体"/>
          <w:bCs/>
          <w:color w:val="auto"/>
          <w:sz w:val="24"/>
          <w:szCs w:val="24"/>
          <w:highlight w:val="none"/>
          <w:u w:val="single"/>
        </w:rPr>
      </w:pPr>
    </w:p>
    <w:p w14:paraId="74234E9C">
      <w:pPr>
        <w:pStyle w:val="21"/>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 xml:space="preserve">就质疑事项作出了答复/没有在法定期限内作出答复。                                                                                             </w:t>
      </w:r>
    </w:p>
    <w:p w14:paraId="763F3453">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6FE3290">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p>
    <w:p w14:paraId="0634FF02">
      <w:pPr>
        <w:pStyle w:val="21"/>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p>
    <w:p w14:paraId="5BE70665">
      <w:pPr>
        <w:pStyle w:val="21"/>
        <w:spacing w:line="360" w:lineRule="auto"/>
        <w:ind w:left="25" w:leftChars="12" w:firstLine="472" w:firstLineChars="197"/>
        <w:rPr>
          <w:rFonts w:hAnsi="宋体" w:cs="宋体"/>
          <w:color w:val="auto"/>
          <w:sz w:val="24"/>
          <w:szCs w:val="24"/>
          <w:highlight w:val="none"/>
        </w:rPr>
      </w:pPr>
    </w:p>
    <w:p w14:paraId="7FB5FA42">
      <w:pPr>
        <w:pStyle w:val="21"/>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p>
    <w:p w14:paraId="198FE526">
      <w:pPr>
        <w:pStyle w:val="21"/>
        <w:spacing w:line="360" w:lineRule="auto"/>
        <w:ind w:left="25" w:leftChars="12" w:firstLine="352" w:firstLineChars="147"/>
        <w:rPr>
          <w:rFonts w:hAnsi="宋体" w:cs="宋体"/>
          <w:bCs/>
          <w:color w:val="auto"/>
          <w:sz w:val="24"/>
          <w:szCs w:val="24"/>
          <w:highlight w:val="none"/>
          <w:u w:val="single"/>
        </w:rPr>
      </w:pPr>
    </w:p>
    <w:p w14:paraId="4A66BFF3">
      <w:pPr>
        <w:pStyle w:val="21"/>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p>
    <w:p w14:paraId="42696D8A">
      <w:pPr>
        <w:pStyle w:val="21"/>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21BA2287">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4ED4A74D">
      <w:pPr>
        <w:pStyle w:val="21"/>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p>
    <w:p w14:paraId="542A735B">
      <w:pPr>
        <w:pStyle w:val="21"/>
        <w:spacing w:line="360" w:lineRule="auto"/>
        <w:ind w:left="25" w:leftChars="12" w:firstLine="352" w:firstLineChars="147"/>
        <w:rPr>
          <w:rFonts w:hAnsi="宋体" w:cs="宋体"/>
          <w:color w:val="auto"/>
          <w:sz w:val="24"/>
          <w:szCs w:val="24"/>
          <w:highlight w:val="none"/>
        </w:rPr>
      </w:pPr>
    </w:p>
    <w:p w14:paraId="1D406DA4">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 xml:space="preserve">签字（签章）：                                       </w:t>
      </w:r>
    </w:p>
    <w:p w14:paraId="0CA809B7">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公章：</w:t>
      </w:r>
    </w:p>
    <w:p w14:paraId="1E618265">
      <w:pPr>
        <w:pStyle w:val="21"/>
        <w:spacing w:line="360" w:lineRule="auto"/>
        <w:ind w:left="25" w:leftChars="12" w:firstLine="352" w:firstLineChars="147"/>
        <w:rPr>
          <w:rFonts w:hAnsi="宋体" w:cs="宋体"/>
          <w:color w:val="auto"/>
          <w:sz w:val="24"/>
          <w:szCs w:val="24"/>
          <w:highlight w:val="none"/>
        </w:rPr>
      </w:pPr>
    </w:p>
    <w:p w14:paraId="3A21880C">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日期： 年 月 日</w:t>
      </w:r>
    </w:p>
    <w:p w14:paraId="67A2859A">
      <w:pPr>
        <w:pStyle w:val="21"/>
        <w:spacing w:line="360" w:lineRule="auto"/>
        <w:ind w:left="25" w:leftChars="12" w:firstLine="475" w:firstLineChars="197"/>
        <w:rPr>
          <w:rFonts w:hAnsi="宋体" w:cs="宋体"/>
          <w:b/>
          <w:color w:val="auto"/>
          <w:sz w:val="24"/>
          <w:szCs w:val="24"/>
          <w:highlight w:val="none"/>
        </w:rPr>
      </w:pPr>
    </w:p>
    <w:p w14:paraId="4026E998">
      <w:pPr>
        <w:pStyle w:val="21"/>
        <w:snapToGrid w:val="0"/>
        <w:spacing w:line="360" w:lineRule="auto"/>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60AD32A4">
      <w:pPr>
        <w:pStyle w:val="21"/>
        <w:spacing w:line="360" w:lineRule="auto"/>
        <w:ind w:left="25" w:leftChars="12" w:firstLine="354" w:firstLineChars="147"/>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highlight w:val="none"/>
        </w:rPr>
        <w:t>。</w:t>
      </w:r>
    </w:p>
    <w:p w14:paraId="17EA8EBD">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ADDAA73">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3.投诉书应简要列明质疑事项，质疑函、质疑答复等作为附件材料提供。</w:t>
      </w:r>
    </w:p>
    <w:p w14:paraId="27E6945D">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4.投诉书的投诉事项应具体、明确，并有必要的事实依据和法律依据。</w:t>
      </w:r>
    </w:p>
    <w:p w14:paraId="179AFC1B">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5.投诉书的投诉请求应与投诉事项相关。</w:t>
      </w:r>
    </w:p>
    <w:p w14:paraId="75805EE8">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6.投诉人为法人或者其他组织的，投诉书应由法定代表人、主要负责人，或者其授权代表签字或者盖章，并加盖公章。</w:t>
      </w:r>
    </w:p>
    <w:sectPr>
      <w:pgSz w:w="11906" w:h="16838"/>
      <w:pgMar w:top="1417" w:right="1417" w:bottom="1417" w:left="1417" w:header="851" w:footer="567"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5F4F930-3C8B-488D-9F73-7A145B65067F}"/>
  </w:font>
  <w:font w:name="Arial">
    <w:panose1 w:val="020B0604020202020204"/>
    <w:charset w:val="01"/>
    <w:family w:val="swiss"/>
    <w:pitch w:val="default"/>
    <w:sig w:usb0="E0002AFF" w:usb1="C0007843" w:usb2="00000009" w:usb3="00000000" w:csb0="400001FF" w:csb1="FFFF0000"/>
    <w:embedRegular r:id="rId2" w:fontKey="{C506276D-6CEA-4CC1-82E5-6B27D7D8D912}"/>
  </w:font>
  <w:font w:name="黑体">
    <w:panose1 w:val="02010609060101010101"/>
    <w:charset w:val="86"/>
    <w:family w:val="auto"/>
    <w:pitch w:val="default"/>
    <w:sig w:usb0="800002BF" w:usb1="38CF7CFA" w:usb2="00000016" w:usb3="00000000" w:csb0="00040001" w:csb1="00000000"/>
    <w:embedRegular r:id="rId3" w:fontKey="{1AF59192-160C-430D-80DB-06B5236C7388}"/>
  </w:font>
  <w:font w:name="Courier New">
    <w:panose1 w:val="02070309020205020404"/>
    <w:charset w:val="01"/>
    <w:family w:val="modern"/>
    <w:pitch w:val="default"/>
    <w:sig w:usb0="E0002AFF" w:usb1="C0007843" w:usb2="00000009" w:usb3="00000000" w:csb0="400001FF" w:csb1="FFFF0000"/>
    <w:embedRegular r:id="rId4" w:fontKey="{EB5F942D-8854-43B5-88C8-164DFFB441A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7A711A59-0866-4FD0-B347-95A47E6F668E}"/>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2E96A179-31AB-4AEE-86A6-16680A3F2E6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5BC9005C-931B-438F-8068-CEAEC958E3CA}"/>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swiss"/>
    <w:pitch w:val="default"/>
    <w:sig w:usb0="FFFFFFFF" w:usb1="E9FFFFFF" w:usb2="0000003F" w:usb3="00000000" w:csb0="603F01FF" w:csb1="FFFF0000"/>
    <w:embedRegular r:id="rId8" w:fontKey="{B1551558-1305-4599-B423-A0ACA32F84D0}"/>
  </w:font>
  <w:font w:name="Tahoma">
    <w:panose1 w:val="020B0604030504040204"/>
    <w:charset w:val="00"/>
    <w:family w:val="swiss"/>
    <w:pitch w:val="default"/>
    <w:sig w:usb0="E1002EFF" w:usb1="C000605B" w:usb2="00000029" w:usb3="00000000" w:csb0="200101FF" w:csb1="2028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embedRegular r:id="rId9" w:fontKey="{562226F6-C901-4822-9EA9-65735605257A}"/>
  </w:font>
  <w:font w:name="宋体正文">
    <w:altName w:val="宋体"/>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0" w:fontKey="{5E46AB23-E33F-4829-887D-582CCEA56D2F}"/>
  </w:font>
  <w:font w:name="Helvetica">
    <w:panose1 w:val="020B0604020202020204"/>
    <w:charset w:val="00"/>
    <w:family w:val="swiss"/>
    <w:pitch w:val="default"/>
    <w:sig w:usb0="00000000" w:usb1="00000000" w:usb2="00000000" w:usb3="00000000" w:csb0="00000000" w:csb1="00000000"/>
    <w:embedRegular r:id="rId11" w:fontKey="{69FCCBE1-7865-4793-808D-C9E6DD191EF1}"/>
  </w:font>
  <w:font w:name="宋体...骝乧.">
    <w:altName w:val="宋体"/>
    <w:panose1 w:val="00000000000000000000"/>
    <w:charset w:val="86"/>
    <w:family w:val="roman"/>
    <w:pitch w:val="default"/>
    <w:sig w:usb0="00000000" w:usb1="00000000" w:usb2="00000000" w:usb3="00000000" w:csb0="00040000" w:csb1="00000000"/>
    <w:embedRegular r:id="rId12" w:fontKey="{AAC049B3-C44B-4203-A803-2B3402A7A39C}"/>
  </w:font>
  <w:font w:name="方正公文小标宋">
    <w:panose1 w:val="02000500000000000000"/>
    <w:charset w:val="86"/>
    <w:family w:val="auto"/>
    <w:pitch w:val="default"/>
    <w:sig w:usb0="A00002BF" w:usb1="38CF7CFA" w:usb2="00000016" w:usb3="00000000" w:csb0="00040001" w:csb1="00000000"/>
    <w:embedRegular r:id="rId13" w:fontKey="{21A5718C-F0FA-4885-827E-650F6B2EA387}"/>
  </w:font>
  <w:font w:name="方正小标宋_GBK">
    <w:panose1 w:val="03000509000000000000"/>
    <w:charset w:val="86"/>
    <w:family w:val="auto"/>
    <w:pitch w:val="default"/>
    <w:sig w:usb0="00000001" w:usb1="080E0000" w:usb2="00000000" w:usb3="00000000" w:csb0="00040000" w:csb1="00000000"/>
    <w:embedRegular r:id="rId14" w:fontKey="{29A71D15-3073-424C-B6DF-EB206B9E87B5}"/>
  </w:font>
  <w:font w:name="华文中宋">
    <w:panose1 w:val="02010600040101010101"/>
    <w:charset w:val="86"/>
    <w:family w:val="auto"/>
    <w:pitch w:val="default"/>
    <w:sig w:usb0="00000287" w:usb1="080F0000" w:usb2="00000000" w:usb3="00000000" w:csb0="0004009F" w:csb1="DFD70000"/>
    <w:embedRegular r:id="rId15" w:fontKey="{F28465F9-BE3A-40DD-9F47-620D2367777B}"/>
  </w:font>
  <w:font w:name="华文楷体">
    <w:panose1 w:val="02010600040101010101"/>
    <w:charset w:val="86"/>
    <w:family w:val="auto"/>
    <w:pitch w:val="default"/>
    <w:sig w:usb0="00000287" w:usb1="080F0000" w:usb2="00000000" w:usb3="00000000" w:csb0="0004009F" w:csb1="DFD70000"/>
    <w:embedRegular r:id="rId16" w:fontKey="{2D0F9E8F-A26A-4D2A-8645-747EC2770258}"/>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WPSEMBED3">
    <w:panose1 w:val="02000500000000000000"/>
    <w:charset w:val="86"/>
    <w:family w:val="auto"/>
    <w:pitch w:val="default"/>
    <w:sig w:usb0="A00002BF" w:usb1="38CF7CFA" w:usb2="00000016" w:usb3="00000000" w:csb0="00040001"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1E58">
    <w:pPr>
      <w:pStyle w:val="25"/>
      <w:jc w:val="center"/>
    </w:pPr>
  </w:p>
  <w:p w14:paraId="03A992B3">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A9DB0">
    <w:pPr>
      <w:pStyle w:val="2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75307C">
                          <w:pPr>
                            <w:pStyle w:val="2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975307C">
                    <w:pPr>
                      <w:pStyle w:val="25"/>
                    </w:pPr>
                    <w:r>
                      <w:fldChar w:fldCharType="begin"/>
                    </w:r>
                    <w:r>
                      <w:instrText xml:space="preserve"> PAGE  \* MERGEFORMAT </w:instrText>
                    </w:r>
                    <w:r>
                      <w:fldChar w:fldCharType="separate"/>
                    </w:r>
                    <w:r>
                      <w:t>4</w:t>
                    </w:r>
                    <w:r>
                      <w:fldChar w:fldCharType="end"/>
                    </w:r>
                  </w:p>
                </w:txbxContent>
              </v:textbox>
            </v:shape>
          </w:pict>
        </mc:Fallback>
      </mc:AlternateContent>
    </w:r>
  </w:p>
  <w:p w14:paraId="26674E50">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2936">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B96277">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6B96277">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6CAC6">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0ED2AA">
                          <w:pPr>
                            <w:pStyle w:val="2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120ED2AA">
                    <w:pPr>
                      <w:pStyle w:val="2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399D">
    <w:pPr>
      <w:pStyle w:val="2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92DF4">
    <w:pPr>
      <w:pStyle w:val="2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D5FC">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C19D6">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5F33C5"/>
    <w:multiLevelType w:val="singleLevel"/>
    <w:tmpl w:val="E25F33C5"/>
    <w:lvl w:ilvl="0" w:tentative="0">
      <w:start w:val="1"/>
      <w:numFmt w:val="decimal"/>
      <w:suff w:val="nothing"/>
      <w:lvlText w:val="%1．"/>
      <w:lvlJc w:val="left"/>
      <w:pPr>
        <w:ind w:left="1301" w:firstLine="400"/>
      </w:pPr>
      <w:rPr>
        <w:rFonts w:hint="default"/>
      </w:r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14"/>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iMTI3MDRiZWJlZDRkZTA3NmY0MjY1ZjJiMjJkMzMifQ=="/>
  </w:docVars>
  <w:rsids>
    <w:rsidRoot w:val="00172A27"/>
    <w:rsid w:val="000042F5"/>
    <w:rsid w:val="0003117E"/>
    <w:rsid w:val="0003179F"/>
    <w:rsid w:val="000420F1"/>
    <w:rsid w:val="000442B2"/>
    <w:rsid w:val="00045203"/>
    <w:rsid w:val="000457AC"/>
    <w:rsid w:val="00047D9E"/>
    <w:rsid w:val="00047E41"/>
    <w:rsid w:val="0005229B"/>
    <w:rsid w:val="000578CA"/>
    <w:rsid w:val="00081C9B"/>
    <w:rsid w:val="00094570"/>
    <w:rsid w:val="00094DA1"/>
    <w:rsid w:val="000A3980"/>
    <w:rsid w:val="000B3752"/>
    <w:rsid w:val="000C3FFB"/>
    <w:rsid w:val="000C509F"/>
    <w:rsid w:val="000C5B27"/>
    <w:rsid w:val="000D047C"/>
    <w:rsid w:val="000D0979"/>
    <w:rsid w:val="0010086F"/>
    <w:rsid w:val="00100BAB"/>
    <w:rsid w:val="00103633"/>
    <w:rsid w:val="001129BA"/>
    <w:rsid w:val="00117D7F"/>
    <w:rsid w:val="001205C9"/>
    <w:rsid w:val="0012137C"/>
    <w:rsid w:val="00121A53"/>
    <w:rsid w:val="00134412"/>
    <w:rsid w:val="00142117"/>
    <w:rsid w:val="001429CF"/>
    <w:rsid w:val="001469F3"/>
    <w:rsid w:val="00152D06"/>
    <w:rsid w:val="00153135"/>
    <w:rsid w:val="001539B0"/>
    <w:rsid w:val="00166429"/>
    <w:rsid w:val="00172A27"/>
    <w:rsid w:val="00173BFA"/>
    <w:rsid w:val="00173D29"/>
    <w:rsid w:val="00195EA5"/>
    <w:rsid w:val="001B3836"/>
    <w:rsid w:val="001D0284"/>
    <w:rsid w:val="001D4FF9"/>
    <w:rsid w:val="001F2E23"/>
    <w:rsid w:val="001F6031"/>
    <w:rsid w:val="00202F70"/>
    <w:rsid w:val="002061DC"/>
    <w:rsid w:val="00206586"/>
    <w:rsid w:val="00231BE2"/>
    <w:rsid w:val="00263E0B"/>
    <w:rsid w:val="00266768"/>
    <w:rsid w:val="00267E08"/>
    <w:rsid w:val="0027471E"/>
    <w:rsid w:val="002801F7"/>
    <w:rsid w:val="00287B89"/>
    <w:rsid w:val="00293C5F"/>
    <w:rsid w:val="00297AB2"/>
    <w:rsid w:val="002A303B"/>
    <w:rsid w:val="002A4F6F"/>
    <w:rsid w:val="002A58F2"/>
    <w:rsid w:val="002C267F"/>
    <w:rsid w:val="002C27BE"/>
    <w:rsid w:val="002E107C"/>
    <w:rsid w:val="002E70B1"/>
    <w:rsid w:val="002F045B"/>
    <w:rsid w:val="002F38FC"/>
    <w:rsid w:val="002F44F7"/>
    <w:rsid w:val="00313ACC"/>
    <w:rsid w:val="00334AF5"/>
    <w:rsid w:val="00345BE0"/>
    <w:rsid w:val="00367FFB"/>
    <w:rsid w:val="00380705"/>
    <w:rsid w:val="00382218"/>
    <w:rsid w:val="00385ADE"/>
    <w:rsid w:val="00391FCC"/>
    <w:rsid w:val="00393306"/>
    <w:rsid w:val="00394C62"/>
    <w:rsid w:val="003A0ED5"/>
    <w:rsid w:val="003A62B3"/>
    <w:rsid w:val="003B459D"/>
    <w:rsid w:val="003B6402"/>
    <w:rsid w:val="003B6F63"/>
    <w:rsid w:val="003B7C96"/>
    <w:rsid w:val="003C2F0F"/>
    <w:rsid w:val="003C39D5"/>
    <w:rsid w:val="003C7126"/>
    <w:rsid w:val="003F18CC"/>
    <w:rsid w:val="00403C65"/>
    <w:rsid w:val="00411D9B"/>
    <w:rsid w:val="004178E4"/>
    <w:rsid w:val="00420F6A"/>
    <w:rsid w:val="00421CEE"/>
    <w:rsid w:val="00422A3F"/>
    <w:rsid w:val="004339D3"/>
    <w:rsid w:val="00441E5D"/>
    <w:rsid w:val="00443F38"/>
    <w:rsid w:val="004501C2"/>
    <w:rsid w:val="00460B41"/>
    <w:rsid w:val="004621D7"/>
    <w:rsid w:val="00474FE8"/>
    <w:rsid w:val="00477D0E"/>
    <w:rsid w:val="00482293"/>
    <w:rsid w:val="00493A57"/>
    <w:rsid w:val="004A40F1"/>
    <w:rsid w:val="004A47A4"/>
    <w:rsid w:val="004A4DD3"/>
    <w:rsid w:val="004A701A"/>
    <w:rsid w:val="004B1B49"/>
    <w:rsid w:val="004B580B"/>
    <w:rsid w:val="004C2FCF"/>
    <w:rsid w:val="004C53C1"/>
    <w:rsid w:val="004D0060"/>
    <w:rsid w:val="004D37A1"/>
    <w:rsid w:val="004D656E"/>
    <w:rsid w:val="004D7EE2"/>
    <w:rsid w:val="004E21AB"/>
    <w:rsid w:val="004E29A5"/>
    <w:rsid w:val="004F1291"/>
    <w:rsid w:val="004F1F62"/>
    <w:rsid w:val="004F3669"/>
    <w:rsid w:val="004F40EC"/>
    <w:rsid w:val="004F551F"/>
    <w:rsid w:val="004F7C58"/>
    <w:rsid w:val="00507776"/>
    <w:rsid w:val="0051048D"/>
    <w:rsid w:val="00510FE4"/>
    <w:rsid w:val="005176F8"/>
    <w:rsid w:val="005316F1"/>
    <w:rsid w:val="00540C5F"/>
    <w:rsid w:val="00556988"/>
    <w:rsid w:val="005631DB"/>
    <w:rsid w:val="00595C3E"/>
    <w:rsid w:val="005A703B"/>
    <w:rsid w:val="005C4037"/>
    <w:rsid w:val="005C50D8"/>
    <w:rsid w:val="005D793E"/>
    <w:rsid w:val="005F186A"/>
    <w:rsid w:val="00602F64"/>
    <w:rsid w:val="00607ACF"/>
    <w:rsid w:val="006103CF"/>
    <w:rsid w:val="006179E3"/>
    <w:rsid w:val="006216C6"/>
    <w:rsid w:val="00623BC8"/>
    <w:rsid w:val="00631F41"/>
    <w:rsid w:val="00634D55"/>
    <w:rsid w:val="0066690F"/>
    <w:rsid w:val="00686B94"/>
    <w:rsid w:val="00690F7A"/>
    <w:rsid w:val="006C41D5"/>
    <w:rsid w:val="006C49C6"/>
    <w:rsid w:val="006C5D12"/>
    <w:rsid w:val="006C7F9A"/>
    <w:rsid w:val="006D0252"/>
    <w:rsid w:val="006D684C"/>
    <w:rsid w:val="006F0B25"/>
    <w:rsid w:val="007327F4"/>
    <w:rsid w:val="0073502E"/>
    <w:rsid w:val="00740D49"/>
    <w:rsid w:val="00747F79"/>
    <w:rsid w:val="0077246C"/>
    <w:rsid w:val="007801C8"/>
    <w:rsid w:val="00781943"/>
    <w:rsid w:val="00794272"/>
    <w:rsid w:val="007A0403"/>
    <w:rsid w:val="007A62A9"/>
    <w:rsid w:val="007B496E"/>
    <w:rsid w:val="007B49F9"/>
    <w:rsid w:val="007B7D09"/>
    <w:rsid w:val="007C079F"/>
    <w:rsid w:val="007C0998"/>
    <w:rsid w:val="007C1337"/>
    <w:rsid w:val="007D3C00"/>
    <w:rsid w:val="007D7DD1"/>
    <w:rsid w:val="007F5E3C"/>
    <w:rsid w:val="0080016A"/>
    <w:rsid w:val="008002FC"/>
    <w:rsid w:val="0082505C"/>
    <w:rsid w:val="00827DAD"/>
    <w:rsid w:val="008422BC"/>
    <w:rsid w:val="00844347"/>
    <w:rsid w:val="008501B1"/>
    <w:rsid w:val="00861C9D"/>
    <w:rsid w:val="0087375F"/>
    <w:rsid w:val="008A3DE0"/>
    <w:rsid w:val="008A4521"/>
    <w:rsid w:val="008D484B"/>
    <w:rsid w:val="008E52ED"/>
    <w:rsid w:val="008E55CC"/>
    <w:rsid w:val="008E7E46"/>
    <w:rsid w:val="008F7ED2"/>
    <w:rsid w:val="009064F3"/>
    <w:rsid w:val="00921002"/>
    <w:rsid w:val="00921552"/>
    <w:rsid w:val="00926C61"/>
    <w:rsid w:val="00927668"/>
    <w:rsid w:val="00931421"/>
    <w:rsid w:val="0094048F"/>
    <w:rsid w:val="00943B3A"/>
    <w:rsid w:val="009444C8"/>
    <w:rsid w:val="00953F4B"/>
    <w:rsid w:val="00970EA2"/>
    <w:rsid w:val="00977A1B"/>
    <w:rsid w:val="009818D3"/>
    <w:rsid w:val="00982078"/>
    <w:rsid w:val="00985C0D"/>
    <w:rsid w:val="009908FD"/>
    <w:rsid w:val="00991454"/>
    <w:rsid w:val="009A415F"/>
    <w:rsid w:val="009A5299"/>
    <w:rsid w:val="009A56AB"/>
    <w:rsid w:val="009B2CDD"/>
    <w:rsid w:val="009C0D1E"/>
    <w:rsid w:val="009D38FD"/>
    <w:rsid w:val="009F1528"/>
    <w:rsid w:val="009F1EC5"/>
    <w:rsid w:val="009F7F25"/>
    <w:rsid w:val="00A02FD8"/>
    <w:rsid w:val="00A1043A"/>
    <w:rsid w:val="00A156CE"/>
    <w:rsid w:val="00A35716"/>
    <w:rsid w:val="00A5267B"/>
    <w:rsid w:val="00A60E40"/>
    <w:rsid w:val="00A613B3"/>
    <w:rsid w:val="00A61526"/>
    <w:rsid w:val="00A64ADF"/>
    <w:rsid w:val="00A64C47"/>
    <w:rsid w:val="00A74E39"/>
    <w:rsid w:val="00A754C3"/>
    <w:rsid w:val="00A835EA"/>
    <w:rsid w:val="00A87624"/>
    <w:rsid w:val="00A96DE4"/>
    <w:rsid w:val="00AB0ADF"/>
    <w:rsid w:val="00AB0B65"/>
    <w:rsid w:val="00AB6EDD"/>
    <w:rsid w:val="00AC2DD3"/>
    <w:rsid w:val="00AD157A"/>
    <w:rsid w:val="00AF0270"/>
    <w:rsid w:val="00AF58FE"/>
    <w:rsid w:val="00B005E9"/>
    <w:rsid w:val="00B0462D"/>
    <w:rsid w:val="00B079C7"/>
    <w:rsid w:val="00B24C49"/>
    <w:rsid w:val="00B26DEC"/>
    <w:rsid w:val="00B36033"/>
    <w:rsid w:val="00B409A4"/>
    <w:rsid w:val="00B44BC1"/>
    <w:rsid w:val="00B64E15"/>
    <w:rsid w:val="00B84A86"/>
    <w:rsid w:val="00B87431"/>
    <w:rsid w:val="00B92192"/>
    <w:rsid w:val="00B975BF"/>
    <w:rsid w:val="00BA4700"/>
    <w:rsid w:val="00BA4D5C"/>
    <w:rsid w:val="00BB2CB9"/>
    <w:rsid w:val="00BB704B"/>
    <w:rsid w:val="00BC01AC"/>
    <w:rsid w:val="00BE0B56"/>
    <w:rsid w:val="00BE3E5C"/>
    <w:rsid w:val="00BF1043"/>
    <w:rsid w:val="00BF2089"/>
    <w:rsid w:val="00C0189B"/>
    <w:rsid w:val="00C05422"/>
    <w:rsid w:val="00C07EA8"/>
    <w:rsid w:val="00C07FBD"/>
    <w:rsid w:val="00C22AB7"/>
    <w:rsid w:val="00C31789"/>
    <w:rsid w:val="00C32BBF"/>
    <w:rsid w:val="00C420F1"/>
    <w:rsid w:val="00C443B0"/>
    <w:rsid w:val="00C54288"/>
    <w:rsid w:val="00C71884"/>
    <w:rsid w:val="00C75246"/>
    <w:rsid w:val="00C75F53"/>
    <w:rsid w:val="00C765AF"/>
    <w:rsid w:val="00C93EB7"/>
    <w:rsid w:val="00C95168"/>
    <w:rsid w:val="00CB1FAB"/>
    <w:rsid w:val="00CB22E9"/>
    <w:rsid w:val="00CD1127"/>
    <w:rsid w:val="00CD4088"/>
    <w:rsid w:val="00CE2C5B"/>
    <w:rsid w:val="00CF2239"/>
    <w:rsid w:val="00D01D04"/>
    <w:rsid w:val="00D0298A"/>
    <w:rsid w:val="00D13EE6"/>
    <w:rsid w:val="00D22E16"/>
    <w:rsid w:val="00D355A7"/>
    <w:rsid w:val="00D4584F"/>
    <w:rsid w:val="00D5541A"/>
    <w:rsid w:val="00D6600A"/>
    <w:rsid w:val="00D72960"/>
    <w:rsid w:val="00D739AB"/>
    <w:rsid w:val="00D744E2"/>
    <w:rsid w:val="00D76C44"/>
    <w:rsid w:val="00D8326F"/>
    <w:rsid w:val="00D861D2"/>
    <w:rsid w:val="00D86669"/>
    <w:rsid w:val="00D97F07"/>
    <w:rsid w:val="00DA0395"/>
    <w:rsid w:val="00DA7057"/>
    <w:rsid w:val="00DB3B9B"/>
    <w:rsid w:val="00DC0480"/>
    <w:rsid w:val="00DD7BED"/>
    <w:rsid w:val="00DE3FFD"/>
    <w:rsid w:val="00DF13CA"/>
    <w:rsid w:val="00E06115"/>
    <w:rsid w:val="00E169C5"/>
    <w:rsid w:val="00E16FE2"/>
    <w:rsid w:val="00E34CE1"/>
    <w:rsid w:val="00E47C86"/>
    <w:rsid w:val="00EA0422"/>
    <w:rsid w:val="00EA4104"/>
    <w:rsid w:val="00EA5DFD"/>
    <w:rsid w:val="00EB4AE1"/>
    <w:rsid w:val="00EB6C34"/>
    <w:rsid w:val="00EC740C"/>
    <w:rsid w:val="00ED6F5F"/>
    <w:rsid w:val="00EE765E"/>
    <w:rsid w:val="00F07501"/>
    <w:rsid w:val="00F1058B"/>
    <w:rsid w:val="00F165A3"/>
    <w:rsid w:val="00F22140"/>
    <w:rsid w:val="00F34120"/>
    <w:rsid w:val="00F34957"/>
    <w:rsid w:val="00F42F1E"/>
    <w:rsid w:val="00F444F4"/>
    <w:rsid w:val="00F521F0"/>
    <w:rsid w:val="00F7304C"/>
    <w:rsid w:val="00F80F29"/>
    <w:rsid w:val="00F9763A"/>
    <w:rsid w:val="00FB2260"/>
    <w:rsid w:val="00FD5DDB"/>
    <w:rsid w:val="00FD6FD5"/>
    <w:rsid w:val="00FE00D4"/>
    <w:rsid w:val="00FE3840"/>
    <w:rsid w:val="00FF3755"/>
    <w:rsid w:val="0168700A"/>
    <w:rsid w:val="01B72C32"/>
    <w:rsid w:val="025A56AB"/>
    <w:rsid w:val="02AB4160"/>
    <w:rsid w:val="02BB686A"/>
    <w:rsid w:val="03014047"/>
    <w:rsid w:val="034675D0"/>
    <w:rsid w:val="0355382C"/>
    <w:rsid w:val="037E1CE7"/>
    <w:rsid w:val="03BD46AA"/>
    <w:rsid w:val="03BE185C"/>
    <w:rsid w:val="03C475CF"/>
    <w:rsid w:val="03D211C0"/>
    <w:rsid w:val="04090D29"/>
    <w:rsid w:val="040E2973"/>
    <w:rsid w:val="044B6418"/>
    <w:rsid w:val="044B7A46"/>
    <w:rsid w:val="04804DA9"/>
    <w:rsid w:val="048B5207"/>
    <w:rsid w:val="0516342C"/>
    <w:rsid w:val="051C460F"/>
    <w:rsid w:val="05213117"/>
    <w:rsid w:val="0577196F"/>
    <w:rsid w:val="063A78C0"/>
    <w:rsid w:val="0640373B"/>
    <w:rsid w:val="064F1CCC"/>
    <w:rsid w:val="06710E08"/>
    <w:rsid w:val="06B548A9"/>
    <w:rsid w:val="06BF6017"/>
    <w:rsid w:val="06E14AFA"/>
    <w:rsid w:val="06E577B0"/>
    <w:rsid w:val="070C28DE"/>
    <w:rsid w:val="071B7485"/>
    <w:rsid w:val="076F3599"/>
    <w:rsid w:val="07A50D69"/>
    <w:rsid w:val="07B96905"/>
    <w:rsid w:val="07D134BC"/>
    <w:rsid w:val="07FE4851"/>
    <w:rsid w:val="08193505"/>
    <w:rsid w:val="083B6A63"/>
    <w:rsid w:val="084411C1"/>
    <w:rsid w:val="08701AE7"/>
    <w:rsid w:val="08932D3D"/>
    <w:rsid w:val="08C4756E"/>
    <w:rsid w:val="08CD1005"/>
    <w:rsid w:val="08D26E5A"/>
    <w:rsid w:val="08FE0BC9"/>
    <w:rsid w:val="091837BC"/>
    <w:rsid w:val="094269F2"/>
    <w:rsid w:val="09523212"/>
    <w:rsid w:val="09571926"/>
    <w:rsid w:val="097F7B94"/>
    <w:rsid w:val="09852314"/>
    <w:rsid w:val="09880946"/>
    <w:rsid w:val="098E519B"/>
    <w:rsid w:val="0A110938"/>
    <w:rsid w:val="0A2E3537"/>
    <w:rsid w:val="0A3121C2"/>
    <w:rsid w:val="0A352BA5"/>
    <w:rsid w:val="0A5D599D"/>
    <w:rsid w:val="0A8305D6"/>
    <w:rsid w:val="0ADA2B09"/>
    <w:rsid w:val="0AF80F1A"/>
    <w:rsid w:val="0B1F3205"/>
    <w:rsid w:val="0B2F44CE"/>
    <w:rsid w:val="0B53254B"/>
    <w:rsid w:val="0B681122"/>
    <w:rsid w:val="0BB838AF"/>
    <w:rsid w:val="0BD45B9A"/>
    <w:rsid w:val="0BDE2A9B"/>
    <w:rsid w:val="0BE300B2"/>
    <w:rsid w:val="0C3B7EEE"/>
    <w:rsid w:val="0C6236CC"/>
    <w:rsid w:val="0CEB1C9D"/>
    <w:rsid w:val="0D3122B2"/>
    <w:rsid w:val="0D4E71B1"/>
    <w:rsid w:val="0D7204EB"/>
    <w:rsid w:val="0D7F3E0A"/>
    <w:rsid w:val="0DCA63AF"/>
    <w:rsid w:val="0DD44C7D"/>
    <w:rsid w:val="0DE10795"/>
    <w:rsid w:val="0E35096D"/>
    <w:rsid w:val="0E3A4E6E"/>
    <w:rsid w:val="0E6E3AA1"/>
    <w:rsid w:val="0EA704D8"/>
    <w:rsid w:val="0ED131F4"/>
    <w:rsid w:val="0EE91E83"/>
    <w:rsid w:val="0F694F51"/>
    <w:rsid w:val="0F7014AD"/>
    <w:rsid w:val="0F7D056A"/>
    <w:rsid w:val="0F847C52"/>
    <w:rsid w:val="0FF336C4"/>
    <w:rsid w:val="104A5A96"/>
    <w:rsid w:val="10832028"/>
    <w:rsid w:val="11427279"/>
    <w:rsid w:val="11641C95"/>
    <w:rsid w:val="118E286E"/>
    <w:rsid w:val="11D23448"/>
    <w:rsid w:val="11F801BC"/>
    <w:rsid w:val="12004E39"/>
    <w:rsid w:val="1212567F"/>
    <w:rsid w:val="12985CF9"/>
    <w:rsid w:val="12A41C0A"/>
    <w:rsid w:val="12BF0270"/>
    <w:rsid w:val="12DE5A77"/>
    <w:rsid w:val="12EC1F42"/>
    <w:rsid w:val="12EF488C"/>
    <w:rsid w:val="133A1F33"/>
    <w:rsid w:val="13702E59"/>
    <w:rsid w:val="138A35EC"/>
    <w:rsid w:val="139F6E9D"/>
    <w:rsid w:val="14024E31"/>
    <w:rsid w:val="14146046"/>
    <w:rsid w:val="14322F07"/>
    <w:rsid w:val="14487D3B"/>
    <w:rsid w:val="14780BF1"/>
    <w:rsid w:val="147945C6"/>
    <w:rsid w:val="14A979BF"/>
    <w:rsid w:val="14B22D17"/>
    <w:rsid w:val="15771C08"/>
    <w:rsid w:val="157846D9"/>
    <w:rsid w:val="157A6D9B"/>
    <w:rsid w:val="15C727F2"/>
    <w:rsid w:val="15E542C1"/>
    <w:rsid w:val="15EB4733"/>
    <w:rsid w:val="162437A1"/>
    <w:rsid w:val="166E38FB"/>
    <w:rsid w:val="16B84021"/>
    <w:rsid w:val="16FA7579"/>
    <w:rsid w:val="17286D0C"/>
    <w:rsid w:val="176059C1"/>
    <w:rsid w:val="17981ECF"/>
    <w:rsid w:val="180C6059"/>
    <w:rsid w:val="18285388"/>
    <w:rsid w:val="18604B97"/>
    <w:rsid w:val="188E455C"/>
    <w:rsid w:val="18A34269"/>
    <w:rsid w:val="19030611"/>
    <w:rsid w:val="192C3C0C"/>
    <w:rsid w:val="19712A70"/>
    <w:rsid w:val="19C358E8"/>
    <w:rsid w:val="1A045DC3"/>
    <w:rsid w:val="1A2975D8"/>
    <w:rsid w:val="1A487E84"/>
    <w:rsid w:val="1A607F11"/>
    <w:rsid w:val="1A626F8D"/>
    <w:rsid w:val="1A6B6F42"/>
    <w:rsid w:val="1A7F7CB8"/>
    <w:rsid w:val="1B282F23"/>
    <w:rsid w:val="1B4504E9"/>
    <w:rsid w:val="1B54612C"/>
    <w:rsid w:val="1B8C2514"/>
    <w:rsid w:val="1C351823"/>
    <w:rsid w:val="1C683EE6"/>
    <w:rsid w:val="1C976597"/>
    <w:rsid w:val="1D131341"/>
    <w:rsid w:val="1D1B6C8D"/>
    <w:rsid w:val="1D8C2AA0"/>
    <w:rsid w:val="1D8C3AB4"/>
    <w:rsid w:val="1D977549"/>
    <w:rsid w:val="1DF44011"/>
    <w:rsid w:val="1E025426"/>
    <w:rsid w:val="1E71154D"/>
    <w:rsid w:val="1E7228D5"/>
    <w:rsid w:val="1E8411F8"/>
    <w:rsid w:val="1EA84411"/>
    <w:rsid w:val="1F3F20C1"/>
    <w:rsid w:val="1F403551"/>
    <w:rsid w:val="1F6966C8"/>
    <w:rsid w:val="1FC752CE"/>
    <w:rsid w:val="20187C1D"/>
    <w:rsid w:val="202E378C"/>
    <w:rsid w:val="211D59BC"/>
    <w:rsid w:val="21444369"/>
    <w:rsid w:val="216C51F8"/>
    <w:rsid w:val="21BC592B"/>
    <w:rsid w:val="22476665"/>
    <w:rsid w:val="2280798F"/>
    <w:rsid w:val="22D71DD3"/>
    <w:rsid w:val="231B5F2B"/>
    <w:rsid w:val="2338088B"/>
    <w:rsid w:val="2345012F"/>
    <w:rsid w:val="2366189C"/>
    <w:rsid w:val="23990CA4"/>
    <w:rsid w:val="23C42EC5"/>
    <w:rsid w:val="23E52EB3"/>
    <w:rsid w:val="23EE1396"/>
    <w:rsid w:val="24080358"/>
    <w:rsid w:val="247F4284"/>
    <w:rsid w:val="249E62AE"/>
    <w:rsid w:val="24B7449F"/>
    <w:rsid w:val="24D37D1E"/>
    <w:rsid w:val="24F26AD5"/>
    <w:rsid w:val="24F84260"/>
    <w:rsid w:val="2500362B"/>
    <w:rsid w:val="25D4232B"/>
    <w:rsid w:val="25E97009"/>
    <w:rsid w:val="25F90528"/>
    <w:rsid w:val="25FF4083"/>
    <w:rsid w:val="26216A0F"/>
    <w:rsid w:val="26241155"/>
    <w:rsid w:val="26265313"/>
    <w:rsid w:val="2629095F"/>
    <w:rsid w:val="26340F71"/>
    <w:rsid w:val="263E0B8D"/>
    <w:rsid w:val="26753BA5"/>
    <w:rsid w:val="2677791D"/>
    <w:rsid w:val="2714160F"/>
    <w:rsid w:val="276C4316"/>
    <w:rsid w:val="280E1C39"/>
    <w:rsid w:val="28377363"/>
    <w:rsid w:val="28675334"/>
    <w:rsid w:val="28A67DCA"/>
    <w:rsid w:val="28C055AB"/>
    <w:rsid w:val="28C36E49"/>
    <w:rsid w:val="28C716E4"/>
    <w:rsid w:val="28C878C3"/>
    <w:rsid w:val="292024ED"/>
    <w:rsid w:val="296F6939"/>
    <w:rsid w:val="297C731B"/>
    <w:rsid w:val="29BC7B2A"/>
    <w:rsid w:val="2A177BEC"/>
    <w:rsid w:val="2A3B6ADF"/>
    <w:rsid w:val="2A4E2A3E"/>
    <w:rsid w:val="2A58320D"/>
    <w:rsid w:val="2A783082"/>
    <w:rsid w:val="2A7D13AA"/>
    <w:rsid w:val="2A906605"/>
    <w:rsid w:val="2AA1087A"/>
    <w:rsid w:val="2AB32EED"/>
    <w:rsid w:val="2AE92C2D"/>
    <w:rsid w:val="2B006133"/>
    <w:rsid w:val="2B165956"/>
    <w:rsid w:val="2B364ABF"/>
    <w:rsid w:val="2B59701E"/>
    <w:rsid w:val="2BB5365F"/>
    <w:rsid w:val="2BD61589"/>
    <w:rsid w:val="2BDD0222"/>
    <w:rsid w:val="2BE64745"/>
    <w:rsid w:val="2C0954BB"/>
    <w:rsid w:val="2C1B305B"/>
    <w:rsid w:val="2C4F6B23"/>
    <w:rsid w:val="2C5C4CB6"/>
    <w:rsid w:val="2C88722D"/>
    <w:rsid w:val="2D016192"/>
    <w:rsid w:val="2D4E3A9B"/>
    <w:rsid w:val="2D5510AF"/>
    <w:rsid w:val="2D656721"/>
    <w:rsid w:val="2D7918D9"/>
    <w:rsid w:val="2D8E188D"/>
    <w:rsid w:val="2E63100D"/>
    <w:rsid w:val="2E9169BF"/>
    <w:rsid w:val="2EDF7449"/>
    <w:rsid w:val="2F6740E2"/>
    <w:rsid w:val="2F883EA8"/>
    <w:rsid w:val="2FAF5BAA"/>
    <w:rsid w:val="2FD350F4"/>
    <w:rsid w:val="30182170"/>
    <w:rsid w:val="30240B15"/>
    <w:rsid w:val="303C45C9"/>
    <w:rsid w:val="3059170B"/>
    <w:rsid w:val="30754E98"/>
    <w:rsid w:val="30761117"/>
    <w:rsid w:val="308C6CC9"/>
    <w:rsid w:val="30D05BE1"/>
    <w:rsid w:val="30F73B34"/>
    <w:rsid w:val="31733DC9"/>
    <w:rsid w:val="319F661C"/>
    <w:rsid w:val="31A761BB"/>
    <w:rsid w:val="31B447D1"/>
    <w:rsid w:val="31B60A82"/>
    <w:rsid w:val="321760F0"/>
    <w:rsid w:val="32345610"/>
    <w:rsid w:val="324F3ED3"/>
    <w:rsid w:val="327F0285"/>
    <w:rsid w:val="32832331"/>
    <w:rsid w:val="32CD79A3"/>
    <w:rsid w:val="32FD1D03"/>
    <w:rsid w:val="33073D47"/>
    <w:rsid w:val="331F2C8E"/>
    <w:rsid w:val="334703EE"/>
    <w:rsid w:val="334C384B"/>
    <w:rsid w:val="33D4015C"/>
    <w:rsid w:val="33F3014A"/>
    <w:rsid w:val="33FF4A8E"/>
    <w:rsid w:val="342B0D4C"/>
    <w:rsid w:val="34615AF8"/>
    <w:rsid w:val="35446C9F"/>
    <w:rsid w:val="35894EFE"/>
    <w:rsid w:val="35973E3A"/>
    <w:rsid w:val="359C114E"/>
    <w:rsid w:val="35DF525F"/>
    <w:rsid w:val="360D6F99"/>
    <w:rsid w:val="36172C1C"/>
    <w:rsid w:val="363B35F3"/>
    <w:rsid w:val="366F2A79"/>
    <w:rsid w:val="3679323D"/>
    <w:rsid w:val="36854FAE"/>
    <w:rsid w:val="36A14576"/>
    <w:rsid w:val="36A62454"/>
    <w:rsid w:val="370C0F67"/>
    <w:rsid w:val="37625952"/>
    <w:rsid w:val="376C4DC8"/>
    <w:rsid w:val="37E74955"/>
    <w:rsid w:val="37ED3FFC"/>
    <w:rsid w:val="380C0A55"/>
    <w:rsid w:val="38123611"/>
    <w:rsid w:val="382625BE"/>
    <w:rsid w:val="385F0069"/>
    <w:rsid w:val="389C42C7"/>
    <w:rsid w:val="38E7664A"/>
    <w:rsid w:val="393F068B"/>
    <w:rsid w:val="39472477"/>
    <w:rsid w:val="39495149"/>
    <w:rsid w:val="39570E14"/>
    <w:rsid w:val="396C1936"/>
    <w:rsid w:val="39765A7C"/>
    <w:rsid w:val="397A040E"/>
    <w:rsid w:val="39BF6117"/>
    <w:rsid w:val="39E67A78"/>
    <w:rsid w:val="3A577D39"/>
    <w:rsid w:val="3AAA7E69"/>
    <w:rsid w:val="3B191ED5"/>
    <w:rsid w:val="3B2841A1"/>
    <w:rsid w:val="3B6B7446"/>
    <w:rsid w:val="3B96663F"/>
    <w:rsid w:val="3C0515C5"/>
    <w:rsid w:val="3C2123AD"/>
    <w:rsid w:val="3C39447A"/>
    <w:rsid w:val="3C413488"/>
    <w:rsid w:val="3C771A96"/>
    <w:rsid w:val="3CA64660"/>
    <w:rsid w:val="3CFA5F40"/>
    <w:rsid w:val="3D29592D"/>
    <w:rsid w:val="3D4B0156"/>
    <w:rsid w:val="3D797ABA"/>
    <w:rsid w:val="3D976450"/>
    <w:rsid w:val="3DB403BE"/>
    <w:rsid w:val="3DC077EC"/>
    <w:rsid w:val="3DE07D6C"/>
    <w:rsid w:val="3DF634DF"/>
    <w:rsid w:val="3E100BF3"/>
    <w:rsid w:val="3EA90437"/>
    <w:rsid w:val="3EAF2B6F"/>
    <w:rsid w:val="3EB76FF8"/>
    <w:rsid w:val="3ECA7CED"/>
    <w:rsid w:val="3F0A3E60"/>
    <w:rsid w:val="3F141D55"/>
    <w:rsid w:val="3F1C15A0"/>
    <w:rsid w:val="3F3200D7"/>
    <w:rsid w:val="3F440B1A"/>
    <w:rsid w:val="3F7A7082"/>
    <w:rsid w:val="3FCA54BF"/>
    <w:rsid w:val="3FFE7BEC"/>
    <w:rsid w:val="401A55E8"/>
    <w:rsid w:val="404F7D01"/>
    <w:rsid w:val="407E2EF1"/>
    <w:rsid w:val="40804C06"/>
    <w:rsid w:val="40885F49"/>
    <w:rsid w:val="409749EB"/>
    <w:rsid w:val="40AE2621"/>
    <w:rsid w:val="40D814C3"/>
    <w:rsid w:val="411E04AF"/>
    <w:rsid w:val="411E6EBB"/>
    <w:rsid w:val="41411495"/>
    <w:rsid w:val="415428DD"/>
    <w:rsid w:val="41BF0FBC"/>
    <w:rsid w:val="42220127"/>
    <w:rsid w:val="422449A5"/>
    <w:rsid w:val="43030A5E"/>
    <w:rsid w:val="430805CF"/>
    <w:rsid w:val="432A7D99"/>
    <w:rsid w:val="43A062AD"/>
    <w:rsid w:val="43B8278B"/>
    <w:rsid w:val="43FB1735"/>
    <w:rsid w:val="43FF30AC"/>
    <w:rsid w:val="440E7F51"/>
    <w:rsid w:val="44613FB0"/>
    <w:rsid w:val="44775260"/>
    <w:rsid w:val="448F7DDB"/>
    <w:rsid w:val="44EE2122"/>
    <w:rsid w:val="45461CC2"/>
    <w:rsid w:val="45745E52"/>
    <w:rsid w:val="45A13861"/>
    <w:rsid w:val="460A1E32"/>
    <w:rsid w:val="46537CD3"/>
    <w:rsid w:val="46596741"/>
    <w:rsid w:val="467F4D98"/>
    <w:rsid w:val="46994243"/>
    <w:rsid w:val="46A63BDA"/>
    <w:rsid w:val="46B300A5"/>
    <w:rsid w:val="46CF7A29"/>
    <w:rsid w:val="46ED7F1A"/>
    <w:rsid w:val="46EE37D3"/>
    <w:rsid w:val="475015C6"/>
    <w:rsid w:val="475950F1"/>
    <w:rsid w:val="47A64E42"/>
    <w:rsid w:val="47D9784D"/>
    <w:rsid w:val="48254937"/>
    <w:rsid w:val="483109F5"/>
    <w:rsid w:val="48D013E2"/>
    <w:rsid w:val="492C2D3D"/>
    <w:rsid w:val="4A3B4D6F"/>
    <w:rsid w:val="4AB26B4B"/>
    <w:rsid w:val="4AF9077E"/>
    <w:rsid w:val="4AF92996"/>
    <w:rsid w:val="4B0E7075"/>
    <w:rsid w:val="4B211352"/>
    <w:rsid w:val="4B351DC6"/>
    <w:rsid w:val="4B485433"/>
    <w:rsid w:val="4B7D04B7"/>
    <w:rsid w:val="4B810772"/>
    <w:rsid w:val="4B895879"/>
    <w:rsid w:val="4B92297F"/>
    <w:rsid w:val="4B933509"/>
    <w:rsid w:val="4BAE1DE0"/>
    <w:rsid w:val="4BEF537B"/>
    <w:rsid w:val="4C3F01F2"/>
    <w:rsid w:val="4C50431F"/>
    <w:rsid w:val="4C545E87"/>
    <w:rsid w:val="4C944D9B"/>
    <w:rsid w:val="4CA77E00"/>
    <w:rsid w:val="4CA961D2"/>
    <w:rsid w:val="4CB5084E"/>
    <w:rsid w:val="4CB95B17"/>
    <w:rsid w:val="4CD335CC"/>
    <w:rsid w:val="4D116F13"/>
    <w:rsid w:val="4D2477A6"/>
    <w:rsid w:val="4D70111A"/>
    <w:rsid w:val="4D926C66"/>
    <w:rsid w:val="4DEC3074"/>
    <w:rsid w:val="4DF558BF"/>
    <w:rsid w:val="4E08517B"/>
    <w:rsid w:val="4E287F63"/>
    <w:rsid w:val="4E5D33F6"/>
    <w:rsid w:val="4E74636C"/>
    <w:rsid w:val="4E9B635D"/>
    <w:rsid w:val="4EA57D97"/>
    <w:rsid w:val="4EF120B3"/>
    <w:rsid w:val="4F4E2378"/>
    <w:rsid w:val="4F62701A"/>
    <w:rsid w:val="4F6E3FDF"/>
    <w:rsid w:val="4F7C4998"/>
    <w:rsid w:val="4F90367A"/>
    <w:rsid w:val="4FDE2637"/>
    <w:rsid w:val="4FE70DC0"/>
    <w:rsid w:val="4FEB1C71"/>
    <w:rsid w:val="4FF569DA"/>
    <w:rsid w:val="510222D3"/>
    <w:rsid w:val="511B35F2"/>
    <w:rsid w:val="513B5792"/>
    <w:rsid w:val="515F763E"/>
    <w:rsid w:val="51652A36"/>
    <w:rsid w:val="51965F7A"/>
    <w:rsid w:val="519F7BA4"/>
    <w:rsid w:val="51D35A9F"/>
    <w:rsid w:val="51F03D00"/>
    <w:rsid w:val="522F0F63"/>
    <w:rsid w:val="52A3619C"/>
    <w:rsid w:val="52CA258F"/>
    <w:rsid w:val="52DD2582"/>
    <w:rsid w:val="52ED41C0"/>
    <w:rsid w:val="533B1B4E"/>
    <w:rsid w:val="535331E2"/>
    <w:rsid w:val="53AB6CD4"/>
    <w:rsid w:val="53BF34E9"/>
    <w:rsid w:val="53C926BD"/>
    <w:rsid w:val="53E62F2D"/>
    <w:rsid w:val="547567CF"/>
    <w:rsid w:val="54980C95"/>
    <w:rsid w:val="54CE4AE4"/>
    <w:rsid w:val="54FC355F"/>
    <w:rsid w:val="55271C1A"/>
    <w:rsid w:val="553403F1"/>
    <w:rsid w:val="555370AB"/>
    <w:rsid w:val="555619A0"/>
    <w:rsid w:val="558E0FC6"/>
    <w:rsid w:val="55E5223F"/>
    <w:rsid w:val="563B5969"/>
    <w:rsid w:val="56587A30"/>
    <w:rsid w:val="566352E9"/>
    <w:rsid w:val="56710849"/>
    <w:rsid w:val="56D179D6"/>
    <w:rsid w:val="5722397E"/>
    <w:rsid w:val="579E6529"/>
    <w:rsid w:val="57B65C47"/>
    <w:rsid w:val="57DB3900"/>
    <w:rsid w:val="57F643B5"/>
    <w:rsid w:val="57F77B94"/>
    <w:rsid w:val="582938AC"/>
    <w:rsid w:val="583B48F5"/>
    <w:rsid w:val="58596708"/>
    <w:rsid w:val="58CC03BD"/>
    <w:rsid w:val="58D67975"/>
    <w:rsid w:val="58DD4A37"/>
    <w:rsid w:val="58FB66C2"/>
    <w:rsid w:val="590D1897"/>
    <w:rsid w:val="596B5D20"/>
    <w:rsid w:val="5980259E"/>
    <w:rsid w:val="59BA435D"/>
    <w:rsid w:val="5A0E1D6B"/>
    <w:rsid w:val="5A177BA2"/>
    <w:rsid w:val="5A5A7965"/>
    <w:rsid w:val="5A663955"/>
    <w:rsid w:val="5A981634"/>
    <w:rsid w:val="5ACE32A8"/>
    <w:rsid w:val="5AE936B9"/>
    <w:rsid w:val="5B230259"/>
    <w:rsid w:val="5B397D61"/>
    <w:rsid w:val="5B9C5AAD"/>
    <w:rsid w:val="5BAB707A"/>
    <w:rsid w:val="5BC16969"/>
    <w:rsid w:val="5C0276AD"/>
    <w:rsid w:val="5CF147FE"/>
    <w:rsid w:val="5CF42B46"/>
    <w:rsid w:val="5D8149B8"/>
    <w:rsid w:val="5DAE410C"/>
    <w:rsid w:val="5DB8393B"/>
    <w:rsid w:val="5E0771FD"/>
    <w:rsid w:val="5E7B3747"/>
    <w:rsid w:val="5E843D1D"/>
    <w:rsid w:val="5EDB6A04"/>
    <w:rsid w:val="5F03711F"/>
    <w:rsid w:val="5F8E1258"/>
    <w:rsid w:val="5FD749AD"/>
    <w:rsid w:val="5FD86F9D"/>
    <w:rsid w:val="5FDA449D"/>
    <w:rsid w:val="601C7286"/>
    <w:rsid w:val="602E56FC"/>
    <w:rsid w:val="60B255BB"/>
    <w:rsid w:val="60FE4C5B"/>
    <w:rsid w:val="61296566"/>
    <w:rsid w:val="61344213"/>
    <w:rsid w:val="618704AE"/>
    <w:rsid w:val="61CF0031"/>
    <w:rsid w:val="620B3AA5"/>
    <w:rsid w:val="622F7D46"/>
    <w:rsid w:val="626B73B4"/>
    <w:rsid w:val="62BC4699"/>
    <w:rsid w:val="631A1780"/>
    <w:rsid w:val="632A1297"/>
    <w:rsid w:val="639C68CA"/>
    <w:rsid w:val="63C9199B"/>
    <w:rsid w:val="63D72C1E"/>
    <w:rsid w:val="640B6BEB"/>
    <w:rsid w:val="640F6E0B"/>
    <w:rsid w:val="64980343"/>
    <w:rsid w:val="64F63B27"/>
    <w:rsid w:val="65242442"/>
    <w:rsid w:val="65265843"/>
    <w:rsid w:val="655156DF"/>
    <w:rsid w:val="65856431"/>
    <w:rsid w:val="659A2704"/>
    <w:rsid w:val="65C66E11"/>
    <w:rsid w:val="65CE70EA"/>
    <w:rsid w:val="65D07CD0"/>
    <w:rsid w:val="65D46CE8"/>
    <w:rsid w:val="662E109F"/>
    <w:rsid w:val="668E1D45"/>
    <w:rsid w:val="66B248B1"/>
    <w:rsid w:val="67251800"/>
    <w:rsid w:val="67601709"/>
    <w:rsid w:val="67887197"/>
    <w:rsid w:val="6791274E"/>
    <w:rsid w:val="67E25D6B"/>
    <w:rsid w:val="67F307F2"/>
    <w:rsid w:val="681C48F5"/>
    <w:rsid w:val="681E1E1B"/>
    <w:rsid w:val="684140AE"/>
    <w:rsid w:val="686B660F"/>
    <w:rsid w:val="68994EF5"/>
    <w:rsid w:val="68E12D15"/>
    <w:rsid w:val="692C3FBB"/>
    <w:rsid w:val="694B0097"/>
    <w:rsid w:val="69B01F8E"/>
    <w:rsid w:val="69B22830"/>
    <w:rsid w:val="69B613DE"/>
    <w:rsid w:val="69F40562"/>
    <w:rsid w:val="69FA3D78"/>
    <w:rsid w:val="6A270F1C"/>
    <w:rsid w:val="6A5C61DA"/>
    <w:rsid w:val="6A7D6AFE"/>
    <w:rsid w:val="6A8C5F65"/>
    <w:rsid w:val="6A9525EC"/>
    <w:rsid w:val="6AF320BA"/>
    <w:rsid w:val="6AF95442"/>
    <w:rsid w:val="6B1844B4"/>
    <w:rsid w:val="6B1B2899"/>
    <w:rsid w:val="6B5276F7"/>
    <w:rsid w:val="6B8837D4"/>
    <w:rsid w:val="6B9A6C3B"/>
    <w:rsid w:val="6B9C5C64"/>
    <w:rsid w:val="6C1C0987"/>
    <w:rsid w:val="6C3E4D8A"/>
    <w:rsid w:val="6C4F00DF"/>
    <w:rsid w:val="6C4F12CB"/>
    <w:rsid w:val="6C9F76B0"/>
    <w:rsid w:val="6CA40C5F"/>
    <w:rsid w:val="6D86142C"/>
    <w:rsid w:val="6DCC18C9"/>
    <w:rsid w:val="6E0C0F5A"/>
    <w:rsid w:val="6E184A41"/>
    <w:rsid w:val="6E443B55"/>
    <w:rsid w:val="6E75505F"/>
    <w:rsid w:val="6EBE6FCA"/>
    <w:rsid w:val="6ECE19F3"/>
    <w:rsid w:val="6EE43B07"/>
    <w:rsid w:val="6F1F73B2"/>
    <w:rsid w:val="6F327E52"/>
    <w:rsid w:val="6F993A2D"/>
    <w:rsid w:val="6FFB0243"/>
    <w:rsid w:val="70117A67"/>
    <w:rsid w:val="704A4D27"/>
    <w:rsid w:val="70B00D03"/>
    <w:rsid w:val="70D00F63"/>
    <w:rsid w:val="70DF71F0"/>
    <w:rsid w:val="71054B43"/>
    <w:rsid w:val="713C430A"/>
    <w:rsid w:val="715A5D6A"/>
    <w:rsid w:val="71F24DB8"/>
    <w:rsid w:val="72456CFC"/>
    <w:rsid w:val="72547143"/>
    <w:rsid w:val="72633879"/>
    <w:rsid w:val="726E73F3"/>
    <w:rsid w:val="72977E6A"/>
    <w:rsid w:val="72C83D89"/>
    <w:rsid w:val="72FA6ED8"/>
    <w:rsid w:val="733207B2"/>
    <w:rsid w:val="733D6483"/>
    <w:rsid w:val="7358514C"/>
    <w:rsid w:val="7367665C"/>
    <w:rsid w:val="736E0B54"/>
    <w:rsid w:val="7387721E"/>
    <w:rsid w:val="73AA228F"/>
    <w:rsid w:val="73C92407"/>
    <w:rsid w:val="73D5156F"/>
    <w:rsid w:val="73F00319"/>
    <w:rsid w:val="73F3740F"/>
    <w:rsid w:val="7407365B"/>
    <w:rsid w:val="740D27BD"/>
    <w:rsid w:val="7424792A"/>
    <w:rsid w:val="74665047"/>
    <w:rsid w:val="74681C20"/>
    <w:rsid w:val="748713D8"/>
    <w:rsid w:val="7499627D"/>
    <w:rsid w:val="74C4154C"/>
    <w:rsid w:val="74C8072D"/>
    <w:rsid w:val="74E2279A"/>
    <w:rsid w:val="75175F92"/>
    <w:rsid w:val="754A2D0A"/>
    <w:rsid w:val="755B12A1"/>
    <w:rsid w:val="75AE24B8"/>
    <w:rsid w:val="75D92442"/>
    <w:rsid w:val="7605090C"/>
    <w:rsid w:val="76334B58"/>
    <w:rsid w:val="767945B8"/>
    <w:rsid w:val="76D032D7"/>
    <w:rsid w:val="76E804A0"/>
    <w:rsid w:val="76EC3542"/>
    <w:rsid w:val="770F39D2"/>
    <w:rsid w:val="77102D8C"/>
    <w:rsid w:val="771D13E7"/>
    <w:rsid w:val="777F52D6"/>
    <w:rsid w:val="778C4D25"/>
    <w:rsid w:val="77940DF6"/>
    <w:rsid w:val="77BD2D08"/>
    <w:rsid w:val="77D5404E"/>
    <w:rsid w:val="781C169F"/>
    <w:rsid w:val="78225CED"/>
    <w:rsid w:val="78746B29"/>
    <w:rsid w:val="78996949"/>
    <w:rsid w:val="79143567"/>
    <w:rsid w:val="797733A9"/>
    <w:rsid w:val="799325F8"/>
    <w:rsid w:val="7A2D2AD9"/>
    <w:rsid w:val="7A3A3FDB"/>
    <w:rsid w:val="7A4D5B40"/>
    <w:rsid w:val="7AFE508C"/>
    <w:rsid w:val="7B86755B"/>
    <w:rsid w:val="7B9C1B1E"/>
    <w:rsid w:val="7BBD12C0"/>
    <w:rsid w:val="7BCD518A"/>
    <w:rsid w:val="7BEC1388"/>
    <w:rsid w:val="7C1E6254"/>
    <w:rsid w:val="7C2F1592"/>
    <w:rsid w:val="7C43544C"/>
    <w:rsid w:val="7C5238E1"/>
    <w:rsid w:val="7C7529B3"/>
    <w:rsid w:val="7CC13AEF"/>
    <w:rsid w:val="7CF46746"/>
    <w:rsid w:val="7CF545B7"/>
    <w:rsid w:val="7D772B1C"/>
    <w:rsid w:val="7DAD3EEA"/>
    <w:rsid w:val="7DDA703D"/>
    <w:rsid w:val="7E141059"/>
    <w:rsid w:val="7E373A9E"/>
    <w:rsid w:val="7E4F14A3"/>
    <w:rsid w:val="7E5020A2"/>
    <w:rsid w:val="7E6D4A02"/>
    <w:rsid w:val="7ED975C7"/>
    <w:rsid w:val="7F50002E"/>
    <w:rsid w:val="7F625825"/>
    <w:rsid w:val="7F873D31"/>
    <w:rsid w:val="7FAE7080"/>
    <w:rsid w:val="7FB60D60"/>
    <w:rsid w:val="7FC006DA"/>
    <w:rsid w:val="7FC906B2"/>
    <w:rsid w:val="7FD14B1D"/>
    <w:rsid w:val="7FDF50FB"/>
    <w:rsid w:val="7FFA0518"/>
    <w:rsid w:val="7FFE56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8"/>
    <w:autoRedefine/>
    <w:qFormat/>
    <w:uiPriority w:val="0"/>
    <w:pPr>
      <w:keepNext/>
      <w:keepLines/>
      <w:spacing w:before="260" w:after="260" w:line="416" w:lineRule="auto"/>
      <w:outlineLvl w:val="1"/>
    </w:pPr>
    <w:rPr>
      <w:rFonts w:ascii="Cambria" w:hAnsi="Cambria"/>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link w:val="49"/>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9">
    <w:name w:val="heading 5"/>
    <w:basedOn w:val="1"/>
    <w:next w:val="10"/>
    <w:link w:val="50"/>
    <w:autoRedefine/>
    <w:qFormat/>
    <w:uiPriority w:val="9"/>
    <w:pPr>
      <w:keepNext/>
      <w:keepLines/>
      <w:spacing w:before="280" w:after="290" w:line="376" w:lineRule="auto"/>
      <w:outlineLvl w:val="4"/>
    </w:pPr>
    <w:rPr>
      <w:b/>
      <w:bCs/>
      <w:sz w:val="28"/>
      <w:szCs w:val="28"/>
    </w:rPr>
  </w:style>
  <w:style w:type="paragraph" w:styleId="11">
    <w:name w:val="heading 6"/>
    <w:basedOn w:val="1"/>
    <w:next w:val="1"/>
    <w:autoRedefine/>
    <w:qFormat/>
    <w:uiPriority w:val="0"/>
    <w:pPr>
      <w:keepNext/>
      <w:keepLines/>
      <w:spacing w:before="240" w:after="64" w:line="316" w:lineRule="auto"/>
      <w:outlineLvl w:val="5"/>
    </w:pPr>
    <w:rPr>
      <w:rFonts w:ascii="Arial" w:hAnsi="Arial" w:eastAsia="黑体"/>
      <w:b/>
      <w:bCs/>
      <w:sz w:val="24"/>
    </w:rPr>
  </w:style>
  <w:style w:type="paragraph" w:styleId="12">
    <w:name w:val="heading 7"/>
    <w:basedOn w:val="1"/>
    <w:next w:val="1"/>
    <w:link w:val="51"/>
    <w:autoRedefine/>
    <w:qFormat/>
    <w:uiPriority w:val="0"/>
    <w:pPr>
      <w:keepNext/>
      <w:keepLines/>
      <w:spacing w:before="240" w:after="64" w:line="320" w:lineRule="auto"/>
      <w:outlineLvl w:val="6"/>
    </w:pPr>
    <w:rPr>
      <w:b/>
      <w:bCs/>
      <w:sz w:val="24"/>
    </w:rPr>
  </w:style>
  <w:style w:type="paragraph" w:styleId="13">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4">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4"/>
    <w:autoRedefine/>
    <w:unhideWhenUsed/>
    <w:qFormat/>
    <w:uiPriority w:val="99"/>
    <w:pPr>
      <w:spacing w:after="120"/>
    </w:pPr>
  </w:style>
  <w:style w:type="paragraph" w:styleId="3">
    <w:name w:val="Body Text First Indent 2"/>
    <w:basedOn w:val="1"/>
    <w:next w:val="4"/>
    <w:link w:val="65"/>
    <w:autoRedefine/>
    <w:qFormat/>
    <w:uiPriority w:val="99"/>
    <w:pPr>
      <w:ind w:firstLine="420" w:firstLineChars="200"/>
    </w:pPr>
    <w:rPr>
      <w:rFonts w:ascii="宋体" w:hAnsi="Courier New"/>
      <w:spacing w:val="-4"/>
      <w:sz w:val="18"/>
    </w:rPr>
  </w:style>
  <w:style w:type="paragraph" w:styleId="4">
    <w:name w:val="Body Text First Indent"/>
    <w:basedOn w:val="2"/>
    <w:autoRedefine/>
    <w:qFormat/>
    <w:uiPriority w:val="0"/>
    <w:pPr>
      <w:adjustRightInd w:val="0"/>
      <w:spacing w:after="60" w:line="360" w:lineRule="atLeast"/>
      <w:ind w:left="72" w:leftChars="30" w:right="30" w:rightChars="30" w:firstLine="420"/>
      <w:jc w:val="center"/>
      <w:textAlignment w:val="baseline"/>
    </w:pPr>
    <w:rPr>
      <w:rFonts w:eastAsia="楷体_GB2312"/>
      <w:kern w:val="0"/>
      <w:sz w:val="32"/>
    </w:rPr>
  </w:style>
  <w:style w:type="paragraph" w:styleId="10">
    <w:name w:val="Normal Indent"/>
    <w:basedOn w:val="1"/>
    <w:autoRedefine/>
    <w:qFormat/>
    <w:uiPriority w:val="0"/>
    <w:pPr>
      <w:ind w:firstLine="420"/>
    </w:pPr>
    <w:rPr>
      <w:szCs w:val="20"/>
    </w:rPr>
  </w:style>
  <w:style w:type="paragraph" w:styleId="15">
    <w:name w:val="index 8"/>
    <w:basedOn w:val="1"/>
    <w:next w:val="1"/>
    <w:autoRedefine/>
    <w:qFormat/>
    <w:uiPriority w:val="0"/>
    <w:pPr>
      <w:ind w:left="2940"/>
    </w:pPr>
  </w:style>
  <w:style w:type="paragraph" w:styleId="16">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annotation text"/>
    <w:basedOn w:val="1"/>
    <w:link w:val="57"/>
    <w:autoRedefine/>
    <w:qFormat/>
    <w:uiPriority w:val="0"/>
    <w:pPr>
      <w:jc w:val="left"/>
    </w:pPr>
  </w:style>
  <w:style w:type="paragraph" w:styleId="18">
    <w:name w:val="Body Text 3"/>
    <w:basedOn w:val="1"/>
    <w:link w:val="58"/>
    <w:autoRedefine/>
    <w:unhideWhenUsed/>
    <w:qFormat/>
    <w:uiPriority w:val="99"/>
    <w:pPr>
      <w:spacing w:after="120"/>
    </w:pPr>
    <w:rPr>
      <w:sz w:val="16"/>
      <w:szCs w:val="16"/>
    </w:rPr>
  </w:style>
  <w:style w:type="paragraph" w:styleId="19">
    <w:name w:val="Body Text Indent"/>
    <w:basedOn w:val="1"/>
    <w:link w:val="59"/>
    <w:autoRedefine/>
    <w:qFormat/>
    <w:uiPriority w:val="0"/>
    <w:pPr>
      <w:ind w:firstLine="830" w:firstLineChars="352"/>
    </w:pPr>
    <w:rPr>
      <w:rFonts w:ascii="仿宋_GB2312" w:eastAsia="仿宋_GB2312"/>
      <w:kern w:val="0"/>
      <w:sz w:val="32"/>
      <w:szCs w:val="20"/>
    </w:rPr>
  </w:style>
  <w:style w:type="paragraph" w:styleId="20">
    <w:name w:val="List 2"/>
    <w:basedOn w:val="1"/>
    <w:autoRedefine/>
    <w:unhideWhenUsed/>
    <w:qFormat/>
    <w:uiPriority w:val="99"/>
    <w:pPr>
      <w:ind w:left="100" w:leftChars="200" w:hanging="200" w:hangingChars="200"/>
      <w:contextualSpacing/>
    </w:pPr>
  </w:style>
  <w:style w:type="paragraph" w:styleId="21">
    <w:name w:val="Plain Text"/>
    <w:basedOn w:val="1"/>
    <w:next w:val="1"/>
    <w:link w:val="61"/>
    <w:autoRedefine/>
    <w:qFormat/>
    <w:uiPriority w:val="99"/>
    <w:rPr>
      <w:rFonts w:ascii="宋体" w:hAnsi="Courier New"/>
      <w:kern w:val="0"/>
      <w:sz w:val="20"/>
      <w:szCs w:val="21"/>
    </w:rPr>
  </w:style>
  <w:style w:type="paragraph" w:styleId="22">
    <w:name w:val="Date"/>
    <w:basedOn w:val="1"/>
    <w:next w:val="1"/>
    <w:link w:val="62"/>
    <w:autoRedefine/>
    <w:unhideWhenUsed/>
    <w:qFormat/>
    <w:uiPriority w:val="99"/>
    <w:pPr>
      <w:ind w:left="100" w:leftChars="2500"/>
    </w:pPr>
  </w:style>
  <w:style w:type="paragraph" w:styleId="23">
    <w:name w:val="Body Text Indent 2"/>
    <w:basedOn w:val="1"/>
    <w:qFormat/>
    <w:uiPriority w:val="0"/>
    <w:pPr>
      <w:spacing w:after="120" w:line="480" w:lineRule="auto"/>
      <w:ind w:left="200" w:leftChars="200"/>
    </w:pPr>
  </w:style>
  <w:style w:type="paragraph" w:styleId="24">
    <w:name w:val="Balloon Text"/>
    <w:basedOn w:val="1"/>
    <w:link w:val="63"/>
    <w:autoRedefine/>
    <w:qFormat/>
    <w:uiPriority w:val="0"/>
    <w:rPr>
      <w:sz w:val="18"/>
      <w:szCs w:val="18"/>
    </w:rPr>
  </w:style>
  <w:style w:type="paragraph" w:styleId="25">
    <w:name w:val="footer"/>
    <w:basedOn w:val="1"/>
    <w:next w:val="1"/>
    <w:link w:val="4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6">
    <w:name w:val="header"/>
    <w:basedOn w:val="1"/>
    <w:link w:val="4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7">
    <w:name w:val="toc 1"/>
    <w:basedOn w:val="1"/>
    <w:next w:val="1"/>
    <w:autoRedefine/>
    <w:unhideWhenUsed/>
    <w:qFormat/>
    <w:uiPriority w:val="39"/>
  </w:style>
  <w:style w:type="paragraph" w:styleId="28">
    <w:name w:val="footnote text"/>
    <w:basedOn w:val="1"/>
    <w:link w:val="92"/>
    <w:autoRedefine/>
    <w:unhideWhenUsed/>
    <w:qFormat/>
    <w:uiPriority w:val="99"/>
    <w:pPr>
      <w:snapToGrid w:val="0"/>
      <w:jc w:val="left"/>
    </w:pPr>
    <w:rPr>
      <w:sz w:val="18"/>
      <w:szCs w:val="18"/>
    </w:rPr>
  </w:style>
  <w:style w:type="paragraph" w:styleId="29">
    <w:name w:val="table of figures"/>
    <w:basedOn w:val="1"/>
    <w:next w:val="1"/>
    <w:autoRedefine/>
    <w:unhideWhenUsed/>
    <w:qFormat/>
    <w:uiPriority w:val="0"/>
    <w:pPr>
      <w:ind w:left="200" w:leftChars="200" w:hanging="200" w:hangingChars="200"/>
    </w:pPr>
    <w:rPr>
      <w:rFonts w:ascii="Calibri" w:hAnsi="Calibri"/>
      <w:sz w:val="28"/>
    </w:rPr>
  </w:style>
  <w:style w:type="paragraph" w:styleId="30">
    <w:name w:val="toc 2"/>
    <w:basedOn w:val="1"/>
    <w:next w:val="1"/>
    <w:autoRedefine/>
    <w:unhideWhenUsed/>
    <w:qFormat/>
    <w:uiPriority w:val="39"/>
    <w:pPr>
      <w:tabs>
        <w:tab w:val="right" w:leader="dot" w:pos="8296"/>
      </w:tabs>
      <w:ind w:left="420" w:leftChars="200"/>
    </w:pPr>
  </w:style>
  <w:style w:type="paragraph" w:styleId="31">
    <w:name w:val="Normal (Web)"/>
    <w:basedOn w:val="1"/>
    <w:autoRedefine/>
    <w:unhideWhenUsed/>
    <w:qFormat/>
    <w:uiPriority w:val="99"/>
    <w:rPr>
      <w:rFonts w:ascii="Calibri" w:hAnsi="Calibri"/>
      <w:kern w:val="0"/>
      <w:sz w:val="24"/>
    </w:rPr>
  </w:style>
  <w:style w:type="paragraph" w:styleId="32">
    <w:name w:val="Title"/>
    <w:basedOn w:val="1"/>
    <w:next w:val="1"/>
    <w:link w:val="55"/>
    <w:autoRedefine/>
    <w:qFormat/>
    <w:uiPriority w:val="0"/>
    <w:pPr>
      <w:spacing w:before="240" w:after="60"/>
      <w:jc w:val="center"/>
      <w:outlineLvl w:val="0"/>
    </w:pPr>
    <w:rPr>
      <w:rFonts w:ascii="Arial" w:hAnsi="Arial" w:cs="Arial"/>
      <w:b/>
      <w:bCs/>
      <w:sz w:val="32"/>
      <w:szCs w:val="32"/>
    </w:rPr>
  </w:style>
  <w:style w:type="paragraph" w:styleId="33">
    <w:name w:val="annotation subject"/>
    <w:basedOn w:val="17"/>
    <w:next w:val="17"/>
    <w:link w:val="64"/>
    <w:autoRedefine/>
    <w:qFormat/>
    <w:uiPriority w:val="99"/>
    <w:rPr>
      <w:b/>
      <w:bCs/>
    </w:rPr>
  </w:style>
  <w:style w:type="table" w:styleId="35">
    <w:name w:val="Table Grid"/>
    <w:basedOn w:val="3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autoRedefine/>
    <w:qFormat/>
    <w:uiPriority w:val="22"/>
    <w:rPr>
      <w:b/>
    </w:rPr>
  </w:style>
  <w:style w:type="character" w:styleId="38">
    <w:name w:val="endnote reference"/>
    <w:autoRedefine/>
    <w:unhideWhenUsed/>
    <w:qFormat/>
    <w:uiPriority w:val="99"/>
    <w:rPr>
      <w:vertAlign w:val="superscript"/>
    </w:rPr>
  </w:style>
  <w:style w:type="character" w:styleId="39">
    <w:name w:val="FollowedHyperlink"/>
    <w:unhideWhenUsed/>
    <w:qFormat/>
    <w:uiPriority w:val="99"/>
    <w:rPr>
      <w:color w:val="800080"/>
      <w:u w:val="single"/>
    </w:rPr>
  </w:style>
  <w:style w:type="character" w:styleId="40">
    <w:name w:val="Hyperlink"/>
    <w:basedOn w:val="36"/>
    <w:autoRedefine/>
    <w:unhideWhenUsed/>
    <w:qFormat/>
    <w:uiPriority w:val="99"/>
    <w:rPr>
      <w:color w:val="0000FF"/>
      <w:u w:val="single"/>
    </w:rPr>
  </w:style>
  <w:style w:type="character" w:styleId="41">
    <w:name w:val="annotation reference"/>
    <w:autoRedefine/>
    <w:qFormat/>
    <w:uiPriority w:val="0"/>
    <w:rPr>
      <w:sz w:val="21"/>
      <w:szCs w:val="21"/>
    </w:rPr>
  </w:style>
  <w:style w:type="character" w:styleId="42">
    <w:name w:val="HTML Sample"/>
    <w:basedOn w:val="36"/>
    <w:autoRedefine/>
    <w:semiHidden/>
    <w:unhideWhenUsed/>
    <w:qFormat/>
    <w:uiPriority w:val="99"/>
    <w:rPr>
      <w:rFonts w:ascii="Courier New" w:hAnsi="Courier New"/>
    </w:rPr>
  </w:style>
  <w:style w:type="paragraph" w:customStyle="1" w:styleId="43">
    <w:name w:val="BodyText"/>
    <w:basedOn w:val="1"/>
    <w:qFormat/>
    <w:uiPriority w:val="0"/>
    <w:pPr>
      <w:spacing w:line="380" w:lineRule="exact"/>
      <w:jc w:val="both"/>
      <w:textAlignment w:val="baseline"/>
    </w:pPr>
    <w:rPr>
      <w:rFonts w:ascii="Times New Roman" w:hAnsi="Times New Roman" w:eastAsia="宋体"/>
      <w:kern w:val="2"/>
      <w:sz w:val="24"/>
      <w:szCs w:val="24"/>
      <w:lang w:val="en-US" w:eastAsia="zh-CN" w:bidi="ar-SA"/>
    </w:rPr>
  </w:style>
  <w:style w:type="paragraph" w:customStyle="1" w:styleId="44">
    <w:name w:val="Heading2"/>
    <w:basedOn w:val="1"/>
    <w:next w:val="1"/>
    <w:qFormat/>
    <w:uiPriority w:val="0"/>
    <w:pPr>
      <w:keepNext/>
      <w:keepLines/>
      <w:spacing w:before="60" w:after="60" w:line="413" w:lineRule="auto"/>
      <w:textAlignment w:val="baseline"/>
    </w:pPr>
    <w:rPr>
      <w:rFonts w:ascii="Arial" w:hAnsi="Arial" w:eastAsia="黑体"/>
      <w:b/>
      <w:bCs/>
      <w:szCs w:val="32"/>
    </w:rPr>
  </w:style>
  <w:style w:type="character" w:customStyle="1" w:styleId="45">
    <w:name w:val="页眉 Char"/>
    <w:basedOn w:val="36"/>
    <w:link w:val="26"/>
    <w:autoRedefine/>
    <w:qFormat/>
    <w:uiPriority w:val="99"/>
    <w:rPr>
      <w:sz w:val="18"/>
      <w:szCs w:val="18"/>
    </w:rPr>
  </w:style>
  <w:style w:type="character" w:customStyle="1" w:styleId="46">
    <w:name w:val="页脚 Char"/>
    <w:basedOn w:val="36"/>
    <w:link w:val="25"/>
    <w:autoRedefine/>
    <w:qFormat/>
    <w:uiPriority w:val="99"/>
    <w:rPr>
      <w:sz w:val="18"/>
      <w:szCs w:val="18"/>
    </w:rPr>
  </w:style>
  <w:style w:type="character" w:customStyle="1" w:styleId="47">
    <w:name w:val="标题 1 Char"/>
    <w:basedOn w:val="36"/>
    <w:link w:val="5"/>
    <w:autoRedefine/>
    <w:qFormat/>
    <w:uiPriority w:val="9"/>
    <w:rPr>
      <w:rFonts w:ascii="Times New Roman" w:hAnsi="Times New Roman" w:eastAsia="宋体" w:cs="Times New Roman"/>
      <w:b/>
      <w:bCs/>
      <w:kern w:val="44"/>
      <w:sz w:val="44"/>
      <w:szCs w:val="44"/>
    </w:rPr>
  </w:style>
  <w:style w:type="character" w:customStyle="1" w:styleId="48">
    <w:name w:val="标题 2 Char1"/>
    <w:basedOn w:val="36"/>
    <w:link w:val="6"/>
    <w:autoRedefine/>
    <w:qFormat/>
    <w:uiPriority w:val="0"/>
    <w:rPr>
      <w:rFonts w:ascii="Cambria" w:hAnsi="Cambria" w:eastAsia="宋体" w:cs="Times New Roman"/>
      <w:b/>
      <w:bCs/>
      <w:sz w:val="32"/>
      <w:szCs w:val="32"/>
    </w:rPr>
  </w:style>
  <w:style w:type="character" w:customStyle="1" w:styleId="49">
    <w:name w:val="标题 4 Char"/>
    <w:basedOn w:val="36"/>
    <w:link w:val="8"/>
    <w:autoRedefine/>
    <w:qFormat/>
    <w:uiPriority w:val="0"/>
    <w:rPr>
      <w:rFonts w:ascii="Arial" w:hAnsi="Times New Roman" w:eastAsia="黑体" w:cs="Times New Roman"/>
      <w:kern w:val="0"/>
      <w:sz w:val="28"/>
      <w:szCs w:val="20"/>
    </w:rPr>
  </w:style>
  <w:style w:type="character" w:customStyle="1" w:styleId="50">
    <w:name w:val="标题 5 Char"/>
    <w:basedOn w:val="36"/>
    <w:link w:val="9"/>
    <w:autoRedefine/>
    <w:qFormat/>
    <w:uiPriority w:val="9"/>
    <w:rPr>
      <w:rFonts w:ascii="Times New Roman" w:hAnsi="Times New Roman" w:eastAsia="宋体" w:cs="Times New Roman"/>
      <w:b/>
      <w:bCs/>
      <w:sz w:val="28"/>
      <w:szCs w:val="28"/>
    </w:rPr>
  </w:style>
  <w:style w:type="character" w:customStyle="1" w:styleId="51">
    <w:name w:val="标题 7 Char"/>
    <w:basedOn w:val="36"/>
    <w:link w:val="12"/>
    <w:autoRedefine/>
    <w:qFormat/>
    <w:uiPriority w:val="0"/>
    <w:rPr>
      <w:rFonts w:ascii="Times New Roman" w:hAnsi="Times New Roman" w:eastAsia="宋体" w:cs="Times New Roman"/>
      <w:b/>
      <w:bCs/>
      <w:sz w:val="24"/>
      <w:szCs w:val="24"/>
    </w:rPr>
  </w:style>
  <w:style w:type="character" w:customStyle="1" w:styleId="52">
    <w:name w:val="标题 8 Char1"/>
    <w:basedOn w:val="36"/>
    <w:link w:val="13"/>
    <w:autoRedefine/>
    <w:qFormat/>
    <w:uiPriority w:val="9"/>
    <w:rPr>
      <w:rFonts w:ascii="等线 Light" w:hAnsi="等线 Light" w:eastAsia="等线 Light" w:cs="Times New Roman"/>
      <w:sz w:val="24"/>
      <w:szCs w:val="24"/>
    </w:rPr>
  </w:style>
  <w:style w:type="character" w:customStyle="1" w:styleId="53">
    <w:name w:val="正文文本 字符"/>
    <w:basedOn w:val="36"/>
    <w:autoRedefine/>
    <w:qFormat/>
    <w:uiPriority w:val="99"/>
    <w:rPr>
      <w:rFonts w:ascii="Times New Roman" w:hAnsi="Times New Roman" w:eastAsia="宋体" w:cs="Times New Roman"/>
      <w:szCs w:val="24"/>
    </w:rPr>
  </w:style>
  <w:style w:type="character" w:customStyle="1" w:styleId="54">
    <w:name w:val="正文文本 Char1"/>
    <w:link w:val="2"/>
    <w:autoRedefine/>
    <w:qFormat/>
    <w:uiPriority w:val="0"/>
    <w:rPr>
      <w:rFonts w:ascii="Times New Roman" w:hAnsi="Times New Roman" w:eastAsia="宋体" w:cs="Times New Roman"/>
      <w:szCs w:val="24"/>
    </w:rPr>
  </w:style>
  <w:style w:type="character" w:customStyle="1" w:styleId="55">
    <w:name w:val="标题 Char"/>
    <w:basedOn w:val="36"/>
    <w:link w:val="32"/>
    <w:autoRedefine/>
    <w:qFormat/>
    <w:uiPriority w:val="0"/>
    <w:rPr>
      <w:rFonts w:ascii="Arial" w:hAnsi="Arial" w:eastAsia="宋体" w:cs="Arial"/>
      <w:b/>
      <w:bCs/>
      <w:sz w:val="32"/>
      <w:szCs w:val="32"/>
    </w:rPr>
  </w:style>
  <w:style w:type="character" w:customStyle="1" w:styleId="56">
    <w:name w:val="批注文字 字符"/>
    <w:basedOn w:val="36"/>
    <w:autoRedefine/>
    <w:qFormat/>
    <w:uiPriority w:val="0"/>
    <w:rPr>
      <w:rFonts w:ascii="Times New Roman" w:hAnsi="Times New Roman" w:eastAsia="宋体" w:cs="Times New Roman"/>
      <w:szCs w:val="24"/>
    </w:rPr>
  </w:style>
  <w:style w:type="character" w:customStyle="1" w:styleId="57">
    <w:name w:val="批注文字 Char1"/>
    <w:link w:val="17"/>
    <w:autoRedefine/>
    <w:qFormat/>
    <w:uiPriority w:val="0"/>
    <w:rPr>
      <w:rFonts w:ascii="Times New Roman" w:hAnsi="Times New Roman" w:eastAsia="宋体" w:cs="Times New Roman"/>
      <w:szCs w:val="24"/>
    </w:rPr>
  </w:style>
  <w:style w:type="character" w:customStyle="1" w:styleId="58">
    <w:name w:val="正文文本 3 Char"/>
    <w:basedOn w:val="36"/>
    <w:link w:val="18"/>
    <w:autoRedefine/>
    <w:qFormat/>
    <w:uiPriority w:val="99"/>
    <w:rPr>
      <w:rFonts w:ascii="Times New Roman" w:hAnsi="Times New Roman" w:eastAsia="宋体" w:cs="Times New Roman"/>
      <w:sz w:val="16"/>
      <w:szCs w:val="16"/>
    </w:rPr>
  </w:style>
  <w:style w:type="character" w:customStyle="1" w:styleId="59">
    <w:name w:val="正文文本缩进 Char"/>
    <w:basedOn w:val="36"/>
    <w:link w:val="19"/>
    <w:autoRedefine/>
    <w:qFormat/>
    <w:uiPriority w:val="0"/>
    <w:rPr>
      <w:rFonts w:ascii="仿宋_GB2312" w:hAnsi="Times New Roman" w:eastAsia="仿宋_GB2312" w:cs="Times New Roman"/>
      <w:kern w:val="0"/>
      <w:sz w:val="32"/>
      <w:szCs w:val="20"/>
    </w:rPr>
  </w:style>
  <w:style w:type="character" w:customStyle="1" w:styleId="60">
    <w:name w:val="纯文本 字符"/>
    <w:basedOn w:val="36"/>
    <w:autoRedefine/>
    <w:qFormat/>
    <w:uiPriority w:val="0"/>
    <w:rPr>
      <w:rFonts w:hAnsi="Courier New" w:cs="Courier New" w:asciiTheme="minorEastAsia"/>
      <w:szCs w:val="24"/>
    </w:rPr>
  </w:style>
  <w:style w:type="character" w:customStyle="1" w:styleId="61">
    <w:name w:val="纯文本 Char1"/>
    <w:link w:val="21"/>
    <w:autoRedefine/>
    <w:qFormat/>
    <w:uiPriority w:val="0"/>
    <w:rPr>
      <w:rFonts w:ascii="宋体" w:hAnsi="Courier New" w:eastAsia="宋体" w:cs="Times New Roman"/>
      <w:kern w:val="0"/>
      <w:sz w:val="20"/>
      <w:szCs w:val="21"/>
    </w:rPr>
  </w:style>
  <w:style w:type="character" w:customStyle="1" w:styleId="62">
    <w:name w:val="日期 Char"/>
    <w:basedOn w:val="36"/>
    <w:link w:val="22"/>
    <w:autoRedefine/>
    <w:qFormat/>
    <w:uiPriority w:val="99"/>
    <w:rPr>
      <w:rFonts w:ascii="Times New Roman" w:hAnsi="Times New Roman" w:eastAsia="宋体" w:cs="Times New Roman"/>
      <w:szCs w:val="24"/>
    </w:rPr>
  </w:style>
  <w:style w:type="character" w:customStyle="1" w:styleId="63">
    <w:name w:val="批注框文本 Char"/>
    <w:basedOn w:val="36"/>
    <w:link w:val="24"/>
    <w:autoRedefine/>
    <w:semiHidden/>
    <w:qFormat/>
    <w:uiPriority w:val="0"/>
    <w:rPr>
      <w:rFonts w:ascii="Times New Roman" w:hAnsi="Times New Roman" w:eastAsia="宋体" w:cs="Times New Roman"/>
      <w:sz w:val="18"/>
      <w:szCs w:val="18"/>
    </w:rPr>
  </w:style>
  <w:style w:type="character" w:customStyle="1" w:styleId="64">
    <w:name w:val="批注主题 Char"/>
    <w:basedOn w:val="56"/>
    <w:link w:val="33"/>
    <w:autoRedefine/>
    <w:qFormat/>
    <w:uiPriority w:val="99"/>
    <w:rPr>
      <w:rFonts w:ascii="Times New Roman" w:hAnsi="Times New Roman" w:eastAsia="宋体" w:cs="Times New Roman"/>
      <w:b/>
      <w:bCs/>
      <w:szCs w:val="24"/>
    </w:rPr>
  </w:style>
  <w:style w:type="character" w:customStyle="1" w:styleId="65">
    <w:name w:val="正文首行缩进 2 Char"/>
    <w:basedOn w:val="59"/>
    <w:link w:val="3"/>
    <w:autoRedefine/>
    <w:qFormat/>
    <w:uiPriority w:val="99"/>
    <w:rPr>
      <w:rFonts w:ascii="宋体" w:hAnsi="Courier New" w:eastAsia="仿宋_GB2312" w:cs="Times New Roman"/>
      <w:spacing w:val="-4"/>
      <w:kern w:val="0"/>
      <w:sz w:val="18"/>
      <w:szCs w:val="20"/>
    </w:rPr>
  </w:style>
  <w:style w:type="character" w:customStyle="1" w:styleId="66">
    <w:name w:val="纯文本 字符1"/>
    <w:autoRedefine/>
    <w:qFormat/>
    <w:uiPriority w:val="99"/>
    <w:rPr>
      <w:rFonts w:ascii="宋体" w:hAnsi="Courier New"/>
    </w:rPr>
  </w:style>
  <w:style w:type="character" w:customStyle="1" w:styleId="67">
    <w:name w:val="正文文本 Char"/>
    <w:autoRedefine/>
    <w:qFormat/>
    <w:uiPriority w:val="0"/>
    <w:rPr>
      <w:rFonts w:ascii="Times New Roman" w:hAnsi="Times New Roman"/>
      <w:kern w:val="2"/>
      <w:sz w:val="21"/>
      <w:szCs w:val="24"/>
    </w:rPr>
  </w:style>
  <w:style w:type="character" w:customStyle="1" w:styleId="68">
    <w:name w:val="纯文本 字符2"/>
    <w:autoRedefine/>
    <w:qFormat/>
    <w:uiPriority w:val="0"/>
    <w:rPr>
      <w:rFonts w:ascii="宋体" w:hAnsi="Courier New" w:eastAsia="宋体" w:cs="Courier New"/>
      <w:szCs w:val="21"/>
    </w:rPr>
  </w:style>
  <w:style w:type="character" w:customStyle="1" w:styleId="69">
    <w:name w:val="apple-style-span"/>
    <w:autoRedefine/>
    <w:qFormat/>
    <w:uiPriority w:val="0"/>
  </w:style>
  <w:style w:type="character" w:customStyle="1" w:styleId="70">
    <w:name w:val="批注文字 Char"/>
    <w:autoRedefine/>
    <w:qFormat/>
    <w:uiPriority w:val="0"/>
    <w:rPr>
      <w:rFonts w:ascii="Times New Roman" w:hAnsi="Times New Roman"/>
      <w:kern w:val="2"/>
      <w:sz w:val="21"/>
      <w:szCs w:val="24"/>
    </w:rPr>
  </w:style>
  <w:style w:type="character" w:customStyle="1" w:styleId="7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2">
    <w:name w:val="textcontents"/>
    <w:autoRedefine/>
    <w:qFormat/>
    <w:uiPriority w:val="0"/>
  </w:style>
  <w:style w:type="character" w:customStyle="1" w:styleId="73">
    <w:name w:val="标题 1 字符1"/>
    <w:autoRedefine/>
    <w:qFormat/>
    <w:uiPriority w:val="0"/>
    <w:rPr>
      <w:b/>
      <w:bCs/>
      <w:kern w:val="44"/>
      <w:sz w:val="44"/>
      <w:szCs w:val="44"/>
    </w:rPr>
  </w:style>
  <w:style w:type="character" w:customStyle="1" w:styleId="74">
    <w:name w:val="批注文字 Char2"/>
    <w:autoRedefine/>
    <w:qFormat/>
    <w:uiPriority w:val="0"/>
    <w:rPr>
      <w:rFonts w:ascii="Times New Roman" w:hAnsi="Times New Roman"/>
      <w:kern w:val="2"/>
      <w:sz w:val="21"/>
      <w:szCs w:val="24"/>
    </w:rPr>
  </w:style>
  <w:style w:type="character" w:customStyle="1" w:styleId="75">
    <w:name w:val="标题 2 Char"/>
    <w:autoRedefine/>
    <w:qFormat/>
    <w:uiPriority w:val="0"/>
    <w:rPr>
      <w:rFonts w:ascii="Cambria" w:hAnsi="Cambria" w:eastAsia="宋体" w:cs="Times New Roman"/>
      <w:b/>
      <w:bCs/>
      <w:kern w:val="2"/>
      <w:sz w:val="32"/>
      <w:szCs w:val="32"/>
    </w:rPr>
  </w:style>
  <w:style w:type="character" w:customStyle="1" w:styleId="76">
    <w:name w:val="纯文本 Char"/>
    <w:autoRedefine/>
    <w:qFormat/>
    <w:uiPriority w:val="0"/>
    <w:rPr>
      <w:rFonts w:ascii="宋体" w:hAnsi="Courier New" w:eastAsia="宋体" w:cs="Courier New"/>
      <w:szCs w:val="21"/>
    </w:rPr>
  </w:style>
  <w:style w:type="character" w:customStyle="1" w:styleId="77">
    <w:name w:val="标题 8 Char"/>
    <w:autoRedefine/>
    <w:qFormat/>
    <w:uiPriority w:val="0"/>
    <w:rPr>
      <w:rFonts w:ascii="Arial" w:hAnsi="Arial" w:eastAsia="黑体"/>
      <w:kern w:val="2"/>
      <w:sz w:val="24"/>
      <w:szCs w:val="24"/>
    </w:rPr>
  </w:style>
  <w:style w:type="character" w:customStyle="1" w:styleId="78">
    <w:name w:val="font51"/>
    <w:autoRedefine/>
    <w:qFormat/>
    <w:uiPriority w:val="0"/>
    <w:rPr>
      <w:rFonts w:hint="default" w:ascii="Times New Roman" w:hAnsi="Times New Roman" w:cs="Times New Roman"/>
      <w:b/>
      <w:color w:val="000000"/>
      <w:sz w:val="18"/>
      <w:szCs w:val="18"/>
      <w:u w:val="none"/>
    </w:rPr>
  </w:style>
  <w:style w:type="character" w:customStyle="1" w:styleId="79">
    <w:name w:val="批注文字 字符1"/>
    <w:autoRedefine/>
    <w:qFormat/>
    <w:uiPriority w:val="0"/>
    <w:rPr>
      <w:rFonts w:ascii="Times New Roman" w:hAnsi="Times New Roman"/>
      <w:kern w:val="2"/>
      <w:sz w:val="21"/>
      <w:szCs w:val="24"/>
    </w:rPr>
  </w:style>
  <w:style w:type="paragraph" w:customStyle="1" w:styleId="80">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81">
    <w:name w:val="List Paragraph"/>
    <w:basedOn w:val="1"/>
    <w:autoRedefine/>
    <w:qFormat/>
    <w:uiPriority w:val="34"/>
    <w:pPr>
      <w:ind w:firstLine="420" w:firstLineChars="200"/>
    </w:pPr>
  </w:style>
  <w:style w:type="paragraph" w:customStyle="1" w:styleId="82">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
    <w:name w:val="Title1"/>
    <w:basedOn w:val="1"/>
    <w:next w:val="1"/>
    <w:autoRedefine/>
    <w:qFormat/>
    <w:uiPriority w:val="0"/>
    <w:pPr>
      <w:jc w:val="center"/>
      <w:outlineLvl w:val="0"/>
    </w:pPr>
    <w:rPr>
      <w:rFonts w:ascii="Calibri Light" w:hAnsi="Calibri Light" w:eastAsia="Arial Unicode MS"/>
      <w:b/>
    </w:rPr>
  </w:style>
  <w:style w:type="paragraph" w:customStyle="1" w:styleId="84">
    <w:name w:val="默认段落字体 Para Char Char Char Char Char Char Char Char Char1 Char Char Char Char"/>
    <w:basedOn w:val="1"/>
    <w:autoRedefine/>
    <w:qFormat/>
    <w:uiPriority w:val="0"/>
    <w:rPr>
      <w:rFonts w:ascii="Tahoma" w:hAnsi="Tahoma"/>
      <w:sz w:val="24"/>
      <w:szCs w:val="20"/>
    </w:rPr>
  </w:style>
  <w:style w:type="paragraph" w:customStyle="1" w:styleId="85">
    <w:name w:val="样式 0正文 + 首行缩进:  2 字符1"/>
    <w:basedOn w:val="1"/>
    <w:autoRedefine/>
    <w:qFormat/>
    <w:uiPriority w:val="99"/>
    <w:pPr>
      <w:spacing w:line="360" w:lineRule="auto"/>
      <w:ind w:firstLine="200" w:firstLineChars="200"/>
    </w:pPr>
    <w:rPr>
      <w:szCs w:val="20"/>
    </w:rPr>
  </w:style>
  <w:style w:type="paragraph" w:customStyle="1" w:styleId="86">
    <w:name w:val="无间隔1"/>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Table Paragraph"/>
    <w:basedOn w:val="1"/>
    <w:autoRedefine/>
    <w:qFormat/>
    <w:uiPriority w:val="1"/>
    <w:pPr>
      <w:jc w:val="left"/>
    </w:pPr>
    <w:rPr>
      <w:rFonts w:ascii="Calibri" w:hAnsi="Calibri"/>
      <w:kern w:val="0"/>
      <w:sz w:val="22"/>
      <w:szCs w:val="22"/>
      <w:lang w:eastAsia="en-US"/>
    </w:rPr>
  </w:style>
  <w:style w:type="paragraph" w:customStyle="1" w:styleId="88">
    <w:name w:val="正文-公11"/>
    <w:basedOn w:val="1"/>
    <w:autoRedefine/>
    <w:qFormat/>
    <w:uiPriority w:val="0"/>
    <w:pPr>
      <w:ind w:firstLine="200" w:firstLineChars="200"/>
      <w:jc w:val="left"/>
    </w:pPr>
    <w:rPr>
      <w:rFonts w:eastAsia="仿宋_GB2312"/>
    </w:rPr>
  </w:style>
  <w:style w:type="paragraph" w:customStyle="1" w:styleId="89">
    <w:name w:val="my正文"/>
    <w:basedOn w:val="1"/>
    <w:link w:val="90"/>
    <w:autoRedefine/>
    <w:qFormat/>
    <w:uiPriority w:val="0"/>
    <w:pPr>
      <w:spacing w:line="360" w:lineRule="auto"/>
      <w:ind w:firstLine="480" w:firstLineChars="200"/>
    </w:pPr>
    <w:rPr>
      <w:sz w:val="24"/>
      <w:lang w:val="zh-CN"/>
    </w:rPr>
  </w:style>
  <w:style w:type="character" w:customStyle="1" w:styleId="90">
    <w:name w:val="my正文 Char"/>
    <w:link w:val="89"/>
    <w:autoRedefine/>
    <w:qFormat/>
    <w:uiPriority w:val="0"/>
    <w:rPr>
      <w:rFonts w:ascii="Times New Roman" w:hAnsi="Times New Roman" w:eastAsia="宋体" w:cs="Times New Roman"/>
      <w:sz w:val="24"/>
      <w:szCs w:val="24"/>
      <w:lang w:val="zh-CN"/>
    </w:rPr>
  </w:style>
  <w:style w:type="character" w:customStyle="1" w:styleId="91">
    <w:name w:val="纯文本 Char2"/>
    <w:autoRedefine/>
    <w:qFormat/>
    <w:uiPriority w:val="0"/>
    <w:rPr>
      <w:rFonts w:ascii="宋体" w:hAnsi="Courier New" w:eastAsia="宋体" w:cs="Courier New"/>
      <w:szCs w:val="21"/>
    </w:rPr>
  </w:style>
  <w:style w:type="character" w:customStyle="1" w:styleId="92">
    <w:name w:val="脚注文本 Char"/>
    <w:basedOn w:val="36"/>
    <w:link w:val="28"/>
    <w:autoRedefine/>
    <w:qFormat/>
    <w:uiPriority w:val="99"/>
    <w:rPr>
      <w:rFonts w:ascii="Times New Roman" w:hAnsi="Times New Roman" w:eastAsia="宋体" w:cs="Times New Roman"/>
      <w:sz w:val="18"/>
      <w:szCs w:val="18"/>
    </w:rPr>
  </w:style>
  <w:style w:type="paragraph" w:customStyle="1" w:styleId="93">
    <w:name w:val="p16"/>
    <w:basedOn w:val="1"/>
    <w:autoRedefine/>
    <w:qFormat/>
    <w:uiPriority w:val="99"/>
    <w:pPr>
      <w:widowControl/>
    </w:pPr>
    <w:rPr>
      <w:rFonts w:ascii="宋体" w:hAnsi="宋体" w:cs="宋体"/>
      <w:kern w:val="0"/>
      <w:szCs w:val="21"/>
    </w:rPr>
  </w:style>
  <w:style w:type="character" w:customStyle="1" w:styleId="94">
    <w:name w:val="bookmark-item uuid-1595987425520 code-23021 editdisable multi-line-text-input-box-cls readonly"/>
    <w:autoRedefine/>
    <w:qFormat/>
    <w:uiPriority w:val="0"/>
    <w:rPr>
      <w:rFonts w:ascii="Times New Roman" w:hAnsi="Times New Roman" w:eastAsia="宋体" w:cs="Times New Roman"/>
    </w:rPr>
  </w:style>
  <w:style w:type="character" w:customStyle="1" w:styleId="95">
    <w:name w:val="bookmark-item uuid-1595988095908 code-25009 addword numeric-input-box-cls"/>
    <w:autoRedefine/>
    <w:qFormat/>
    <w:uiPriority w:val="0"/>
    <w:rPr>
      <w:rFonts w:ascii="Times New Roman" w:hAnsi="Times New Roman" w:eastAsia="宋体" w:cs="Times New Roman"/>
    </w:rPr>
  </w:style>
  <w:style w:type="character" w:customStyle="1" w:styleId="96">
    <w:name w:val="bookmark-item uuid-1595988200124 code-25012 editdisable single-line-text-input-box-cls readonly"/>
    <w:autoRedefine/>
    <w:qFormat/>
    <w:uiPriority w:val="0"/>
    <w:rPr>
      <w:rFonts w:ascii="Times New Roman" w:hAnsi="Times New Roman" w:eastAsia="宋体" w:cs="Times New Roman"/>
    </w:rPr>
  </w:style>
  <w:style w:type="character" w:customStyle="1" w:styleId="97">
    <w:name w:val="bookmark-item uuid-1589194982864 code-31006 addword multi-line-text-input-box-cls"/>
    <w:autoRedefine/>
    <w:qFormat/>
    <w:uiPriority w:val="0"/>
    <w:rPr>
      <w:rFonts w:ascii="Times New Roman" w:hAnsi="Times New Roman" w:eastAsia="宋体" w:cs="Times New Roman"/>
    </w:rPr>
  </w:style>
  <w:style w:type="character" w:customStyle="1" w:styleId="98">
    <w:name w:val="bookmark-item uuid-1596004663203 code-00014 editdisable interval-text-box-cls readonly"/>
    <w:autoRedefine/>
    <w:qFormat/>
    <w:uiPriority w:val="0"/>
    <w:rPr>
      <w:rFonts w:ascii="Times New Roman" w:hAnsi="Times New Roman" w:eastAsia="宋体" w:cs="Times New Roman"/>
    </w:rPr>
  </w:style>
  <w:style w:type="character" w:customStyle="1" w:styleId="99">
    <w:name w:val="bookmark-item uuid-1596004721081 code-00009 addword interval-text-box-cls"/>
    <w:autoRedefine/>
    <w:qFormat/>
    <w:uiPriority w:val="0"/>
    <w:rPr>
      <w:rFonts w:ascii="Times New Roman" w:hAnsi="Times New Roman" w:eastAsia="宋体" w:cs="Times New Roman"/>
    </w:rPr>
  </w:style>
  <w:style w:type="character" w:customStyle="1" w:styleId="100">
    <w:name w:val="bookmark-item uuid-1596004745033 code-00010 editdisable single-line-text-input-box-cls readonly"/>
    <w:autoRedefine/>
    <w:qFormat/>
    <w:uiPriority w:val="0"/>
    <w:rPr>
      <w:rFonts w:ascii="Times New Roman" w:hAnsi="Times New Roman" w:eastAsia="宋体" w:cs="Times New Roman"/>
    </w:rPr>
  </w:style>
  <w:style w:type="paragraph" w:customStyle="1" w:styleId="101">
    <w:name w:val="正文1"/>
    <w:basedOn w:val="1"/>
    <w:autoRedefine/>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102">
    <w:name w:val="正文2"/>
    <w:basedOn w:val="1"/>
    <w:autoRedefine/>
    <w:qFormat/>
    <w:uiPriority w:val="0"/>
    <w:pPr>
      <w:adjustRightInd w:val="0"/>
      <w:spacing w:before="156" w:line="360" w:lineRule="auto"/>
      <w:ind w:firstLine="510" w:firstLineChars="200"/>
    </w:pPr>
    <w:rPr>
      <w:sz w:val="24"/>
      <w:szCs w:val="20"/>
    </w:rPr>
  </w:style>
  <w:style w:type="character" w:customStyle="1" w:styleId="103">
    <w:name w:val="font21"/>
    <w:basedOn w:val="36"/>
    <w:autoRedefine/>
    <w:qFormat/>
    <w:uiPriority w:val="0"/>
    <w:rPr>
      <w:rFonts w:ascii="Wingdings 2" w:hAnsi="Wingdings 2" w:eastAsia="Wingdings 2" w:cs="Wingdings 2"/>
      <w:color w:val="000000"/>
      <w:sz w:val="22"/>
      <w:szCs w:val="22"/>
      <w:u w:val="none"/>
    </w:rPr>
  </w:style>
  <w:style w:type="character" w:customStyle="1" w:styleId="104">
    <w:name w:val="font11"/>
    <w:basedOn w:val="36"/>
    <w:autoRedefine/>
    <w:qFormat/>
    <w:uiPriority w:val="0"/>
    <w:rPr>
      <w:rFonts w:hint="eastAsia" w:ascii="宋体" w:hAnsi="宋体" w:eastAsia="宋体" w:cs="宋体"/>
      <w:color w:val="000000"/>
      <w:sz w:val="22"/>
      <w:szCs w:val="22"/>
      <w:u w:val="none"/>
    </w:rPr>
  </w:style>
  <w:style w:type="paragraph" w:customStyle="1" w:styleId="105">
    <w:name w:val="p15"/>
    <w:basedOn w:val="1"/>
    <w:autoRedefine/>
    <w:qFormat/>
    <w:uiPriority w:val="0"/>
    <w:pPr>
      <w:widowControl/>
    </w:pPr>
    <w:rPr>
      <w:rFonts w:ascii="宋体" w:hAnsi="宋体" w:cs="宋体"/>
      <w:kern w:val="0"/>
    </w:rPr>
  </w:style>
  <w:style w:type="paragraph" w:customStyle="1" w:styleId="106">
    <w:name w:val="正文-2字符首行缩进"/>
    <w:basedOn w:val="1"/>
    <w:autoRedefine/>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07">
    <w:name w:val="列出段落1"/>
    <w:basedOn w:val="1"/>
    <w:autoRedefine/>
    <w:qFormat/>
    <w:uiPriority w:val="99"/>
    <w:pPr>
      <w:ind w:firstLine="420" w:firstLineChars="200"/>
    </w:pPr>
    <w:rPr>
      <w:rFonts w:ascii="等线" w:hAnsi="等线" w:eastAsia="等线"/>
    </w:rPr>
  </w:style>
  <w:style w:type="character" w:customStyle="1" w:styleId="108">
    <w:name w:val="font71"/>
    <w:basedOn w:val="36"/>
    <w:qFormat/>
    <w:uiPriority w:val="0"/>
    <w:rPr>
      <w:rFonts w:hint="default" w:ascii="Times New Roman" w:hAnsi="Times New Roman" w:cs="Times New Roman"/>
      <w:color w:val="000000"/>
      <w:sz w:val="18"/>
      <w:szCs w:val="18"/>
      <w:u w:val="none"/>
    </w:rPr>
  </w:style>
  <w:style w:type="character" w:customStyle="1" w:styleId="109">
    <w:name w:val="font61"/>
    <w:basedOn w:val="36"/>
    <w:qFormat/>
    <w:uiPriority w:val="0"/>
    <w:rPr>
      <w:rFonts w:hint="eastAsia" w:ascii="宋体" w:hAnsi="宋体" w:eastAsia="宋体" w:cs="宋体"/>
      <w:color w:val="000000"/>
      <w:sz w:val="18"/>
      <w:szCs w:val="18"/>
      <w:u w:val="none"/>
    </w:rPr>
  </w:style>
  <w:style w:type="paragraph" w:customStyle="1" w:styleId="110">
    <w:name w:val="正文缩进1"/>
    <w:basedOn w:val="1"/>
    <w:next w:val="19"/>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111">
    <w:name w:val="表格文字"/>
    <w:basedOn w:val="1"/>
    <w:qFormat/>
    <w:uiPriority w:val="0"/>
    <w:pPr>
      <w:jc w:val="left"/>
    </w:pPr>
    <w:rPr>
      <w:bCs/>
      <w:spacing w:val="10"/>
      <w:kern w:val="0"/>
      <w:sz w:val="24"/>
    </w:rPr>
  </w:style>
  <w:style w:type="paragraph" w:customStyle="1" w:styleId="112">
    <w:name w:val="纯文本1"/>
    <w:basedOn w:val="1"/>
    <w:qFormat/>
    <w:uiPriority w:val="0"/>
    <w:pPr>
      <w:suppressAutoHyphens/>
    </w:pPr>
    <w:rPr>
      <w:rFonts w:ascii="宋体" w:hAnsi="宋体"/>
      <w:szCs w:val="20"/>
      <w:lang w:eastAsia="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02CD6C-0E05-474F-8358-FFBE3FCC39DB}">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5868</Words>
  <Characters>6416</Characters>
  <Lines>479</Lines>
  <Paragraphs>134</Paragraphs>
  <TotalTime>1</TotalTime>
  <ScaleCrop>false</ScaleCrop>
  <LinksUpToDate>false</LinksUpToDate>
  <CharactersWithSpaces>6524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2024-06-12T02:19:00Z</dcterms:created>
  <dc:creator>TSE James</dc:creator>
  <cp:lastModifiedBy>鱼刺@猫骨</cp:lastModifiedBy>
  <cp:lastPrinted>2026-07-31T08:51:00Z</cp:lastPrinted>
  <dcterms:modified xsi:type="dcterms:W3CDTF">2026-08-03T11:11:39Z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65CF537C88B6459DB88037A07DB42FE1_13</vt:lpwstr>
  </property>
  <property fmtid="{D5CDD505-2E9C-101B-9397-08002B2CF9AE}" pid="4" name="KSOTemplateDocerSaveRecord">
    <vt:lpwstr>eyJoZGlkIjoiYTY3NjZlMTJjMmU4NjIyNThiZjFhM2Q5Y2FkODUwYzciLCJ1c2VySWQiOiIxMzIwNjU4OTIyIn0=</vt:lpwstr>
  </property>
</Properties>
</file>